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word/drawings/drawing4.xml" ContentType="application/vnd.openxmlformats-officedocument.drawingml.chartshapes+xml"/>
  <Override PartName="/word/charts/chart10.xml" ContentType="application/vnd.openxmlformats-officedocument.drawingml.chart+xml"/>
  <Override PartName="/word/theme/themeOverride6.xml" ContentType="application/vnd.openxmlformats-officedocument.themeOverride+xml"/>
  <Override PartName="/word/drawings/drawing5.xml" ContentType="application/vnd.openxmlformats-officedocument.drawingml.chartshapes+xml"/>
  <Override PartName="/word/charts/chart11.xml" ContentType="application/vnd.openxmlformats-officedocument.drawingml.chart+xml"/>
  <Override PartName="/word/theme/themeOverride7.xml" ContentType="application/vnd.openxmlformats-officedocument.themeOverride+xml"/>
  <Override PartName="/word/drawings/drawing6.xml" ContentType="application/vnd.openxmlformats-officedocument.drawingml.chartshapes+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charts/chart16.xml" ContentType="application/vnd.openxmlformats-officedocument.drawingml.chart+xml"/>
  <Override PartName="/word/theme/themeOverride12.xml" ContentType="application/vnd.openxmlformats-officedocument.themeOverride+xml"/>
  <Override PartName="/word/drawings/drawing7.xml" ContentType="application/vnd.openxmlformats-officedocument.drawingml.chartshapes+xml"/>
  <Override PartName="/word/charts/chart17.xml" ContentType="application/vnd.openxmlformats-officedocument.drawingml.chart+xml"/>
  <Override PartName="/word/theme/themeOverride13.xml" ContentType="application/vnd.openxmlformats-officedocument.themeOverride+xml"/>
  <Override PartName="/word/drawings/drawing8.xml" ContentType="application/vnd.openxmlformats-officedocument.drawingml.chartshapes+xml"/>
  <Override PartName="/word/charts/chart18.xml" ContentType="application/vnd.openxmlformats-officedocument.drawingml.chart+xml"/>
  <Override PartName="/word/theme/themeOverride14.xml" ContentType="application/vnd.openxmlformats-officedocument.themeOverride+xml"/>
  <Override PartName="/word/drawings/drawing9.xml" ContentType="application/vnd.openxmlformats-officedocument.drawingml.chartshapes+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theme/themeOverride17.xml" ContentType="application/vnd.openxmlformats-officedocument.themeOverride+xml"/>
  <Override PartName="/word/charts/chart22.xml" ContentType="application/vnd.openxmlformats-officedocument.drawingml.chart+xml"/>
  <Override PartName="/word/theme/themeOverride18.xml" ContentType="application/vnd.openxmlformats-officedocument.themeOverride+xml"/>
  <Override PartName="/word/charts/chart23.xml" ContentType="application/vnd.openxmlformats-officedocument.drawingml.chart+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79ADD" w14:textId="07C1CC6E" w:rsidR="00492AB1" w:rsidRDefault="003B7775" w:rsidP="003B7775">
      <w:pPr>
        <w:pStyle w:val="Heading1"/>
        <w:spacing w:line="360" w:lineRule="auto"/>
        <w:ind w:left="0"/>
        <w:sectPr w:rsidR="00492AB1" w:rsidSect="007F5F23">
          <w:footerReference w:type="default" r:id="rId9"/>
          <w:endnotePr>
            <w:numFmt w:val="decimal"/>
          </w:endnotePr>
          <w:type w:val="continuous"/>
          <w:pgSz w:w="12240" w:h="15840"/>
          <w:pgMar w:top="1440" w:right="1080" w:bottom="1440" w:left="1080" w:header="720" w:footer="720" w:gutter="0"/>
          <w:cols w:space="720"/>
          <w:docGrid w:linePitch="360"/>
        </w:sectPr>
      </w:pPr>
      <w:r>
        <w:rPr>
          <w:b w:val="0"/>
          <w:sz w:val="60"/>
          <w:szCs w:val="60"/>
        </w:rPr>
        <w:drawing>
          <wp:anchor distT="0" distB="0" distL="114300" distR="114300" simplePos="0" relativeHeight="252072960" behindDoc="1" locked="0" layoutInCell="1" allowOverlap="1" wp14:anchorId="0A1133F6" wp14:editId="3D1CF421">
            <wp:simplePos x="0" y="0"/>
            <wp:positionH relativeFrom="column">
              <wp:posOffset>-880110</wp:posOffset>
            </wp:positionH>
            <wp:positionV relativeFrom="paragraph">
              <wp:posOffset>-950595</wp:posOffset>
            </wp:positionV>
            <wp:extent cx="7966710" cy="11950700"/>
            <wp:effectExtent l="0" t="0" r="0" b="0"/>
            <wp:wrapNone/>
            <wp:docPr id="730" name="Picture 730" descr="A young girl with a wide forehead, pointy chin, adorable toothy grin staring at the camera as she enjoys a  sunny day running on a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Stock-58420356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66710" cy="11950700"/>
                    </a:xfrm>
                    <a:prstGeom prst="rect">
                      <a:avLst/>
                    </a:prstGeom>
                  </pic:spPr>
                </pic:pic>
              </a:graphicData>
            </a:graphic>
            <wp14:sizeRelH relativeFrom="margin">
              <wp14:pctWidth>0</wp14:pctWidth>
            </wp14:sizeRelH>
            <wp14:sizeRelV relativeFrom="margin">
              <wp14:pctHeight>0</wp14:pctHeight>
            </wp14:sizeRelV>
          </wp:anchor>
        </w:drawing>
      </w:r>
    </w:p>
    <w:p w14:paraId="5414868C" w14:textId="72D341E1" w:rsidR="00492AB1" w:rsidRDefault="00492AB1" w:rsidP="00E552D2">
      <w:pPr>
        <w:spacing w:before="0" w:line="360" w:lineRule="auto"/>
        <w:ind w:left="0" w:right="0"/>
        <w:jc w:val="left"/>
        <w:rPr>
          <w:b/>
          <w:noProof w:val="0"/>
          <w:sz w:val="60"/>
          <w:szCs w:val="60"/>
        </w:rPr>
      </w:pPr>
    </w:p>
    <w:p w14:paraId="35A9885C" w14:textId="2F5FC2D2" w:rsidR="00492AB1" w:rsidRDefault="00492AB1" w:rsidP="00E552D2">
      <w:pPr>
        <w:spacing w:before="0" w:line="360" w:lineRule="auto"/>
        <w:ind w:left="0" w:right="0"/>
        <w:jc w:val="left"/>
        <w:rPr>
          <w:b/>
          <w:noProof w:val="0"/>
          <w:sz w:val="60"/>
          <w:szCs w:val="60"/>
        </w:rPr>
      </w:pPr>
      <w:r>
        <mc:AlternateContent>
          <mc:Choice Requires="wps">
            <w:drawing>
              <wp:anchor distT="0" distB="0" distL="114300" distR="114300" simplePos="0" relativeHeight="252040192" behindDoc="0" locked="0" layoutInCell="1" allowOverlap="1" wp14:anchorId="2B39367D" wp14:editId="726E77AD">
                <wp:simplePos x="0" y="0"/>
                <wp:positionH relativeFrom="page">
                  <wp:posOffset>0</wp:posOffset>
                </wp:positionH>
                <wp:positionV relativeFrom="paragraph">
                  <wp:posOffset>2710392</wp:posOffset>
                </wp:positionV>
                <wp:extent cx="7772400" cy="1518920"/>
                <wp:effectExtent l="0" t="0" r="0" b="5080"/>
                <wp:wrapNone/>
                <wp:docPr id="722" name="Rectangle 722"/>
                <wp:cNvGraphicFramePr/>
                <a:graphic xmlns:a="http://schemas.openxmlformats.org/drawingml/2006/main">
                  <a:graphicData uri="http://schemas.microsoft.com/office/word/2010/wordprocessingShape">
                    <wps:wsp>
                      <wps:cNvSpPr/>
                      <wps:spPr>
                        <a:xfrm>
                          <a:off x="0" y="0"/>
                          <a:ext cx="7772400" cy="1518920"/>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5F60ED" w14:textId="6CBA79FB" w:rsidR="0079760B" w:rsidRDefault="0079760B" w:rsidP="00492AB1">
                            <w:pPr>
                              <w:pStyle w:val="Chapter"/>
                              <w:ind w:left="720"/>
                            </w:pPr>
                            <w:r>
                              <w:t xml:space="preserve">CHAPTER 8  </w:t>
                            </w:r>
                          </w:p>
                          <w:p w14:paraId="741651A4" w14:textId="60D1D302" w:rsidR="0079760B" w:rsidRDefault="0079760B" w:rsidP="00492AB1">
                            <w:pPr>
                              <w:pStyle w:val="ChapterName"/>
                            </w:pPr>
                            <w:r>
                              <w:t>Wellness and Chronic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22" o:spid="_x0000_s1026" style="position:absolute;margin-left:0;margin-top:213.4pt;width:612pt;height:119.6pt;z-index:25204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" fillcolor="#1f3763 [1604]" stroked="f" strokeweight="4.5pt">
                <v:textbox>
                  <w:txbxContent>
                    <w:p w14:paraId="665F60ED" w14:textId="6CBA79FB" w:rsidR="0079760B" w:rsidRDefault="0079760B" w:rsidP="00492AB1">
                      <w:pPr>
                        <w:pStyle w:val="Chapter"/>
                        <w:ind w:left="720"/>
                      </w:pPr>
                      <w:r>
                        <w:t xml:space="preserve">CHAPTER 8  </w:t>
                      </w:r>
                    </w:p>
                    <w:p w14:paraId="741651A4" w14:textId="60D1D302" w:rsidR="0079760B" w:rsidRDefault="0079760B" w:rsidP="00492AB1">
                      <w:pPr>
                        <w:pStyle w:val="ChapterName"/>
                      </w:pPr>
                      <w:r>
                        <w:t>Wellness and Chronic Disease</w:t>
                      </w:r>
                    </w:p>
                  </w:txbxContent>
                </v:textbox>
                <w10:wrap anchorx="page"/>
              </v:rect>
            </w:pict>
          </mc:Fallback>
        </mc:AlternateContent>
      </w:r>
      <w:r>
        <w:br w:type="page"/>
      </w:r>
    </w:p>
    <w:p w14:paraId="504B6144" w14:textId="5023E245" w:rsidR="001F2469" w:rsidRDefault="001F2469" w:rsidP="00E552D2">
      <w:pPr>
        <w:pStyle w:val="Chapter"/>
        <w:spacing w:after="160" w:line="360" w:lineRule="auto"/>
      </w:pPr>
      <w:r>
        <w:rPr>
          <w:noProof/>
        </w:rPr>
        <w:lastRenderedPageBreak/>
        <w:drawing>
          <wp:anchor distT="0" distB="0" distL="114300" distR="114300" simplePos="0" relativeHeight="252073984" behindDoc="1" locked="0" layoutInCell="1" allowOverlap="1" wp14:anchorId="23002DEF" wp14:editId="6AF872B4">
            <wp:simplePos x="0" y="0"/>
            <wp:positionH relativeFrom="column">
              <wp:posOffset>-914400</wp:posOffset>
            </wp:positionH>
            <wp:positionV relativeFrom="paragraph">
              <wp:posOffset>-1081828</wp:posOffset>
            </wp:positionV>
            <wp:extent cx="7788910" cy="3784600"/>
            <wp:effectExtent l="0" t="0" r="2540" b="6350"/>
            <wp:wrapNone/>
            <wp:docPr id="732" name="Picture 732" descr="An black man and a woman, both middle-aged, laughing open mouthed side byt side while holding onto their bicycle handle b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Stock-92256867.jpg"/>
                    <pic:cNvPicPr/>
                  </pic:nvPicPr>
                  <pic:blipFill rotWithShape="1">
                    <a:blip r:embed="rId11" cstate="print">
                      <a:extLst>
                        <a:ext uri="{28A0092B-C50C-407E-A947-70E740481C1C}">
                          <a14:useLocalDpi xmlns:a14="http://schemas.microsoft.com/office/drawing/2010/main" val="0"/>
                        </a:ext>
                      </a:extLst>
                    </a:blip>
                    <a:srcRect b="27116"/>
                    <a:stretch/>
                  </pic:blipFill>
                  <pic:spPr bwMode="auto">
                    <a:xfrm>
                      <a:off x="0" y="0"/>
                      <a:ext cx="7788910" cy="3784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03E20B" w14:textId="77777777" w:rsidR="001F2469" w:rsidRDefault="001F2469" w:rsidP="00E552D2">
      <w:pPr>
        <w:pStyle w:val="Chapter"/>
        <w:spacing w:after="160" w:line="360" w:lineRule="auto"/>
      </w:pPr>
    </w:p>
    <w:p w14:paraId="22376E8D" w14:textId="77777777" w:rsidR="001F2469" w:rsidRDefault="001F2469" w:rsidP="00E552D2">
      <w:pPr>
        <w:pStyle w:val="Chapter"/>
        <w:spacing w:after="160" w:line="360" w:lineRule="auto"/>
      </w:pPr>
    </w:p>
    <w:p w14:paraId="2CBEA056" w14:textId="77777777" w:rsidR="00ED5287" w:rsidRPr="00ED5287" w:rsidRDefault="00ED5287" w:rsidP="00E552D2">
      <w:pPr>
        <w:pStyle w:val="Chapter"/>
        <w:spacing w:after="160" w:line="360" w:lineRule="auto"/>
        <w:rPr>
          <w:sz w:val="20"/>
          <w:szCs w:val="20"/>
        </w:rPr>
      </w:pPr>
    </w:p>
    <w:p w14:paraId="250FB776" w14:textId="7409BE0C" w:rsidR="00492AB1" w:rsidRPr="00347334" w:rsidRDefault="00492AB1" w:rsidP="00E552D2">
      <w:pPr>
        <w:pStyle w:val="Chapter"/>
        <w:spacing w:after="160" w:line="360" w:lineRule="auto"/>
        <w:rPr>
          <w:b w:val="0"/>
        </w:rPr>
      </w:pPr>
      <w:r w:rsidRPr="00347334">
        <w:t>Wellness and Chronic Disease</w:t>
      </w:r>
    </w:p>
    <w:p w14:paraId="66FDFB63" w14:textId="08942F44" w:rsidR="00492AB1" w:rsidRPr="00ED5287" w:rsidRDefault="00492AB1" w:rsidP="00E552D2">
      <w:pPr>
        <w:spacing w:line="360" w:lineRule="auto"/>
        <w:ind w:right="-360"/>
        <w:rPr>
          <w:sz w:val="24"/>
          <w:szCs w:val="24"/>
        </w:rPr>
      </w:pPr>
      <w:r w:rsidRPr="00ED5287">
        <w:rPr>
          <w:sz w:val="24"/>
          <w:szCs w:val="24"/>
        </w:rPr>
        <w:t>This chapter provides information on wellness and chronic disease in Massachusetts</w:t>
      </w:r>
      <w:r w:rsidR="00D87BCB" w:rsidRPr="00ED5287">
        <w:rPr>
          <w:sz w:val="24"/>
          <w:szCs w:val="24"/>
        </w:rPr>
        <w:t>,</w:t>
      </w:r>
      <w:r w:rsidRPr="00ED5287">
        <w:rPr>
          <w:sz w:val="24"/>
          <w:szCs w:val="24"/>
        </w:rPr>
        <w:t xml:space="preserve"> related trends, disparities</w:t>
      </w:r>
      <w:r w:rsidR="00D87BCB" w:rsidRPr="00ED5287">
        <w:rPr>
          <w:sz w:val="24"/>
          <w:szCs w:val="24"/>
        </w:rPr>
        <w:t>,</w:t>
      </w:r>
      <w:r w:rsidRPr="00ED5287">
        <w:rPr>
          <w:sz w:val="24"/>
          <w:szCs w:val="24"/>
        </w:rPr>
        <w:t xml:space="preserve"> and resources. It includes the following topics:</w:t>
      </w:r>
    </w:p>
    <w:p w14:paraId="5EA0EFF9" w14:textId="77777777" w:rsidR="00B829F5" w:rsidRPr="00ED5287" w:rsidRDefault="00B829F5" w:rsidP="00E552D2">
      <w:pPr>
        <w:pStyle w:val="ListParagraph"/>
        <w:numPr>
          <w:ilvl w:val="0"/>
          <w:numId w:val="121"/>
        </w:numPr>
        <w:spacing w:line="360" w:lineRule="auto"/>
        <w:ind w:right="-360"/>
        <w:rPr>
          <w:rFonts w:eastAsia="Calibri"/>
          <w:sz w:val="24"/>
          <w:szCs w:val="24"/>
        </w:rPr>
        <w:sectPr w:rsidR="00B829F5" w:rsidRPr="00ED5287" w:rsidSect="00EF0801">
          <w:endnotePr>
            <w:numFmt w:val="decimal"/>
          </w:endnotePr>
          <w:type w:val="continuous"/>
          <w:pgSz w:w="12240" w:h="15840"/>
          <w:pgMar w:top="1440" w:right="1440" w:bottom="1440" w:left="1440" w:header="720" w:footer="720" w:gutter="0"/>
          <w:cols w:space="720"/>
          <w:docGrid w:linePitch="360"/>
        </w:sectPr>
      </w:pPr>
    </w:p>
    <w:p w14:paraId="38A1F6C8" w14:textId="19A4B42D"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lastRenderedPageBreak/>
        <w:t>Nutrition</w:t>
      </w:r>
    </w:p>
    <w:p w14:paraId="38852D20" w14:textId="689CE85F"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Physical Activity</w:t>
      </w:r>
    </w:p>
    <w:p w14:paraId="6820EFA0" w14:textId="0A4367E6"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Tobacco Use and Exposure</w:t>
      </w:r>
    </w:p>
    <w:p w14:paraId="7EAAC598" w14:textId="2CE06393" w:rsidR="00154BBF" w:rsidRPr="00ED5287" w:rsidRDefault="00154BBF" w:rsidP="00E552D2">
      <w:pPr>
        <w:pStyle w:val="ListParagraph"/>
        <w:numPr>
          <w:ilvl w:val="0"/>
          <w:numId w:val="121"/>
        </w:numPr>
        <w:spacing w:line="240" w:lineRule="auto"/>
        <w:ind w:right="-360"/>
        <w:rPr>
          <w:sz w:val="24"/>
          <w:szCs w:val="24"/>
        </w:rPr>
      </w:pPr>
      <w:r w:rsidRPr="00ED5287">
        <w:rPr>
          <w:rFonts w:eastAsia="Calibri"/>
          <w:sz w:val="24"/>
          <w:szCs w:val="24"/>
        </w:rPr>
        <w:t>Smoking Cessation</w:t>
      </w:r>
    </w:p>
    <w:p w14:paraId="5295C682" w14:textId="6C42240A"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Obesity</w:t>
      </w:r>
    </w:p>
    <w:p w14:paraId="56ED4CF4" w14:textId="12750D0D"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Cardiovascular Disease</w:t>
      </w:r>
    </w:p>
    <w:p w14:paraId="68AE23C6" w14:textId="77777777"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 xml:space="preserve">Diabetes </w:t>
      </w:r>
    </w:p>
    <w:p w14:paraId="7B9F5BC9" w14:textId="27C370AD"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Chronic Lower Respiratory Disease</w:t>
      </w:r>
    </w:p>
    <w:p w14:paraId="2B912DB3" w14:textId="0361A33B" w:rsidR="00492AB1" w:rsidRPr="00ED5287" w:rsidRDefault="00492AB1" w:rsidP="00E552D2">
      <w:pPr>
        <w:pStyle w:val="ListParagraph"/>
        <w:numPr>
          <w:ilvl w:val="0"/>
          <w:numId w:val="121"/>
        </w:numPr>
        <w:spacing w:line="240" w:lineRule="auto"/>
        <w:ind w:right="-360"/>
        <w:rPr>
          <w:sz w:val="24"/>
          <w:szCs w:val="24"/>
        </w:rPr>
      </w:pPr>
      <w:r w:rsidRPr="00ED5287">
        <w:rPr>
          <w:rFonts w:eastAsia="Calibri"/>
          <w:sz w:val="24"/>
          <w:szCs w:val="24"/>
        </w:rPr>
        <w:t xml:space="preserve">Cancer </w:t>
      </w:r>
    </w:p>
    <w:p w14:paraId="7B92F348" w14:textId="4FA8FDE5" w:rsidR="00492AB1" w:rsidRPr="00ED5287" w:rsidRDefault="00492AB1" w:rsidP="00E552D2">
      <w:pPr>
        <w:pStyle w:val="ListParagraph"/>
        <w:numPr>
          <w:ilvl w:val="0"/>
          <w:numId w:val="4"/>
        </w:numPr>
        <w:spacing w:line="240" w:lineRule="auto"/>
        <w:ind w:right="0"/>
        <w:rPr>
          <w:sz w:val="24"/>
          <w:szCs w:val="24"/>
        </w:rPr>
      </w:pPr>
      <w:r w:rsidRPr="00ED5287">
        <w:rPr>
          <w:rFonts w:eastAsia="Calibri"/>
          <w:sz w:val="24"/>
          <w:szCs w:val="24"/>
        </w:rPr>
        <w:t>Selec</w:t>
      </w:r>
      <w:r w:rsidR="00F77140" w:rsidRPr="00ED5287">
        <w:rPr>
          <w:rFonts w:eastAsia="Calibri"/>
          <w:sz w:val="24"/>
          <w:szCs w:val="24"/>
        </w:rPr>
        <w:t>ted R</w:t>
      </w:r>
      <w:r w:rsidRPr="00ED5287">
        <w:rPr>
          <w:rFonts w:eastAsia="Calibri"/>
          <w:sz w:val="24"/>
          <w:szCs w:val="24"/>
        </w:rPr>
        <w:t xml:space="preserve">esources, </w:t>
      </w:r>
      <w:r w:rsidR="00F77140" w:rsidRPr="00ED5287">
        <w:rPr>
          <w:rFonts w:eastAsia="Calibri"/>
          <w:sz w:val="24"/>
          <w:szCs w:val="24"/>
        </w:rPr>
        <w:t>P</w:t>
      </w:r>
      <w:r w:rsidRPr="00ED5287">
        <w:rPr>
          <w:rFonts w:eastAsia="Calibri"/>
          <w:sz w:val="24"/>
          <w:szCs w:val="24"/>
        </w:rPr>
        <w:t xml:space="preserve">rograms, and </w:t>
      </w:r>
      <w:r w:rsidR="00F77140" w:rsidRPr="00ED5287">
        <w:rPr>
          <w:rFonts w:eastAsia="Calibri"/>
          <w:sz w:val="24"/>
          <w:szCs w:val="24"/>
        </w:rPr>
        <w:t>S</w:t>
      </w:r>
      <w:r w:rsidRPr="00ED5287">
        <w:rPr>
          <w:rFonts w:eastAsia="Calibri"/>
          <w:sz w:val="24"/>
          <w:szCs w:val="24"/>
        </w:rPr>
        <w:t>ervices</w:t>
      </w:r>
    </w:p>
    <w:p w14:paraId="5D649262" w14:textId="77777777" w:rsidR="00B829F5" w:rsidRDefault="00B829F5" w:rsidP="00ED5287">
      <w:pPr>
        <w:spacing w:line="240" w:lineRule="auto"/>
        <w:ind w:left="0" w:right="0"/>
        <w:sectPr w:rsidR="00B829F5" w:rsidSect="00FF7D27">
          <w:endnotePr>
            <w:numFmt w:val="decimal"/>
          </w:endnotePr>
          <w:type w:val="continuous"/>
          <w:pgSz w:w="12240" w:h="15840"/>
          <w:pgMar w:top="1440" w:right="1440" w:bottom="1440" w:left="1440" w:header="720" w:footer="720" w:gutter="0"/>
          <w:cols w:space="720"/>
          <w:docGrid w:linePitch="360"/>
        </w:sectPr>
      </w:pPr>
    </w:p>
    <w:p w14:paraId="4F8C0764" w14:textId="506911F5" w:rsidR="00492AB1" w:rsidRPr="009D758F" w:rsidRDefault="00ED5287" w:rsidP="00ED5287">
      <w:pPr>
        <w:pStyle w:val="Heading1"/>
        <w:spacing w:line="240" w:lineRule="auto"/>
        <w:ind w:left="0"/>
      </w:pPr>
      <w:r w:rsidRPr="00ED5287">
        <w:rPr>
          <w:sz w:val="24"/>
          <w:szCs w:val="24"/>
        </w:rPr>
        <w:lastRenderedPageBreak/>
        <mc:AlternateContent>
          <mc:Choice Requires="wps">
            <w:drawing>
              <wp:anchor distT="0" distB="0" distL="114300" distR="114300" simplePos="0" relativeHeight="252029952" behindDoc="0" locked="0" layoutInCell="1" allowOverlap="1" wp14:anchorId="7AD0876E" wp14:editId="596B99C5">
                <wp:simplePos x="0" y="0"/>
                <wp:positionH relativeFrom="rightMargin">
                  <wp:posOffset>-6661150</wp:posOffset>
                </wp:positionH>
                <wp:positionV relativeFrom="margin">
                  <wp:posOffset>-646430</wp:posOffset>
                </wp:positionV>
                <wp:extent cx="7094220" cy="6085205"/>
                <wp:effectExtent l="0" t="0" r="0" b="0"/>
                <wp:wrapSquare wrapText="bothSides"/>
                <wp:docPr id="6" name="Rectangle 6"/>
                <wp:cNvGraphicFramePr/>
                <a:graphic xmlns:a="http://schemas.openxmlformats.org/drawingml/2006/main">
                  <a:graphicData uri="http://schemas.microsoft.com/office/word/2010/wordprocessingShape">
                    <wps:wsp>
                      <wps:cNvSpPr/>
                      <wps:spPr>
                        <a:xfrm>
                          <a:off x="0" y="0"/>
                          <a:ext cx="7094220" cy="608520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C3441E" w14:textId="787CA584" w:rsidR="0079760B" w:rsidRPr="00ED5287" w:rsidRDefault="0079760B" w:rsidP="00ED5287">
                            <w:pPr>
                              <w:spacing w:line="360" w:lineRule="auto"/>
                              <w:ind w:left="0" w:right="40"/>
                              <w:jc w:val="left"/>
                              <w:rPr>
                                <w:b/>
                                <w:color w:val="203864"/>
                                <w:sz w:val="24"/>
                                <w:szCs w:val="24"/>
                              </w:rPr>
                            </w:pPr>
                            <w:r w:rsidRPr="00ED5287">
                              <w:rPr>
                                <w:b/>
                                <w:color w:val="203864"/>
                                <w:sz w:val="24"/>
                                <w:szCs w:val="24"/>
                              </w:rPr>
                              <w:t>Chapter Data Highlights</w:t>
                            </w:r>
                          </w:p>
                          <w:p w14:paraId="1618E16F" w14:textId="75D68EA8"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Nearly 60% of Massachusetts adults are overweight or obese</w:t>
                            </w:r>
                          </w:p>
                          <w:p w14:paraId="4BEC7B38" w14:textId="18B8C901"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Cancer is the leading cause of death in Massachusetts</w:t>
                            </w:r>
                          </w:p>
                          <w:p w14:paraId="64EF0177" w14:textId="6D585FC2"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Smoking is the leading cause of preventable death in Massachusetts</w:t>
                            </w:r>
                          </w:p>
                          <w:p w14:paraId="3F0BF809" w14:textId="002CA253"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rFonts w:ascii="Calibri" w:hAnsi="Calibri"/>
                                <w:color w:val="000000" w:themeColor="text1"/>
                                <w:sz w:val="24"/>
                                <w:szCs w:val="24"/>
                              </w:rPr>
                              <w:t>Massachusetts spent $30.9 billion on chronic disease in 2010 alone</w:t>
                            </w:r>
                          </w:p>
                          <w:p w14:paraId="17F9A72F" w14:textId="37E5E99E"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Only 1 in 5 Massachusetts adults consume the recommended daily amount of fruit and vegetables</w:t>
                            </w:r>
                          </w:p>
                          <w:p w14:paraId="667A7C0D" w14:textId="48AAC104"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3 out of 4 Massachusetts smokers (73.4%) have less than a high school degree, live in poverty, struggle with poor mental health, or are on public health insurance</w:t>
                            </w:r>
                          </w:p>
                          <w:p w14:paraId="03F5FD6E" w14:textId="7AAFDBCC"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rFonts w:ascii="Calibri" w:hAnsi="Calibri"/>
                                <w:color w:val="000000" w:themeColor="text1"/>
                                <w:sz w:val="24"/>
                                <w:szCs w:val="24"/>
                              </w:rPr>
                              <w:t>Those without a high school degree are 5 times more likely to have a myocardial infarction than those with a college degree or higher</w:t>
                            </w:r>
                          </w:p>
                          <w:p w14:paraId="0F081E5C" w14:textId="4CEE393F"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rFonts w:ascii="Calibri" w:hAnsi="Calibri"/>
                                <w:color w:val="000000" w:themeColor="text1"/>
                                <w:sz w:val="24"/>
                                <w:szCs w:val="24"/>
                              </w:rPr>
                              <w:t>Black non-Hispanics had nearly 5 times the rate of diabetes-related emergency department visits compared to white, non-Hispanics</w:t>
                            </w:r>
                          </w:p>
                          <w:p w14:paraId="45816825" w14:textId="39F993A5"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rFonts w:ascii="Calibri" w:hAnsi="Calibri" w:cs="Times New Roman"/>
                                <w:color w:val="000000" w:themeColor="text1"/>
                                <w:sz w:val="24"/>
                                <w:szCs w:val="24"/>
                              </w:rPr>
                              <w:t>Although Black non-Hispanic women</w:t>
                            </w:r>
                            <w:r w:rsidRPr="00ED5287">
                              <w:rPr>
                                <w:rFonts w:ascii="Calibri" w:hAnsi="Calibri"/>
                                <w:color w:val="000000" w:themeColor="text1"/>
                                <w:sz w:val="24"/>
                                <w:szCs w:val="24"/>
                              </w:rPr>
                              <w:t xml:space="preserve"> are less likely to get breast cancer than their White non-Hispanic counterparts, they are the more likely to die from it</w:t>
                            </w:r>
                          </w:p>
                          <w:p w14:paraId="10851A2D" w14:textId="10A6D5A5"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s="Times New Roman"/>
                                <w:color w:val="000000" w:themeColor="text1"/>
                                <w:sz w:val="24"/>
                                <w:szCs w:val="24"/>
                              </w:rPr>
                            </w:pPr>
                            <w:r w:rsidRPr="00ED5287">
                              <w:rPr>
                                <w:rFonts w:ascii="Calibri" w:hAnsi="Calibri" w:cs="Times New Roman"/>
                                <w:color w:val="000000" w:themeColor="text1"/>
                                <w:sz w:val="24"/>
                                <w:szCs w:val="24"/>
                              </w:rPr>
                              <w:t>Prostate cancer mortality among Black non-Hispanic men is nearly two times higher than their White counterparts</w:t>
                            </w:r>
                          </w:p>
                          <w:p w14:paraId="5D49F5CE" w14:textId="625BE328"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color w:val="000000" w:themeColor="text1"/>
                                <w:sz w:val="24"/>
                                <w:szCs w:val="24"/>
                              </w:rPr>
                              <w:t>1 in 4 Massachusetts high school students have recently used an electronic nicotine delivery product (E-NDP), such as e-cigarettes, more than all other tobacco products combined</w:t>
                            </w:r>
                          </w:p>
                          <w:p w14:paraId="7967C848" w14:textId="77777777" w:rsidR="0079760B" w:rsidRPr="00E433C9" w:rsidRDefault="0079760B" w:rsidP="00492A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margin-left:-524.5pt;margin-top:-50.9pt;width:558.6pt;height:479.15pt;z-index:2520299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" fillcolor="#d9e2f3 [660]" stroked="f" strokeweight="1pt">
                <v:textbox>
                  <w:txbxContent>
                    <w:p w14:paraId="18C3441E" w14:textId="787CA584" w:rsidR="0079760B" w:rsidRPr="00ED5287" w:rsidRDefault="0079760B" w:rsidP="00ED5287">
                      <w:pPr>
                        <w:spacing w:line="360" w:lineRule="auto"/>
                        <w:ind w:left="0" w:right="40"/>
                        <w:jc w:val="left"/>
                        <w:rPr>
                          <w:b/>
                          <w:color w:val="203864"/>
                          <w:sz w:val="24"/>
                          <w:szCs w:val="24"/>
                        </w:rPr>
                      </w:pPr>
                      <w:r w:rsidRPr="00ED5287">
                        <w:rPr>
                          <w:b/>
                          <w:color w:val="203864"/>
                          <w:sz w:val="24"/>
                          <w:szCs w:val="24"/>
                        </w:rPr>
                        <w:t>Chapter Data Highlights</w:t>
                      </w:r>
                    </w:p>
                    <w:p w14:paraId="1618E16F" w14:textId="75D68EA8"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Nearly 60% of Massachusetts adults are overweight or obese</w:t>
                      </w:r>
                    </w:p>
                    <w:p w14:paraId="4BEC7B38" w14:textId="18B8C901"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Cancer is the leading cause of death in Massachusetts</w:t>
                      </w:r>
                    </w:p>
                    <w:p w14:paraId="64EF0177" w14:textId="6D585FC2"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Smoking is the leading cause of preventable death in Massachusetts</w:t>
                      </w:r>
                    </w:p>
                    <w:p w14:paraId="3F0BF809" w14:textId="002CA253"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rFonts w:ascii="Calibri" w:hAnsi="Calibri"/>
                          <w:color w:val="000000" w:themeColor="text1"/>
                          <w:sz w:val="24"/>
                          <w:szCs w:val="24"/>
                        </w:rPr>
                        <w:t>Massachusetts spent $30.9 billion on chronic disease in 2010 alone</w:t>
                      </w:r>
                    </w:p>
                    <w:p w14:paraId="17F9A72F" w14:textId="37E5E99E"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Only 1 in 5 Massachusetts adults consume the recommended daily amount of fruit and vegetables</w:t>
                      </w:r>
                    </w:p>
                    <w:p w14:paraId="667A7C0D" w14:textId="48AAC104" w:rsidR="0079760B" w:rsidRPr="00ED5287" w:rsidRDefault="0079760B" w:rsidP="00ED5287">
                      <w:pPr>
                        <w:pStyle w:val="ListParagraph"/>
                        <w:numPr>
                          <w:ilvl w:val="0"/>
                          <w:numId w:val="120"/>
                        </w:numPr>
                        <w:spacing w:before="0" w:after="60" w:line="360" w:lineRule="auto"/>
                        <w:ind w:left="450" w:right="0"/>
                        <w:contextualSpacing w:val="0"/>
                        <w:jc w:val="left"/>
                        <w:rPr>
                          <w:color w:val="000000" w:themeColor="text1"/>
                          <w:sz w:val="24"/>
                          <w:szCs w:val="24"/>
                        </w:rPr>
                      </w:pPr>
                      <w:r w:rsidRPr="00ED5287">
                        <w:rPr>
                          <w:color w:val="000000" w:themeColor="text1"/>
                          <w:sz w:val="24"/>
                          <w:szCs w:val="24"/>
                        </w:rPr>
                        <w:t>3 out of 4 Massachusetts smokers (73.4%) have less than a high school degree, live in poverty, struggle with poor mental health, or are on public health insurance</w:t>
                      </w:r>
                    </w:p>
                    <w:p w14:paraId="03F5FD6E" w14:textId="7AAFDBCC"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rFonts w:ascii="Calibri" w:hAnsi="Calibri"/>
                          <w:color w:val="000000" w:themeColor="text1"/>
                          <w:sz w:val="24"/>
                          <w:szCs w:val="24"/>
                        </w:rPr>
                        <w:t>Those without a high school degree are 5 times more likely to have a myocardial infarction than those with a college degree or higher</w:t>
                      </w:r>
                    </w:p>
                    <w:p w14:paraId="0F081E5C" w14:textId="4CEE393F"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rFonts w:ascii="Calibri" w:hAnsi="Calibri"/>
                          <w:color w:val="000000" w:themeColor="text1"/>
                          <w:sz w:val="24"/>
                          <w:szCs w:val="24"/>
                        </w:rPr>
                        <w:t>Black non-Hispanics had nearly 5 times the rate of diabetes-related emergency department visits compared to white, non-Hispanics</w:t>
                      </w:r>
                    </w:p>
                    <w:p w14:paraId="45816825" w14:textId="39F993A5"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rFonts w:ascii="Calibri" w:hAnsi="Calibri" w:cs="Times New Roman"/>
                          <w:color w:val="000000" w:themeColor="text1"/>
                          <w:sz w:val="24"/>
                          <w:szCs w:val="24"/>
                        </w:rPr>
                        <w:t>Although Black non-Hispanic women</w:t>
                      </w:r>
                      <w:r w:rsidRPr="00ED5287">
                        <w:rPr>
                          <w:rFonts w:ascii="Calibri" w:hAnsi="Calibri"/>
                          <w:color w:val="000000" w:themeColor="text1"/>
                          <w:sz w:val="24"/>
                          <w:szCs w:val="24"/>
                        </w:rPr>
                        <w:t xml:space="preserve"> are less likely to get breast cancer than their White non-Hispanic counterparts, they are the more likely to die from it</w:t>
                      </w:r>
                    </w:p>
                    <w:p w14:paraId="10851A2D" w14:textId="10A6D5A5"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s="Times New Roman"/>
                          <w:color w:val="000000" w:themeColor="text1"/>
                          <w:sz w:val="24"/>
                          <w:szCs w:val="24"/>
                        </w:rPr>
                      </w:pPr>
                      <w:r w:rsidRPr="00ED5287">
                        <w:rPr>
                          <w:rFonts w:ascii="Calibri" w:hAnsi="Calibri" w:cs="Times New Roman"/>
                          <w:color w:val="000000" w:themeColor="text1"/>
                          <w:sz w:val="24"/>
                          <w:szCs w:val="24"/>
                        </w:rPr>
                        <w:t>Prostate cancer mortality among Black non-Hispanic men is nearly two times higher than their White counterparts</w:t>
                      </w:r>
                    </w:p>
                    <w:p w14:paraId="5D49F5CE" w14:textId="625BE328" w:rsidR="0079760B" w:rsidRPr="00ED5287" w:rsidRDefault="0079760B" w:rsidP="00ED5287">
                      <w:pPr>
                        <w:pStyle w:val="ListParagraph"/>
                        <w:numPr>
                          <w:ilvl w:val="0"/>
                          <w:numId w:val="120"/>
                        </w:numPr>
                        <w:spacing w:before="0" w:after="60" w:line="360" w:lineRule="auto"/>
                        <w:ind w:left="450" w:right="0"/>
                        <w:contextualSpacing w:val="0"/>
                        <w:jc w:val="left"/>
                        <w:rPr>
                          <w:rFonts w:ascii="Calibri" w:hAnsi="Calibri"/>
                          <w:color w:val="000000" w:themeColor="text1"/>
                          <w:sz w:val="24"/>
                          <w:szCs w:val="24"/>
                        </w:rPr>
                      </w:pPr>
                      <w:r w:rsidRPr="00ED5287">
                        <w:rPr>
                          <w:color w:val="000000" w:themeColor="text1"/>
                          <w:sz w:val="24"/>
                          <w:szCs w:val="24"/>
                        </w:rPr>
                        <w:t>1 in 4 Massachusetts high school students have recently used an electronic nicotine delivery product (E-NDP), such as e-cigarettes, more than all other tobacco products combined</w:t>
                      </w:r>
                    </w:p>
                    <w:p w14:paraId="7967C848" w14:textId="77777777" w:rsidR="0079760B" w:rsidRPr="00E433C9" w:rsidRDefault="0079760B" w:rsidP="00492AB1"/>
                  </w:txbxContent>
                </v:textbox>
                <w10:wrap type="square" anchorx="margin" anchory="margin"/>
              </v:rect>
            </w:pict>
          </mc:Fallback>
        </mc:AlternateContent>
      </w:r>
      <w:r w:rsidR="00492AB1" w:rsidRPr="009D758F">
        <w:t>Overview</w:t>
      </w:r>
    </w:p>
    <w:p w14:paraId="4A047972" w14:textId="2F2B332E" w:rsidR="00492AB1" w:rsidRPr="00FF7D27" w:rsidRDefault="00492AB1" w:rsidP="00E552D2">
      <w:pPr>
        <w:spacing w:line="360" w:lineRule="auto"/>
        <w:ind w:right="-90"/>
        <w:rPr>
          <w:sz w:val="24"/>
          <w:szCs w:val="24"/>
        </w:rPr>
      </w:pPr>
      <w:r w:rsidRPr="00FF7D27">
        <w:rPr>
          <w:sz w:val="24"/>
          <w:szCs w:val="24"/>
        </w:rPr>
        <w:t>Prevention and treatment of chronic disease is a public health priority. Nutrition, physical activity, and tobacco use and exposure are three key risk factors that directly impact cancer, diabetes, chronic lower respiratory disease, and cardiovascular disease rates. These chronic conditions in turn contribute to 56% of all mortality in Massachusetts and over 53% of all health</w:t>
      </w:r>
      <w:r w:rsidR="00F77140" w:rsidRPr="00FF7D27">
        <w:rPr>
          <w:sz w:val="24"/>
          <w:szCs w:val="24"/>
        </w:rPr>
        <w:t xml:space="preserve"> </w:t>
      </w:r>
      <w:r w:rsidRPr="00FF7D27">
        <w:rPr>
          <w:sz w:val="24"/>
          <w:szCs w:val="24"/>
        </w:rPr>
        <w:t>care expenditures ($30.9 billion a year).</w:t>
      </w:r>
      <w:r w:rsidRPr="00FF7D27">
        <w:rPr>
          <w:rStyle w:val="EndnoteReference"/>
          <w:sz w:val="24"/>
          <w:szCs w:val="24"/>
        </w:rPr>
        <w:endnoteReference w:id="2"/>
      </w:r>
      <w:r w:rsidRPr="00FF7D27">
        <w:rPr>
          <w:sz w:val="24"/>
          <w:szCs w:val="24"/>
        </w:rPr>
        <w:t xml:space="preserve"> This chapter provides an overview of the burden and distribution of chronic diseases and their risk factors across the Commonwealth. </w:t>
      </w:r>
    </w:p>
    <w:p w14:paraId="28B3D665" w14:textId="6B268FC1" w:rsidR="00492AB1" w:rsidRPr="00FF7D27" w:rsidRDefault="00492AB1" w:rsidP="00E552D2">
      <w:pPr>
        <w:tabs>
          <w:tab w:val="left" w:pos="9000"/>
        </w:tabs>
        <w:spacing w:line="360" w:lineRule="auto"/>
        <w:ind w:right="-90"/>
        <w:rPr>
          <w:sz w:val="24"/>
          <w:szCs w:val="24"/>
        </w:rPr>
      </w:pPr>
      <w:r w:rsidRPr="00FF7D27">
        <w:rPr>
          <w:sz w:val="24"/>
          <w:szCs w:val="24"/>
        </w:rPr>
        <w:lastRenderedPageBreak/>
        <w:t xml:space="preserve">Although the three leading risk factors are modifiable, the conditions in which people live, learn, work, and play do not offer equal access or opportunity to make this possible. </w:t>
      </w:r>
      <w:r w:rsidRPr="00FF7D27">
        <w:rPr>
          <w:rFonts w:ascii="Calibri" w:eastAsia="Calibri" w:hAnsi="Calibri" w:cs="Calibri"/>
          <w:sz w:val="24"/>
          <w:szCs w:val="24"/>
        </w:rPr>
        <w:t xml:space="preserve">For example, </w:t>
      </w:r>
      <w:r w:rsidRPr="00FF7D27">
        <w:rPr>
          <w:rFonts w:eastAsia="Calibri"/>
          <w:sz w:val="24"/>
          <w:szCs w:val="24"/>
        </w:rPr>
        <w:t xml:space="preserve">a history of policies rooted in </w:t>
      </w:r>
      <w:r w:rsidRPr="00FF7D27">
        <w:rPr>
          <w:rFonts w:ascii="Calibri" w:eastAsia="Calibri" w:hAnsi="Calibri" w:cs="Calibri"/>
          <w:sz w:val="24"/>
          <w:szCs w:val="24"/>
        </w:rPr>
        <w:t xml:space="preserve">structural racism </w:t>
      </w:r>
      <w:r w:rsidRPr="00FF7D27">
        <w:rPr>
          <w:rFonts w:eastAsia="Calibri"/>
          <w:sz w:val="24"/>
          <w:szCs w:val="24"/>
        </w:rPr>
        <w:t xml:space="preserve">have resulted in environments in which there are inequities in access to healthy foods, safe spaces for physical activity, walkable communities, quality education, housing, </w:t>
      </w:r>
      <w:r w:rsidRPr="00FF7D27">
        <w:rPr>
          <w:rFonts w:ascii="Calibri" w:eastAsia="Calibri" w:hAnsi="Calibri" w:cs="Calibri"/>
          <w:sz w:val="24"/>
          <w:szCs w:val="24"/>
        </w:rPr>
        <w:t>employment, and health care services.</w:t>
      </w:r>
      <w:r w:rsidRPr="00FF7D27">
        <w:rPr>
          <w:rStyle w:val="EndnoteReference"/>
          <w:rFonts w:ascii="Calibri" w:eastAsia="Calibri" w:hAnsi="Calibri" w:cs="Calibri"/>
          <w:sz w:val="24"/>
          <w:szCs w:val="24"/>
        </w:rPr>
        <w:endnoteReference w:id="3"/>
      </w:r>
      <w:r w:rsidRPr="00FF7D27">
        <w:rPr>
          <w:rFonts w:ascii="Calibri" w:eastAsia="Calibri" w:hAnsi="Calibri" w:cs="Calibri"/>
          <w:sz w:val="24"/>
          <w:szCs w:val="24"/>
          <w:vertAlign w:val="superscript"/>
        </w:rPr>
        <w:t>,</w:t>
      </w:r>
      <w:r w:rsidRPr="00FF7D27">
        <w:rPr>
          <w:sz w:val="24"/>
          <w:szCs w:val="24"/>
          <w:vertAlign w:val="superscript"/>
        </w:rPr>
        <w:endnoteReference w:id="4"/>
      </w:r>
      <w:r w:rsidRPr="00FF7D27">
        <w:rPr>
          <w:rStyle w:val="EndnoteReference"/>
          <w:rFonts w:ascii="Calibri" w:eastAsia="Calibri" w:hAnsi="Calibri" w:cs="Calibri"/>
          <w:sz w:val="24"/>
          <w:szCs w:val="24"/>
        </w:rPr>
        <w:t>,</w:t>
      </w:r>
      <w:r w:rsidRPr="00FF7D27">
        <w:rPr>
          <w:rStyle w:val="EndnoteReference"/>
          <w:rFonts w:ascii="Calibri" w:eastAsia="Calibri" w:hAnsi="Calibri" w:cs="Calibri"/>
          <w:sz w:val="24"/>
          <w:szCs w:val="24"/>
        </w:rPr>
        <w:endnoteReference w:id="5"/>
      </w:r>
      <w:r w:rsidRPr="00FF7D27">
        <w:rPr>
          <w:rFonts w:ascii="Calibri" w:eastAsia="Calibri" w:hAnsi="Calibri" w:cs="Calibri"/>
          <w:sz w:val="24"/>
          <w:szCs w:val="24"/>
          <w:vertAlign w:val="superscript"/>
        </w:rPr>
        <w:t>,</w:t>
      </w:r>
      <w:r w:rsidRPr="00FF7D27">
        <w:rPr>
          <w:rStyle w:val="EndnoteReference"/>
          <w:rFonts w:ascii="Calibri" w:eastAsia="Calibri" w:hAnsi="Calibri" w:cs="Calibri"/>
          <w:sz w:val="24"/>
          <w:szCs w:val="24"/>
        </w:rPr>
        <w:endnoteReference w:id="6"/>
      </w:r>
      <w:r w:rsidRPr="00FF7D27">
        <w:rPr>
          <w:rFonts w:ascii="Calibri" w:eastAsia="Calibri" w:hAnsi="Calibri" w:cs="Calibri"/>
          <w:sz w:val="24"/>
          <w:szCs w:val="24"/>
          <w:vertAlign w:val="superscript"/>
        </w:rPr>
        <w:t xml:space="preserve"> </w:t>
      </w:r>
      <w:r w:rsidRPr="00FF7D27">
        <w:rPr>
          <w:rFonts w:ascii="Calibri" w:eastAsia="Calibri" w:hAnsi="Calibri" w:cs="Calibri"/>
          <w:sz w:val="24"/>
          <w:szCs w:val="24"/>
        </w:rPr>
        <w:t xml:space="preserve"> The health implications of this are evident in the fact that Black and Hispanic residents of Massachusetts are consistently and disproportionately impacted by </w:t>
      </w:r>
      <w:r w:rsidR="00D87BCB" w:rsidRPr="00FF7D27">
        <w:rPr>
          <w:rFonts w:ascii="Calibri" w:eastAsia="Calibri" w:hAnsi="Calibri" w:cs="Calibri"/>
          <w:sz w:val="24"/>
          <w:szCs w:val="24"/>
        </w:rPr>
        <w:t xml:space="preserve">the high </w:t>
      </w:r>
      <w:r w:rsidRPr="00FF7D27">
        <w:rPr>
          <w:rFonts w:ascii="Calibri" w:eastAsia="Calibri" w:hAnsi="Calibri" w:cs="Calibri"/>
          <w:sz w:val="24"/>
          <w:szCs w:val="24"/>
        </w:rPr>
        <w:t>prevalence of all chronic disease</w:t>
      </w:r>
      <w:r w:rsidR="00D87BCB" w:rsidRPr="00FF7D27">
        <w:rPr>
          <w:rFonts w:ascii="Calibri" w:eastAsia="Calibri" w:hAnsi="Calibri" w:cs="Calibri"/>
          <w:sz w:val="24"/>
          <w:szCs w:val="24"/>
        </w:rPr>
        <w:t>s</w:t>
      </w:r>
      <w:r w:rsidRPr="00FF7D27">
        <w:rPr>
          <w:rFonts w:ascii="Calibri" w:eastAsia="Calibri" w:hAnsi="Calibri" w:cs="Calibri"/>
          <w:sz w:val="24"/>
          <w:szCs w:val="24"/>
        </w:rPr>
        <w:t xml:space="preserve">, as well as the related deaths and high acute care </w:t>
      </w:r>
      <w:r w:rsidR="00D87BCB" w:rsidRPr="00FF7D27">
        <w:rPr>
          <w:rFonts w:ascii="Calibri" w:eastAsia="Calibri" w:hAnsi="Calibri" w:cs="Calibri"/>
          <w:sz w:val="24"/>
          <w:szCs w:val="24"/>
        </w:rPr>
        <w:t xml:space="preserve">service </w:t>
      </w:r>
      <w:r w:rsidRPr="00FF7D27">
        <w:rPr>
          <w:rFonts w:ascii="Calibri" w:eastAsia="Calibri" w:hAnsi="Calibri" w:cs="Calibri"/>
          <w:sz w:val="24"/>
          <w:szCs w:val="24"/>
        </w:rPr>
        <w:t>utilization. Healthy people cannot exist in unhealthy environments.</w:t>
      </w:r>
      <w:r w:rsidRPr="00FF7D27">
        <w:rPr>
          <w:sz w:val="24"/>
          <w:szCs w:val="24"/>
        </w:rPr>
        <w:t xml:space="preserve"> Because of this, MDPH frames it</w:t>
      </w:r>
      <w:r w:rsidR="00B24A81" w:rsidRPr="00FF7D27">
        <w:rPr>
          <w:sz w:val="24"/>
          <w:szCs w:val="24"/>
        </w:rPr>
        <w:t>’</w:t>
      </w:r>
      <w:r w:rsidR="00D87BCB" w:rsidRPr="00FF7D27">
        <w:rPr>
          <w:sz w:val="24"/>
          <w:szCs w:val="24"/>
        </w:rPr>
        <w:t>s</w:t>
      </w:r>
      <w:r w:rsidR="00B24A81" w:rsidRPr="00FF7D27">
        <w:rPr>
          <w:sz w:val="24"/>
          <w:szCs w:val="24"/>
        </w:rPr>
        <w:t xml:space="preserve"> </w:t>
      </w:r>
      <w:r w:rsidRPr="00FF7D27">
        <w:rPr>
          <w:sz w:val="24"/>
          <w:szCs w:val="24"/>
        </w:rPr>
        <w:t>chronic disease prevention and wellness efforts around addressing the social determinants of health and focusing on policies that ensure that all individuals have the ability to make healthy choices.</w:t>
      </w:r>
    </w:p>
    <w:p w14:paraId="16349B37" w14:textId="0923929A" w:rsidR="00492AB1" w:rsidRPr="00FF7D27" w:rsidRDefault="00492AB1" w:rsidP="00E552D2">
      <w:pPr>
        <w:tabs>
          <w:tab w:val="left" w:pos="9000"/>
        </w:tabs>
        <w:spacing w:line="360" w:lineRule="auto"/>
        <w:ind w:right="-90"/>
        <w:jc w:val="center"/>
        <w:rPr>
          <w:b/>
          <w:sz w:val="24"/>
          <w:szCs w:val="24"/>
        </w:rPr>
      </w:pPr>
      <w:r w:rsidRPr="00FF7D27">
        <w:rPr>
          <w:b/>
          <w:sz w:val="24"/>
          <w:szCs w:val="24"/>
        </w:rPr>
        <w:t>Figure 8.1</w:t>
      </w:r>
    </w:p>
    <w:p w14:paraId="7B333B22" w14:textId="0BF2B2A5" w:rsidR="00492AB1" w:rsidRPr="00FF7D27" w:rsidRDefault="00492AB1" w:rsidP="00E552D2">
      <w:pPr>
        <w:tabs>
          <w:tab w:val="left" w:pos="9000"/>
        </w:tabs>
        <w:spacing w:line="360" w:lineRule="auto"/>
        <w:ind w:right="-90"/>
        <w:jc w:val="center"/>
        <w:rPr>
          <w:b/>
          <w:sz w:val="24"/>
          <w:szCs w:val="24"/>
        </w:rPr>
      </w:pPr>
      <w:r w:rsidRPr="00FF7D27">
        <w:rPr>
          <w:b/>
          <w:sz w:val="24"/>
          <w:szCs w:val="24"/>
        </w:rPr>
        <w:t>Upstream Health Impact</w:t>
      </w:r>
    </w:p>
    <w:p w14:paraId="7770835B" w14:textId="6E37DDBE" w:rsidR="00492AB1" w:rsidRDefault="001338F5" w:rsidP="00E552D2">
      <w:pPr>
        <w:pStyle w:val="Heading1"/>
        <w:spacing w:line="360" w:lineRule="auto"/>
        <w:jc w:val="center"/>
      </w:pPr>
      <w:r>
        <w:drawing>
          <wp:inline distT="0" distB="0" distL="0" distR="0" wp14:anchorId="7042B63C" wp14:editId="6CC476FF">
            <wp:extent cx="5943600" cy="916940"/>
            <wp:effectExtent l="0" t="0" r="0" b="0"/>
            <wp:docPr id="733" name="Picture 733" descr="An image showing four boxes in progressively lighter shades of blue in a horizontal row. The first box “Healthy Policies” has an arrow leading to the next box “Healthy Environments” which has an arrow leading to the next box “Healthy Behaviors” which has an arrow leading to the next box “Healthy People”. This implies the cause and effect framing of healthy policies leading to healthy people that frames the Division’s chronic disease prevention eff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916940"/>
                    </a:xfrm>
                    <a:prstGeom prst="rect">
                      <a:avLst/>
                    </a:prstGeom>
                  </pic:spPr>
                </pic:pic>
              </a:graphicData>
            </a:graphic>
          </wp:inline>
        </w:drawing>
      </w:r>
    </w:p>
    <w:p w14:paraId="326C2B93" w14:textId="36792060" w:rsidR="00492AB1" w:rsidRPr="00EC6BB1" w:rsidRDefault="00492AB1" w:rsidP="00E552D2">
      <w:pPr>
        <w:pStyle w:val="Heading2"/>
        <w:spacing w:line="360" w:lineRule="auto"/>
      </w:pPr>
      <w:r w:rsidRPr="00EC6BB1">
        <w:t>Nutrition</w:t>
      </w:r>
    </w:p>
    <w:p w14:paraId="433629D3" w14:textId="5FDBE3E8" w:rsidR="00492AB1" w:rsidRPr="00FF7D27" w:rsidRDefault="00C24C23" w:rsidP="00E552D2">
      <w:pPr>
        <w:spacing w:line="360" w:lineRule="auto"/>
        <w:ind w:right="-360"/>
        <w:rPr>
          <w:rFonts w:ascii="Calibri" w:eastAsia="Calibri" w:hAnsi="Calibri" w:cs="Calibri"/>
          <w:sz w:val="24"/>
          <w:szCs w:val="24"/>
        </w:rPr>
      </w:pPr>
      <w:r w:rsidRPr="00FF7D27">
        <w:rPr>
          <w:rFonts w:ascii="Aileron" w:hAnsi="Aileron"/>
          <w:b/>
          <w:sz w:val="24"/>
          <w:szCs w:val="24"/>
        </w:rPr>
        <mc:AlternateContent>
          <mc:Choice Requires="wps">
            <w:drawing>
              <wp:anchor distT="0" distB="0" distL="114300" distR="114300" simplePos="0" relativeHeight="252032000" behindDoc="0" locked="0" layoutInCell="1" allowOverlap="1" wp14:anchorId="5EA1AF60" wp14:editId="05DC61AE">
                <wp:simplePos x="0" y="0"/>
                <wp:positionH relativeFrom="margin">
                  <wp:posOffset>4285615</wp:posOffset>
                </wp:positionH>
                <wp:positionV relativeFrom="margin">
                  <wp:posOffset>5866765</wp:posOffset>
                </wp:positionV>
                <wp:extent cx="2286000" cy="1684655"/>
                <wp:effectExtent l="0" t="0" r="0" b="0"/>
                <wp:wrapSquare wrapText="bothSides"/>
                <wp:docPr id="12" name="Rectangle 12"/>
                <wp:cNvGraphicFramePr/>
                <a:graphic xmlns:a="http://schemas.openxmlformats.org/drawingml/2006/main">
                  <a:graphicData uri="http://schemas.microsoft.com/office/word/2010/wordprocessingShape">
                    <wps:wsp>
                      <wps:cNvSpPr/>
                      <wps:spPr>
                        <a:xfrm>
                          <a:off x="0" y="0"/>
                          <a:ext cx="2286000" cy="1684655"/>
                        </a:xfrm>
                        <a:prstGeom prst="rect">
                          <a:avLst/>
                        </a:prstGeom>
                        <a:solidFill>
                          <a:srgbClr val="EFF3FF"/>
                        </a:solidFill>
                        <a:ln w="12700" cap="flat" cmpd="sng" algn="ctr">
                          <a:noFill/>
                          <a:prstDash val="solid"/>
                          <a:miter lim="800000"/>
                        </a:ln>
                        <a:effectLst/>
                      </wps:spPr>
                      <wps:txbx>
                        <w:txbxContent>
                          <w:p w14:paraId="4010BD84" w14:textId="66A00372" w:rsidR="0079760B" w:rsidRPr="00C24C23" w:rsidRDefault="0079760B" w:rsidP="00C24C23">
                            <w:pPr>
                              <w:shd w:val="clear" w:color="auto" w:fill="EFF3FF"/>
                              <w:ind w:left="0" w:right="17"/>
                              <w:jc w:val="left"/>
                              <w:rPr>
                                <w:color w:val="203864"/>
                                <w:sz w:val="24"/>
                                <w:szCs w:val="24"/>
                              </w:rPr>
                            </w:pPr>
                            <w:r w:rsidRPr="00C24C23">
                              <w:rPr>
                                <w:color w:val="203864"/>
                                <w:sz w:val="24"/>
                                <w:szCs w:val="24"/>
                              </w:rPr>
                              <w:t xml:space="preserve">“Food insecurity is a big issue in some communities; it’s not just about having access to food, but having access to nutritious foods that are accessible to </w:t>
                            </w:r>
                            <w:r>
                              <w:rPr>
                                <w:color w:val="203864"/>
                                <w:sz w:val="24"/>
                                <w:szCs w:val="24"/>
                              </w:rPr>
                              <w:t>low-</w:t>
                            </w:r>
                            <w:r w:rsidRPr="00C24C23">
                              <w:rPr>
                                <w:color w:val="203864"/>
                                <w:sz w:val="24"/>
                                <w:szCs w:val="24"/>
                              </w:rPr>
                              <w:t xml:space="preserve">income families.” </w:t>
                            </w:r>
                          </w:p>
                          <w:p w14:paraId="6D65D334" w14:textId="2C877749"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Focus Group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8" style="position:absolute;left:0;text-align:left;margin-left:337.45pt;margin-top:461.95pt;width:180pt;height:132.6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" fillcolor="#eff3ff" stroked="f" strokeweight="1pt">
                <v:textbox>
                  <w:txbxContent>
                    <w:p w14:paraId="4010BD84" w14:textId="66A00372" w:rsidR="0079760B" w:rsidRPr="00C24C23" w:rsidRDefault="0079760B" w:rsidP="00C24C23">
                      <w:pPr>
                        <w:shd w:val="clear" w:color="auto" w:fill="EFF3FF"/>
                        <w:ind w:left="0" w:right="17"/>
                        <w:jc w:val="left"/>
                        <w:rPr>
                          <w:color w:val="203864"/>
                          <w:sz w:val="24"/>
                          <w:szCs w:val="24"/>
                        </w:rPr>
                      </w:pPr>
                      <w:r w:rsidRPr="00C24C23">
                        <w:rPr>
                          <w:color w:val="203864"/>
                          <w:sz w:val="24"/>
                          <w:szCs w:val="24"/>
                        </w:rPr>
                        <w:t xml:space="preserve">“Food insecurity is a big issue in some communities; it’s not just about having access to food, but having access to nutritious foods that are accessible to </w:t>
                      </w:r>
                      <w:r>
                        <w:rPr>
                          <w:color w:val="203864"/>
                          <w:sz w:val="24"/>
                          <w:szCs w:val="24"/>
                        </w:rPr>
                        <w:t>low-</w:t>
                      </w:r>
                      <w:r w:rsidRPr="00C24C23">
                        <w:rPr>
                          <w:color w:val="203864"/>
                          <w:sz w:val="24"/>
                          <w:szCs w:val="24"/>
                        </w:rPr>
                        <w:t xml:space="preserve">income families.” </w:t>
                      </w:r>
                    </w:p>
                    <w:p w14:paraId="6D65D334" w14:textId="2C877749"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Focus Group Participant</w:t>
                      </w:r>
                    </w:p>
                  </w:txbxContent>
                </v:textbox>
                <w10:wrap type="square" anchorx="margin" anchory="margin"/>
              </v:rect>
            </w:pict>
          </mc:Fallback>
        </mc:AlternateContent>
      </w:r>
      <w:r w:rsidR="00492AB1" w:rsidRPr="00FF7D27">
        <w:rPr>
          <w:rFonts w:ascii="Calibri" w:eastAsia="Calibri" w:hAnsi="Calibri" w:cs="Calibri"/>
          <w:sz w:val="24"/>
          <w:szCs w:val="24"/>
        </w:rPr>
        <w:t>Poor diet is associated with 45.4% of cardiovascular and metabolic-related deaths nationwide</w:t>
      </w:r>
      <w:r w:rsidR="00492AB1" w:rsidRPr="00FF7D27">
        <w:rPr>
          <w:rStyle w:val="EndnoteReference"/>
          <w:rFonts w:ascii="Calibri" w:eastAsia="Calibri" w:hAnsi="Calibri" w:cs="Calibri"/>
          <w:sz w:val="24"/>
          <w:szCs w:val="24"/>
        </w:rPr>
        <w:endnoteReference w:id="7"/>
      </w:r>
      <w:r w:rsidR="00492AB1" w:rsidRPr="00FF7D27">
        <w:rPr>
          <w:rFonts w:ascii="Calibri" w:eastAsia="Calibri" w:hAnsi="Calibri" w:cs="Calibri"/>
          <w:sz w:val="24"/>
          <w:szCs w:val="24"/>
        </w:rPr>
        <w:t xml:space="preserve"> and several preventable chronic diseases, including cardiovascular disease, type 2 diabetes, certain types of cancer, and obesity.</w:t>
      </w:r>
      <w:r w:rsidR="00492AB1" w:rsidRPr="00FF7D27">
        <w:rPr>
          <w:rStyle w:val="EndnoteReference"/>
          <w:rFonts w:ascii="Calibri" w:eastAsia="Calibri" w:hAnsi="Calibri" w:cs="Calibri"/>
          <w:sz w:val="24"/>
          <w:szCs w:val="24"/>
        </w:rPr>
        <w:endnoteReference w:id="8"/>
      </w:r>
      <w:r w:rsidR="00492AB1" w:rsidRPr="00FF7D27">
        <w:rPr>
          <w:rFonts w:ascii="Calibri" w:eastAsia="Calibri" w:hAnsi="Calibri" w:cs="Calibri"/>
          <w:sz w:val="24"/>
          <w:szCs w:val="24"/>
          <w:vertAlign w:val="superscript"/>
        </w:rPr>
        <w:t>,</w:t>
      </w:r>
      <w:r w:rsidR="00492AB1" w:rsidRPr="00FF7D27">
        <w:rPr>
          <w:rStyle w:val="EndnoteReference"/>
          <w:rFonts w:eastAsia="Calibri"/>
          <w:sz w:val="24"/>
          <w:szCs w:val="24"/>
        </w:rPr>
        <w:endnoteReference w:id="9"/>
      </w:r>
      <w:r w:rsidR="00492AB1" w:rsidRPr="00FF7D27">
        <w:rPr>
          <w:rFonts w:ascii="Calibri" w:eastAsia="Calibri" w:hAnsi="Calibri" w:cs="Calibri"/>
          <w:sz w:val="24"/>
          <w:szCs w:val="24"/>
          <w:vertAlign w:val="superscript"/>
        </w:rPr>
        <w:t xml:space="preserve"> </w:t>
      </w:r>
      <w:r w:rsidR="00492AB1" w:rsidRPr="00FF7D27">
        <w:rPr>
          <w:rFonts w:ascii="Calibri" w:eastAsia="Calibri" w:hAnsi="Calibri" w:cs="Calibri"/>
          <w:sz w:val="24"/>
          <w:szCs w:val="24"/>
        </w:rPr>
        <w:t>F</w:t>
      </w:r>
      <w:r w:rsidR="00492AB1" w:rsidRPr="00FF7D27">
        <w:rPr>
          <w:rFonts w:eastAsia="Calibri"/>
          <w:sz w:val="24"/>
          <w:szCs w:val="24"/>
        </w:rPr>
        <w:t>ruit and vegetable consumption is protective against several chronic conditions while consumption of sugar-sweetened beverages enhances chronic disease risk.</w:t>
      </w:r>
      <w:r w:rsidR="00492AB1" w:rsidRPr="00FF7D27">
        <w:rPr>
          <w:rFonts w:eastAsia="Calibri"/>
          <w:sz w:val="24"/>
          <w:szCs w:val="24"/>
          <w:vertAlign w:val="superscript"/>
        </w:rPr>
        <w:endnoteReference w:id="10"/>
      </w:r>
      <w:r w:rsidR="00492AB1" w:rsidRPr="00FF7D27">
        <w:rPr>
          <w:rFonts w:eastAsia="Calibri"/>
          <w:sz w:val="24"/>
          <w:szCs w:val="24"/>
          <w:vertAlign w:val="superscript"/>
        </w:rPr>
        <w:t>,</w:t>
      </w:r>
      <w:r w:rsidR="00492AB1" w:rsidRPr="00FF7D27">
        <w:rPr>
          <w:rFonts w:eastAsia="Calibri"/>
          <w:sz w:val="24"/>
          <w:szCs w:val="24"/>
          <w:vertAlign w:val="superscript"/>
        </w:rPr>
        <w:endnoteReference w:id="11"/>
      </w:r>
      <w:r w:rsidR="00492AB1" w:rsidRPr="00FF7D27">
        <w:rPr>
          <w:rFonts w:eastAsia="Calibri"/>
          <w:sz w:val="24"/>
          <w:szCs w:val="24"/>
          <w:vertAlign w:val="superscript"/>
        </w:rPr>
        <w:t>,</w:t>
      </w:r>
      <w:r w:rsidR="00492AB1" w:rsidRPr="00FF7D27">
        <w:rPr>
          <w:rFonts w:eastAsia="Calibri"/>
          <w:sz w:val="24"/>
          <w:szCs w:val="24"/>
          <w:vertAlign w:val="superscript"/>
        </w:rPr>
        <w:endnoteReference w:id="12"/>
      </w:r>
    </w:p>
    <w:p w14:paraId="0FEF539B" w14:textId="4746631F"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Because improved access to healthy food results in better quality of dietary intake and better health outcomes; </w:t>
      </w:r>
      <w:r w:rsidRPr="00FF7D27">
        <w:rPr>
          <w:rStyle w:val="EndnoteReference"/>
          <w:rFonts w:eastAsia="Calibri"/>
          <w:sz w:val="24"/>
          <w:szCs w:val="24"/>
        </w:rPr>
        <w:endnoteReference w:id="13"/>
      </w:r>
      <w:r w:rsidRPr="00FF7D27">
        <w:rPr>
          <w:rFonts w:eastAsia="Calibri"/>
          <w:sz w:val="24"/>
          <w:szCs w:val="24"/>
        </w:rPr>
        <w:t xml:space="preserve"> addressing food access is imperative for prevention of chronic disease.</w:t>
      </w:r>
    </w:p>
    <w:p w14:paraId="6B670D84" w14:textId="69DDC940" w:rsidR="00492AB1" w:rsidRPr="00FF7D27" w:rsidRDefault="00D87BCB" w:rsidP="00E552D2">
      <w:pPr>
        <w:spacing w:line="360" w:lineRule="auto"/>
        <w:ind w:right="-360"/>
        <w:rPr>
          <w:rFonts w:eastAsia="Calibri"/>
          <w:sz w:val="24"/>
          <w:szCs w:val="24"/>
        </w:rPr>
      </w:pPr>
      <w:r w:rsidRPr="00FF7D27">
        <w:rPr>
          <w:rFonts w:ascii="Aileron" w:hAnsi="Aileron"/>
          <w:b/>
          <w:sz w:val="24"/>
          <w:szCs w:val="24"/>
        </w:rPr>
        <w:lastRenderedPageBreak/>
        <mc:AlternateContent>
          <mc:Choice Requires="wps">
            <w:drawing>
              <wp:anchor distT="0" distB="0" distL="114300" distR="114300" simplePos="0" relativeHeight="252038144" behindDoc="0" locked="0" layoutInCell="1" allowOverlap="1" wp14:anchorId="3E9F8594" wp14:editId="5129BD97">
                <wp:simplePos x="0" y="0"/>
                <wp:positionH relativeFrom="margin">
                  <wp:posOffset>4200525</wp:posOffset>
                </wp:positionH>
                <wp:positionV relativeFrom="margin">
                  <wp:posOffset>2996565</wp:posOffset>
                </wp:positionV>
                <wp:extent cx="2286000" cy="930910"/>
                <wp:effectExtent l="0" t="0" r="0" b="2540"/>
                <wp:wrapSquare wrapText="bothSides"/>
                <wp:docPr id="49" name="Rectangle 49"/>
                <wp:cNvGraphicFramePr/>
                <a:graphic xmlns:a="http://schemas.openxmlformats.org/drawingml/2006/main">
                  <a:graphicData uri="http://schemas.microsoft.com/office/word/2010/wordprocessingShape">
                    <wps:wsp>
                      <wps:cNvSpPr/>
                      <wps:spPr>
                        <a:xfrm>
                          <a:off x="0" y="0"/>
                          <a:ext cx="2286000" cy="930910"/>
                        </a:xfrm>
                        <a:prstGeom prst="rect">
                          <a:avLst/>
                        </a:prstGeom>
                        <a:solidFill>
                          <a:srgbClr val="EFF3FF"/>
                        </a:solidFill>
                        <a:ln w="12700" cap="flat" cmpd="sng" algn="ctr">
                          <a:noFill/>
                          <a:prstDash val="solid"/>
                          <a:miter lim="800000"/>
                        </a:ln>
                        <a:effectLst/>
                      </wps:spPr>
                      <wps:txbx>
                        <w:txbxContent>
                          <w:p w14:paraId="1E6A1159" w14:textId="6B267EC4" w:rsidR="0079760B" w:rsidRPr="00C24C23" w:rsidRDefault="0079760B" w:rsidP="00C24C23">
                            <w:pPr>
                              <w:shd w:val="clear" w:color="auto" w:fill="EFF3FF"/>
                              <w:ind w:left="0" w:right="17"/>
                              <w:jc w:val="left"/>
                              <w:rPr>
                                <w:color w:val="203864"/>
                                <w:sz w:val="24"/>
                                <w:szCs w:val="24"/>
                              </w:rPr>
                            </w:pPr>
                            <w:r w:rsidRPr="00C24C23">
                              <w:rPr>
                                <w:color w:val="203864"/>
                                <w:sz w:val="24"/>
                                <w:szCs w:val="24"/>
                              </w:rPr>
                              <w:t>“Many of our clients rely on food pantries to make ends meet.”</w:t>
                            </w:r>
                          </w:p>
                          <w:p w14:paraId="256F297F" w14:textId="77777777"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Focus Group Participant</w:t>
                            </w:r>
                          </w:p>
                          <w:p w14:paraId="3EDA09AF" w14:textId="7542F99E" w:rsidR="0079760B" w:rsidRPr="00C24C23" w:rsidRDefault="0079760B" w:rsidP="00C24C23">
                            <w:pPr>
                              <w:shd w:val="clear" w:color="auto" w:fill="EFF3FF"/>
                              <w:ind w:left="0" w:right="17"/>
                              <w:jc w:val="righ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29" style="position:absolute;left:0;text-align:left;margin-left:330.75pt;margin-top:235.95pt;width:180pt;height:73.3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" fillcolor="#eff3ff" stroked="f" strokeweight="1pt">
                <v:textbox>
                  <w:txbxContent>
                    <w:p w14:paraId="1E6A1159" w14:textId="6B267EC4" w:rsidR="0079760B" w:rsidRPr="00C24C23" w:rsidRDefault="0079760B" w:rsidP="00C24C23">
                      <w:pPr>
                        <w:shd w:val="clear" w:color="auto" w:fill="EFF3FF"/>
                        <w:ind w:left="0" w:right="17"/>
                        <w:jc w:val="left"/>
                        <w:rPr>
                          <w:color w:val="203864"/>
                          <w:sz w:val="24"/>
                          <w:szCs w:val="24"/>
                        </w:rPr>
                      </w:pPr>
                      <w:r w:rsidRPr="00C24C23">
                        <w:rPr>
                          <w:color w:val="203864"/>
                          <w:sz w:val="24"/>
                          <w:szCs w:val="24"/>
                        </w:rPr>
                        <w:t>“Many of our clients rely on food pantries to make ends meet.”</w:t>
                      </w:r>
                    </w:p>
                    <w:p w14:paraId="256F297F" w14:textId="77777777"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Focus Group Participant</w:t>
                      </w:r>
                    </w:p>
                    <w:p w14:paraId="3EDA09AF" w14:textId="7542F99E" w:rsidR="0079760B" w:rsidRPr="00C24C23" w:rsidRDefault="0079760B" w:rsidP="00C24C23">
                      <w:pPr>
                        <w:shd w:val="clear" w:color="auto" w:fill="EFF3FF"/>
                        <w:ind w:left="0" w:right="17"/>
                        <w:jc w:val="right"/>
                        <w:rPr>
                          <w:smallCaps/>
                          <w:color w:val="203864"/>
                          <w:sz w:val="24"/>
                          <w:szCs w:val="24"/>
                        </w:rPr>
                      </w:pPr>
                    </w:p>
                  </w:txbxContent>
                </v:textbox>
                <w10:wrap type="square" anchorx="margin" anchory="margin"/>
              </v:rect>
            </w:pict>
          </mc:Fallback>
        </mc:AlternateContent>
      </w:r>
      <w:r w:rsidRPr="00FF7D27">
        <w:rPr>
          <w:rFonts w:ascii="Aileron" w:hAnsi="Aileron"/>
          <w:b/>
          <w:sz w:val="24"/>
          <w:szCs w:val="24"/>
        </w:rPr>
        <mc:AlternateContent>
          <mc:Choice Requires="wps">
            <w:drawing>
              <wp:anchor distT="0" distB="0" distL="114300" distR="114300" simplePos="0" relativeHeight="252033024" behindDoc="0" locked="0" layoutInCell="1" allowOverlap="1" wp14:anchorId="519E8F72" wp14:editId="3C84E3F3">
                <wp:simplePos x="0" y="0"/>
                <wp:positionH relativeFrom="margin">
                  <wp:posOffset>4199255</wp:posOffset>
                </wp:positionH>
                <wp:positionV relativeFrom="margin">
                  <wp:posOffset>50800</wp:posOffset>
                </wp:positionV>
                <wp:extent cx="2286000" cy="1346200"/>
                <wp:effectExtent l="0" t="0" r="0" b="6350"/>
                <wp:wrapSquare wrapText="bothSides"/>
                <wp:docPr id="18" name="Rectangle 18"/>
                <wp:cNvGraphicFramePr/>
                <a:graphic xmlns:a="http://schemas.openxmlformats.org/drawingml/2006/main">
                  <a:graphicData uri="http://schemas.microsoft.com/office/word/2010/wordprocessingShape">
                    <wps:wsp>
                      <wps:cNvSpPr/>
                      <wps:spPr>
                        <a:xfrm>
                          <a:off x="0" y="0"/>
                          <a:ext cx="2286000" cy="1346200"/>
                        </a:xfrm>
                        <a:prstGeom prst="rect">
                          <a:avLst/>
                        </a:prstGeom>
                        <a:solidFill>
                          <a:srgbClr val="EFF3FF"/>
                        </a:solidFill>
                        <a:ln w="12700" cap="flat" cmpd="sng" algn="ctr">
                          <a:noFill/>
                          <a:prstDash val="solid"/>
                          <a:miter lim="800000"/>
                        </a:ln>
                        <a:effectLst/>
                      </wps:spPr>
                      <wps:txbx>
                        <w:txbxContent>
                          <w:p w14:paraId="6397C551" w14:textId="2677B826" w:rsidR="0079760B" w:rsidRPr="00C24C23" w:rsidRDefault="0079760B" w:rsidP="00C24C23">
                            <w:pPr>
                              <w:shd w:val="clear" w:color="auto" w:fill="EFF3FF"/>
                              <w:ind w:left="0" w:right="17"/>
                              <w:jc w:val="left"/>
                              <w:rPr>
                                <w:color w:val="203864"/>
                                <w:sz w:val="24"/>
                                <w:szCs w:val="24"/>
                              </w:rPr>
                            </w:pPr>
                            <w:r w:rsidRPr="00C24C23">
                              <w:rPr>
                                <w:color w:val="203864"/>
                                <w:sz w:val="24"/>
                                <w:szCs w:val="24"/>
                              </w:rPr>
                              <w:t>“Depending on where you’re located, a lot of people don’t have access or even the funds to get healthy food.”</w:t>
                            </w:r>
                          </w:p>
                          <w:p w14:paraId="59E055B5" w14:textId="3285BD82"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0" style="position:absolute;left:0;text-align:left;margin-left:330.65pt;margin-top:4pt;width:180pt;height:106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" fillcolor="#eff3ff" stroked="f" strokeweight="1pt">
                <v:textbox>
                  <w:txbxContent>
                    <w:p w14:paraId="6397C551" w14:textId="2677B826" w:rsidR="0079760B" w:rsidRPr="00C24C23" w:rsidRDefault="0079760B" w:rsidP="00C24C23">
                      <w:pPr>
                        <w:shd w:val="clear" w:color="auto" w:fill="EFF3FF"/>
                        <w:ind w:left="0" w:right="17"/>
                        <w:jc w:val="left"/>
                        <w:rPr>
                          <w:color w:val="203864"/>
                          <w:sz w:val="24"/>
                          <w:szCs w:val="24"/>
                        </w:rPr>
                      </w:pPr>
                      <w:r w:rsidRPr="00C24C23">
                        <w:rPr>
                          <w:color w:val="203864"/>
                          <w:sz w:val="24"/>
                          <w:szCs w:val="24"/>
                        </w:rPr>
                        <w:t>“Depending on where you’re located, a lot of people don’t have access or even the funds to get healthy food.”</w:t>
                      </w:r>
                    </w:p>
                    <w:p w14:paraId="59E055B5" w14:textId="3285BD82"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Key Informant Interviewee</w:t>
                      </w:r>
                    </w:p>
                  </w:txbxContent>
                </v:textbox>
                <w10:wrap type="square" anchorx="margin" anchory="margin"/>
              </v:rect>
            </w:pict>
          </mc:Fallback>
        </mc:AlternateContent>
      </w:r>
      <w:r w:rsidR="00492AB1" w:rsidRPr="00FF7D27">
        <w:rPr>
          <w:rFonts w:eastAsia="Calibri"/>
          <w:sz w:val="24"/>
          <w:szCs w:val="24"/>
        </w:rPr>
        <w:t>Features of the physical and social environment affect access to healthy, affordable food.</w:t>
      </w:r>
      <w:r w:rsidR="00492AB1" w:rsidRPr="00FF7D27">
        <w:rPr>
          <w:rFonts w:eastAsia="Calibri"/>
          <w:sz w:val="24"/>
          <w:szCs w:val="24"/>
          <w:vertAlign w:val="superscript"/>
        </w:rPr>
        <w:endnoteReference w:id="14"/>
      </w:r>
      <w:r w:rsidR="00492AB1" w:rsidRPr="00FF7D27">
        <w:rPr>
          <w:rFonts w:eastAsia="Calibri"/>
          <w:sz w:val="24"/>
          <w:szCs w:val="24"/>
        </w:rPr>
        <w:t xml:space="preserve"> Low-income communities, rural communities, and communities of color are more likely to live close to unhealthy fast food outlets and far from retail food outlets that offer a variety of healthy foods.</w:t>
      </w:r>
      <w:r w:rsidR="00492AB1" w:rsidRPr="00FF7D27">
        <w:rPr>
          <w:rFonts w:eastAsia="Calibri"/>
          <w:sz w:val="24"/>
          <w:szCs w:val="24"/>
          <w:vertAlign w:val="superscript"/>
        </w:rPr>
        <w:endnoteReference w:id="15"/>
      </w:r>
      <w:r w:rsidR="00492AB1" w:rsidRPr="00FF7D27">
        <w:rPr>
          <w:rFonts w:eastAsia="Calibri"/>
          <w:sz w:val="24"/>
          <w:szCs w:val="24"/>
        </w:rPr>
        <w:t xml:space="preserve"> </w:t>
      </w:r>
    </w:p>
    <w:p w14:paraId="6B7E613C" w14:textId="075E8A40" w:rsidR="00492AB1" w:rsidRPr="00FF7D27" w:rsidRDefault="00492AB1" w:rsidP="00E552D2">
      <w:pPr>
        <w:spacing w:line="360" w:lineRule="auto"/>
        <w:ind w:right="-360"/>
        <w:rPr>
          <w:rFonts w:eastAsia="Calibri"/>
          <w:sz w:val="24"/>
          <w:szCs w:val="24"/>
        </w:rPr>
      </w:pPr>
      <w:r w:rsidRPr="00FF7D27">
        <w:rPr>
          <w:rFonts w:eastAsia="Calibri"/>
          <w:sz w:val="24"/>
          <w:szCs w:val="24"/>
        </w:rPr>
        <w:t>Generally, a healthy diet costs more than an unhealthy diet.</w:t>
      </w:r>
      <w:r w:rsidRPr="00FF7D27">
        <w:rPr>
          <w:sz w:val="24"/>
          <w:szCs w:val="24"/>
          <w:vertAlign w:val="superscript"/>
        </w:rPr>
        <w:endnoteReference w:id="16"/>
      </w:r>
      <w:r w:rsidRPr="00FF7D27">
        <w:rPr>
          <w:rFonts w:eastAsia="Calibri"/>
          <w:sz w:val="24"/>
          <w:szCs w:val="24"/>
        </w:rPr>
        <w:t xml:space="preserve"> High costs of living can also prevent access to healthy food. For example, high costs of energy and housing, particularly relative to total household income, affect a household’s ability to access healthy food, thus enhancing the risk of negative health outcomes for children.</w:t>
      </w:r>
      <w:r w:rsidRPr="00FF7D27">
        <w:rPr>
          <w:sz w:val="24"/>
          <w:szCs w:val="24"/>
          <w:vertAlign w:val="superscript"/>
        </w:rPr>
        <w:endnoteReference w:id="17"/>
      </w:r>
      <w:r w:rsidRPr="00FF7D27">
        <w:rPr>
          <w:rFonts w:eastAsia="Calibri"/>
          <w:sz w:val="24"/>
          <w:szCs w:val="24"/>
        </w:rPr>
        <w:t xml:space="preserve"> Because transportation is important for food access, inequalities in vehicle ownership, access to reliable public transportation, and community walkability exacerbate food insecurity.</w:t>
      </w:r>
      <w:r w:rsidRPr="00FF7D27">
        <w:rPr>
          <w:sz w:val="24"/>
          <w:szCs w:val="24"/>
          <w:vertAlign w:val="superscript"/>
        </w:rPr>
        <w:endnoteReference w:id="18"/>
      </w:r>
      <w:r w:rsidRPr="00FF7D27">
        <w:rPr>
          <w:rFonts w:eastAsia="Calibri"/>
          <w:sz w:val="24"/>
          <w:szCs w:val="24"/>
        </w:rPr>
        <w:t xml:space="preserve"> The majority of those living below the poverty line are people of color; this income inequality further compounds food insecurity.</w:t>
      </w:r>
      <w:r w:rsidRPr="00FF7D27">
        <w:rPr>
          <w:sz w:val="24"/>
          <w:szCs w:val="24"/>
          <w:vertAlign w:val="superscript"/>
        </w:rPr>
        <w:t xml:space="preserve"> </w:t>
      </w:r>
      <w:r w:rsidRPr="00FF7D27">
        <w:rPr>
          <w:sz w:val="24"/>
          <w:szCs w:val="24"/>
          <w:vertAlign w:val="superscript"/>
        </w:rPr>
        <w:endnoteReference w:id="19"/>
      </w:r>
    </w:p>
    <w:p w14:paraId="6A65245E" w14:textId="3ED23C86" w:rsidR="00492AB1" w:rsidRPr="00FF7D27" w:rsidRDefault="00492AB1" w:rsidP="00E552D2">
      <w:pPr>
        <w:pStyle w:val="Heading3"/>
        <w:spacing w:line="360" w:lineRule="auto"/>
        <w:rPr>
          <w:sz w:val="24"/>
          <w:szCs w:val="24"/>
        </w:rPr>
      </w:pPr>
      <w:r w:rsidRPr="00FF7D27">
        <w:rPr>
          <w:sz w:val="24"/>
          <w:szCs w:val="24"/>
        </w:rPr>
        <w:t>Trends/Disparities</w:t>
      </w:r>
    </w:p>
    <w:p w14:paraId="453127CE" w14:textId="7025C272" w:rsidR="00FF7D27" w:rsidRDefault="00492AB1" w:rsidP="00E552D2">
      <w:pPr>
        <w:spacing w:line="360" w:lineRule="auto"/>
        <w:ind w:right="-360"/>
        <w:rPr>
          <w:rFonts w:eastAsia="Calibri"/>
          <w:sz w:val="24"/>
          <w:szCs w:val="24"/>
        </w:rPr>
      </w:pPr>
      <w:r w:rsidRPr="00FF7D27">
        <w:rPr>
          <w:rFonts w:eastAsia="Calibri"/>
          <w:sz w:val="24"/>
          <w:szCs w:val="24"/>
        </w:rPr>
        <w:t xml:space="preserve">According to the BRFFS In 2015, only one in five (19.6%) Massachusetts adults consumed at least five daily servings of fruits and vegetables, a pattern that has not changed from 2011 to 2015. Fruit and vegetable consumption varies by educational attainment. Adults with a college education or higher (23.1%) are more likely to consume the recommended amount of fruits and vegetables than individuals with less than a college education (less than high school, 14.2%; high school education, 17.2%). Further, adults with a disability are less likely to consume the recommended amount of fruits and vegetables daily than those without a disability at </w:t>
      </w:r>
      <w:r w:rsidRPr="00FF7D27">
        <w:rPr>
          <w:sz w:val="24"/>
          <w:szCs w:val="24"/>
        </w:rPr>
        <w:t>16.7% compared to 20.7% for the rest of the survey respondents</w:t>
      </w:r>
      <w:r w:rsidRPr="00FF7D27">
        <w:rPr>
          <w:rFonts w:eastAsia="Calibri"/>
          <w:sz w:val="24"/>
          <w:szCs w:val="24"/>
        </w:rPr>
        <w:t>.</w:t>
      </w:r>
      <w:r w:rsidRPr="00FF7D27">
        <w:rPr>
          <w:rStyle w:val="EndnoteReference"/>
          <w:rFonts w:eastAsia="Calibri"/>
          <w:sz w:val="24"/>
          <w:szCs w:val="24"/>
        </w:rPr>
        <w:endnoteReference w:id="20"/>
      </w:r>
    </w:p>
    <w:p w14:paraId="73A179F6" w14:textId="77777777" w:rsidR="00FF7D27" w:rsidRDefault="00FF7D27">
      <w:pPr>
        <w:spacing w:before="0"/>
        <w:ind w:left="0" w:right="0"/>
        <w:jc w:val="left"/>
        <w:rPr>
          <w:rFonts w:eastAsia="Calibri"/>
          <w:sz w:val="24"/>
          <w:szCs w:val="24"/>
        </w:rPr>
      </w:pPr>
      <w:r>
        <w:rPr>
          <w:rFonts w:eastAsia="Calibri"/>
          <w:sz w:val="24"/>
          <w:szCs w:val="24"/>
        </w:rPr>
        <w:br w:type="page"/>
      </w:r>
    </w:p>
    <w:p w14:paraId="09D0D4C5" w14:textId="79663B55" w:rsidR="00492AB1" w:rsidRPr="00FF7D27" w:rsidRDefault="00E1086F" w:rsidP="00E552D2">
      <w:pPr>
        <w:pStyle w:val="fIGnUM0"/>
        <w:keepNext/>
        <w:keepLines/>
        <w:numPr>
          <w:ilvl w:val="0"/>
          <w:numId w:val="0"/>
        </w:numPr>
        <w:spacing w:line="360" w:lineRule="auto"/>
        <w:ind w:left="-360" w:right="-360"/>
        <w:jc w:val="center"/>
        <w:rPr>
          <w:rStyle w:val="Strong"/>
          <w:b/>
          <w:smallCaps w:val="0"/>
          <w:sz w:val="24"/>
          <w:szCs w:val="24"/>
        </w:rPr>
      </w:pPr>
      <w:r w:rsidRPr="00FF7D27">
        <w:rPr>
          <w:rStyle w:val="Strong"/>
          <w:b/>
          <w:smallCaps w:val="0"/>
          <w:sz w:val="24"/>
          <w:szCs w:val="24"/>
        </w:rPr>
        <w:lastRenderedPageBreak/>
        <w:t>Figure</w:t>
      </w:r>
      <w:r w:rsidR="00492AB1" w:rsidRPr="00FF7D27">
        <w:rPr>
          <w:rStyle w:val="Strong"/>
          <w:b/>
          <w:smallCaps w:val="0"/>
          <w:sz w:val="24"/>
          <w:szCs w:val="24"/>
        </w:rPr>
        <w:t xml:space="preserve"> 8.2</w:t>
      </w:r>
    </w:p>
    <w:p w14:paraId="2B7F2F42" w14:textId="4D68DDE4" w:rsidR="00492AB1" w:rsidRPr="00FF7D27" w:rsidRDefault="00492AB1" w:rsidP="00E552D2">
      <w:pPr>
        <w:pStyle w:val="Subtitle"/>
        <w:keepLines/>
        <w:spacing w:line="360" w:lineRule="auto"/>
        <w:ind w:right="-360"/>
        <w:contextualSpacing/>
        <w:jc w:val="center"/>
        <w:rPr>
          <w:i/>
          <w:sz w:val="24"/>
          <w:szCs w:val="24"/>
        </w:rPr>
      </w:pPr>
      <w:r w:rsidRPr="00FF7D27">
        <w:rPr>
          <w:sz w:val="24"/>
          <w:szCs w:val="24"/>
        </w:rPr>
        <w:t>Percent of Adults Reporting Consumption of at Least Five or More Fruits or Vegetables Daily, by Educational Attainment, Massachusetts, 2015</w:t>
      </w:r>
    </w:p>
    <w:p w14:paraId="4944B877" w14:textId="3DA04488" w:rsidR="00492AB1" w:rsidRPr="00FF7D27" w:rsidRDefault="00492AB1" w:rsidP="00E552D2">
      <w:pPr>
        <w:spacing w:line="360" w:lineRule="auto"/>
        <w:ind w:right="-360"/>
        <w:jc w:val="center"/>
        <w:rPr>
          <w:sz w:val="24"/>
          <w:szCs w:val="24"/>
        </w:rPr>
      </w:pPr>
      <w:r w:rsidRPr="00FF7D27">
        <w:rPr>
          <w:sz w:val="24"/>
          <w:szCs w:val="24"/>
        </w:rPr>
        <w:drawing>
          <wp:inline distT="0" distB="0" distL="0" distR="0" wp14:anchorId="3CBB3E67" wp14:editId="2E127F60">
            <wp:extent cx="4114800" cy="2317750"/>
            <wp:effectExtent l="0" t="0" r="0" b="6350"/>
            <wp:docPr id="675" name="Chart 675" descr="This figure is a bar graph and it depicts the percent of adults who consume at least 5 or more fruits and vegetable per day for different levels of educational achievement. 23.1 percent of adults with a college education or higher consume the recommended amount of fruits and vegetables. This is significantly more than the percent of individuals with less than a college education such as those with less than a high school degree, 14.2%, and those with a high school education, 17.2%.  18.8 percent of adults with 1 to 3 years of college were estimated to consume at least 5 fruits or vegetables daily.">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915F82" w14:textId="4820A1E8" w:rsidR="00945BDC" w:rsidRDefault="00492AB1" w:rsidP="00E552D2">
      <w:pPr>
        <w:spacing w:line="360" w:lineRule="auto"/>
        <w:ind w:right="-360"/>
        <w:rPr>
          <w:rFonts w:eastAsia="Calibri"/>
          <w:sz w:val="24"/>
          <w:szCs w:val="24"/>
        </w:rPr>
      </w:pPr>
      <w:r w:rsidRPr="00FF7D27">
        <w:rPr>
          <w:rFonts w:eastAsia="Calibri"/>
          <w:sz w:val="24"/>
          <w:szCs w:val="24"/>
        </w:rPr>
        <w:t>In 2015, 90% of Massachusetts high school students did not eat the recommended daily servings of fruits and vegetables. Sugar-sweetened beverage consumption among high school students has remained stable since 2013. But racial/ethnic disparities in this category persist where Hispanic (71.4%) and Black non-Hispanic (68.9%) students are more likely to consume one or more sugar-sweetened beverages a day than White non-Hispanic students (58.3%).</w:t>
      </w:r>
      <w:r w:rsidRPr="00FF7D27">
        <w:rPr>
          <w:rFonts w:eastAsia="Calibri"/>
          <w:sz w:val="24"/>
          <w:szCs w:val="24"/>
          <w:vertAlign w:val="superscript"/>
        </w:rPr>
        <w:endnoteReference w:id="21"/>
      </w:r>
    </w:p>
    <w:p w14:paraId="14D0B773" w14:textId="261A6B9B" w:rsidR="00FF7D27" w:rsidRDefault="00FF7D27">
      <w:pPr>
        <w:spacing w:before="0"/>
        <w:ind w:left="0" w:right="0"/>
        <w:jc w:val="left"/>
        <w:rPr>
          <w:rFonts w:eastAsia="Calibri"/>
          <w:sz w:val="24"/>
          <w:szCs w:val="24"/>
        </w:rPr>
      </w:pPr>
      <w:r>
        <w:rPr>
          <w:rFonts w:eastAsia="Calibri"/>
          <w:sz w:val="24"/>
          <w:szCs w:val="24"/>
        </w:rPr>
        <w:br w:type="page"/>
      </w:r>
    </w:p>
    <w:p w14:paraId="2F9F458B" w14:textId="07F3C5ED" w:rsidR="00492AB1" w:rsidRPr="00FF7D27" w:rsidRDefault="00E1086F" w:rsidP="00ED5287">
      <w:pPr>
        <w:spacing w:before="0"/>
        <w:ind w:left="0" w:right="0"/>
        <w:jc w:val="center"/>
        <w:rPr>
          <w:rStyle w:val="Strong"/>
          <w:b/>
          <w:smallCaps w:val="0"/>
          <w:sz w:val="24"/>
          <w:szCs w:val="24"/>
        </w:rPr>
      </w:pPr>
      <w:r w:rsidRPr="00FF7D27">
        <w:rPr>
          <w:rStyle w:val="Strong"/>
          <w:b/>
          <w:smallCaps w:val="0"/>
          <w:sz w:val="24"/>
          <w:szCs w:val="24"/>
        </w:rPr>
        <w:lastRenderedPageBreak/>
        <w:t>Figure</w:t>
      </w:r>
      <w:r w:rsidR="00492AB1" w:rsidRPr="00FF7D27">
        <w:rPr>
          <w:rStyle w:val="Strong"/>
          <w:b/>
          <w:smallCaps w:val="0"/>
          <w:sz w:val="24"/>
          <w:szCs w:val="24"/>
        </w:rPr>
        <w:t xml:space="preserve"> 8.3</w:t>
      </w:r>
    </w:p>
    <w:p w14:paraId="0C3BB393" w14:textId="4096DDA4" w:rsidR="00492AB1" w:rsidRPr="00FF7D27" w:rsidRDefault="00492AB1" w:rsidP="00E552D2">
      <w:pPr>
        <w:pStyle w:val="Subtitle"/>
        <w:spacing w:line="360" w:lineRule="auto"/>
        <w:ind w:right="-360"/>
        <w:jc w:val="center"/>
        <w:rPr>
          <w:b w:val="0"/>
          <w:i/>
          <w:sz w:val="24"/>
          <w:szCs w:val="24"/>
        </w:rPr>
      </w:pPr>
      <w:r w:rsidRPr="00FF7D27">
        <w:rPr>
          <w:sz w:val="24"/>
          <w:szCs w:val="24"/>
        </w:rPr>
        <w:t xml:space="preserve">Percent of High School Students Reporting Consumption of </w:t>
      </w:r>
      <w:r w:rsidR="007A09E6" w:rsidRPr="00FF7D27">
        <w:rPr>
          <w:sz w:val="24"/>
          <w:szCs w:val="24"/>
        </w:rPr>
        <w:t>a</w:t>
      </w:r>
      <w:r w:rsidRPr="00FF7D27">
        <w:rPr>
          <w:sz w:val="24"/>
          <w:szCs w:val="24"/>
        </w:rPr>
        <w:t>t Least One Sugar-Sweetened Beverage in Past Day, Massachusetts, 2015</w:t>
      </w:r>
    </w:p>
    <w:p w14:paraId="6964CC37" w14:textId="45CE2F94" w:rsidR="00492AB1" w:rsidRPr="00FF7D27" w:rsidRDefault="001722E3" w:rsidP="00E552D2">
      <w:pPr>
        <w:spacing w:line="360" w:lineRule="auto"/>
        <w:ind w:right="-360"/>
        <w:jc w:val="center"/>
        <w:rPr>
          <w:rFonts w:eastAsia="Calibri"/>
          <w:sz w:val="24"/>
          <w:szCs w:val="24"/>
        </w:rPr>
      </w:pPr>
      <w:r w:rsidRPr="00FF7D27">
        <w:rPr>
          <w:sz w:val="24"/>
          <w:szCs w:val="24"/>
        </w:rPr>
        <w:drawing>
          <wp:inline distT="0" distB="0" distL="0" distR="0" wp14:anchorId="12041703" wp14:editId="28DB64C7">
            <wp:extent cx="4648200" cy="2743200"/>
            <wp:effectExtent l="0" t="0" r="0" b="0"/>
            <wp:docPr id="27" name="Chart 27" descr="This figure is a bar graph and it depicts the percent of high school students for each race category who had consumed at least one sugar-sweetened beverage in the past day. Hispanic and Black non-Hispanic high school students reported the highest percentages, 71.4 percent and 68.9 percent, respectively.  58.3 percent of White non-Hispanic students drank a sugar-sweetened beverage in the past day and 56.9 percent of Asian non-Hispanic students drank them in the past day."/>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E7F871" w14:textId="138A166C" w:rsidR="00492AB1" w:rsidRPr="00FF7D27" w:rsidRDefault="000C6C16" w:rsidP="00E552D2">
      <w:pPr>
        <w:spacing w:line="360" w:lineRule="auto"/>
        <w:ind w:right="-360"/>
        <w:rPr>
          <w:rFonts w:eastAsia="Calibri"/>
          <w:sz w:val="24"/>
          <w:szCs w:val="24"/>
        </w:rPr>
      </w:pPr>
      <w:r w:rsidRPr="00FF7D27">
        <w:rPr>
          <w:rFonts w:eastAsia="Calibri"/>
          <w:sz w:val="24"/>
          <w:szCs w:val="24"/>
        </w:rPr>
        <w:t xml:space="preserve"> </w:t>
      </w:r>
      <w:r w:rsidR="00492AB1" w:rsidRPr="00FF7D27">
        <w:rPr>
          <w:rFonts w:eastAsia="Calibri"/>
          <w:sz w:val="24"/>
          <w:szCs w:val="24"/>
        </w:rPr>
        <w:t xml:space="preserve">“Food desert” locations are classified by the US Department of Agriculture (USDA) as low-income areas with limited access to healthy food outlets. These food deserts </w:t>
      </w:r>
      <w:r w:rsidR="00492AB1" w:rsidRPr="00FF7D27">
        <w:rPr>
          <w:rFonts w:eastAsia="Calibri"/>
          <w:b/>
          <w:sz w:val="24"/>
          <w:szCs w:val="24"/>
        </w:rPr>
        <w:t>(</w:t>
      </w:r>
      <w:r w:rsidR="00704F99" w:rsidRPr="00FF7D27">
        <w:rPr>
          <w:rFonts w:eastAsia="Calibri"/>
          <w:b/>
          <w:sz w:val="24"/>
          <w:szCs w:val="24"/>
        </w:rPr>
        <w:t xml:space="preserve">see </w:t>
      </w:r>
      <w:r w:rsidR="00492AB1" w:rsidRPr="00FF7D27">
        <w:rPr>
          <w:rFonts w:eastAsia="Calibri"/>
          <w:b/>
          <w:sz w:val="24"/>
          <w:szCs w:val="24"/>
        </w:rPr>
        <w:t>Figure 8.4)</w:t>
      </w:r>
      <w:r w:rsidR="00492AB1" w:rsidRPr="00FF7D27">
        <w:rPr>
          <w:rFonts w:eastAsia="Calibri"/>
          <w:sz w:val="24"/>
          <w:szCs w:val="24"/>
        </w:rPr>
        <w:t xml:space="preserve"> are concentrated in and around the Commonwealth’s largest cities and towns, including Boston, Brockton, Lowell, Worcester, Springfield, New Bedford, and Fall River.</w:t>
      </w:r>
      <w:r w:rsidR="00492AB1" w:rsidRPr="00FF7D27">
        <w:rPr>
          <w:rFonts w:eastAsia="Calibri"/>
          <w:sz w:val="24"/>
          <w:szCs w:val="24"/>
          <w:vertAlign w:val="superscript"/>
        </w:rPr>
        <w:endnoteReference w:id="22"/>
      </w:r>
      <w:r w:rsidR="00492AB1" w:rsidRPr="00FF7D27">
        <w:rPr>
          <w:rFonts w:eastAsia="Calibri"/>
          <w:sz w:val="24"/>
          <w:szCs w:val="24"/>
        </w:rPr>
        <w:t xml:space="preserve"> </w:t>
      </w:r>
    </w:p>
    <w:p w14:paraId="3C3308FA" w14:textId="51043850" w:rsidR="00492AB1" w:rsidRPr="00FF7D27" w:rsidRDefault="00492AB1" w:rsidP="00E552D2">
      <w:pPr>
        <w:spacing w:line="360" w:lineRule="auto"/>
        <w:ind w:right="-360"/>
        <w:rPr>
          <w:sz w:val="24"/>
          <w:szCs w:val="24"/>
        </w:rPr>
      </w:pPr>
      <w:r w:rsidRPr="00FF7D27">
        <w:rPr>
          <w:rFonts w:eastAsia="Calibri"/>
          <w:sz w:val="24"/>
          <w:szCs w:val="24"/>
        </w:rPr>
        <w:t xml:space="preserve">Focus group and key informant interview participants expressed concerns about limited healthy food options in lower income communities across Massachusetts. Participants reported a dearth of grocery stores and a prevalence of convenience stores and fast food outlets in these communities. They viewed these limited options as directly linked to obesity and chronic disease among residents. As one focus group participant explained, </w:t>
      </w:r>
      <w:r w:rsidRPr="00FF7D27">
        <w:rPr>
          <w:sz w:val="24"/>
          <w:szCs w:val="24"/>
        </w:rPr>
        <w:t xml:space="preserve">“Every day I pass by six fast-food restaurants before I see a supermarket with fresh produce.” </w:t>
      </w:r>
    </w:p>
    <w:p w14:paraId="3343B726" w14:textId="77777777" w:rsidR="00C24C23" w:rsidRDefault="00C24C23" w:rsidP="00E552D2">
      <w:pPr>
        <w:spacing w:before="0" w:line="360" w:lineRule="auto"/>
        <w:ind w:left="0" w:right="0"/>
        <w:jc w:val="left"/>
        <w:rPr>
          <w:b/>
          <w:noProof w:val="0"/>
        </w:rPr>
      </w:pPr>
      <w:r>
        <w:br w:type="page"/>
      </w:r>
    </w:p>
    <w:p w14:paraId="0CEC3777" w14:textId="47E83B9C" w:rsidR="00492AB1" w:rsidRPr="00FF7D27" w:rsidRDefault="00E1086F" w:rsidP="00E552D2">
      <w:pPr>
        <w:pStyle w:val="SHAFigureNumber"/>
        <w:spacing w:line="360" w:lineRule="auto"/>
        <w:rPr>
          <w:sz w:val="24"/>
          <w:szCs w:val="24"/>
        </w:rPr>
      </w:pPr>
      <w:r w:rsidRPr="00FF7D27">
        <w:rPr>
          <w:sz w:val="24"/>
          <w:szCs w:val="24"/>
        </w:rPr>
        <w:lastRenderedPageBreak/>
        <w:t>Figure</w:t>
      </w:r>
      <w:r w:rsidR="00492AB1" w:rsidRPr="00FF7D27">
        <w:rPr>
          <w:sz w:val="24"/>
          <w:szCs w:val="24"/>
        </w:rPr>
        <w:t xml:space="preserve"> </w:t>
      </w:r>
      <w:r w:rsidR="00492AB1" w:rsidRPr="00FF7D27">
        <w:rPr>
          <w:rFonts w:eastAsiaTheme="majorEastAsia" w:cstheme="majorBidi"/>
          <w:iCs/>
          <w:sz w:val="24"/>
          <w:szCs w:val="24"/>
        </w:rPr>
        <w:t>8.4</w:t>
      </w:r>
    </w:p>
    <w:p w14:paraId="5D187F22" w14:textId="77777777" w:rsidR="00492AB1" w:rsidRPr="00FF7D27" w:rsidRDefault="00492AB1" w:rsidP="00E552D2">
      <w:pPr>
        <w:pStyle w:val="SHAFigureNumber"/>
        <w:spacing w:line="360" w:lineRule="auto"/>
        <w:rPr>
          <w:sz w:val="24"/>
          <w:szCs w:val="24"/>
        </w:rPr>
      </w:pPr>
      <w:r w:rsidRPr="00FF7D27">
        <w:rPr>
          <w:sz w:val="24"/>
          <w:szCs w:val="24"/>
        </w:rPr>
        <w:t>Food Desert Locations</w:t>
      </w:r>
      <w:r w:rsidRPr="00FF7D27">
        <w:rPr>
          <w:rFonts w:eastAsiaTheme="majorEastAsia" w:cstheme="majorBidi"/>
          <w:iCs/>
          <w:sz w:val="24"/>
          <w:szCs w:val="24"/>
        </w:rPr>
        <w:t xml:space="preserve"> by Census Tract</w:t>
      </w:r>
      <w:r w:rsidRPr="00FF7D27">
        <w:rPr>
          <w:sz w:val="24"/>
          <w:szCs w:val="24"/>
        </w:rPr>
        <w:t xml:space="preserve">, Massachusetts, 2015 </w:t>
      </w:r>
    </w:p>
    <w:p w14:paraId="0FD23051" w14:textId="6C8F1AB5" w:rsidR="00492AB1" w:rsidRPr="0015776E" w:rsidRDefault="00C24C23" w:rsidP="00E552D2">
      <w:pPr>
        <w:keepNext/>
        <w:spacing w:line="360" w:lineRule="auto"/>
        <w:ind w:right="-360"/>
        <w:jc w:val="center"/>
        <w:rPr>
          <w:b/>
          <w:spacing w:val="13"/>
        </w:rPr>
      </w:pPr>
      <w:r>
        <w:rPr>
          <w:b/>
          <w:spacing w:val="13"/>
        </w:rPr>
        <w:drawing>
          <wp:inline distT="0" distB="0" distL="0" distR="0" wp14:anchorId="49008B4A" wp14:editId="71CA6D8E">
            <wp:extent cx="5942955" cy="3657600"/>
            <wp:effectExtent l="0" t="0" r="1270" b="0"/>
            <wp:docPr id="734" name="Picture 734" descr="This figure is a map of Massachusetts that shows the borders of census tracts across the state.  If a census tract meets the definition of a food desert, the area is darkened.   Many census tracks across the state meet the definition of food desert and tend to be clusteres concentrated in and around the Commonwealth’s largest cities and towns, including Boston, Brockton, Lowell, Worcester, Springfield, New Bedford, and Fall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8.4 Food Deserts.jpg"/>
                    <pic:cNvPicPr/>
                  </pic:nvPicPr>
                  <pic:blipFill rotWithShape="1">
                    <a:blip r:embed="rId15">
                      <a:extLst>
                        <a:ext uri="{28A0092B-C50C-407E-A947-70E740481C1C}">
                          <a14:useLocalDpi xmlns:a14="http://schemas.microsoft.com/office/drawing/2010/main" val="0"/>
                        </a:ext>
                      </a:extLst>
                    </a:blip>
                    <a:srcRect t="15116" b="5241"/>
                    <a:stretch/>
                  </pic:blipFill>
                  <pic:spPr bwMode="auto">
                    <a:xfrm>
                      <a:off x="0" y="0"/>
                      <a:ext cx="5943600" cy="3657997"/>
                    </a:xfrm>
                    <a:prstGeom prst="rect">
                      <a:avLst/>
                    </a:prstGeom>
                    <a:ln>
                      <a:noFill/>
                    </a:ln>
                    <a:extLst>
                      <a:ext uri="{53640926-AAD7-44D8-BBD7-CCE9431645EC}">
                        <a14:shadowObscured xmlns:a14="http://schemas.microsoft.com/office/drawing/2010/main"/>
                      </a:ext>
                    </a:extLst>
                  </pic:spPr>
                </pic:pic>
              </a:graphicData>
            </a:graphic>
          </wp:inline>
        </w:drawing>
      </w:r>
    </w:p>
    <w:p w14:paraId="0F8D19C5" w14:textId="6D26E19A" w:rsidR="00492AB1" w:rsidRPr="00FF7D27" w:rsidRDefault="00C24C23" w:rsidP="00E552D2">
      <w:pPr>
        <w:spacing w:line="360" w:lineRule="auto"/>
        <w:ind w:right="-360"/>
        <w:jc w:val="center"/>
        <w:rPr>
          <w:rFonts w:eastAsia="Calibri"/>
          <w:sz w:val="24"/>
          <w:szCs w:val="24"/>
        </w:rPr>
      </w:pPr>
      <w:r w:rsidRPr="00FF7D27">
        <w:rPr>
          <w:rFonts w:eastAsia="Calibri"/>
          <w:sz w:val="24"/>
          <w:szCs w:val="24"/>
        </w:rPr>
        <w:t>SOURCE: USDA FOOD ACCESS RESEARCH ATLAS. FOOD DESERTS INCLUDE LOW-INCOME AND LOW ACCESS CENSUS TRACTS MEASURED AT UP TO 1 MILE FOR URBAN AREAS AND 20 MILES FOR RURAL AREAS.</w:t>
      </w:r>
    </w:p>
    <w:p w14:paraId="332256F6"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In Massachusetts, 11.7% of residents participated in the state’s Supplemental Nutrition Assistance Program (SNAP) in 2013.</w:t>
      </w:r>
      <w:r w:rsidRPr="00FF7D27">
        <w:rPr>
          <w:rFonts w:eastAsia="Calibri"/>
          <w:sz w:val="24"/>
          <w:szCs w:val="24"/>
          <w:vertAlign w:val="superscript"/>
        </w:rPr>
        <w:endnoteReference w:id="23"/>
      </w:r>
      <w:r w:rsidRPr="00FF7D27">
        <w:rPr>
          <w:rFonts w:eastAsia="Calibri"/>
          <w:sz w:val="24"/>
          <w:szCs w:val="24"/>
        </w:rPr>
        <w:t xml:space="preserve"> In 2014, SNAP served 85.4% of those eligible for benefits (household median income $16,200-$21,600). This indicates a negative gap between those who are eligible for benefits and those who are receiving them. </w:t>
      </w:r>
      <w:r w:rsidRPr="00FF7D27">
        <w:rPr>
          <w:rFonts w:eastAsia="Calibri"/>
          <w:sz w:val="24"/>
          <w:szCs w:val="24"/>
          <w:vertAlign w:val="superscript"/>
        </w:rPr>
        <w:endnoteReference w:id="24"/>
      </w:r>
      <w:r w:rsidRPr="00FF7D27">
        <w:rPr>
          <w:rFonts w:eastAsia="Calibri"/>
          <w:sz w:val="24"/>
          <w:szCs w:val="24"/>
          <w:vertAlign w:val="superscript"/>
        </w:rPr>
        <w:t>,</w:t>
      </w:r>
      <w:r w:rsidRPr="00FF7D27">
        <w:rPr>
          <w:rFonts w:eastAsia="Calibri"/>
          <w:sz w:val="24"/>
          <w:szCs w:val="24"/>
          <w:vertAlign w:val="superscript"/>
        </w:rPr>
        <w:endnoteReference w:id="25"/>
      </w:r>
      <w:r w:rsidRPr="00FF7D27">
        <w:rPr>
          <w:rFonts w:eastAsia="Calibri"/>
          <w:sz w:val="24"/>
          <w:szCs w:val="24"/>
        </w:rPr>
        <w:t xml:space="preserve"> </w:t>
      </w:r>
    </w:p>
    <w:p w14:paraId="476EDE47" w14:textId="031B57F1"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Overall food insecurity (i.e. problems with food access) has declined from 11.9% in 2011 to 9.7% in 2016. However, that rate is 24% higher than </w:t>
      </w:r>
      <w:r w:rsidR="00C81EA8" w:rsidRPr="00FF7D27">
        <w:rPr>
          <w:rFonts w:eastAsia="Calibri"/>
          <w:sz w:val="24"/>
          <w:szCs w:val="24"/>
        </w:rPr>
        <w:t xml:space="preserve">the </w:t>
      </w:r>
      <w:r w:rsidRPr="00FF7D27">
        <w:rPr>
          <w:sz w:val="24"/>
          <w:szCs w:val="24"/>
        </w:rPr>
        <w:t xml:space="preserve">recession of 2009 </w:t>
      </w:r>
      <w:r w:rsidRPr="00FF7D27">
        <w:rPr>
          <w:rFonts w:eastAsia="Calibri"/>
          <w:sz w:val="24"/>
          <w:szCs w:val="24"/>
        </w:rPr>
        <w:t>numbers.</w:t>
      </w:r>
      <w:r w:rsidRPr="00FF7D27">
        <w:rPr>
          <w:rStyle w:val="EndnoteReference"/>
          <w:rFonts w:eastAsia="Calibri"/>
          <w:sz w:val="24"/>
          <w:szCs w:val="24"/>
        </w:rPr>
        <w:endnoteReference w:id="26"/>
      </w:r>
      <w:r w:rsidRPr="00FF7D27">
        <w:rPr>
          <w:rFonts w:eastAsia="Calibri"/>
          <w:sz w:val="24"/>
          <w:szCs w:val="24"/>
        </w:rPr>
        <w:t xml:space="preserve"> The emergency food system including f</w:t>
      </w:r>
      <w:r w:rsidR="00133A04" w:rsidRPr="00FF7D27">
        <w:rPr>
          <w:rFonts w:eastAsia="Calibri"/>
          <w:sz w:val="24"/>
          <w:szCs w:val="24"/>
        </w:rPr>
        <w:t>ood banks and food pantries has</w:t>
      </w:r>
      <w:r w:rsidRPr="00FF7D27">
        <w:rPr>
          <w:rFonts w:eastAsia="Calibri"/>
          <w:sz w:val="24"/>
          <w:szCs w:val="24"/>
        </w:rPr>
        <w:t xml:space="preserve"> seen a general increase in usage since the </w:t>
      </w:r>
      <w:r w:rsidRPr="00FF7D27">
        <w:rPr>
          <w:sz w:val="24"/>
          <w:szCs w:val="24"/>
        </w:rPr>
        <w:t>recession of 2009</w:t>
      </w:r>
      <w:r w:rsidRPr="00FF7D27">
        <w:rPr>
          <w:rFonts w:eastAsia="Calibri"/>
          <w:sz w:val="24"/>
          <w:szCs w:val="24"/>
        </w:rPr>
        <w:t>,</w:t>
      </w:r>
      <w:r w:rsidR="00133A04" w:rsidRPr="00FF7D27">
        <w:rPr>
          <w:rFonts w:eastAsia="Calibri"/>
          <w:sz w:val="24"/>
          <w:szCs w:val="24"/>
        </w:rPr>
        <w:t xml:space="preserve"> and is</w:t>
      </w:r>
      <w:r w:rsidRPr="00FF7D27">
        <w:rPr>
          <w:rFonts w:eastAsia="Calibri"/>
          <w:sz w:val="24"/>
          <w:szCs w:val="24"/>
        </w:rPr>
        <w:t xml:space="preserve"> distributing increasing amounts of food.</w:t>
      </w:r>
      <w:r w:rsidRPr="00FF7D27">
        <w:rPr>
          <w:rFonts w:ascii="Aileron" w:hAnsi="Aileron"/>
          <w:b/>
          <w:sz w:val="24"/>
          <w:szCs w:val="24"/>
        </w:rPr>
        <w:t xml:space="preserve"> </w:t>
      </w:r>
      <w:r w:rsidRPr="00FF7D27">
        <w:rPr>
          <w:rFonts w:eastAsia="Calibri"/>
          <w:sz w:val="24"/>
          <w:szCs w:val="24"/>
          <w:vertAlign w:val="superscript"/>
        </w:rPr>
        <w:endnoteReference w:id="27"/>
      </w:r>
      <w:r w:rsidRPr="00FF7D27">
        <w:rPr>
          <w:rFonts w:eastAsia="Calibri"/>
          <w:sz w:val="24"/>
          <w:szCs w:val="24"/>
          <w:vertAlign w:val="superscript"/>
        </w:rPr>
        <w:t>,</w:t>
      </w:r>
      <w:r w:rsidRPr="00FF7D27">
        <w:rPr>
          <w:rFonts w:eastAsia="Calibri"/>
          <w:sz w:val="24"/>
          <w:szCs w:val="24"/>
          <w:vertAlign w:val="superscript"/>
        </w:rPr>
        <w:endnoteReference w:id="28"/>
      </w:r>
      <w:r w:rsidRPr="00FF7D27">
        <w:rPr>
          <w:rFonts w:eastAsia="Calibri"/>
          <w:sz w:val="24"/>
          <w:szCs w:val="24"/>
          <w:vertAlign w:val="superscript"/>
        </w:rPr>
        <w:t>,</w:t>
      </w:r>
      <w:r w:rsidRPr="00FF7D27">
        <w:rPr>
          <w:rFonts w:eastAsia="Calibri"/>
          <w:sz w:val="24"/>
          <w:szCs w:val="24"/>
          <w:vertAlign w:val="superscript"/>
        </w:rPr>
        <w:endnoteReference w:id="29"/>
      </w:r>
      <w:r w:rsidRPr="00FF7D27">
        <w:rPr>
          <w:rFonts w:eastAsia="Calibri"/>
          <w:sz w:val="24"/>
          <w:szCs w:val="24"/>
          <w:vertAlign w:val="superscript"/>
        </w:rPr>
        <w:t>,</w:t>
      </w:r>
      <w:r w:rsidRPr="00FF7D27">
        <w:rPr>
          <w:rFonts w:eastAsia="Calibri"/>
          <w:sz w:val="24"/>
          <w:szCs w:val="24"/>
          <w:vertAlign w:val="superscript"/>
        </w:rPr>
        <w:endnoteReference w:id="30"/>
      </w:r>
      <w:r w:rsidRPr="00FF7D27">
        <w:rPr>
          <w:rFonts w:eastAsia="Calibri"/>
          <w:sz w:val="24"/>
          <w:szCs w:val="24"/>
          <w:vertAlign w:val="superscript"/>
        </w:rPr>
        <w:t>,</w:t>
      </w:r>
      <w:r w:rsidRPr="00FF7D27">
        <w:rPr>
          <w:rFonts w:eastAsia="Calibri"/>
          <w:sz w:val="24"/>
          <w:szCs w:val="24"/>
          <w:vertAlign w:val="superscript"/>
        </w:rPr>
        <w:endnoteReference w:id="31"/>
      </w:r>
      <w:r w:rsidRPr="00FF7D27">
        <w:rPr>
          <w:rFonts w:eastAsia="Calibri"/>
          <w:sz w:val="24"/>
          <w:szCs w:val="24"/>
        </w:rPr>
        <w:t xml:space="preserve"> </w:t>
      </w:r>
    </w:p>
    <w:p w14:paraId="037AC94D" w14:textId="77777777" w:rsidR="00C24C23" w:rsidRDefault="00C24C23" w:rsidP="00E552D2">
      <w:pPr>
        <w:spacing w:before="0" w:line="360" w:lineRule="auto"/>
        <w:ind w:left="0" w:right="0"/>
        <w:jc w:val="left"/>
        <w:rPr>
          <w:b/>
          <w:sz w:val="30"/>
          <w:szCs w:val="30"/>
        </w:rPr>
      </w:pPr>
      <w:r>
        <w:br w:type="page"/>
      </w:r>
    </w:p>
    <w:p w14:paraId="03522B81" w14:textId="435DE083" w:rsidR="00492AB1" w:rsidRPr="009B517E" w:rsidRDefault="00492AB1" w:rsidP="00E552D2">
      <w:pPr>
        <w:pStyle w:val="Heading2"/>
        <w:spacing w:line="360" w:lineRule="auto"/>
      </w:pPr>
      <w:r w:rsidRPr="009B517E">
        <w:lastRenderedPageBreak/>
        <w:t>Physical Activity</w:t>
      </w:r>
    </w:p>
    <w:p w14:paraId="025BA1F3" w14:textId="7A9A3A1A" w:rsidR="00492AB1" w:rsidRPr="00FF7D27" w:rsidRDefault="00492AB1" w:rsidP="00E552D2">
      <w:pPr>
        <w:spacing w:line="360" w:lineRule="auto"/>
        <w:ind w:right="-360"/>
        <w:rPr>
          <w:rFonts w:ascii="Calibri" w:eastAsia="Calibri" w:hAnsi="Calibri" w:cs="Calibri"/>
          <w:sz w:val="24"/>
          <w:szCs w:val="24"/>
        </w:rPr>
      </w:pPr>
      <w:bookmarkStart w:id="0" w:name="_gjdgxs" w:colFirst="0" w:colLast="0"/>
      <w:bookmarkEnd w:id="0"/>
      <w:r w:rsidRPr="00FF7D27">
        <w:rPr>
          <w:rFonts w:ascii="Calibri" w:eastAsia="Calibri" w:hAnsi="Calibri" w:cs="Calibri"/>
          <w:sz w:val="24"/>
          <w:szCs w:val="24"/>
        </w:rPr>
        <w:t>Physical activity is a primary contributor to health and quality of life. Physical inactivity is a risk factor for cardiovascular disease, type 2 diabetes, cancer of the colon and breast, obesity, hypertension, bone and joint diseases, and depression.</w:t>
      </w:r>
      <w:r w:rsidRPr="00FF7D27">
        <w:rPr>
          <w:rStyle w:val="EndnoteReference"/>
          <w:rFonts w:ascii="Calibri" w:eastAsia="Calibri" w:hAnsi="Calibri" w:cs="Calibri"/>
          <w:sz w:val="24"/>
          <w:szCs w:val="24"/>
        </w:rPr>
        <w:endnoteReference w:id="32"/>
      </w:r>
      <w:r w:rsidRPr="00FF7D27">
        <w:rPr>
          <w:rFonts w:ascii="Calibri" w:eastAsia="Calibri" w:hAnsi="Calibri" w:cs="Calibri"/>
          <w:sz w:val="24"/>
          <w:szCs w:val="24"/>
        </w:rPr>
        <w:t xml:space="preserve"> Physical inactivity along with tobacco use and poor diet are the leadin</w:t>
      </w:r>
      <w:r w:rsidR="00C81EA8" w:rsidRPr="00FF7D27">
        <w:rPr>
          <w:rFonts w:ascii="Calibri" w:eastAsia="Calibri" w:hAnsi="Calibri" w:cs="Calibri"/>
          <w:sz w:val="24"/>
          <w:szCs w:val="24"/>
        </w:rPr>
        <w:t>g causes of premature mortality. P</w:t>
      </w:r>
      <w:r w:rsidRPr="00FF7D27">
        <w:rPr>
          <w:rFonts w:ascii="Calibri" w:eastAsia="Calibri" w:hAnsi="Calibri" w:cs="Calibri"/>
          <w:sz w:val="24"/>
          <w:szCs w:val="24"/>
        </w:rPr>
        <w:t xml:space="preserve">hysical inactivity alone accounts for upwards of 11% of </w:t>
      </w:r>
      <w:r w:rsidR="00C81EA8" w:rsidRPr="00FF7D27">
        <w:rPr>
          <w:rFonts w:ascii="Calibri" w:eastAsia="Calibri" w:hAnsi="Calibri" w:cs="Calibri"/>
          <w:sz w:val="24"/>
          <w:szCs w:val="24"/>
        </w:rPr>
        <w:t xml:space="preserve">all </w:t>
      </w:r>
      <w:r w:rsidRPr="00FF7D27">
        <w:rPr>
          <w:rFonts w:ascii="Calibri" w:eastAsia="Calibri" w:hAnsi="Calibri" w:cs="Calibri"/>
          <w:sz w:val="24"/>
          <w:szCs w:val="24"/>
        </w:rPr>
        <w:t>health care costs. Meanwhile</w:t>
      </w:r>
      <w:r w:rsidR="00C81EA8" w:rsidRPr="00FF7D27">
        <w:rPr>
          <w:rFonts w:ascii="Calibri" w:eastAsia="Calibri" w:hAnsi="Calibri" w:cs="Calibri"/>
          <w:sz w:val="24"/>
          <w:szCs w:val="24"/>
        </w:rPr>
        <w:t>,</w:t>
      </w:r>
      <w:r w:rsidRPr="00FF7D27">
        <w:rPr>
          <w:rFonts w:ascii="Calibri" w:eastAsia="Calibri" w:hAnsi="Calibri" w:cs="Calibri"/>
          <w:sz w:val="24"/>
          <w:szCs w:val="24"/>
        </w:rPr>
        <w:t xml:space="preserve"> the rate</w:t>
      </w:r>
      <w:r w:rsidR="00C81EA8" w:rsidRPr="00FF7D27">
        <w:rPr>
          <w:rFonts w:ascii="Calibri" w:eastAsia="Calibri" w:hAnsi="Calibri" w:cs="Calibri"/>
          <w:sz w:val="24"/>
          <w:szCs w:val="24"/>
        </w:rPr>
        <w:t>s</w:t>
      </w:r>
      <w:r w:rsidRPr="00FF7D27">
        <w:rPr>
          <w:rFonts w:ascii="Calibri" w:eastAsia="Calibri" w:hAnsi="Calibri" w:cs="Calibri"/>
          <w:sz w:val="24"/>
          <w:szCs w:val="24"/>
        </w:rPr>
        <w:t xml:space="preserve"> of people not getting sufficient physical activity are increasing.</w:t>
      </w:r>
      <w:r w:rsidRPr="00FF7D27">
        <w:rPr>
          <w:rStyle w:val="EndnoteReference"/>
          <w:rFonts w:ascii="Calibri" w:eastAsia="Calibri" w:hAnsi="Calibri" w:cs="Calibri"/>
          <w:sz w:val="24"/>
          <w:szCs w:val="24"/>
        </w:rPr>
        <w:endnoteReference w:id="33"/>
      </w:r>
      <w:r w:rsidRPr="00FF7D27">
        <w:rPr>
          <w:rFonts w:ascii="Calibri" w:eastAsia="Calibri" w:hAnsi="Calibri" w:cs="Calibri"/>
          <w:sz w:val="24"/>
          <w:szCs w:val="24"/>
        </w:rPr>
        <w:t xml:space="preserve"> </w:t>
      </w:r>
    </w:p>
    <w:p w14:paraId="10608F98" w14:textId="6E6DCBF2"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sz w:val="24"/>
          <w:szCs w:val="24"/>
        </w:rPr>
        <w:t xml:space="preserve">Massachusetts residents who meet all physical activity guidelines (both aerobic and muscle-strengthening) are less likely to have depression, diabetes, poor mental health, and are less likely to be obese as compared to those who do not meet either of these guidelines. </w:t>
      </w:r>
    </w:p>
    <w:p w14:paraId="19C6656A" w14:textId="7F133312" w:rsidR="001004E7" w:rsidRPr="00FF7D27" w:rsidRDefault="001004E7" w:rsidP="00E552D2">
      <w:pPr>
        <w:spacing w:line="360" w:lineRule="auto"/>
        <w:ind w:right="-360"/>
        <w:jc w:val="center"/>
        <w:rPr>
          <w:b/>
          <w:noProof w:val="0"/>
          <w:sz w:val="24"/>
          <w:szCs w:val="24"/>
        </w:rPr>
      </w:pPr>
      <w:r w:rsidRPr="00FF7D27">
        <w:rPr>
          <w:b/>
          <w:noProof w:val="0"/>
          <w:sz w:val="24"/>
          <w:szCs w:val="24"/>
        </w:rPr>
        <w:t>Figure 8.5</w:t>
      </w:r>
    </w:p>
    <w:p w14:paraId="062C1EF3" w14:textId="09B3EE0F" w:rsidR="00492AB1" w:rsidRPr="00FF7D27" w:rsidRDefault="001004E7" w:rsidP="00E552D2">
      <w:pPr>
        <w:spacing w:line="360" w:lineRule="auto"/>
        <w:ind w:right="-360"/>
        <w:jc w:val="center"/>
        <w:rPr>
          <w:rFonts w:ascii="Calibri" w:eastAsia="Calibri" w:hAnsi="Calibri" w:cs="Calibri"/>
          <w:sz w:val="24"/>
          <w:szCs w:val="24"/>
        </w:rPr>
      </w:pPr>
      <w:r w:rsidRPr="00FF7D27">
        <w:rPr>
          <w:b/>
          <w:noProof w:val="0"/>
          <w:sz w:val="24"/>
          <w:szCs w:val="24"/>
        </w:rPr>
        <w:t>Percent of Adults Who Report Meeting Recommended Guidelines for Physical Activity (Aerobic and Muscle-Strengthening), by Depression, Diabetes, Mental Health</w:t>
      </w:r>
      <w:r w:rsidR="00EC76C6" w:rsidRPr="00FF7D27">
        <w:rPr>
          <w:b/>
          <w:noProof w:val="0"/>
          <w:sz w:val="24"/>
          <w:szCs w:val="24"/>
        </w:rPr>
        <w:t>,</w:t>
      </w:r>
      <w:r w:rsidRPr="00FF7D27">
        <w:rPr>
          <w:b/>
          <w:noProof w:val="0"/>
          <w:sz w:val="24"/>
          <w:szCs w:val="24"/>
        </w:rPr>
        <w:t xml:space="preserve"> and Obesity, Massachusetts, 2015</w:t>
      </w:r>
      <w:r w:rsidR="00492AB1" w:rsidRPr="00FF7D27">
        <w:rPr>
          <w:sz w:val="24"/>
          <w:szCs w:val="24"/>
        </w:rPr>
        <w:drawing>
          <wp:inline distT="0" distB="0" distL="0" distR="0" wp14:anchorId="04F57321" wp14:editId="429F3565">
            <wp:extent cx="5572125" cy="3327400"/>
            <wp:effectExtent l="0" t="0" r="0" b="6350"/>
            <wp:docPr id="677" name="Chart 677" descr="This figure is a bar graph with four pairs of bars that describe physical activity among Massachusetts adults. In each pair, one bar represents the percent of Massachusetts adults who did not meet either guideline for physical activity (aerobic activity and muscle-strengthening), and the other bar represents the percent who met both guidelines.  &#10;&#10;Each pair of bars represents a specific chronic condition: depression, diabetes, poor mental health, and obesity.&#10;&#10;Among people with diagnosed depression, 17.1 percent met both the aerobic and muscle-strengthening guidelines for physical activity while 26.0 percent did not meet either of these guidelines.  &#10;&#10;Among people with diabetes, 4.8 percent met both of these guidelines for physical activity while 11.9 percent did not meet either of them.  &#10;&#10;Among people with poor mental health, 9.0 percent met both of the guidelines for physical activity and 14.3 percent did not meet either.&#10;&#10;Among people who are obese, 14.6 percent met both guidelines while 31.7 percent did not meet either guidelin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5AC0B2B" w14:textId="1DD608EF"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color w:val="212121"/>
          <w:sz w:val="24"/>
          <w:szCs w:val="24"/>
        </w:rPr>
        <w:t>These outcomes can be supported by opportunities available in the physical and social environment.</w:t>
      </w:r>
      <w:r w:rsidRPr="00FF7D27">
        <w:rPr>
          <w:rStyle w:val="EndnoteReference"/>
          <w:rFonts w:ascii="Calibri" w:eastAsia="Calibri" w:hAnsi="Calibri" w:cs="Calibri"/>
          <w:color w:val="212121"/>
          <w:sz w:val="24"/>
          <w:szCs w:val="24"/>
        </w:rPr>
        <w:endnoteReference w:id="34"/>
      </w:r>
      <w:r w:rsidRPr="00FF7D27">
        <w:rPr>
          <w:rFonts w:ascii="Calibri" w:eastAsia="Calibri" w:hAnsi="Calibri" w:cs="Calibri"/>
          <w:sz w:val="24"/>
          <w:szCs w:val="24"/>
          <w:vertAlign w:val="superscript"/>
        </w:rPr>
        <w:t>,</w:t>
      </w:r>
      <w:r w:rsidRPr="00FF7D27">
        <w:rPr>
          <w:rStyle w:val="EndnoteReference"/>
          <w:rFonts w:ascii="Calibri" w:eastAsia="Calibri" w:hAnsi="Calibri" w:cs="Calibri"/>
          <w:sz w:val="24"/>
          <w:szCs w:val="24"/>
        </w:rPr>
        <w:endnoteReference w:id="35"/>
      </w:r>
      <w:r w:rsidRPr="00FF7D27">
        <w:rPr>
          <w:rFonts w:ascii="Calibri" w:eastAsia="Calibri" w:hAnsi="Calibri" w:cs="Calibri"/>
          <w:sz w:val="24"/>
          <w:szCs w:val="24"/>
        </w:rPr>
        <w:t xml:space="preserve"> For example: the quality of walking and biking infrastructure; </w:t>
      </w:r>
      <w:r w:rsidRPr="00FF7D27">
        <w:rPr>
          <w:rFonts w:ascii="Calibri" w:eastAsia="Calibri" w:hAnsi="Calibri" w:cs="Calibri"/>
          <w:color w:val="212121"/>
          <w:sz w:val="24"/>
          <w:szCs w:val="24"/>
        </w:rPr>
        <w:t>the</w:t>
      </w:r>
      <w:r w:rsidR="00133A04" w:rsidRPr="00FF7D27">
        <w:rPr>
          <w:rFonts w:ascii="Calibri" w:eastAsia="Calibri" w:hAnsi="Calibri" w:cs="Calibri"/>
          <w:color w:val="212121"/>
          <w:sz w:val="24"/>
          <w:szCs w:val="24"/>
        </w:rPr>
        <w:t xml:space="preserve"> availability of and access to </w:t>
      </w:r>
      <w:r w:rsidRPr="00FF7D27">
        <w:rPr>
          <w:rFonts w:ascii="Calibri" w:eastAsia="Calibri" w:hAnsi="Calibri" w:cs="Calibri"/>
          <w:color w:val="212121"/>
          <w:sz w:val="24"/>
          <w:szCs w:val="24"/>
        </w:rPr>
        <w:t>parks, playgrounds and recreation areas;</w:t>
      </w:r>
      <w:r w:rsidRPr="00FF7D27">
        <w:rPr>
          <w:rFonts w:ascii="Calibri" w:eastAsia="Calibri" w:hAnsi="Calibri" w:cs="Calibri"/>
          <w:sz w:val="24"/>
          <w:szCs w:val="24"/>
        </w:rPr>
        <w:t xml:space="preserve"> how well infrastructure connects to destinations such as food outlets, employment </w:t>
      </w:r>
      <w:r w:rsidRPr="00FF7D27">
        <w:rPr>
          <w:rFonts w:ascii="Calibri" w:eastAsia="Calibri" w:hAnsi="Calibri" w:cs="Calibri"/>
          <w:sz w:val="24"/>
          <w:szCs w:val="24"/>
        </w:rPr>
        <w:lastRenderedPageBreak/>
        <w:t>centers, and health care facilities; and the location of housing in proximity to transit stops. These factors affect the opportunity and desirability to incorporate physical activity in daily activities</w:t>
      </w:r>
      <w:r w:rsidRPr="00FF7D27">
        <w:rPr>
          <w:rFonts w:ascii="Calibri" w:eastAsia="Calibri" w:hAnsi="Calibri" w:cs="Calibri"/>
          <w:color w:val="212121"/>
          <w:sz w:val="24"/>
          <w:szCs w:val="24"/>
        </w:rPr>
        <w:t>.</w:t>
      </w:r>
      <w:r w:rsidRPr="00FF7D27">
        <w:rPr>
          <w:rStyle w:val="EndnoteReference"/>
          <w:rFonts w:ascii="Calibri" w:eastAsia="Calibri" w:hAnsi="Calibri" w:cs="Calibri"/>
          <w:color w:val="212121"/>
          <w:sz w:val="24"/>
          <w:szCs w:val="24"/>
        </w:rPr>
        <w:endnoteReference w:id="36"/>
      </w:r>
      <w:r w:rsidRPr="00FF7D27">
        <w:rPr>
          <w:rFonts w:ascii="Calibri" w:eastAsia="Calibri" w:hAnsi="Calibri" w:cs="Calibri"/>
          <w:color w:val="222222"/>
          <w:sz w:val="24"/>
          <w:szCs w:val="24"/>
          <w:vertAlign w:val="superscript"/>
        </w:rPr>
        <w:t>,</w:t>
      </w:r>
      <w:r w:rsidRPr="00FF7D27">
        <w:rPr>
          <w:rStyle w:val="EndnoteReference"/>
          <w:rFonts w:ascii="Calibri" w:eastAsia="Calibri" w:hAnsi="Calibri" w:cs="Calibri"/>
          <w:color w:val="222222"/>
          <w:sz w:val="24"/>
          <w:szCs w:val="24"/>
        </w:rPr>
        <w:endnoteReference w:id="37"/>
      </w:r>
      <w:r w:rsidRPr="00FF7D27">
        <w:rPr>
          <w:rFonts w:ascii="Calibri" w:eastAsia="Calibri" w:hAnsi="Calibri" w:cs="Calibri"/>
          <w:color w:val="222222"/>
          <w:sz w:val="24"/>
          <w:szCs w:val="24"/>
          <w:vertAlign w:val="superscript"/>
        </w:rPr>
        <w:t>,</w:t>
      </w:r>
      <w:r w:rsidRPr="00FF7D27">
        <w:rPr>
          <w:rStyle w:val="EndnoteReference"/>
          <w:rFonts w:ascii="Calibri" w:eastAsia="Calibri" w:hAnsi="Calibri" w:cs="Calibri"/>
          <w:color w:val="222222"/>
          <w:sz w:val="24"/>
          <w:szCs w:val="24"/>
        </w:rPr>
        <w:endnoteReference w:id="38"/>
      </w:r>
      <w:r w:rsidRPr="00FF7D27">
        <w:rPr>
          <w:rFonts w:ascii="Calibri" w:eastAsia="Calibri" w:hAnsi="Calibri" w:cs="Calibri"/>
          <w:sz w:val="24"/>
          <w:szCs w:val="24"/>
        </w:rPr>
        <w:t xml:space="preserve"> </w:t>
      </w:r>
    </w:p>
    <w:p w14:paraId="143567FC" w14:textId="77777777"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sz w:val="24"/>
          <w:szCs w:val="24"/>
        </w:rPr>
        <w:t>Individuals who live in walkable neighborhoods are twice as likely to meet physical activity guidelines.</w:t>
      </w:r>
      <w:r w:rsidRPr="00FF7D27">
        <w:rPr>
          <w:rStyle w:val="EndnoteReference"/>
          <w:rFonts w:ascii="Calibri" w:eastAsia="Calibri" w:hAnsi="Calibri" w:cs="Calibri"/>
          <w:sz w:val="24"/>
          <w:szCs w:val="24"/>
        </w:rPr>
        <w:t xml:space="preserve"> </w:t>
      </w:r>
      <w:r w:rsidRPr="00FF7D27">
        <w:rPr>
          <w:rStyle w:val="EndnoteReference"/>
          <w:rFonts w:ascii="Calibri" w:eastAsia="Calibri" w:hAnsi="Calibri" w:cs="Calibri"/>
          <w:sz w:val="24"/>
          <w:szCs w:val="24"/>
        </w:rPr>
        <w:endnoteReference w:id="39"/>
      </w:r>
      <w:r w:rsidRPr="00FF7D27">
        <w:rPr>
          <w:rFonts w:ascii="Calibri" w:eastAsia="Calibri" w:hAnsi="Calibri" w:cs="Calibri"/>
          <w:sz w:val="24"/>
          <w:szCs w:val="24"/>
        </w:rPr>
        <w:t xml:space="preserve">  </w:t>
      </w:r>
      <w:r w:rsidRPr="00FF7D27">
        <w:rPr>
          <w:rFonts w:ascii="Calibri" w:eastAsia="Calibri" w:hAnsi="Calibri" w:cs="Calibri"/>
          <w:color w:val="212121"/>
          <w:sz w:val="24"/>
          <w:szCs w:val="24"/>
        </w:rPr>
        <w:t>The availability of sidewalks and protected bike lanes has been consistently and positively associated with physical activity.</w:t>
      </w:r>
      <w:r w:rsidRPr="00FF7D27">
        <w:rPr>
          <w:rStyle w:val="EndnoteReference"/>
          <w:rFonts w:ascii="Calibri" w:eastAsia="Calibri" w:hAnsi="Calibri" w:cs="Calibri"/>
          <w:color w:val="212121"/>
          <w:sz w:val="24"/>
          <w:szCs w:val="24"/>
        </w:rPr>
        <w:endnoteReference w:id="40"/>
      </w:r>
      <w:r w:rsidRPr="00FF7D27">
        <w:rPr>
          <w:rFonts w:ascii="Calibri" w:eastAsia="Calibri" w:hAnsi="Calibri" w:cs="Calibri"/>
          <w:color w:val="212121"/>
          <w:sz w:val="24"/>
          <w:szCs w:val="24"/>
        </w:rPr>
        <w:t xml:space="preserve"> Access to and use of public transportation also increases regular physical activity.</w:t>
      </w:r>
      <w:r w:rsidRPr="00FF7D27">
        <w:rPr>
          <w:rStyle w:val="EndnoteReference"/>
          <w:rFonts w:ascii="Calibri" w:eastAsia="Calibri" w:hAnsi="Calibri" w:cs="Calibri"/>
          <w:color w:val="212121"/>
          <w:sz w:val="24"/>
          <w:szCs w:val="24"/>
        </w:rPr>
        <w:endnoteReference w:id="41"/>
      </w:r>
      <w:r w:rsidRPr="00FF7D27">
        <w:rPr>
          <w:rFonts w:ascii="Calibri" w:eastAsia="Calibri" w:hAnsi="Calibri" w:cs="Calibri"/>
          <w:color w:val="222222"/>
          <w:sz w:val="24"/>
          <w:szCs w:val="24"/>
          <w:vertAlign w:val="superscript"/>
        </w:rPr>
        <w:t xml:space="preserve"> </w:t>
      </w:r>
      <w:r w:rsidRPr="00FF7D27">
        <w:rPr>
          <w:rFonts w:ascii="Calibri" w:eastAsia="Calibri" w:hAnsi="Calibri" w:cs="Calibri"/>
          <w:sz w:val="24"/>
          <w:szCs w:val="24"/>
        </w:rPr>
        <w:t xml:space="preserve"> </w:t>
      </w:r>
      <w:r w:rsidRPr="00FF7D27">
        <w:rPr>
          <w:rFonts w:ascii="Calibri" w:eastAsia="Calibri" w:hAnsi="Calibri" w:cs="Calibri"/>
          <w:color w:val="212121"/>
          <w:sz w:val="24"/>
          <w:szCs w:val="24"/>
        </w:rPr>
        <w:t>Furthermore, the design of recreational spaces and surrounding access to those spaces, such as the presence of trees, well-maintained buildings, water views, and walkable and bikeable infrastructure access are important for making parks, playgrounds, and recreation areas accessible and desirable for use.</w:t>
      </w:r>
      <w:r w:rsidRPr="00FF7D27">
        <w:rPr>
          <w:rStyle w:val="EndnoteReference"/>
          <w:rFonts w:ascii="Calibri" w:eastAsia="Calibri" w:hAnsi="Calibri" w:cs="Calibri"/>
          <w:color w:val="212121"/>
          <w:sz w:val="24"/>
          <w:szCs w:val="24"/>
        </w:rPr>
        <w:endnoteReference w:id="42"/>
      </w:r>
      <w:r w:rsidRPr="00FF7D27">
        <w:rPr>
          <w:rFonts w:ascii="Calibri" w:eastAsia="Calibri" w:hAnsi="Calibri" w:cs="Calibri"/>
          <w:color w:val="212121"/>
          <w:sz w:val="24"/>
          <w:szCs w:val="24"/>
        </w:rPr>
        <w:t xml:space="preserve"> </w:t>
      </w:r>
    </w:p>
    <w:p w14:paraId="5FE2EF95" w14:textId="77777777"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color w:val="212121"/>
          <w:sz w:val="24"/>
          <w:szCs w:val="24"/>
        </w:rPr>
        <w:t>Additionally, neighborhood safety and risk of injury (e.g., vehicle traffic) rank high on parents’ concerns whether to allow their children to walk or bike to school.</w:t>
      </w:r>
      <w:r w:rsidRPr="00FF7D27">
        <w:rPr>
          <w:rStyle w:val="EndnoteReference"/>
          <w:rFonts w:ascii="Calibri" w:eastAsia="Calibri" w:hAnsi="Calibri" w:cs="Calibri"/>
          <w:color w:val="212121"/>
          <w:sz w:val="24"/>
          <w:szCs w:val="24"/>
        </w:rPr>
        <w:endnoteReference w:id="43"/>
      </w:r>
      <w:r w:rsidRPr="00FF7D27">
        <w:rPr>
          <w:rFonts w:ascii="Calibri" w:eastAsia="Calibri" w:hAnsi="Calibri" w:cs="Calibri"/>
          <w:color w:val="222222"/>
          <w:sz w:val="24"/>
          <w:szCs w:val="24"/>
          <w:vertAlign w:val="superscript"/>
        </w:rPr>
        <w:t xml:space="preserve"> </w:t>
      </w:r>
      <w:r w:rsidRPr="00FF7D27">
        <w:rPr>
          <w:rFonts w:ascii="Calibri" w:eastAsia="Calibri" w:hAnsi="Calibri" w:cs="Calibri"/>
          <w:sz w:val="24"/>
          <w:szCs w:val="24"/>
        </w:rPr>
        <w:t xml:space="preserve">Furthermore, increasing physical activity in Massachusetts is complicated by increasing levels of screen time among youth, a risk factor associated with sedentary behavior.  </w:t>
      </w:r>
    </w:p>
    <w:p w14:paraId="200E1A72" w14:textId="56C07D9B" w:rsidR="00492AB1" w:rsidRPr="00FF7D27" w:rsidRDefault="00492AB1" w:rsidP="00E552D2">
      <w:pPr>
        <w:pStyle w:val="Heading4"/>
        <w:spacing w:after="240" w:line="360" w:lineRule="auto"/>
      </w:pPr>
      <w:r w:rsidRPr="00FF7D27">
        <w:rPr>
          <w:rFonts w:ascii="Calibri" w:eastAsia="Calibri" w:hAnsi="Calibri" w:cs="Calibri"/>
          <w:b w:val="0"/>
        </w:rPr>
        <w:t xml:space="preserve">Neighborhood environments that are conducive to physical activity are often limited in low-income communities </w:t>
      </w:r>
      <w:r w:rsidR="00133A04" w:rsidRPr="00FF7D27">
        <w:rPr>
          <w:rFonts w:ascii="Calibri" w:eastAsia="Calibri" w:hAnsi="Calibri" w:cs="Calibri"/>
          <w:b w:val="0"/>
        </w:rPr>
        <w:t xml:space="preserve">and communities </w:t>
      </w:r>
      <w:r w:rsidRPr="00FF7D27">
        <w:rPr>
          <w:rFonts w:ascii="Calibri" w:eastAsia="Calibri" w:hAnsi="Calibri" w:cs="Calibri"/>
          <w:b w:val="0"/>
        </w:rPr>
        <w:t>of color across the state.</w:t>
      </w:r>
      <w:r w:rsidRPr="00FF7D27">
        <w:rPr>
          <w:rStyle w:val="EndnoteReference"/>
          <w:rFonts w:ascii="Calibri" w:eastAsia="Calibri" w:hAnsi="Calibri" w:cs="Calibri"/>
          <w:b w:val="0"/>
        </w:rPr>
        <w:endnoteReference w:id="44"/>
      </w:r>
      <w:r w:rsidRPr="00FF7D27">
        <w:rPr>
          <w:rFonts w:ascii="Calibri" w:eastAsia="Calibri" w:hAnsi="Calibri" w:cs="Calibri"/>
          <w:b w:val="0"/>
        </w:rPr>
        <w:t xml:space="preserve"> For</w:t>
      </w:r>
      <w:r w:rsidR="00172459" w:rsidRPr="00FF7D27">
        <w:rPr>
          <w:rFonts w:ascii="Calibri" w:eastAsia="Calibri" w:hAnsi="Calibri" w:cs="Calibri"/>
          <w:b w:val="0"/>
        </w:rPr>
        <w:t xml:space="preserve"> example, youth who live in low-</w:t>
      </w:r>
      <w:r w:rsidRPr="00FF7D27">
        <w:rPr>
          <w:rFonts w:ascii="Calibri" w:eastAsia="Calibri" w:hAnsi="Calibri" w:cs="Calibri"/>
          <w:b w:val="0"/>
        </w:rPr>
        <w:t>income areas or communities of color are 50% less likely to have recreational facilities near their homes.</w:t>
      </w:r>
      <w:r w:rsidRPr="00FF7D27">
        <w:rPr>
          <w:rStyle w:val="EndnoteReference"/>
          <w:rFonts w:ascii="Calibri" w:eastAsia="Calibri" w:hAnsi="Calibri" w:cs="Calibri"/>
          <w:b w:val="0"/>
        </w:rPr>
        <w:endnoteReference w:id="45"/>
      </w:r>
      <w:r w:rsidRPr="00FF7D27">
        <w:rPr>
          <w:rFonts w:ascii="Calibri" w:eastAsia="Calibri" w:hAnsi="Calibri" w:cs="Calibri"/>
          <w:b w:val="0"/>
        </w:rPr>
        <w:t xml:space="preserve"> Therefore</w:t>
      </w:r>
      <w:r w:rsidR="00EC76C6" w:rsidRPr="00FF7D27">
        <w:rPr>
          <w:rFonts w:ascii="Calibri" w:eastAsia="Calibri" w:hAnsi="Calibri" w:cs="Calibri"/>
          <w:b w:val="0"/>
        </w:rPr>
        <w:t>,</w:t>
      </w:r>
      <w:r w:rsidRPr="00FF7D27">
        <w:rPr>
          <w:rFonts w:ascii="Calibri" w:eastAsia="Calibri" w:hAnsi="Calibri" w:cs="Calibri"/>
          <w:b w:val="0"/>
        </w:rPr>
        <w:t xml:space="preserve"> it is necessary to approach physical activity as a policy, systems</w:t>
      </w:r>
      <w:r w:rsidR="00133A04" w:rsidRPr="00FF7D27">
        <w:rPr>
          <w:rFonts w:ascii="Calibri" w:eastAsia="Calibri" w:hAnsi="Calibri" w:cs="Calibri"/>
          <w:b w:val="0"/>
        </w:rPr>
        <w:t>,</w:t>
      </w:r>
      <w:r w:rsidRPr="00FF7D27">
        <w:rPr>
          <w:rFonts w:ascii="Calibri" w:eastAsia="Calibri" w:hAnsi="Calibri" w:cs="Calibri"/>
          <w:b w:val="0"/>
        </w:rPr>
        <w:t xml:space="preserve"> and environmental change issue in order to begin to address socioeconomic and racial/ethnic inequalities in the built and social environment </w:t>
      </w:r>
      <w:r w:rsidR="00154BBF" w:rsidRPr="00FF7D27">
        <w:rPr>
          <w:rFonts w:ascii="Calibri" w:eastAsia="Calibri" w:hAnsi="Calibri" w:cs="Calibri"/>
          <w:b w:val="0"/>
        </w:rPr>
        <w:t>to</w:t>
      </w:r>
      <w:r w:rsidRPr="00FF7D27">
        <w:rPr>
          <w:rFonts w:ascii="Calibri" w:eastAsia="Calibri" w:hAnsi="Calibri" w:cs="Calibri"/>
          <w:b w:val="0"/>
        </w:rPr>
        <w:t xml:space="preserve"> promote active living.</w:t>
      </w:r>
    </w:p>
    <w:p w14:paraId="58194FCB" w14:textId="77777777" w:rsidR="00492AB1" w:rsidRPr="00FF7D27" w:rsidRDefault="00492AB1" w:rsidP="00E552D2">
      <w:pPr>
        <w:pStyle w:val="Heading3"/>
        <w:spacing w:line="360" w:lineRule="auto"/>
        <w:rPr>
          <w:sz w:val="24"/>
          <w:szCs w:val="24"/>
        </w:rPr>
      </w:pPr>
      <w:r w:rsidRPr="00FF7D27">
        <w:rPr>
          <w:sz w:val="24"/>
          <w:szCs w:val="24"/>
        </w:rPr>
        <w:t>Trends/Disparities</w:t>
      </w:r>
    </w:p>
    <w:p w14:paraId="5E170A6B" w14:textId="1B29A129" w:rsidR="00492AB1" w:rsidRPr="00FF7D27" w:rsidRDefault="00C24C23" w:rsidP="00E552D2">
      <w:pPr>
        <w:spacing w:line="360" w:lineRule="auto"/>
        <w:ind w:right="-360"/>
        <w:rPr>
          <w:rFonts w:eastAsia="Calibri"/>
          <w:sz w:val="24"/>
          <w:szCs w:val="24"/>
        </w:rPr>
      </w:pPr>
      <w:r w:rsidRPr="00FF7D27">
        <w:rPr>
          <w:rFonts w:ascii="Aileron" w:hAnsi="Aileron"/>
          <w:b/>
          <w:sz w:val="24"/>
          <w:szCs w:val="24"/>
        </w:rPr>
        <mc:AlternateContent>
          <mc:Choice Requires="wps">
            <w:drawing>
              <wp:anchor distT="0" distB="0" distL="114300" distR="114300" simplePos="0" relativeHeight="252034048" behindDoc="0" locked="0" layoutInCell="1" allowOverlap="1" wp14:anchorId="7D24CFD3" wp14:editId="5A48EF08">
                <wp:simplePos x="0" y="0"/>
                <wp:positionH relativeFrom="margin">
                  <wp:posOffset>3875405</wp:posOffset>
                </wp:positionH>
                <wp:positionV relativeFrom="margin">
                  <wp:posOffset>2682240</wp:posOffset>
                </wp:positionV>
                <wp:extent cx="2774950" cy="1711325"/>
                <wp:effectExtent l="0" t="0" r="6350" b="3175"/>
                <wp:wrapSquare wrapText="bothSides"/>
                <wp:docPr id="21" name="Rectangle 21"/>
                <wp:cNvGraphicFramePr/>
                <a:graphic xmlns:a="http://schemas.openxmlformats.org/drawingml/2006/main">
                  <a:graphicData uri="http://schemas.microsoft.com/office/word/2010/wordprocessingShape">
                    <wps:wsp>
                      <wps:cNvSpPr/>
                      <wps:spPr>
                        <a:xfrm>
                          <a:off x="0" y="0"/>
                          <a:ext cx="2774950" cy="1711325"/>
                        </a:xfrm>
                        <a:prstGeom prst="rect">
                          <a:avLst/>
                        </a:prstGeom>
                        <a:solidFill>
                          <a:srgbClr val="EFF3FF"/>
                        </a:solidFill>
                        <a:ln w="12700" cap="flat" cmpd="sng" algn="ctr">
                          <a:noFill/>
                          <a:prstDash val="solid"/>
                          <a:miter lim="800000"/>
                        </a:ln>
                        <a:effectLst/>
                      </wps:spPr>
                      <wps:txbx>
                        <w:txbxContent>
                          <w:p w14:paraId="52905CBF" w14:textId="46DF2676" w:rsidR="0079760B" w:rsidRPr="00C24C23" w:rsidRDefault="0079760B" w:rsidP="00C24C23">
                            <w:pPr>
                              <w:shd w:val="clear" w:color="auto" w:fill="EFF3FF"/>
                              <w:ind w:left="0" w:right="17"/>
                              <w:jc w:val="left"/>
                              <w:rPr>
                                <w:color w:val="203864"/>
                                <w:sz w:val="24"/>
                                <w:szCs w:val="24"/>
                              </w:rPr>
                            </w:pPr>
                            <w:r w:rsidRPr="00C24C23">
                              <w:rPr>
                                <w:color w:val="203864"/>
                                <w:sz w:val="24"/>
                                <w:szCs w:val="24"/>
                              </w:rPr>
                              <w:t xml:space="preserve"> “There are very few affordable options to get kids out of the house and active during the summer months. Summer programming is very expensive, so lower-income children can’t access these resources.”</w:t>
                            </w:r>
                          </w:p>
                          <w:p w14:paraId="79D35967" w14:textId="44B2015D"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Focus Group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31" style="position:absolute;left:0;text-align:left;margin-left:305.15pt;margin-top:211.2pt;width:218.5pt;height:134.7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" fillcolor="#eff3ff" stroked="f" strokeweight="1pt">
                <v:textbox>
                  <w:txbxContent>
                    <w:p w14:paraId="52905CBF" w14:textId="46DF2676" w:rsidR="0079760B" w:rsidRPr="00C24C23" w:rsidRDefault="0079760B" w:rsidP="00C24C23">
                      <w:pPr>
                        <w:shd w:val="clear" w:color="auto" w:fill="EFF3FF"/>
                        <w:ind w:left="0" w:right="17"/>
                        <w:jc w:val="left"/>
                        <w:rPr>
                          <w:color w:val="203864"/>
                          <w:sz w:val="24"/>
                          <w:szCs w:val="24"/>
                        </w:rPr>
                      </w:pPr>
                      <w:r w:rsidRPr="00C24C23">
                        <w:rPr>
                          <w:color w:val="203864"/>
                          <w:sz w:val="24"/>
                          <w:szCs w:val="24"/>
                        </w:rPr>
                        <w:t xml:space="preserve"> “There are very few affordable options to get kids out of the house and active during the summer months. Summer programming is very expensive, so lower-income children can’t access these resources.”</w:t>
                      </w:r>
                    </w:p>
                    <w:p w14:paraId="79D35967" w14:textId="44B2015D" w:rsidR="0079760B" w:rsidRPr="00C24C23" w:rsidRDefault="0079760B" w:rsidP="00C24C23">
                      <w:pPr>
                        <w:shd w:val="clear" w:color="auto" w:fill="EFF3FF"/>
                        <w:ind w:left="0" w:right="17"/>
                        <w:jc w:val="right"/>
                        <w:rPr>
                          <w:smallCaps/>
                          <w:color w:val="203864"/>
                          <w:sz w:val="20"/>
                          <w:szCs w:val="20"/>
                        </w:rPr>
                      </w:pPr>
                      <w:r w:rsidRPr="00C24C23">
                        <w:rPr>
                          <w:color w:val="203864"/>
                          <w:sz w:val="20"/>
                          <w:szCs w:val="20"/>
                        </w:rPr>
                        <w:t>Focus Group Participant</w:t>
                      </w:r>
                    </w:p>
                  </w:txbxContent>
                </v:textbox>
                <w10:wrap type="square" anchorx="margin" anchory="margin"/>
              </v:rect>
            </w:pict>
          </mc:Fallback>
        </mc:AlternateContent>
      </w:r>
      <w:r w:rsidR="00492AB1" w:rsidRPr="00FF7D27">
        <w:rPr>
          <w:rFonts w:eastAsia="Calibri"/>
          <w:sz w:val="24"/>
          <w:szCs w:val="24"/>
        </w:rPr>
        <w:t xml:space="preserve">The percentage of Massachusetts adults who are physically inactive increased, from 23.5% in 2011 to 26.5% in 2015. </w:t>
      </w:r>
      <w:r w:rsidR="00492AB1" w:rsidRPr="00FF7D27">
        <w:rPr>
          <w:rFonts w:eastAsia="Calibri"/>
          <w:b/>
          <w:sz w:val="24"/>
          <w:szCs w:val="24"/>
        </w:rPr>
        <w:t>Figure 8.6</w:t>
      </w:r>
      <w:r w:rsidR="00704F99" w:rsidRPr="00FF7D27">
        <w:rPr>
          <w:rFonts w:eastAsia="Calibri"/>
          <w:sz w:val="24"/>
          <w:szCs w:val="24"/>
        </w:rPr>
        <w:t xml:space="preserve"> indicates</w:t>
      </w:r>
      <w:r w:rsidR="00492AB1" w:rsidRPr="00FF7D27">
        <w:rPr>
          <w:rFonts w:eastAsia="Calibri"/>
          <w:sz w:val="24"/>
          <w:szCs w:val="24"/>
        </w:rPr>
        <w:t xml:space="preserve"> that physical inactivity patterns varied according to age, educational attainment, and race/ethnicity during that time period. For example, older adults are more likely to be physically inactive than younger adults (65 years and older: 33.3% versus 25-34 years: 23.1%). </w:t>
      </w:r>
    </w:p>
    <w:p w14:paraId="34F78563" w14:textId="7C7234F6" w:rsidR="00492AB1" w:rsidRPr="00FF7D27" w:rsidRDefault="00492AB1" w:rsidP="00E552D2">
      <w:pPr>
        <w:spacing w:line="360" w:lineRule="auto"/>
        <w:ind w:right="-360"/>
        <w:rPr>
          <w:rFonts w:eastAsia="Calibri"/>
          <w:sz w:val="24"/>
          <w:szCs w:val="24"/>
        </w:rPr>
      </w:pPr>
      <w:r w:rsidRPr="00FF7D27">
        <w:rPr>
          <w:rFonts w:eastAsia="Calibri"/>
          <w:sz w:val="24"/>
          <w:szCs w:val="24"/>
        </w:rPr>
        <w:t>When compared to adults with college degrees or higher (15.2%), the prevalence of physical inactivity was three times as high among adults with less than a high school degree (47.8%), and twice as high among adults</w:t>
      </w:r>
      <w:r w:rsidR="007812CC" w:rsidRPr="00FF7D27">
        <w:rPr>
          <w:rFonts w:eastAsia="Calibri"/>
          <w:sz w:val="24"/>
          <w:szCs w:val="24"/>
        </w:rPr>
        <w:t xml:space="preserve"> </w:t>
      </w:r>
      <w:r w:rsidR="007812CC" w:rsidRPr="00FF7D27">
        <w:rPr>
          <w:rFonts w:eastAsia="Calibri"/>
          <w:sz w:val="24"/>
          <w:szCs w:val="24"/>
        </w:rPr>
        <w:lastRenderedPageBreak/>
        <w:t>with a high school degree (33</w:t>
      </w:r>
      <w:r w:rsidRPr="00FF7D27">
        <w:rPr>
          <w:rFonts w:eastAsia="Calibri"/>
          <w:sz w:val="24"/>
          <w:szCs w:val="24"/>
        </w:rPr>
        <w:t xml:space="preserve">%). People making less than $35,000 per year had approximately twice the prevalence of physical inactivity as those making more than $50,000 a year (42.3% versus 16.9%). </w:t>
      </w:r>
      <w:r w:rsidR="003E0BD6" w:rsidRPr="00FF7D27">
        <w:rPr>
          <w:rFonts w:eastAsia="Calibri"/>
          <w:b/>
          <w:sz w:val="24"/>
          <w:szCs w:val="24"/>
        </w:rPr>
        <w:t>(</w:t>
      </w:r>
      <w:r w:rsidR="002B278B" w:rsidRPr="00FF7D27">
        <w:rPr>
          <w:rFonts w:eastAsia="Calibri"/>
          <w:b/>
          <w:sz w:val="24"/>
          <w:szCs w:val="24"/>
        </w:rPr>
        <w:t>s</w:t>
      </w:r>
      <w:r w:rsidR="003E0BD6" w:rsidRPr="00FF7D27">
        <w:rPr>
          <w:rFonts w:eastAsia="Calibri"/>
          <w:b/>
          <w:sz w:val="24"/>
          <w:szCs w:val="24"/>
        </w:rPr>
        <w:t>ee Figure 8.6)</w:t>
      </w:r>
    </w:p>
    <w:p w14:paraId="225B5E31" w14:textId="199ACD45" w:rsidR="00C24C23" w:rsidRPr="00FF7D27" w:rsidRDefault="00492AB1" w:rsidP="00E552D2">
      <w:pPr>
        <w:spacing w:line="360" w:lineRule="auto"/>
        <w:ind w:right="-360"/>
        <w:rPr>
          <w:rFonts w:eastAsia="Calibri"/>
          <w:sz w:val="24"/>
          <w:szCs w:val="24"/>
        </w:rPr>
      </w:pPr>
      <w:r w:rsidRPr="00FF7D27">
        <w:rPr>
          <w:rFonts w:eastAsia="Calibri"/>
          <w:sz w:val="24"/>
          <w:szCs w:val="24"/>
        </w:rPr>
        <w:t xml:space="preserve">Similarly, racial disparities are evident in people’s ability to meet physical activity guidelines. Hispanic (43%) and Black non-Hispanic (34%) adults were significantly more likely to be physically inactive than White non-Hispanic adults (23.8%). </w:t>
      </w:r>
      <w:r w:rsidRPr="00FF7D27">
        <w:rPr>
          <w:rFonts w:ascii="Calibri" w:eastAsia="Calibri" w:hAnsi="Calibri" w:cs="Calibri"/>
          <w:sz w:val="24"/>
          <w:szCs w:val="24"/>
        </w:rPr>
        <w:t>Race and ethnicity, in particular, have consistently been a predictor of physical inactivity (even after controlling for confounding factors such as income).</w:t>
      </w:r>
      <w:r w:rsidRPr="00FF7D27">
        <w:rPr>
          <w:rStyle w:val="EndnoteReference"/>
          <w:rFonts w:ascii="Calibri" w:eastAsia="Calibri" w:hAnsi="Calibri" w:cs="Calibri"/>
          <w:sz w:val="24"/>
          <w:szCs w:val="24"/>
        </w:rPr>
        <w:endnoteReference w:id="46"/>
      </w:r>
      <w:r w:rsidRPr="00FF7D27">
        <w:rPr>
          <w:rFonts w:ascii="Calibri" w:eastAsia="Calibri" w:hAnsi="Calibri" w:cs="Calibri"/>
          <w:sz w:val="24"/>
          <w:szCs w:val="24"/>
          <w:vertAlign w:val="superscript"/>
        </w:rPr>
        <w:t>,</w:t>
      </w:r>
      <w:r w:rsidRPr="00FF7D27">
        <w:rPr>
          <w:rStyle w:val="EndnoteReference"/>
          <w:rFonts w:ascii="Calibri" w:eastAsia="Calibri" w:hAnsi="Calibri" w:cs="Calibri"/>
          <w:sz w:val="24"/>
          <w:szCs w:val="24"/>
        </w:rPr>
        <w:endnoteReference w:id="47"/>
      </w:r>
      <w:r w:rsidRPr="00FF7D27">
        <w:rPr>
          <w:rFonts w:ascii="Calibri" w:eastAsia="Calibri" w:hAnsi="Calibri" w:cs="Calibri"/>
          <w:sz w:val="24"/>
          <w:szCs w:val="24"/>
        </w:rPr>
        <w:t xml:space="preserve"> </w:t>
      </w:r>
      <w:r w:rsidRPr="00FF7D27">
        <w:rPr>
          <w:sz w:val="24"/>
          <w:szCs w:val="24"/>
        </w:rPr>
        <w:t>Neighborhood safety concerns, lack of recreational space, and fear of deportation among immigrants likely contribute to this disparity</w:t>
      </w:r>
      <w:r w:rsidRPr="00FF7D27">
        <w:rPr>
          <w:rFonts w:eastAsia="Calibri"/>
          <w:sz w:val="24"/>
          <w:szCs w:val="24"/>
        </w:rPr>
        <w:t>.</w:t>
      </w:r>
      <w:r w:rsidRPr="00FF7D27">
        <w:rPr>
          <w:rStyle w:val="EndnoteReference"/>
          <w:rFonts w:eastAsia="Calibri"/>
          <w:sz w:val="24"/>
          <w:szCs w:val="24"/>
        </w:rPr>
        <w:endnoteReference w:id="48"/>
      </w:r>
      <w:r w:rsidR="00C24C23" w:rsidRPr="00FF7D27">
        <w:rPr>
          <w:rFonts w:eastAsia="Calibri"/>
          <w:sz w:val="24"/>
          <w:szCs w:val="24"/>
        </w:rPr>
        <w:t xml:space="preserve"> </w:t>
      </w:r>
    </w:p>
    <w:p w14:paraId="1D8F4D2A" w14:textId="7E1AEEFE" w:rsidR="00C24C23" w:rsidRPr="00FF7D27" w:rsidRDefault="00C24C23" w:rsidP="00E552D2">
      <w:pPr>
        <w:spacing w:line="360" w:lineRule="auto"/>
        <w:ind w:right="-360"/>
        <w:rPr>
          <w:rFonts w:eastAsia="Calibri"/>
          <w:sz w:val="24"/>
          <w:szCs w:val="24"/>
        </w:rPr>
      </w:pPr>
      <w:r w:rsidRPr="00FF7D27">
        <w:rPr>
          <w:rFonts w:eastAsia="Calibri"/>
          <w:sz w:val="24"/>
          <w:szCs w:val="24"/>
        </w:rPr>
        <w:t xml:space="preserve">In addition, among the Commonwealth’s youth, inequities in being able to achieve physical activity guidelines are evident. </w:t>
      </w:r>
      <w:r w:rsidR="003E0BD6" w:rsidRPr="00FF7D27">
        <w:rPr>
          <w:rFonts w:eastAsia="Calibri"/>
          <w:b/>
          <w:sz w:val="24"/>
          <w:szCs w:val="24"/>
        </w:rPr>
        <w:t>Figure 8.7</w:t>
      </w:r>
      <w:r w:rsidR="003E0BD6" w:rsidRPr="00FF7D27">
        <w:rPr>
          <w:rFonts w:eastAsia="Calibri"/>
          <w:sz w:val="24"/>
          <w:szCs w:val="24"/>
        </w:rPr>
        <w:t xml:space="preserve"> shows a</w:t>
      </w:r>
      <w:r w:rsidRPr="00FF7D27">
        <w:rPr>
          <w:rFonts w:eastAsia="Calibri"/>
          <w:sz w:val="24"/>
          <w:szCs w:val="24"/>
        </w:rPr>
        <w:t xml:space="preserve"> greater percentage of White non-Hispanic high school students (50.8%) meet physical activity guidelines than their Black non-Hispanic (32.4%) and Hispanic (31.8%) peers.  </w:t>
      </w:r>
    </w:p>
    <w:p w14:paraId="4B90F441" w14:textId="77777777" w:rsidR="00C24C23" w:rsidRPr="00FF7D27" w:rsidRDefault="00C24C23" w:rsidP="00E552D2">
      <w:pPr>
        <w:spacing w:line="360" w:lineRule="auto"/>
        <w:ind w:right="-360"/>
        <w:rPr>
          <w:rFonts w:eastAsia="Arial"/>
          <w:sz w:val="24"/>
          <w:szCs w:val="24"/>
        </w:rPr>
      </w:pPr>
      <w:r w:rsidRPr="00FF7D27">
        <w:rPr>
          <w:rFonts w:eastAsia="Calibri"/>
          <w:sz w:val="24"/>
          <w:szCs w:val="24"/>
        </w:rPr>
        <w:t>Screen time is an important contributor to physical inactivity. Among middle school students, more reported playing three or more hours of video/computer games per day (42.4%) in 2015 than they did in 2013 (36%).</w:t>
      </w:r>
    </w:p>
    <w:p w14:paraId="12F74AAA" w14:textId="77777777" w:rsidR="00C24C23" w:rsidRPr="00FF7D27" w:rsidRDefault="00C24C23" w:rsidP="00E552D2">
      <w:pPr>
        <w:spacing w:line="360" w:lineRule="auto"/>
        <w:ind w:right="-360"/>
        <w:rPr>
          <w:rFonts w:eastAsia="Calibri"/>
          <w:sz w:val="24"/>
          <w:szCs w:val="24"/>
        </w:rPr>
      </w:pPr>
      <w:r w:rsidRPr="00FF7D27">
        <w:rPr>
          <w:rFonts w:eastAsia="Calibri"/>
          <w:sz w:val="24"/>
          <w:szCs w:val="24"/>
        </w:rPr>
        <w:t xml:space="preserve">In 2015, Black non-Hispanic (30.1%) and Hispanic (24.4%) middle-school and high-school students were more likely to watch three or more hours of television on an average school day than White non-Hispanic students (15.5%), a risk factor associated with sedentary behavior. </w:t>
      </w:r>
      <w:r w:rsidRPr="00FF7D27">
        <w:rPr>
          <w:rStyle w:val="EndnoteReference"/>
          <w:rFonts w:eastAsia="Calibri"/>
          <w:sz w:val="24"/>
          <w:szCs w:val="24"/>
        </w:rPr>
        <w:endnoteReference w:id="49"/>
      </w:r>
    </w:p>
    <w:p w14:paraId="16C4EAA1" w14:textId="0AE3CD83" w:rsidR="00492AB1" w:rsidRPr="00FF7D27" w:rsidRDefault="00492AB1" w:rsidP="00E552D2">
      <w:pPr>
        <w:spacing w:line="360" w:lineRule="auto"/>
        <w:ind w:right="-360"/>
        <w:rPr>
          <w:rFonts w:ascii="Calibri" w:eastAsia="Calibri" w:hAnsi="Calibri" w:cs="Calibri"/>
          <w:sz w:val="24"/>
          <w:szCs w:val="24"/>
        </w:rPr>
      </w:pPr>
    </w:p>
    <w:p w14:paraId="4661D4FB" w14:textId="263A4D61"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8.6</w:t>
      </w:r>
    </w:p>
    <w:p w14:paraId="2143D3A8" w14:textId="4640F1FC" w:rsidR="00492AB1" w:rsidRPr="00FF7D27" w:rsidRDefault="001004E7" w:rsidP="00E552D2">
      <w:pPr>
        <w:spacing w:line="360" w:lineRule="auto"/>
        <w:ind w:right="-360"/>
        <w:jc w:val="center"/>
        <w:rPr>
          <w:rFonts w:eastAsia="Calibri"/>
          <w:sz w:val="24"/>
          <w:szCs w:val="24"/>
        </w:rPr>
      </w:pPr>
      <w:r w:rsidRPr="00FF7D27">
        <w:rPr>
          <w:rFonts w:eastAsiaTheme="minorEastAsia" w:cstheme="minorHAnsi"/>
          <w:b/>
          <w:color w:val="000000" w:themeColor="text1"/>
          <w:sz w:val="24"/>
          <w:szCs w:val="24"/>
        </w:rPr>
        <w:t>Percent of Adults Who Report Not Engaging in Physical Activity in the Past 30 Days, Massachusetts, 2015</w:t>
      </w:r>
      <w:r w:rsidR="001722E3" w:rsidRPr="00FF7D27">
        <w:rPr>
          <w:sz w:val="24"/>
          <w:szCs w:val="24"/>
        </w:rPr>
        <w:drawing>
          <wp:inline distT="0" distB="0" distL="0" distR="0" wp14:anchorId="5A8DA10C" wp14:editId="1C53D474">
            <wp:extent cx="4943476" cy="6067425"/>
            <wp:effectExtent l="0" t="0" r="0" b="0"/>
            <wp:docPr id="28" name="Chart 28" descr="This series of bar graphs shows the percent of adults who report not engaging in physical activity such as running, calisthenics, golf, gardening, or walking for exercise. There are four groups of bar graphs stratified by age, educational attainment, household income and race/ethnicity. &#10;&#10;Adults 65 years and older are more likely to be physically inactive than younger adults. For example, only 17.6% of 18 to 24 year olds and 23.1% of 25-34 year olds do not engage in physical activity compared to 33.3% of adults 65 years and older.&#10;&#10;15.2% of adults with college degrees or higher report not engaging in physical activity, while 47.8% of adults with less than a high school degree, 33.0% of adults with a high school degree, and 26.5% of adults with some post-high school education report not engaging in physical activity.&#10;&#10;&#10;38.6% of adults with an annual household income of less than $15,000 reported not engaging in physical activity in the past 30 days&#10;39.8% of adults with an annual household income between $15,000 and $24,999 reported not engaging in physical activity in the past 30 days&#10;42.3% of adults with an annual household income between $25,000 and $34,999 reported not engaging in physical activity in the past 30 days&#10;27.9% of adults with an annual household income between $35,000 and $49,999reported not engaging in physical activity in the past 30 days&#10;16.9% of adults with an annual household income of $50,000 or more reported not engaging in physical activity &#10;&#10;Hispanic adults (43.1%) and Black non-Hispanic adults (34.6%) were statistically significantly more likely to be physically inactive than White non-Hispanic adults (23.8%).&#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AE6FA0" w14:textId="77777777" w:rsidR="005C0FFF" w:rsidRPr="00FF7D27" w:rsidRDefault="005C0FFF" w:rsidP="00E552D2">
      <w:pPr>
        <w:spacing w:before="0" w:line="360" w:lineRule="auto"/>
        <w:ind w:left="0" w:right="0"/>
        <w:jc w:val="left"/>
        <w:rPr>
          <w:rFonts w:eastAsia="Calibri"/>
          <w:sz w:val="24"/>
          <w:szCs w:val="24"/>
        </w:rPr>
      </w:pPr>
      <w:r w:rsidRPr="00FF7D27">
        <w:rPr>
          <w:rFonts w:eastAsia="Calibri"/>
          <w:sz w:val="24"/>
          <w:szCs w:val="24"/>
        </w:rPr>
        <w:br w:type="page"/>
      </w:r>
    </w:p>
    <w:p w14:paraId="38BF4EA5" w14:textId="77838782" w:rsidR="00492AB1" w:rsidRPr="00FF7D27" w:rsidRDefault="005C0FFF"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8.7</w:t>
      </w:r>
    </w:p>
    <w:p w14:paraId="06D261D3" w14:textId="66AEFFD0" w:rsidR="00492AB1" w:rsidRPr="00FF7D27" w:rsidRDefault="00492AB1" w:rsidP="00E552D2">
      <w:pPr>
        <w:pStyle w:val="Subtitle"/>
        <w:keepNext/>
        <w:spacing w:line="360" w:lineRule="auto"/>
        <w:ind w:right="-360"/>
        <w:jc w:val="center"/>
        <w:rPr>
          <w:sz w:val="24"/>
          <w:szCs w:val="24"/>
        </w:rPr>
      </w:pPr>
      <w:r w:rsidRPr="00FF7D27">
        <w:rPr>
          <w:sz w:val="24"/>
          <w:szCs w:val="24"/>
        </w:rPr>
        <w:t xml:space="preserve">Percent of High School Students </w:t>
      </w:r>
      <w:r w:rsidR="00C81EA8" w:rsidRPr="00FF7D27">
        <w:rPr>
          <w:sz w:val="24"/>
          <w:szCs w:val="24"/>
        </w:rPr>
        <w:t>w</w:t>
      </w:r>
      <w:r w:rsidRPr="00FF7D27">
        <w:rPr>
          <w:sz w:val="24"/>
          <w:szCs w:val="24"/>
        </w:rPr>
        <w:t>ho Meet 60+ minutes of Phys</w:t>
      </w:r>
      <w:r w:rsidR="00C81EA8" w:rsidRPr="00FF7D27">
        <w:rPr>
          <w:sz w:val="24"/>
          <w:szCs w:val="24"/>
        </w:rPr>
        <w:t xml:space="preserve">ical Activity, 5+ days per </w:t>
      </w:r>
      <w:r w:rsidR="007A09E6" w:rsidRPr="00FF7D27">
        <w:rPr>
          <w:sz w:val="24"/>
          <w:szCs w:val="24"/>
        </w:rPr>
        <w:t>week, b</w:t>
      </w:r>
      <w:r w:rsidRPr="00FF7D27">
        <w:rPr>
          <w:sz w:val="24"/>
          <w:szCs w:val="24"/>
        </w:rPr>
        <w:t xml:space="preserve">y Race/Ethnicity, Massachusetts, 2015 </w:t>
      </w:r>
    </w:p>
    <w:p w14:paraId="57FAFADA" w14:textId="24506BD4" w:rsidR="001722E3" w:rsidRPr="001722E3" w:rsidRDefault="001722E3" w:rsidP="00E552D2">
      <w:pPr>
        <w:spacing w:line="360" w:lineRule="auto"/>
        <w:ind w:right="576"/>
        <w:jc w:val="center"/>
      </w:pPr>
      <w:r>
        <w:drawing>
          <wp:inline distT="0" distB="0" distL="0" distR="0" wp14:anchorId="1FCC2892" wp14:editId="155F2950">
            <wp:extent cx="4629150" cy="2895601"/>
            <wp:effectExtent l="0" t="0" r="0" b="0"/>
            <wp:docPr id="29" name="Chart 29" descr="This figure is a bar graph that shows the percent of high school students who meet physical activity guidelines for each race/ethnicity.  White non-Hispanic high school students (50.8%) were statistically significantly more likely to meet physical activity guidelines than Black non-Hispanic students (32.4%) and Hispanic students (31.8%) .&#10;&#10;40.4 percent of Asian non-Hispanic students met the guidelines but this was not a statistically significant difference from White non-Hispanic youth.&#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8BE38A" w14:textId="3B26F95F" w:rsidR="00492AB1" w:rsidRDefault="00492AB1" w:rsidP="00E552D2">
      <w:pPr>
        <w:pStyle w:val="Heading2"/>
        <w:spacing w:line="360" w:lineRule="auto"/>
      </w:pPr>
      <w:r>
        <w:t>Tobacco Use and Exposure</w:t>
      </w:r>
    </w:p>
    <w:p w14:paraId="71A506B0" w14:textId="146288F4" w:rsidR="00492AB1" w:rsidRPr="00FF7D27" w:rsidRDefault="00C24C23" w:rsidP="00E552D2">
      <w:pPr>
        <w:spacing w:line="360" w:lineRule="auto"/>
        <w:ind w:right="-360"/>
        <w:rPr>
          <w:rFonts w:eastAsia="Calibri"/>
          <w:sz w:val="24"/>
          <w:szCs w:val="24"/>
        </w:rPr>
      </w:pPr>
      <w:r w:rsidRPr="00FF7D27">
        <w:rPr>
          <w:rFonts w:ascii="Aileron" w:hAnsi="Aileron"/>
          <w:b/>
          <w:sz w:val="24"/>
          <w:szCs w:val="24"/>
        </w:rPr>
        <mc:AlternateContent>
          <mc:Choice Requires="wps">
            <w:drawing>
              <wp:anchor distT="0" distB="0" distL="114300" distR="114300" simplePos="0" relativeHeight="252035072" behindDoc="0" locked="0" layoutInCell="1" allowOverlap="1" wp14:anchorId="76D8EF99" wp14:editId="1C3792D1">
                <wp:simplePos x="0" y="0"/>
                <wp:positionH relativeFrom="margin">
                  <wp:posOffset>3945255</wp:posOffset>
                </wp:positionH>
                <wp:positionV relativeFrom="margin">
                  <wp:posOffset>4410710</wp:posOffset>
                </wp:positionV>
                <wp:extent cx="2286000" cy="2216150"/>
                <wp:effectExtent l="0" t="0" r="0" b="0"/>
                <wp:wrapSquare wrapText="bothSides"/>
                <wp:docPr id="22" name="Rectangle 22"/>
                <wp:cNvGraphicFramePr/>
                <a:graphic xmlns:a="http://schemas.openxmlformats.org/drawingml/2006/main">
                  <a:graphicData uri="http://schemas.microsoft.com/office/word/2010/wordprocessingShape">
                    <wps:wsp>
                      <wps:cNvSpPr/>
                      <wps:spPr>
                        <a:xfrm>
                          <a:off x="0" y="0"/>
                          <a:ext cx="2286000" cy="2216150"/>
                        </a:xfrm>
                        <a:prstGeom prst="rect">
                          <a:avLst/>
                        </a:prstGeom>
                        <a:solidFill>
                          <a:srgbClr val="EFF3FF"/>
                        </a:solidFill>
                        <a:ln w="12700" cap="flat" cmpd="sng" algn="ctr">
                          <a:noFill/>
                          <a:prstDash val="solid"/>
                          <a:miter lim="800000"/>
                        </a:ln>
                        <a:effectLst/>
                      </wps:spPr>
                      <wps:txbx>
                        <w:txbxContent>
                          <w:p w14:paraId="147F0218" w14:textId="46E305EC" w:rsidR="0079760B" w:rsidRPr="008511CA" w:rsidRDefault="0079760B" w:rsidP="008511CA">
                            <w:pPr>
                              <w:shd w:val="clear" w:color="auto" w:fill="EFF3FF"/>
                              <w:ind w:left="0" w:right="17"/>
                              <w:jc w:val="left"/>
                              <w:rPr>
                                <w:color w:val="203864"/>
                                <w:sz w:val="24"/>
                                <w:szCs w:val="24"/>
                              </w:rPr>
                            </w:pPr>
                            <w:r w:rsidRPr="008511CA">
                              <w:rPr>
                                <w:color w:val="203864"/>
                                <w:sz w:val="24"/>
                                <w:szCs w:val="24"/>
                              </w:rPr>
                              <w:t>“People [don’t recognize] that smoking is one of the biggest health risks that they face…they’re willing to work on their cholesterol level when smoking is five times more of a cardiovascular risk than their cholesterol.”</w:t>
                            </w:r>
                          </w:p>
                          <w:p w14:paraId="0E67049B" w14:textId="3DD9E955" w:rsidR="0079760B" w:rsidRPr="008511CA" w:rsidRDefault="0079760B" w:rsidP="008511CA">
                            <w:pPr>
                              <w:shd w:val="clear" w:color="auto" w:fill="EFF3FF"/>
                              <w:ind w:left="0" w:right="17"/>
                              <w:jc w:val="right"/>
                              <w:rPr>
                                <w:smallCaps/>
                                <w:color w:val="203864"/>
                                <w:sz w:val="20"/>
                                <w:szCs w:val="20"/>
                              </w:rPr>
                            </w:pPr>
                            <w:r w:rsidRPr="008511CA">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2" style="position:absolute;left:0;text-align:left;margin-left:310.65pt;margin-top:347.3pt;width:180pt;height:174.5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" fillcolor="#eff3ff" stroked="f" strokeweight="1pt">
                <v:textbox>
                  <w:txbxContent>
                    <w:p w14:paraId="147F0218" w14:textId="46E305EC" w:rsidR="0079760B" w:rsidRPr="008511CA" w:rsidRDefault="0079760B" w:rsidP="008511CA">
                      <w:pPr>
                        <w:shd w:val="clear" w:color="auto" w:fill="EFF3FF"/>
                        <w:ind w:left="0" w:right="17"/>
                        <w:jc w:val="left"/>
                        <w:rPr>
                          <w:color w:val="203864"/>
                          <w:sz w:val="24"/>
                          <w:szCs w:val="24"/>
                        </w:rPr>
                      </w:pPr>
                      <w:r w:rsidRPr="008511CA">
                        <w:rPr>
                          <w:color w:val="203864"/>
                          <w:sz w:val="24"/>
                          <w:szCs w:val="24"/>
                        </w:rPr>
                        <w:t>“People [don’t recognize] that smoking is one of the biggest health risks that they face…they’re willing to work on their cholesterol level when smoking is five times more of a cardiovascular risk than their cholesterol.”</w:t>
                      </w:r>
                    </w:p>
                    <w:p w14:paraId="0E67049B" w14:textId="3DD9E955" w:rsidR="0079760B" w:rsidRPr="008511CA" w:rsidRDefault="0079760B" w:rsidP="008511CA">
                      <w:pPr>
                        <w:shd w:val="clear" w:color="auto" w:fill="EFF3FF"/>
                        <w:ind w:left="0" w:right="17"/>
                        <w:jc w:val="right"/>
                        <w:rPr>
                          <w:smallCaps/>
                          <w:color w:val="203864"/>
                          <w:sz w:val="20"/>
                          <w:szCs w:val="20"/>
                        </w:rPr>
                      </w:pPr>
                      <w:r w:rsidRPr="008511CA">
                        <w:rPr>
                          <w:color w:val="203864"/>
                          <w:sz w:val="20"/>
                          <w:szCs w:val="20"/>
                        </w:rPr>
                        <w:t>Key Informant Interviewee</w:t>
                      </w:r>
                    </w:p>
                  </w:txbxContent>
                </v:textbox>
                <w10:wrap type="square" anchorx="margin" anchory="margin"/>
              </v:rect>
            </w:pict>
          </mc:Fallback>
        </mc:AlternateContent>
      </w:r>
      <w:r w:rsidR="00492AB1" w:rsidRPr="00FF7D27">
        <w:rPr>
          <w:rFonts w:eastAsia="Calibri"/>
          <w:sz w:val="24"/>
          <w:szCs w:val="24"/>
        </w:rPr>
        <w:t>Smoking remains the leading cause of preventable death and disease in the United States, with nearly 500,000 Americans dying prematurely each year due to smoking.</w:t>
      </w:r>
      <w:r w:rsidR="00492AB1" w:rsidRPr="00FF7D27">
        <w:rPr>
          <w:rStyle w:val="EndnoteReference"/>
          <w:rFonts w:eastAsia="Calibri"/>
          <w:sz w:val="24"/>
          <w:szCs w:val="24"/>
        </w:rPr>
        <w:endnoteReference w:id="50"/>
      </w:r>
      <w:r w:rsidR="00492AB1" w:rsidRPr="00FF7D27">
        <w:rPr>
          <w:rFonts w:eastAsia="Calibri"/>
          <w:sz w:val="24"/>
          <w:szCs w:val="24"/>
        </w:rPr>
        <w:t xml:space="preserve"> </w:t>
      </w:r>
      <w:r w:rsidR="00492AB1" w:rsidRPr="00FF7D27">
        <w:rPr>
          <w:rFonts w:ascii="Calibri" w:eastAsia="Calibri" w:hAnsi="Calibri" w:cs="Calibri"/>
          <w:sz w:val="24"/>
          <w:szCs w:val="24"/>
        </w:rPr>
        <w:t>Smoking affects nearly every organ in the body and is associated with multiple preventable chronic diseases including coronary heart disease, stroke, type 2 diabetes, chronic obstructive pulmonary disease, asthma, and numerous types of cancer.</w:t>
      </w:r>
      <w:r w:rsidR="00492AB1" w:rsidRPr="00FF7D27">
        <w:rPr>
          <w:rStyle w:val="EndnoteReference"/>
          <w:rFonts w:ascii="Calibri" w:eastAsia="Calibri" w:hAnsi="Calibri" w:cs="Calibri"/>
          <w:sz w:val="24"/>
          <w:szCs w:val="24"/>
        </w:rPr>
        <w:endnoteReference w:id="51"/>
      </w:r>
      <w:r w:rsidR="00492AB1" w:rsidRPr="00FF7D27">
        <w:rPr>
          <w:sz w:val="24"/>
          <w:szCs w:val="24"/>
        </w:rPr>
        <w:t xml:space="preserve"> </w:t>
      </w:r>
      <w:r w:rsidR="00492AB1" w:rsidRPr="00FF7D27">
        <w:rPr>
          <w:rFonts w:ascii="Calibri" w:eastAsia="Calibri" w:hAnsi="Calibri" w:cs="Calibri"/>
          <w:sz w:val="24"/>
          <w:szCs w:val="24"/>
        </w:rPr>
        <w:t>Nicotine is addictive and has the potential to severely compromise the long-term health of the brain, particularly for individuals under the age of 26 for whom the brain is still developing.</w:t>
      </w:r>
      <w:r w:rsidR="00492AB1" w:rsidRPr="00FF7D27">
        <w:rPr>
          <w:rStyle w:val="EndnoteReference"/>
          <w:rFonts w:ascii="Calibri" w:eastAsia="Calibri" w:hAnsi="Calibri" w:cs="Calibri"/>
          <w:sz w:val="24"/>
          <w:szCs w:val="24"/>
        </w:rPr>
        <w:endnoteReference w:id="52"/>
      </w:r>
    </w:p>
    <w:p w14:paraId="57BA2E31" w14:textId="5C6B6BD6" w:rsidR="00492AB1" w:rsidRPr="00FF7D27" w:rsidRDefault="00492AB1" w:rsidP="00E552D2">
      <w:pPr>
        <w:spacing w:line="360" w:lineRule="auto"/>
        <w:ind w:right="-360"/>
        <w:rPr>
          <w:rFonts w:eastAsia="Calibri"/>
          <w:sz w:val="24"/>
          <w:szCs w:val="24"/>
          <w:vertAlign w:val="superscript"/>
        </w:rPr>
      </w:pPr>
      <w:r w:rsidRPr="00FF7D27">
        <w:rPr>
          <w:rFonts w:eastAsia="Calibri"/>
          <w:sz w:val="24"/>
          <w:szCs w:val="24"/>
        </w:rPr>
        <w:t xml:space="preserve">In Massachusetts, the total medical cost incurred from smoking is more than $4 billion annually. More than $1.26 billion is incurred by Medicaid alone as a result of the high proportion of smokers covered by MassHealth insurance. This amount does not include health costs caused by exposure to secondhand smoke, </w:t>
      </w:r>
      <w:r w:rsidRPr="00FF7D27">
        <w:rPr>
          <w:rFonts w:eastAsia="Calibri"/>
          <w:sz w:val="24"/>
          <w:szCs w:val="24"/>
        </w:rPr>
        <w:lastRenderedPageBreak/>
        <w:t>smoking-caused fires, and use of other tobacco products such as smokeless tobacco, cigars, and pipe tobacco.</w:t>
      </w:r>
      <w:r w:rsidRPr="00FF7D27">
        <w:rPr>
          <w:rFonts w:eastAsia="Calibri"/>
          <w:sz w:val="24"/>
          <w:szCs w:val="24"/>
          <w:vertAlign w:val="superscript"/>
        </w:rPr>
        <w:endnoteReference w:id="53"/>
      </w:r>
      <w:r w:rsidRPr="00FF7D27">
        <w:rPr>
          <w:rFonts w:eastAsia="Calibri"/>
          <w:sz w:val="24"/>
          <w:szCs w:val="24"/>
          <w:vertAlign w:val="superscript"/>
        </w:rPr>
        <w:t>,</w:t>
      </w:r>
      <w:r w:rsidRPr="00FF7D27">
        <w:rPr>
          <w:rFonts w:eastAsia="Calibri"/>
          <w:sz w:val="24"/>
          <w:szCs w:val="24"/>
          <w:vertAlign w:val="superscript"/>
        </w:rPr>
        <w:endnoteReference w:id="54"/>
      </w:r>
    </w:p>
    <w:p w14:paraId="1C8AE339" w14:textId="77777777" w:rsidR="00492AB1" w:rsidRPr="00FF7D27" w:rsidRDefault="00492AB1" w:rsidP="00E552D2">
      <w:pPr>
        <w:spacing w:line="360" w:lineRule="auto"/>
        <w:ind w:right="-360"/>
        <w:rPr>
          <w:rFonts w:eastAsia="Calibri"/>
          <w:sz w:val="24"/>
          <w:szCs w:val="24"/>
          <w:vertAlign w:val="superscript"/>
        </w:rPr>
      </w:pPr>
      <w:r w:rsidRPr="00FF7D27">
        <w:rPr>
          <w:rFonts w:eastAsia="Calibri"/>
          <w:sz w:val="24"/>
          <w:szCs w:val="24"/>
        </w:rPr>
        <w:t xml:space="preserve">Significant gaps in the prevalence of smoking and quitting exist among different populations. Higher smoking rates, lower quit rates, and/or higher rates of tobacco-related health outcomes are reported more for the following groups of people than the Massachusetts overall population: </w:t>
      </w:r>
      <w:r w:rsidRPr="00FF7D27">
        <w:rPr>
          <w:rFonts w:eastAsia="Calibri"/>
          <w:sz w:val="24"/>
          <w:szCs w:val="24"/>
          <w:vertAlign w:val="superscript"/>
        </w:rPr>
        <w:t>49</w:t>
      </w:r>
    </w:p>
    <w:p w14:paraId="39DF5112"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Black non-Hispanics and Hispanics</w:t>
      </w:r>
    </w:p>
    <w:p w14:paraId="4735E0CD"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Individuals that have MassHealth insurance</w:t>
      </w:r>
    </w:p>
    <w:p w14:paraId="78FDFA53"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Individuals with lower income</w:t>
      </w:r>
    </w:p>
    <w:p w14:paraId="42794AE6"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Individuals with less than a high school education</w:t>
      </w:r>
    </w:p>
    <w:p w14:paraId="423B2010"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Persons with disabilities</w:t>
      </w:r>
    </w:p>
    <w:p w14:paraId="7149DCBA"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Individuals experiencing poor mental health</w:t>
      </w:r>
    </w:p>
    <w:p w14:paraId="0326D84A" w14:textId="77777777" w:rsidR="008511CA" w:rsidRPr="00FF7D27" w:rsidRDefault="008511CA" w:rsidP="00E552D2">
      <w:pPr>
        <w:pStyle w:val="ListParagraph"/>
        <w:numPr>
          <w:ilvl w:val="0"/>
          <w:numId w:val="125"/>
        </w:numPr>
        <w:spacing w:line="360" w:lineRule="auto"/>
        <w:rPr>
          <w:sz w:val="24"/>
          <w:szCs w:val="24"/>
        </w:rPr>
      </w:pPr>
      <w:r w:rsidRPr="00FF7D27">
        <w:rPr>
          <w:sz w:val="24"/>
          <w:szCs w:val="24"/>
        </w:rPr>
        <w:t>Individuals who identify as LGBTQ</w:t>
      </w:r>
    </w:p>
    <w:p w14:paraId="49BA4689" w14:textId="46ECBD4C" w:rsidR="00492AB1" w:rsidRPr="00FF7D27" w:rsidRDefault="00492AB1" w:rsidP="00E552D2">
      <w:pPr>
        <w:pStyle w:val="Heading3"/>
        <w:spacing w:line="360" w:lineRule="auto"/>
        <w:rPr>
          <w:sz w:val="24"/>
          <w:szCs w:val="24"/>
        </w:rPr>
      </w:pPr>
      <w:r w:rsidRPr="00FF7D27">
        <w:rPr>
          <w:sz w:val="24"/>
          <w:szCs w:val="24"/>
        </w:rPr>
        <w:t xml:space="preserve">Adult Smoking </w:t>
      </w:r>
    </w:p>
    <w:p w14:paraId="0A30BFA7" w14:textId="6A140E02" w:rsidR="00492AB1" w:rsidRPr="00FF7D27" w:rsidRDefault="00492AB1" w:rsidP="00E552D2">
      <w:pPr>
        <w:spacing w:line="360" w:lineRule="auto"/>
        <w:ind w:right="-360"/>
        <w:rPr>
          <w:rFonts w:eastAsia="Calibri"/>
          <w:sz w:val="24"/>
          <w:szCs w:val="24"/>
        </w:rPr>
      </w:pPr>
      <w:r w:rsidRPr="00FF7D27">
        <w:rPr>
          <w:rFonts w:eastAsia="Calibri"/>
          <w:sz w:val="24"/>
          <w:szCs w:val="24"/>
        </w:rPr>
        <w:t>Smoking is the leading cause of death and disease in Massachusetts with more than 9,000 premature smoking related deaths each year.</w:t>
      </w:r>
      <w:r w:rsidRPr="00FF7D27">
        <w:rPr>
          <w:rFonts w:eastAsia="Calibri"/>
          <w:sz w:val="24"/>
          <w:szCs w:val="24"/>
          <w:vertAlign w:val="superscript"/>
        </w:rPr>
        <w:endnoteReference w:id="55"/>
      </w:r>
    </w:p>
    <w:p w14:paraId="0B3520E5" w14:textId="0449915D" w:rsidR="00492AB1" w:rsidRPr="00FF7D27" w:rsidRDefault="00492AB1" w:rsidP="00E552D2">
      <w:pPr>
        <w:pStyle w:val="Heading4"/>
        <w:spacing w:line="360" w:lineRule="auto"/>
      </w:pPr>
      <w:r w:rsidRPr="00FF7D27">
        <w:t>Trends/Disparities</w:t>
      </w:r>
    </w:p>
    <w:p w14:paraId="103B9FA6" w14:textId="7052C5B5" w:rsidR="00492AB1" w:rsidRPr="00FF7D27" w:rsidRDefault="00492AB1" w:rsidP="00E552D2">
      <w:pPr>
        <w:spacing w:line="360" w:lineRule="auto"/>
        <w:ind w:right="-360"/>
        <w:rPr>
          <w:rFonts w:eastAsia="Calibri"/>
          <w:sz w:val="24"/>
          <w:szCs w:val="24"/>
        </w:rPr>
      </w:pPr>
      <w:r w:rsidRPr="00FF7D27">
        <w:rPr>
          <w:rFonts w:eastAsia="Calibri"/>
          <w:sz w:val="24"/>
          <w:szCs w:val="24"/>
        </w:rPr>
        <w:t>Over the past 20 years, the prevalence of reported smoking among Massachusetts adults has de</w:t>
      </w:r>
      <w:r w:rsidR="007812CC" w:rsidRPr="00FF7D27">
        <w:rPr>
          <w:rFonts w:eastAsia="Calibri"/>
          <w:sz w:val="24"/>
          <w:szCs w:val="24"/>
        </w:rPr>
        <w:t>clined from 22.7% in 1996 to 14</w:t>
      </w:r>
      <w:r w:rsidRPr="00FF7D27">
        <w:rPr>
          <w:rFonts w:eastAsia="Calibri"/>
          <w:sz w:val="24"/>
          <w:szCs w:val="24"/>
        </w:rPr>
        <w:t xml:space="preserve">% in 2015, a historic low. Today, an estimated 708,000 Massachusetts residents still smoke cigarettes. </w:t>
      </w:r>
    </w:p>
    <w:p w14:paraId="5A686E75" w14:textId="06AB247B" w:rsidR="00945BDC" w:rsidRPr="00FF7D27" w:rsidRDefault="00492AB1" w:rsidP="00E552D2">
      <w:pPr>
        <w:spacing w:line="360" w:lineRule="auto"/>
        <w:ind w:right="-360"/>
        <w:rPr>
          <w:rFonts w:eastAsia="Calibri"/>
          <w:sz w:val="24"/>
          <w:szCs w:val="24"/>
        </w:rPr>
      </w:pPr>
      <w:r w:rsidRPr="00FF7D27">
        <w:rPr>
          <w:rFonts w:eastAsia="Calibri"/>
          <w:sz w:val="24"/>
          <w:szCs w:val="24"/>
        </w:rPr>
        <w:t xml:space="preserve">While the smoking prevalence has declined since 1996, individuals with poor mental health and those of low socioeconomic status report consistently higher rates of smoking compared to the general population. This gap has not closed over time </w:t>
      </w:r>
      <w:r w:rsidRPr="00FF7D27">
        <w:rPr>
          <w:rFonts w:eastAsia="Calibri"/>
          <w:b/>
          <w:sz w:val="24"/>
          <w:szCs w:val="24"/>
        </w:rPr>
        <w:t>(</w:t>
      </w:r>
      <w:r w:rsidR="00704F99" w:rsidRPr="00FF7D27">
        <w:rPr>
          <w:rFonts w:eastAsia="Calibri"/>
          <w:b/>
          <w:sz w:val="24"/>
          <w:szCs w:val="24"/>
        </w:rPr>
        <w:t xml:space="preserve">see </w:t>
      </w:r>
      <w:r w:rsidRPr="00FF7D27">
        <w:rPr>
          <w:rFonts w:eastAsia="Calibri"/>
          <w:b/>
          <w:sz w:val="24"/>
          <w:szCs w:val="24"/>
        </w:rPr>
        <w:t>Figure 8.8</w:t>
      </w:r>
      <w:r w:rsidR="00704F99" w:rsidRPr="00FF7D27">
        <w:rPr>
          <w:rFonts w:eastAsia="Calibri"/>
          <w:b/>
          <w:sz w:val="24"/>
          <w:szCs w:val="24"/>
        </w:rPr>
        <w:t>)</w:t>
      </w:r>
      <w:r w:rsidR="00704F99" w:rsidRPr="00FF7D27">
        <w:rPr>
          <w:rFonts w:eastAsia="Calibri"/>
          <w:sz w:val="24"/>
          <w:szCs w:val="24"/>
        </w:rPr>
        <w:t>.  Consequently, three</w:t>
      </w:r>
      <w:r w:rsidRPr="00FF7D27">
        <w:rPr>
          <w:rFonts w:eastAsia="Calibri"/>
          <w:sz w:val="24"/>
          <w:szCs w:val="24"/>
        </w:rPr>
        <w:t xml:space="preserve"> </w:t>
      </w:r>
      <w:r w:rsidR="00704F99" w:rsidRPr="00FF7D27">
        <w:rPr>
          <w:rFonts w:eastAsia="Calibri"/>
          <w:sz w:val="24"/>
          <w:szCs w:val="24"/>
        </w:rPr>
        <w:t>out of four</w:t>
      </w:r>
      <w:r w:rsidRPr="00FF7D27">
        <w:rPr>
          <w:rFonts w:eastAsia="Calibri"/>
          <w:sz w:val="24"/>
          <w:szCs w:val="24"/>
        </w:rPr>
        <w:t xml:space="preserve"> smokers (73.4%) in Massachusetts today fall within one or more of the following socioeconomic or mental health categories: have poor mental health, are low socioeconomic status (less than a high school education or an income less than $25k), and/or have MassHealth insurance.</w:t>
      </w:r>
      <w:r w:rsidRPr="00FF7D27">
        <w:rPr>
          <w:rStyle w:val="EndnoteReference"/>
          <w:rFonts w:eastAsia="Calibri"/>
          <w:sz w:val="24"/>
          <w:szCs w:val="24"/>
        </w:rPr>
        <w:endnoteReference w:id="56"/>
      </w:r>
      <w:r w:rsidRPr="00FF7D27">
        <w:rPr>
          <w:rFonts w:eastAsia="Calibri"/>
          <w:sz w:val="24"/>
          <w:szCs w:val="24"/>
        </w:rPr>
        <w:t xml:space="preserve">   </w:t>
      </w:r>
    </w:p>
    <w:p w14:paraId="6EA33C87" w14:textId="77777777" w:rsidR="00945BDC" w:rsidRPr="00FF7D27" w:rsidRDefault="00945BDC">
      <w:pPr>
        <w:spacing w:before="0"/>
        <w:ind w:left="0" w:right="0"/>
        <w:jc w:val="left"/>
        <w:rPr>
          <w:rFonts w:eastAsia="Calibri"/>
          <w:sz w:val="24"/>
          <w:szCs w:val="24"/>
        </w:rPr>
      </w:pPr>
      <w:r w:rsidRPr="00FF7D27">
        <w:rPr>
          <w:rFonts w:eastAsia="Calibri"/>
          <w:sz w:val="24"/>
          <w:szCs w:val="24"/>
        </w:rPr>
        <w:br w:type="page"/>
      </w:r>
    </w:p>
    <w:p w14:paraId="1FF50D5B" w14:textId="5070E725"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8.8</w:t>
      </w:r>
    </w:p>
    <w:p w14:paraId="170E2DA9" w14:textId="43C9B73B" w:rsidR="00492AB1" w:rsidRPr="00FF7D27" w:rsidRDefault="00492AB1" w:rsidP="00E552D2">
      <w:pPr>
        <w:pStyle w:val="Subtitle"/>
        <w:spacing w:line="360" w:lineRule="auto"/>
        <w:ind w:right="-360"/>
        <w:jc w:val="center"/>
        <w:rPr>
          <w:b w:val="0"/>
          <w:sz w:val="24"/>
          <w:szCs w:val="24"/>
        </w:rPr>
      </w:pPr>
      <w:r w:rsidRPr="00FF7D27">
        <w:rPr>
          <w:sz w:val="24"/>
          <w:szCs w:val="24"/>
        </w:rPr>
        <w:t>Prevalence of Adult Smoking, by Socioeconomic and Mental Health Status, Massachusetts, 1996-201</w:t>
      </w:r>
      <w:r w:rsidR="000C6C16" w:rsidRPr="00FF7D27">
        <w:rPr>
          <w:sz w:val="24"/>
          <w:szCs w:val="24"/>
        </w:rPr>
        <w:t>5</w:t>
      </w:r>
    </w:p>
    <w:p w14:paraId="15FA5875" w14:textId="77777777" w:rsidR="00492AB1" w:rsidRPr="00FF7D27" w:rsidRDefault="00492AB1" w:rsidP="00E552D2">
      <w:pPr>
        <w:spacing w:line="360" w:lineRule="auto"/>
        <w:ind w:right="-360"/>
        <w:jc w:val="center"/>
        <w:rPr>
          <w:rFonts w:eastAsia="Calibri"/>
          <w:sz w:val="24"/>
          <w:szCs w:val="24"/>
        </w:rPr>
      </w:pPr>
      <w:r w:rsidRPr="00FF7D27">
        <w:rPr>
          <w:sz w:val="24"/>
          <w:szCs w:val="24"/>
        </w:rPr>
        <w:drawing>
          <wp:inline distT="0" distB="0" distL="0" distR="0" wp14:anchorId="1FEE88A2" wp14:editId="7990A82B">
            <wp:extent cx="5943600" cy="2470150"/>
            <wp:effectExtent l="0" t="0" r="0" b="6350"/>
            <wp:docPr id="681" name="Chart 681" descr="This line graph shows the trend of the percentage of adults who smoke from 1996 to 2015. There are four lines: one represents all adults, one represents adults with self-reported poor mental health, one represents those with low socioeconomic status and one line is for those with high socioeconomic status. Adults with poor mental health have had the highest smoking rates over time and those with high socioeconomic status have the lowest smoking rates over time. This line graph also shows that smoking prevalence among all adults has decreased over time from 22.7% in 1996 to 14% in 2015. In 1996, 39.2% of people with poor mental health were smokers compared to 30.1% in 2015. In 1996, 29.7% of adults with low socioeconomic status were smokers and in 2015, 20.7% were smokers. In 1996, 12.6% of adults with high socioeconomic status were smokers and in 2015, 8.4% were smokers. Since 1996, those with poor mental health and low socioeconomic status have consistently smoked at higher rates than the general population and that gap in the smoking rate has not diminished over tim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202C7D" w14:textId="078F41AB" w:rsidR="00492AB1" w:rsidRPr="00FF7D27" w:rsidRDefault="00EF6D5B" w:rsidP="00E552D2">
      <w:pPr>
        <w:pStyle w:val="SHAFigureNote"/>
        <w:spacing w:line="360" w:lineRule="auto"/>
        <w:rPr>
          <w:sz w:val="24"/>
          <w:szCs w:val="24"/>
        </w:rPr>
      </w:pPr>
      <w:r w:rsidRPr="00FF7D27">
        <w:rPr>
          <w:sz w:val="24"/>
          <w:szCs w:val="24"/>
        </w:rPr>
        <w:t xml:space="preserve">NOTES: POOR MENTAL HEALTH IS DEFINED AS 15+ DAYS OF POOR MENTAL HEALTH IN THE PAST MONTH; LOW SES IS DEFINED AS HOUSEHOLD INCOME OF LESS THAN $25K OR HIGH SCHOOL EDUCATION OR LESS; AND HIGH SES IS DEFINED AS HOUSEHOLD INCOME OF $75K OR MORE OR COLLEGE DEGREE; </w:t>
      </w:r>
      <w:r w:rsidR="009E7ECB" w:rsidRPr="00FF7D27">
        <w:rPr>
          <w:sz w:val="24"/>
          <w:szCs w:val="24"/>
        </w:rPr>
        <w:t xml:space="preserve">IN 2011 THERE WAS A </w:t>
      </w:r>
      <w:r w:rsidR="000C6C16" w:rsidRPr="00FF7D27">
        <w:rPr>
          <w:sz w:val="24"/>
          <w:szCs w:val="24"/>
        </w:rPr>
        <w:t>CHANGE IN SURVEY METHODOLOGY / WEIGHTING WHICH RESULTED IN A BREAK IN TREND</w:t>
      </w:r>
    </w:p>
    <w:p w14:paraId="2D5782CA" w14:textId="2D7E6112" w:rsidR="00492AB1" w:rsidRPr="00FF7D27" w:rsidRDefault="00492AB1" w:rsidP="00E552D2">
      <w:pPr>
        <w:spacing w:line="360" w:lineRule="auto"/>
        <w:ind w:right="-360"/>
        <w:rPr>
          <w:rFonts w:eastAsia="Calibri"/>
          <w:sz w:val="24"/>
          <w:szCs w:val="24"/>
        </w:rPr>
      </w:pPr>
      <w:r w:rsidRPr="00FF7D27">
        <w:rPr>
          <w:rFonts w:eastAsia="Calibri"/>
          <w:sz w:val="24"/>
          <w:szCs w:val="24"/>
        </w:rPr>
        <w:t>While adults of low socioeconomic status and/or poor mental health experience the highest smoking rates, disparities in smoking are also seen in adults with a disability and in adults who identify as LGBTQ. In 2015, compared to the overall</w:t>
      </w:r>
      <w:r w:rsidR="007812CC" w:rsidRPr="00FF7D27">
        <w:rPr>
          <w:rFonts w:eastAsia="Calibri"/>
          <w:sz w:val="24"/>
          <w:szCs w:val="24"/>
        </w:rPr>
        <w:t xml:space="preserve"> adult smoking prevalence of 14</w:t>
      </w:r>
      <w:r w:rsidRPr="00FF7D27">
        <w:rPr>
          <w:rFonts w:eastAsia="Calibri"/>
          <w:sz w:val="24"/>
          <w:szCs w:val="24"/>
        </w:rPr>
        <w:t>%, the smoking rate was 30.1% among adults with 15 or more poor mental health days in the past month, 24.2% among adults with MassHealth insurance, 23.6% among adults with less than $25,000 in annual household income, 23.4% among adults with a disability, 20.9% among adults with a high school education or less, and 17.8% among adults who identify as LGBTQ.</w:t>
      </w:r>
      <w:r w:rsidRPr="00FF7D27">
        <w:rPr>
          <w:rStyle w:val="EndnoteReference"/>
          <w:rFonts w:eastAsia="Calibri"/>
          <w:sz w:val="24"/>
          <w:szCs w:val="24"/>
        </w:rPr>
        <w:endnoteReference w:id="57"/>
      </w:r>
    </w:p>
    <w:p w14:paraId="11414EE3" w14:textId="6493D479" w:rsidR="00492AB1" w:rsidRPr="00FF7D27" w:rsidRDefault="00492AB1" w:rsidP="00E552D2">
      <w:pPr>
        <w:pStyle w:val="Heading3"/>
        <w:spacing w:line="360" w:lineRule="auto"/>
        <w:rPr>
          <w:sz w:val="24"/>
          <w:szCs w:val="24"/>
        </w:rPr>
      </w:pPr>
      <w:r w:rsidRPr="00FF7D27">
        <w:rPr>
          <w:sz w:val="24"/>
          <w:szCs w:val="24"/>
        </w:rPr>
        <w:t>Prevention/Other Tobacco Products</w:t>
      </w:r>
    </w:p>
    <w:p w14:paraId="117C033B" w14:textId="2479356E" w:rsidR="00492AB1" w:rsidRPr="00FF7D27" w:rsidRDefault="00492AB1" w:rsidP="00E552D2">
      <w:pPr>
        <w:spacing w:line="360" w:lineRule="auto"/>
        <w:ind w:right="-360"/>
        <w:rPr>
          <w:rFonts w:eastAsia="Calibri"/>
          <w:sz w:val="24"/>
          <w:szCs w:val="24"/>
        </w:rPr>
      </w:pPr>
      <w:r w:rsidRPr="00FF7D27">
        <w:rPr>
          <w:rFonts w:eastAsia="Calibri"/>
          <w:sz w:val="24"/>
          <w:szCs w:val="24"/>
        </w:rPr>
        <w:t>A total of 82% percent of adult smokers in Massachusetts smoked their first cigarette before age 19.</w:t>
      </w:r>
      <w:r w:rsidRPr="00FF7D27">
        <w:rPr>
          <w:rStyle w:val="EndnoteReference"/>
          <w:rFonts w:eastAsia="Calibri"/>
          <w:sz w:val="24"/>
          <w:szCs w:val="24"/>
        </w:rPr>
        <w:endnoteReference w:id="58"/>
      </w:r>
      <w:r w:rsidRPr="00FF7D27">
        <w:rPr>
          <w:rFonts w:eastAsia="Calibri"/>
          <w:sz w:val="24"/>
          <w:szCs w:val="24"/>
        </w:rPr>
        <w:t xml:space="preserve"> The earlier young people begin to smoke, the more likely they are to become addicted. In Massachusetts, more than 103,000 youth aged 0 to 17 </w:t>
      </w:r>
      <w:r w:rsidR="00704F99" w:rsidRPr="00FF7D27">
        <w:rPr>
          <w:rFonts w:eastAsia="Calibri"/>
          <w:sz w:val="24"/>
          <w:szCs w:val="24"/>
        </w:rPr>
        <w:t xml:space="preserve">years </w:t>
      </w:r>
      <w:r w:rsidRPr="00FF7D27">
        <w:rPr>
          <w:rFonts w:eastAsia="Calibri"/>
          <w:sz w:val="24"/>
          <w:szCs w:val="24"/>
        </w:rPr>
        <w:t>are projected to die from smoking.</w:t>
      </w:r>
      <w:r w:rsidRPr="00FF7D27">
        <w:rPr>
          <w:rFonts w:eastAsia="Calibri"/>
          <w:sz w:val="24"/>
          <w:szCs w:val="24"/>
          <w:vertAlign w:val="superscript"/>
        </w:rPr>
        <w:endnoteReference w:id="59"/>
      </w:r>
      <w:r w:rsidRPr="00FF7D27">
        <w:rPr>
          <w:rFonts w:eastAsia="Calibri"/>
          <w:sz w:val="24"/>
          <w:szCs w:val="24"/>
        </w:rPr>
        <w:t xml:space="preserve"> Tobacco prevention efforts among youth therefore remain an important initiative in Massachusetts.</w:t>
      </w:r>
    </w:p>
    <w:p w14:paraId="290045BC" w14:textId="53B89FDE" w:rsidR="00492AB1" w:rsidRPr="00FF7D27" w:rsidRDefault="00492AB1" w:rsidP="00E552D2">
      <w:pPr>
        <w:pStyle w:val="Heading4"/>
        <w:spacing w:line="360" w:lineRule="auto"/>
      </w:pPr>
      <w:r w:rsidRPr="00FF7D27">
        <w:lastRenderedPageBreak/>
        <w:t>Trends/Disparities</w:t>
      </w:r>
    </w:p>
    <w:p w14:paraId="0A7FFC51" w14:textId="10036B1D" w:rsidR="00492AB1" w:rsidRPr="00FF7D27" w:rsidRDefault="009837D5" w:rsidP="00E552D2">
      <w:pPr>
        <w:spacing w:line="360" w:lineRule="auto"/>
        <w:ind w:right="-360"/>
        <w:rPr>
          <w:rFonts w:eastAsia="Calibri"/>
          <w:sz w:val="24"/>
          <w:szCs w:val="24"/>
        </w:rPr>
      </w:pPr>
      <w:r w:rsidRPr="00FF7D27">
        <w:rPr>
          <w:rFonts w:ascii="Aileron" w:hAnsi="Aileron"/>
          <w:b/>
          <w:sz w:val="24"/>
          <w:szCs w:val="24"/>
        </w:rPr>
        <mc:AlternateContent>
          <mc:Choice Requires="wps">
            <w:drawing>
              <wp:anchor distT="0" distB="0" distL="114300" distR="114300" simplePos="0" relativeHeight="252036096" behindDoc="0" locked="0" layoutInCell="1" allowOverlap="1" wp14:anchorId="172105B4" wp14:editId="66133471">
                <wp:simplePos x="0" y="0"/>
                <wp:positionH relativeFrom="margin">
                  <wp:posOffset>3928110</wp:posOffset>
                </wp:positionH>
                <wp:positionV relativeFrom="margin">
                  <wp:posOffset>3111500</wp:posOffset>
                </wp:positionV>
                <wp:extent cx="2286000" cy="1498600"/>
                <wp:effectExtent l="0" t="0" r="0" b="6350"/>
                <wp:wrapSquare wrapText="bothSides"/>
                <wp:docPr id="30" name="Rectangle 30"/>
                <wp:cNvGraphicFramePr/>
                <a:graphic xmlns:a="http://schemas.openxmlformats.org/drawingml/2006/main">
                  <a:graphicData uri="http://schemas.microsoft.com/office/word/2010/wordprocessingShape">
                    <wps:wsp>
                      <wps:cNvSpPr/>
                      <wps:spPr>
                        <a:xfrm>
                          <a:off x="0" y="0"/>
                          <a:ext cx="2286000" cy="1498600"/>
                        </a:xfrm>
                        <a:prstGeom prst="rect">
                          <a:avLst/>
                        </a:prstGeom>
                        <a:solidFill>
                          <a:srgbClr val="EFF3FF"/>
                        </a:solidFill>
                        <a:ln w="12700" cap="flat" cmpd="sng" algn="ctr">
                          <a:noFill/>
                          <a:prstDash val="solid"/>
                          <a:miter lim="800000"/>
                        </a:ln>
                        <a:effectLst/>
                      </wps:spPr>
                      <wps:txbx>
                        <w:txbxContent>
                          <w:p w14:paraId="63F1BA74" w14:textId="7892C3B5" w:rsidR="0079760B" w:rsidRPr="009837D5" w:rsidRDefault="0079760B" w:rsidP="009837D5">
                            <w:pPr>
                              <w:shd w:val="clear" w:color="auto" w:fill="EFF3FF"/>
                              <w:ind w:left="0" w:right="17"/>
                              <w:jc w:val="left"/>
                              <w:rPr>
                                <w:color w:val="203864"/>
                                <w:sz w:val="24"/>
                                <w:szCs w:val="24"/>
                              </w:rPr>
                            </w:pPr>
                            <w:r w:rsidRPr="009837D5">
                              <w:rPr>
                                <w:color w:val="203864"/>
                                <w:sz w:val="24"/>
                                <w:szCs w:val="24"/>
                              </w:rPr>
                              <w:t>“Vaping and e-cigarettes are all the rage right now, especially with young people, yet we don’t have any data showing how it’s affecting population health.”</w:t>
                            </w:r>
                          </w:p>
                          <w:p w14:paraId="316AF6CF" w14:textId="25FFF6CA" w:rsidR="0079760B" w:rsidRPr="009837D5" w:rsidRDefault="0079760B" w:rsidP="009837D5">
                            <w:pPr>
                              <w:shd w:val="clear" w:color="auto" w:fill="EFF3FF"/>
                              <w:ind w:left="0" w:right="17"/>
                              <w:jc w:val="right"/>
                              <w:rPr>
                                <w:smallCaps/>
                                <w:color w:val="203864"/>
                                <w:sz w:val="20"/>
                                <w:szCs w:val="20"/>
                              </w:rPr>
                            </w:pPr>
                            <w:r w:rsidRPr="009837D5">
                              <w:rPr>
                                <w:color w:val="203864"/>
                                <w:sz w:val="20"/>
                                <w:szCs w:val="20"/>
                              </w:rPr>
                              <w:t>Focus Group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3" style="position:absolute;left:0;text-align:left;margin-left:309.3pt;margin-top:245pt;width:180pt;height:118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" fillcolor="#eff3ff" stroked="f" strokeweight="1pt">
                <v:textbox>
                  <w:txbxContent>
                    <w:p w14:paraId="63F1BA74" w14:textId="7892C3B5" w:rsidR="0079760B" w:rsidRPr="009837D5" w:rsidRDefault="0079760B" w:rsidP="009837D5">
                      <w:pPr>
                        <w:shd w:val="clear" w:color="auto" w:fill="EFF3FF"/>
                        <w:ind w:left="0" w:right="17"/>
                        <w:jc w:val="left"/>
                        <w:rPr>
                          <w:color w:val="203864"/>
                          <w:sz w:val="24"/>
                          <w:szCs w:val="24"/>
                        </w:rPr>
                      </w:pPr>
                      <w:r w:rsidRPr="009837D5">
                        <w:rPr>
                          <w:color w:val="203864"/>
                          <w:sz w:val="24"/>
                          <w:szCs w:val="24"/>
                        </w:rPr>
                        <w:t>“Vaping and e-cigarettes are all the rage right now, especially with young people, yet we don’t have any data showing how it’s affecting population health.”</w:t>
                      </w:r>
                    </w:p>
                    <w:p w14:paraId="316AF6CF" w14:textId="25FFF6CA" w:rsidR="0079760B" w:rsidRPr="009837D5" w:rsidRDefault="0079760B" w:rsidP="009837D5">
                      <w:pPr>
                        <w:shd w:val="clear" w:color="auto" w:fill="EFF3FF"/>
                        <w:ind w:left="0" w:right="17"/>
                        <w:jc w:val="right"/>
                        <w:rPr>
                          <w:smallCaps/>
                          <w:color w:val="203864"/>
                          <w:sz w:val="20"/>
                          <w:szCs w:val="20"/>
                        </w:rPr>
                      </w:pPr>
                      <w:r w:rsidRPr="009837D5">
                        <w:rPr>
                          <w:color w:val="203864"/>
                          <w:sz w:val="20"/>
                          <w:szCs w:val="20"/>
                        </w:rPr>
                        <w:t>Focus Group Participant</w:t>
                      </w:r>
                    </w:p>
                  </w:txbxContent>
                </v:textbox>
                <w10:wrap type="square" anchorx="margin" anchory="margin"/>
              </v:rect>
            </w:pict>
          </mc:Fallback>
        </mc:AlternateContent>
      </w:r>
      <w:r w:rsidR="00492AB1" w:rsidRPr="00FF7D27">
        <w:rPr>
          <w:rFonts w:eastAsia="Calibri"/>
          <w:sz w:val="24"/>
          <w:szCs w:val="24"/>
        </w:rPr>
        <w:t>Over the last 20 years, regular cigarette use among Massachusetts youth has declined by 78% to a historic low of 7.7% in 2015. However, tobacco products such as cigars, smokeless tobacco, and e-cigarettes have increased in popularity among youth because of their wide availability, attractive flavors, lower costs</w:t>
      </w:r>
      <w:r w:rsidR="00704F99" w:rsidRPr="00FF7D27">
        <w:rPr>
          <w:rFonts w:eastAsia="Calibri"/>
          <w:sz w:val="24"/>
          <w:szCs w:val="24"/>
        </w:rPr>
        <w:t>,</w:t>
      </w:r>
      <w:r w:rsidR="00492AB1" w:rsidRPr="00FF7D27">
        <w:rPr>
          <w:rFonts w:eastAsia="Calibri"/>
          <w:sz w:val="24"/>
          <w:szCs w:val="24"/>
        </w:rPr>
        <w:t xml:space="preserve"> and pervasive marketing.</w:t>
      </w:r>
      <w:r w:rsidR="00492AB1" w:rsidRPr="00FF7D27">
        <w:rPr>
          <w:rFonts w:eastAsia="Calibri"/>
          <w:sz w:val="24"/>
          <w:szCs w:val="24"/>
          <w:vertAlign w:val="superscript"/>
        </w:rPr>
        <w:endnoteReference w:id="60"/>
      </w:r>
    </w:p>
    <w:p w14:paraId="6AFF59AF" w14:textId="52B068FC" w:rsidR="00492AB1" w:rsidRPr="00FF7D27" w:rsidRDefault="00492AB1" w:rsidP="00E552D2">
      <w:pPr>
        <w:spacing w:line="360" w:lineRule="auto"/>
        <w:ind w:right="-360"/>
        <w:rPr>
          <w:rFonts w:eastAsia="Calibri"/>
          <w:sz w:val="24"/>
          <w:szCs w:val="24"/>
        </w:rPr>
      </w:pPr>
      <w:r w:rsidRPr="00FF7D27">
        <w:rPr>
          <w:rFonts w:eastAsia="Calibri"/>
          <w:sz w:val="24"/>
          <w:szCs w:val="24"/>
        </w:rPr>
        <w:t>In 2015, the rate of current cigar use was 10.4% and rate of Electronic Nicotine Delivery Products (E-NDP) use (i.e.</w:t>
      </w:r>
      <w:r w:rsidR="00133A04" w:rsidRPr="00FF7D27">
        <w:rPr>
          <w:rFonts w:eastAsia="Calibri"/>
          <w:sz w:val="24"/>
          <w:szCs w:val="24"/>
        </w:rPr>
        <w:t xml:space="preserve"> e-cigarettes and e-hookah) </w:t>
      </w:r>
      <w:r w:rsidRPr="00FF7D27">
        <w:rPr>
          <w:rFonts w:eastAsia="Calibri"/>
          <w:sz w:val="24"/>
          <w:szCs w:val="24"/>
        </w:rPr>
        <w:t xml:space="preserve">was 23.7% among high school students </w:t>
      </w:r>
      <w:r w:rsidRPr="00FF7D27">
        <w:rPr>
          <w:rFonts w:eastAsia="Calibri"/>
          <w:b/>
          <w:sz w:val="24"/>
          <w:szCs w:val="24"/>
        </w:rPr>
        <w:t>(Figure 8.9)</w:t>
      </w:r>
      <w:r w:rsidRPr="00FF7D27">
        <w:rPr>
          <w:rFonts w:eastAsia="Calibri"/>
          <w:sz w:val="24"/>
          <w:szCs w:val="24"/>
        </w:rPr>
        <w:t>. The prevalence of E-NDP use far exceeded use of all other tobacco products combined (23.7% vs. 15.9%). Furthermore, nearly 1 in 2 high school students (44.8%) reported ever trying E-NDPs compared to 27.8% of high school students who have ever tried smoking a cigarette.</w:t>
      </w:r>
      <w:r w:rsidRPr="00FF7D27">
        <w:rPr>
          <w:rStyle w:val="EndnoteReference"/>
          <w:rFonts w:eastAsia="Calibri"/>
          <w:sz w:val="24"/>
          <w:szCs w:val="24"/>
        </w:rPr>
        <w:endnoteReference w:id="61"/>
      </w:r>
    </w:p>
    <w:p w14:paraId="739122FD" w14:textId="17E5A3A9" w:rsidR="009837D5" w:rsidRPr="00FF7D27" w:rsidRDefault="009837D5" w:rsidP="00E552D2">
      <w:pPr>
        <w:pStyle w:val="Heading2"/>
        <w:keepNext/>
        <w:spacing w:line="360" w:lineRule="auto"/>
        <w:ind w:right="-360"/>
        <w:rPr>
          <w:sz w:val="24"/>
          <w:szCs w:val="24"/>
        </w:rPr>
      </w:pPr>
      <w:r w:rsidRPr="00FF7D27">
        <w:rPr>
          <w:sz w:val="24"/>
          <w:szCs w:val="24"/>
        </w:rPr>
        <w:t xml:space="preserve">Smoking Cessation </w:t>
      </w:r>
    </w:p>
    <w:p w14:paraId="21F8295E" w14:textId="05EE80DA" w:rsidR="009837D5" w:rsidRPr="00FF7D27" w:rsidRDefault="009837D5" w:rsidP="00E552D2">
      <w:pPr>
        <w:tabs>
          <w:tab w:val="left" w:pos="6570"/>
          <w:tab w:val="left" w:pos="9360"/>
        </w:tabs>
        <w:spacing w:before="0" w:after="0" w:line="360" w:lineRule="auto"/>
        <w:ind w:right="-360"/>
        <w:rPr>
          <w:sz w:val="24"/>
          <w:szCs w:val="24"/>
        </w:rPr>
      </w:pPr>
      <w:r w:rsidRPr="00FF7D27">
        <w:rPr>
          <w:sz w:val="24"/>
          <w:szCs w:val="24"/>
        </w:rPr>
        <w:t>Stress due to social, emotional, and environmental factors is a barrier to cessation shared by many subpopulations that have more difficulty quitting.</w:t>
      </w:r>
      <w:r w:rsidRPr="00FF7D27">
        <w:rPr>
          <w:rStyle w:val="EndnoteReference"/>
          <w:sz w:val="24"/>
          <w:szCs w:val="24"/>
        </w:rPr>
        <w:endnoteReference w:id="62"/>
      </w:r>
      <w:r w:rsidRPr="00FF7D27">
        <w:rPr>
          <w:sz w:val="24"/>
          <w:szCs w:val="24"/>
          <w:vertAlign w:val="superscript"/>
        </w:rPr>
        <w:t>,</w:t>
      </w:r>
      <w:r w:rsidRPr="00FF7D27">
        <w:rPr>
          <w:rStyle w:val="EndnoteReference"/>
          <w:sz w:val="24"/>
          <w:szCs w:val="24"/>
        </w:rPr>
        <w:endnoteReference w:id="63"/>
      </w:r>
      <w:r w:rsidRPr="00FF7D27">
        <w:rPr>
          <w:sz w:val="24"/>
          <w:szCs w:val="24"/>
        </w:rPr>
        <w:t xml:space="preserve">  Oftentimes, these individuals have </w:t>
      </w:r>
      <w:r w:rsidRPr="00FF7D27">
        <w:rPr>
          <w:rFonts w:cstheme="minorHAnsi"/>
          <w:sz w:val="24"/>
          <w:szCs w:val="24"/>
        </w:rPr>
        <w:t>less support for quitting, lower motivation to quit, stronger addiction to tobacco, increased likelihood of not completing courses of pharmacotherapy or behavioral support sessions, and greater exposure to tobacco industry marketing that prevent them from successfully quitting.</w:t>
      </w:r>
      <w:r w:rsidRPr="00FF7D27">
        <w:rPr>
          <w:rStyle w:val="EndnoteReference"/>
          <w:rFonts w:cstheme="minorHAnsi"/>
          <w:sz w:val="24"/>
          <w:szCs w:val="24"/>
        </w:rPr>
        <w:endnoteReference w:id="64"/>
      </w:r>
    </w:p>
    <w:p w14:paraId="12A4BA86" w14:textId="77777777" w:rsidR="00FF7D27" w:rsidRDefault="00FF7D27">
      <w:pPr>
        <w:spacing w:before="0"/>
        <w:ind w:left="0" w:right="0"/>
        <w:jc w:val="left"/>
        <w:rPr>
          <w:b/>
          <w:sz w:val="24"/>
          <w:szCs w:val="24"/>
        </w:rPr>
      </w:pPr>
      <w:r>
        <w:rPr>
          <w:b/>
          <w:sz w:val="24"/>
          <w:szCs w:val="24"/>
        </w:rPr>
        <w:br w:type="page"/>
      </w:r>
    </w:p>
    <w:p w14:paraId="6120797F" w14:textId="0D7668F2"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8.9</w:t>
      </w:r>
    </w:p>
    <w:p w14:paraId="35E1DEC5" w14:textId="47373CE4" w:rsidR="00492AB1" w:rsidRPr="00FF7D27" w:rsidRDefault="00492AB1" w:rsidP="00E552D2">
      <w:pPr>
        <w:pStyle w:val="Subtitle"/>
        <w:spacing w:line="360" w:lineRule="auto"/>
        <w:ind w:right="-360"/>
        <w:jc w:val="center"/>
        <w:rPr>
          <w:b w:val="0"/>
          <w:i/>
          <w:sz w:val="24"/>
          <w:szCs w:val="24"/>
        </w:rPr>
      </w:pPr>
      <w:r w:rsidRPr="00FF7D27">
        <w:rPr>
          <w:sz w:val="24"/>
          <w:szCs w:val="24"/>
        </w:rPr>
        <w:t>Percent of High School Students Reporting Cu</w:t>
      </w:r>
      <w:r w:rsidR="00704F99" w:rsidRPr="00FF7D27">
        <w:rPr>
          <w:sz w:val="24"/>
          <w:szCs w:val="24"/>
        </w:rPr>
        <w:t>rrent U</w:t>
      </w:r>
      <w:r w:rsidR="007A09E6" w:rsidRPr="00FF7D27">
        <w:rPr>
          <w:sz w:val="24"/>
          <w:szCs w:val="24"/>
        </w:rPr>
        <w:t xml:space="preserve">se of Tobacco Products, by </w:t>
      </w:r>
      <w:r w:rsidRPr="00FF7D27">
        <w:rPr>
          <w:sz w:val="24"/>
          <w:szCs w:val="24"/>
        </w:rPr>
        <w:t>Product, Massachusetts, 2015</w:t>
      </w:r>
    </w:p>
    <w:p w14:paraId="352BF90B" w14:textId="3C4560D1" w:rsidR="00492AB1" w:rsidRPr="00FF7D27" w:rsidRDefault="00492AB1" w:rsidP="00E552D2">
      <w:pPr>
        <w:spacing w:line="360" w:lineRule="auto"/>
        <w:ind w:right="-360"/>
        <w:jc w:val="center"/>
        <w:rPr>
          <w:rFonts w:eastAsia="Calibri"/>
          <w:sz w:val="24"/>
          <w:szCs w:val="24"/>
        </w:rPr>
      </w:pPr>
      <w:r w:rsidRPr="00FF7D27">
        <w:rPr>
          <w:sz w:val="24"/>
          <w:szCs w:val="24"/>
        </w:rPr>
        <w:drawing>
          <wp:inline distT="0" distB="0" distL="0" distR="0" wp14:anchorId="1D7C9257" wp14:editId="6793685F">
            <wp:extent cx="5362575" cy="2686051"/>
            <wp:effectExtent l="0" t="0" r="0" b="0"/>
            <wp:docPr id="699" name="Chart 699" descr="This vertical bar graph has five separate bars that show the percent of high school students that report use of different tobacco products such as cigarettes, cigars, smokeless tobacco and electronic nicotine delivery products (E-NDP). In 2015, 15.9% of high school youth used any tobacco product excluding E-NDPs. 7.7% of high school students used cigarettes, 10.4% used cigars, 5.5% used smokeless tobacco and 23.7% used electronic nicotine delivery product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CAE52C" w14:textId="53FB4D1D" w:rsidR="00492AB1" w:rsidRPr="00FF7D27" w:rsidRDefault="00492AB1" w:rsidP="00E552D2">
      <w:pPr>
        <w:pStyle w:val="Heading4"/>
        <w:spacing w:line="360" w:lineRule="auto"/>
        <w:rPr>
          <w:rFonts w:eastAsia="Calibri"/>
        </w:rPr>
      </w:pPr>
      <w:r w:rsidRPr="00FF7D27">
        <w:t>Trends/Disparities</w:t>
      </w:r>
    </w:p>
    <w:p w14:paraId="1AC6C0B9" w14:textId="29D1D382" w:rsidR="00492AB1" w:rsidRPr="00FF7D27" w:rsidRDefault="00945BDC" w:rsidP="00E552D2">
      <w:pPr>
        <w:spacing w:line="360" w:lineRule="auto"/>
        <w:ind w:right="-360"/>
        <w:rPr>
          <w:rFonts w:eastAsia="Calibri"/>
          <w:sz w:val="24"/>
          <w:szCs w:val="24"/>
        </w:rPr>
      </w:pPr>
      <w:r w:rsidRPr="00FF7D27">
        <w:rPr>
          <w:rFonts w:ascii="Aileron" w:hAnsi="Aileron"/>
          <w:b/>
          <w:sz w:val="24"/>
          <w:szCs w:val="24"/>
        </w:rPr>
        <mc:AlternateContent>
          <mc:Choice Requires="wps">
            <w:drawing>
              <wp:anchor distT="0" distB="0" distL="114300" distR="114300" simplePos="0" relativeHeight="252076032" behindDoc="0" locked="0" layoutInCell="1" allowOverlap="1" wp14:anchorId="4857AC87" wp14:editId="71ABF16C">
                <wp:simplePos x="0" y="0"/>
                <wp:positionH relativeFrom="margin">
                  <wp:posOffset>4356735</wp:posOffset>
                </wp:positionH>
                <wp:positionV relativeFrom="margin">
                  <wp:posOffset>4448810</wp:posOffset>
                </wp:positionV>
                <wp:extent cx="2286000" cy="1320800"/>
                <wp:effectExtent l="0" t="0" r="0" b="0"/>
                <wp:wrapSquare wrapText="bothSides"/>
                <wp:docPr id="674" name="Rectangle 674"/>
                <wp:cNvGraphicFramePr/>
                <a:graphic xmlns:a="http://schemas.openxmlformats.org/drawingml/2006/main">
                  <a:graphicData uri="http://schemas.microsoft.com/office/word/2010/wordprocessingShape">
                    <wps:wsp>
                      <wps:cNvSpPr/>
                      <wps:spPr>
                        <a:xfrm>
                          <a:off x="0" y="0"/>
                          <a:ext cx="2286000" cy="1320800"/>
                        </a:xfrm>
                        <a:prstGeom prst="rect">
                          <a:avLst/>
                        </a:prstGeom>
                        <a:solidFill>
                          <a:srgbClr val="EFF3FF"/>
                        </a:solidFill>
                        <a:ln w="12700" cap="flat" cmpd="sng" algn="ctr">
                          <a:noFill/>
                          <a:prstDash val="solid"/>
                          <a:miter lim="800000"/>
                        </a:ln>
                        <a:effectLst/>
                      </wps:spPr>
                      <wps:txbx>
                        <w:txbxContent>
                          <w:p w14:paraId="3B04FCE2" w14:textId="77777777" w:rsidR="0079760B" w:rsidRPr="009837D5" w:rsidRDefault="0079760B" w:rsidP="009837D5">
                            <w:pPr>
                              <w:shd w:val="clear" w:color="auto" w:fill="EFF3FF"/>
                              <w:ind w:left="0" w:right="17"/>
                              <w:jc w:val="left"/>
                              <w:rPr>
                                <w:color w:val="203864"/>
                                <w:sz w:val="24"/>
                                <w:szCs w:val="24"/>
                              </w:rPr>
                            </w:pPr>
                            <w:r w:rsidRPr="009837D5">
                              <w:rPr>
                                <w:color w:val="203864"/>
                                <w:sz w:val="24"/>
                                <w:szCs w:val="24"/>
                              </w:rPr>
                              <w:t>“I know I shouldn’t be smoking -- especially with a lung collapse. But I’m not ready now.  There’s too much stress.”</w:t>
                            </w:r>
                          </w:p>
                          <w:p w14:paraId="496645D0" w14:textId="1CBBA7EB" w:rsidR="0079760B" w:rsidRPr="009837D5" w:rsidRDefault="0079760B" w:rsidP="009837D5">
                            <w:pPr>
                              <w:shd w:val="clear" w:color="auto" w:fill="EFF3FF"/>
                              <w:ind w:left="0" w:right="17"/>
                              <w:jc w:val="right"/>
                              <w:rPr>
                                <w:smallCaps/>
                                <w:color w:val="203864"/>
                                <w:sz w:val="20"/>
                                <w:szCs w:val="20"/>
                              </w:rPr>
                            </w:pPr>
                            <w:r w:rsidRPr="009837D5">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4" o:spid="_x0000_s1034" style="position:absolute;left:0;text-align:left;margin-left:343.05pt;margin-top:350.3pt;width:180pt;height:104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" fillcolor="#eff3ff" stroked="f" strokeweight="1pt">
                <v:textbox>
                  <w:txbxContent>
                    <w:p w14:paraId="3B04FCE2" w14:textId="77777777" w:rsidR="0079760B" w:rsidRPr="009837D5" w:rsidRDefault="0079760B" w:rsidP="009837D5">
                      <w:pPr>
                        <w:shd w:val="clear" w:color="auto" w:fill="EFF3FF"/>
                        <w:ind w:left="0" w:right="17"/>
                        <w:jc w:val="left"/>
                        <w:rPr>
                          <w:color w:val="203864"/>
                          <w:sz w:val="24"/>
                          <w:szCs w:val="24"/>
                        </w:rPr>
                      </w:pPr>
                      <w:r w:rsidRPr="009837D5">
                        <w:rPr>
                          <w:color w:val="203864"/>
                          <w:sz w:val="24"/>
                          <w:szCs w:val="24"/>
                        </w:rPr>
                        <w:t>“I know I shouldn’t be smoking -- especially with a lung collapse. But I’m not ready now.  There’s too much stress.”</w:t>
                      </w:r>
                    </w:p>
                    <w:p w14:paraId="496645D0" w14:textId="1CBBA7EB" w:rsidR="0079760B" w:rsidRPr="009837D5" w:rsidRDefault="0079760B" w:rsidP="009837D5">
                      <w:pPr>
                        <w:shd w:val="clear" w:color="auto" w:fill="EFF3FF"/>
                        <w:ind w:left="0" w:right="17"/>
                        <w:jc w:val="right"/>
                        <w:rPr>
                          <w:smallCaps/>
                          <w:color w:val="203864"/>
                          <w:sz w:val="20"/>
                          <w:szCs w:val="20"/>
                        </w:rPr>
                      </w:pPr>
                      <w:r w:rsidRPr="009837D5">
                        <w:rPr>
                          <w:color w:val="203864"/>
                          <w:sz w:val="20"/>
                          <w:szCs w:val="20"/>
                        </w:rPr>
                        <w:t>Key Informant Interviewee</w:t>
                      </w:r>
                    </w:p>
                  </w:txbxContent>
                </v:textbox>
                <w10:wrap type="square" anchorx="margin" anchory="margin"/>
              </v:rect>
            </w:pict>
          </mc:Fallback>
        </mc:AlternateContent>
      </w:r>
      <w:r w:rsidR="00492AB1" w:rsidRPr="00FF7D27">
        <w:rPr>
          <w:rFonts w:eastAsia="Calibri"/>
          <w:sz w:val="24"/>
          <w:szCs w:val="24"/>
        </w:rPr>
        <w:t>In 2015, 61% of current smokers in Massachusetts tried to quit in the past year and the prevalence of successful quitting among adult</w:t>
      </w:r>
      <w:r w:rsidR="00133A04" w:rsidRPr="00FF7D27">
        <w:rPr>
          <w:rFonts w:eastAsia="Calibri"/>
          <w:sz w:val="24"/>
          <w:szCs w:val="24"/>
        </w:rPr>
        <w:t>s</w:t>
      </w:r>
      <w:r w:rsidR="00492AB1" w:rsidRPr="00FF7D27">
        <w:rPr>
          <w:rFonts w:eastAsia="Calibri"/>
          <w:sz w:val="24"/>
          <w:szCs w:val="24"/>
        </w:rPr>
        <w:t xml:space="preserve"> who ever smoked was 65.8%.</w:t>
      </w:r>
    </w:p>
    <w:p w14:paraId="55DC36DF" w14:textId="694690BC"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Although the percentage of smokers who made a quit attempt were similar among different population groups, the prevalence of successful quitting varied by social and economic factors. </w:t>
      </w:r>
    </w:p>
    <w:p w14:paraId="7C31F5A8" w14:textId="256CF4CF" w:rsidR="00492AB1" w:rsidRPr="00FF7D27" w:rsidRDefault="00492AB1" w:rsidP="00E552D2">
      <w:pPr>
        <w:spacing w:line="360" w:lineRule="auto"/>
        <w:ind w:right="-360"/>
        <w:rPr>
          <w:rFonts w:eastAsia="Calibri"/>
          <w:sz w:val="24"/>
          <w:szCs w:val="24"/>
        </w:rPr>
      </w:pPr>
      <w:r w:rsidRPr="00FF7D27">
        <w:rPr>
          <w:rFonts w:eastAsia="Calibri"/>
          <w:sz w:val="24"/>
          <w:szCs w:val="24"/>
        </w:rPr>
        <w:t>The prevalence of successful quitting experiences was lower among smokers with poor mental health (44.4%), adults with less than $25,000 household income (52.3%), those with a high school education or less (57.5%), adults with a disability (58.2%), and adults who identified as LGBTQ (5</w:t>
      </w:r>
      <w:r w:rsidR="00704F99" w:rsidRPr="00FF7D27">
        <w:rPr>
          <w:rFonts w:eastAsia="Calibri"/>
          <w:sz w:val="24"/>
          <w:szCs w:val="24"/>
        </w:rPr>
        <w:t>8.2%)</w:t>
      </w:r>
      <w:r w:rsidRPr="00FF7D27">
        <w:rPr>
          <w:rFonts w:eastAsia="Calibri"/>
          <w:sz w:val="24"/>
          <w:szCs w:val="24"/>
        </w:rPr>
        <w:t xml:space="preserve"> </w:t>
      </w:r>
      <w:r w:rsidRPr="00FF7D27">
        <w:rPr>
          <w:rFonts w:eastAsia="Calibri"/>
          <w:b/>
          <w:sz w:val="24"/>
          <w:szCs w:val="24"/>
        </w:rPr>
        <w:t>(</w:t>
      </w:r>
      <w:r w:rsidR="00704F99" w:rsidRPr="00FF7D27">
        <w:rPr>
          <w:rFonts w:eastAsia="Calibri"/>
          <w:b/>
          <w:sz w:val="24"/>
          <w:szCs w:val="24"/>
        </w:rPr>
        <w:t>see</w:t>
      </w:r>
      <w:r w:rsidR="00704F99" w:rsidRPr="00FF7D27">
        <w:rPr>
          <w:rFonts w:eastAsia="Calibri"/>
          <w:sz w:val="24"/>
          <w:szCs w:val="24"/>
        </w:rPr>
        <w:t xml:space="preserve"> </w:t>
      </w:r>
      <w:r w:rsidRPr="00FF7D27">
        <w:rPr>
          <w:rFonts w:eastAsia="Calibri"/>
          <w:b/>
          <w:sz w:val="24"/>
          <w:szCs w:val="24"/>
        </w:rPr>
        <w:t>Figure 8.10</w:t>
      </w:r>
      <w:r w:rsidRPr="00FF7D27">
        <w:rPr>
          <w:rFonts w:eastAsia="Calibri"/>
          <w:sz w:val="24"/>
          <w:szCs w:val="24"/>
        </w:rPr>
        <w:t xml:space="preserve">) The prevalence of successful quitting is also significantly lower among Black non-Hispanic (51.1%) and Hispanic (58.7%) adults compared to White non-Hispanic adults (67.9%). </w:t>
      </w:r>
    </w:p>
    <w:p w14:paraId="47941824" w14:textId="77777777" w:rsidR="009837D5" w:rsidRPr="00FF7D27" w:rsidRDefault="009837D5" w:rsidP="00E552D2">
      <w:pPr>
        <w:pStyle w:val="Heading3"/>
        <w:spacing w:line="360" w:lineRule="auto"/>
        <w:rPr>
          <w:sz w:val="24"/>
          <w:szCs w:val="24"/>
        </w:rPr>
      </w:pPr>
      <w:r w:rsidRPr="00FF7D27">
        <w:rPr>
          <w:sz w:val="24"/>
          <w:szCs w:val="24"/>
        </w:rPr>
        <w:lastRenderedPageBreak/>
        <w:t>Secondhand Smoke</w:t>
      </w:r>
    </w:p>
    <w:p w14:paraId="176EFC17" w14:textId="77777777" w:rsidR="009837D5" w:rsidRPr="00FF7D27" w:rsidRDefault="009837D5" w:rsidP="00E552D2">
      <w:pPr>
        <w:spacing w:line="360" w:lineRule="auto"/>
        <w:ind w:right="-360"/>
        <w:rPr>
          <w:rFonts w:eastAsia="Calibri"/>
          <w:sz w:val="24"/>
          <w:szCs w:val="24"/>
        </w:rPr>
      </w:pPr>
      <w:r w:rsidRPr="00FF7D27">
        <w:rPr>
          <w:rFonts w:eastAsia="Calibri"/>
          <w:sz w:val="24"/>
          <w:szCs w:val="24"/>
        </w:rPr>
        <w:t>In Massachusetts, an estimated 1,000 or more adults and children die from exposure to secondhand smoke each year.</w:t>
      </w:r>
      <w:r w:rsidRPr="00FF7D27">
        <w:rPr>
          <w:rStyle w:val="EndnoteReference"/>
          <w:rFonts w:eastAsia="Calibri"/>
          <w:sz w:val="24"/>
          <w:szCs w:val="24"/>
        </w:rPr>
        <w:endnoteReference w:id="65"/>
      </w:r>
      <w:r w:rsidRPr="00FF7D27">
        <w:rPr>
          <w:rFonts w:eastAsia="Calibri"/>
          <w:sz w:val="24"/>
          <w:szCs w:val="24"/>
        </w:rPr>
        <w:t xml:space="preserve"> In 2004, the Massachusetts Legislature enacted a statewide smoking ban in workplaces, restaurants, and bars. Since then, exposure to secondhand tobacco smoke has declined. However, nonsmokers continue to report exposure to secondhand smoke in their homes or in worksites that are non-compliant and in private vehicles.</w:t>
      </w:r>
      <w:r w:rsidRPr="00FF7D27">
        <w:rPr>
          <w:rStyle w:val="EndnoteReference"/>
          <w:rFonts w:eastAsia="Calibri"/>
          <w:sz w:val="24"/>
          <w:szCs w:val="24"/>
        </w:rPr>
        <w:endnoteReference w:id="66"/>
      </w:r>
    </w:p>
    <w:p w14:paraId="17C9BE1F" w14:textId="77777777" w:rsidR="009837D5" w:rsidRPr="00FF7D27" w:rsidRDefault="009837D5" w:rsidP="00E552D2">
      <w:pPr>
        <w:spacing w:line="360" w:lineRule="auto"/>
        <w:ind w:right="-360"/>
        <w:rPr>
          <w:rFonts w:eastAsia="Calibri"/>
          <w:sz w:val="24"/>
          <w:szCs w:val="24"/>
          <w:vertAlign w:val="superscript"/>
        </w:rPr>
      </w:pPr>
      <w:r w:rsidRPr="00FF7D27">
        <w:rPr>
          <w:rFonts w:eastAsia="Calibri"/>
          <w:sz w:val="24"/>
          <w:szCs w:val="24"/>
        </w:rPr>
        <w:t>Currently, more than 896,000 adults and 148,000 children are potentially exposed to secondhand smoke because they live in a household and/or building that allows smoking indoors. Residents living in multi-unit housing without a smoke-free policy are nearly twice as likely to have a child with asthma compared to residents living in housing with a smoke-free policy (16.3% versus 8.8%).</w:t>
      </w:r>
      <w:r w:rsidRPr="00FF7D27">
        <w:rPr>
          <w:rStyle w:val="EndnoteReference"/>
          <w:rFonts w:eastAsia="Calibri"/>
          <w:sz w:val="24"/>
          <w:szCs w:val="24"/>
        </w:rPr>
        <w:endnoteReference w:id="67"/>
      </w:r>
    </w:p>
    <w:p w14:paraId="1CDFAC75" w14:textId="77777777" w:rsidR="009837D5" w:rsidRPr="00FF7D27" w:rsidRDefault="009837D5" w:rsidP="00E552D2">
      <w:pPr>
        <w:spacing w:line="360" w:lineRule="auto"/>
        <w:ind w:right="-360"/>
        <w:rPr>
          <w:rFonts w:eastAsia="Calibri"/>
          <w:sz w:val="24"/>
          <w:szCs w:val="24"/>
        </w:rPr>
      </w:pPr>
    </w:p>
    <w:p w14:paraId="23AA1669" w14:textId="565DAA80"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8.10 </w:t>
      </w:r>
    </w:p>
    <w:p w14:paraId="4F2A6EAB" w14:textId="4FB1CC01" w:rsidR="00492AB1" w:rsidRPr="00FF7D27" w:rsidRDefault="00492AB1" w:rsidP="00E552D2">
      <w:pPr>
        <w:pStyle w:val="Subtitle"/>
        <w:keepNext/>
        <w:spacing w:line="360" w:lineRule="auto"/>
        <w:ind w:right="-360"/>
        <w:jc w:val="center"/>
        <w:rPr>
          <w:b w:val="0"/>
          <w:i/>
          <w:sz w:val="24"/>
          <w:szCs w:val="24"/>
        </w:rPr>
      </w:pPr>
      <w:r w:rsidRPr="00FF7D27">
        <w:rPr>
          <w:sz w:val="24"/>
          <w:szCs w:val="24"/>
        </w:rPr>
        <w:t xml:space="preserve">Percent of Adults Who Reported </w:t>
      </w:r>
      <w:r w:rsidR="007A09E6" w:rsidRPr="00FF7D27">
        <w:rPr>
          <w:sz w:val="24"/>
          <w:szCs w:val="24"/>
        </w:rPr>
        <w:t>Successfully Quitting Smoking, b</w:t>
      </w:r>
      <w:r w:rsidRPr="00FF7D27">
        <w:rPr>
          <w:sz w:val="24"/>
          <w:szCs w:val="24"/>
        </w:rPr>
        <w:t>y Subgroup, Massachusetts, 2015</w:t>
      </w:r>
    </w:p>
    <w:p w14:paraId="29E47CA0" w14:textId="77777777" w:rsidR="00492AB1" w:rsidRPr="00FF7D27" w:rsidRDefault="00492AB1" w:rsidP="00E552D2">
      <w:pPr>
        <w:spacing w:line="360" w:lineRule="auto"/>
        <w:ind w:right="-360"/>
        <w:jc w:val="center"/>
        <w:rPr>
          <w:rFonts w:eastAsia="Calibri"/>
          <w:sz w:val="24"/>
          <w:szCs w:val="24"/>
        </w:rPr>
      </w:pPr>
      <w:r w:rsidRPr="00FF7D27">
        <w:rPr>
          <w:sz w:val="24"/>
          <w:szCs w:val="24"/>
        </w:rPr>
        <w:drawing>
          <wp:inline distT="0" distB="0" distL="0" distR="0" wp14:anchorId="581D6027" wp14:editId="3B4D1A6D">
            <wp:extent cx="5353052" cy="4759326"/>
            <wp:effectExtent l="0" t="0" r="0" b="3175"/>
            <wp:docPr id="238" name="Chart 238" descr="This horizontal bar graph features ten bars that show the percent of adults that have successfully quit smoking by population sub-group. The sub-groups range from those that report less successful quitting of smoking and those that report more successful quitting of smoking. &#10;&#10;In 2015, 65.8% of all adults who have ever smoked had successfully quit smoking.  Among adult ever smokers who are less likely to quit, 42.5% of ever smokers on MassHealth reported successfully quitting, 44.4% of ever smokers with poor mental health reported successfully quitting and 52.3% of ever smokers with less than $25,000 household income reported successfully quitting. &#10;&#10;Furthermore, 57.5% of ever smokers with a high school education or less reported successfully quitting, 58.2% of ever smokers with a disability and reported successfully quitting and 58.2% of ever smokers who identified as LGBTQ reported successfully quitting. Among adult ever smokers who are more likely to quit, 67.8% of ever smokers on private health insurance reported successfully quitting, 74.8% of ever smokers with $75,000 or more household income reported successfully quitting and 80.8% of ever smokers with a college degree reported successfully quitting.&#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CDDDE5" w14:textId="77777777" w:rsidR="00492AB1" w:rsidRPr="00FF7D27" w:rsidRDefault="00492AB1" w:rsidP="00E552D2">
      <w:pPr>
        <w:pStyle w:val="Heading4"/>
        <w:spacing w:line="360" w:lineRule="auto"/>
      </w:pPr>
      <w:r w:rsidRPr="00FF7D27">
        <w:t>Trends/Disparities</w:t>
      </w:r>
    </w:p>
    <w:p w14:paraId="42C66EEF"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Exposure to secondhand smoke among adult nonsmokers declined in Massachusetts from 32% in 2002 to 12.6% in 2015. However, an estimated 459,772 adult nonsmokers continue to be exposed to secondhand smoke at home, work, or other places for more than one hour per week.</w:t>
      </w:r>
      <w:r w:rsidRPr="00FF7D27">
        <w:rPr>
          <w:rStyle w:val="EndnoteReference"/>
          <w:rFonts w:eastAsia="Calibri"/>
          <w:sz w:val="24"/>
          <w:szCs w:val="24"/>
        </w:rPr>
        <w:endnoteReference w:id="68"/>
      </w:r>
    </w:p>
    <w:p w14:paraId="519AB15F" w14:textId="77777777" w:rsidR="00492AB1" w:rsidRPr="00FF7D27" w:rsidRDefault="00492AB1" w:rsidP="00E552D2">
      <w:pPr>
        <w:spacing w:line="360" w:lineRule="auto"/>
        <w:ind w:right="-360"/>
        <w:rPr>
          <w:rFonts w:eastAsia="Calibri"/>
          <w:sz w:val="24"/>
          <w:szCs w:val="24"/>
        </w:rPr>
      </w:pPr>
      <w:r w:rsidRPr="00FF7D27">
        <w:rPr>
          <w:sz w:val="24"/>
          <w:szCs w:val="24"/>
        </w:rPr>
        <w:t>In 2015, exposure to secondhand smoke among nonsmokers was most prevalent among adults with MassHealth insuran</w:t>
      </w:r>
      <w:r w:rsidRPr="00FF7D27">
        <w:rPr>
          <w:color w:val="000000" w:themeColor="text1"/>
          <w:sz w:val="24"/>
          <w:szCs w:val="24"/>
        </w:rPr>
        <w:t xml:space="preserve">ce </w:t>
      </w:r>
      <w:r w:rsidRPr="00FF7D27">
        <w:rPr>
          <w:bCs/>
          <w:color w:val="000000" w:themeColor="text1"/>
          <w:sz w:val="24"/>
          <w:szCs w:val="24"/>
        </w:rPr>
        <w:t xml:space="preserve">(18.6%), </w:t>
      </w:r>
      <w:r w:rsidRPr="00FF7D27">
        <w:rPr>
          <w:color w:val="000000" w:themeColor="text1"/>
          <w:sz w:val="24"/>
          <w:szCs w:val="24"/>
        </w:rPr>
        <w:t xml:space="preserve">adults who identify as LGBT </w:t>
      </w:r>
      <w:r w:rsidRPr="00FF7D27">
        <w:rPr>
          <w:bCs/>
          <w:color w:val="000000" w:themeColor="text1"/>
          <w:sz w:val="24"/>
          <w:szCs w:val="24"/>
        </w:rPr>
        <w:t>(18.1%)</w:t>
      </w:r>
      <w:r w:rsidRPr="00FF7D27">
        <w:rPr>
          <w:rFonts w:eastAsia="Calibri"/>
          <w:sz w:val="24"/>
          <w:szCs w:val="24"/>
        </w:rPr>
        <w:t xml:space="preserve">, and adults who were unemployed (14.4%). </w:t>
      </w:r>
    </w:p>
    <w:p w14:paraId="36936E97" w14:textId="7E0DCCC2"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8.11</w:t>
      </w:r>
    </w:p>
    <w:p w14:paraId="510671F8" w14:textId="174774A9" w:rsidR="00492AB1" w:rsidRPr="00FF7D27" w:rsidRDefault="00492AB1" w:rsidP="00E552D2">
      <w:pPr>
        <w:pStyle w:val="Subtitle"/>
        <w:keepNext/>
        <w:spacing w:line="360" w:lineRule="auto"/>
        <w:ind w:right="-360"/>
        <w:jc w:val="center"/>
        <w:rPr>
          <w:b w:val="0"/>
          <w:i/>
          <w:sz w:val="24"/>
          <w:szCs w:val="24"/>
        </w:rPr>
      </w:pPr>
      <w:r w:rsidRPr="00FF7D27">
        <w:rPr>
          <w:sz w:val="24"/>
          <w:szCs w:val="24"/>
        </w:rPr>
        <w:t xml:space="preserve">Percent of Non-Smoking Adults </w:t>
      </w:r>
      <w:r w:rsidR="00C81EA8" w:rsidRPr="00FF7D27">
        <w:rPr>
          <w:sz w:val="24"/>
          <w:szCs w:val="24"/>
        </w:rPr>
        <w:t>w</w:t>
      </w:r>
      <w:r w:rsidRPr="00FF7D27">
        <w:rPr>
          <w:sz w:val="24"/>
          <w:szCs w:val="24"/>
        </w:rPr>
        <w:t xml:space="preserve">ho Reported </w:t>
      </w:r>
      <w:r w:rsidR="007A09E6" w:rsidRPr="00FF7D27">
        <w:rPr>
          <w:sz w:val="24"/>
          <w:szCs w:val="24"/>
        </w:rPr>
        <w:t>Exposure to Second-Hand Smoke, b</w:t>
      </w:r>
      <w:r w:rsidRPr="00FF7D27">
        <w:rPr>
          <w:sz w:val="24"/>
          <w:szCs w:val="24"/>
        </w:rPr>
        <w:t>y Subgroup, Massachusetts, 2015</w:t>
      </w:r>
    </w:p>
    <w:p w14:paraId="7F4F0C22" w14:textId="77777777" w:rsidR="00492AB1" w:rsidRPr="00FF7D27" w:rsidRDefault="00492AB1" w:rsidP="00E552D2">
      <w:pPr>
        <w:spacing w:line="360" w:lineRule="auto"/>
        <w:ind w:right="-360"/>
        <w:jc w:val="center"/>
        <w:rPr>
          <w:rFonts w:eastAsia="Calibri"/>
          <w:sz w:val="24"/>
          <w:szCs w:val="24"/>
        </w:rPr>
      </w:pPr>
      <w:r w:rsidRPr="00FF7D27">
        <w:rPr>
          <w:sz w:val="24"/>
          <w:szCs w:val="24"/>
        </w:rPr>
        <w:drawing>
          <wp:inline distT="0" distB="0" distL="0" distR="0" wp14:anchorId="37A417D8" wp14:editId="575955C6">
            <wp:extent cx="4895851" cy="4654550"/>
            <wp:effectExtent l="0" t="0" r="0" b="0"/>
            <wp:docPr id="44" name="Chart 44" descr="This horizontal bar graph displays 9 bars that represent the percent of non-smoking adults who have reported any exposure to secondhand smoke by population sub-groups. The sub-groups range from those that report more exposure to secondhand smoke to those that report less exposure to secondhand smoke. In 2015, 12.6% of all non-smoking adults reported any exposure to secondhand smoke.&#10;Among sub-groups more likely to be exposed to second hand smoke, 19.3% on Mass Health reported exposure to second hand smoke, 18.1% with a disability reported exposure to secondhand smoke, 17.3% with less than $25,000 household income reported exposure to secondhand smoke, 15.9% who identify as LGBT reported exposure to secondhand smoke and 14.4% who are unemployed reported exposure to secondhand smoke.&#10;Among sub-groups less likely to be exposed to secondhand smoke, 10.7% on private health insurance reported exposure to second hand smoke, 8.5%with $75,000 or more household income reported exposure to secondhand smoke and 7.0% with a college degree reported exposure to second hand smoke.&#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1FD2AC" w14:textId="77777777" w:rsidR="00492AB1" w:rsidRPr="00FF7D27" w:rsidRDefault="00492AB1" w:rsidP="00E552D2">
      <w:pPr>
        <w:pStyle w:val="Heading2"/>
        <w:spacing w:line="360" w:lineRule="auto"/>
        <w:rPr>
          <w:sz w:val="24"/>
          <w:szCs w:val="24"/>
        </w:rPr>
      </w:pPr>
      <w:r w:rsidRPr="00FF7D27">
        <w:rPr>
          <w:sz w:val="24"/>
          <w:szCs w:val="24"/>
        </w:rPr>
        <w:t>Obesity</w:t>
      </w:r>
    </w:p>
    <w:p w14:paraId="6DE1FB08" w14:textId="77777777" w:rsidR="00492AB1" w:rsidRPr="00FF7D27" w:rsidRDefault="00492AB1" w:rsidP="00E552D2">
      <w:pPr>
        <w:spacing w:line="360" w:lineRule="auto"/>
        <w:ind w:right="-360"/>
        <w:rPr>
          <w:sz w:val="24"/>
          <w:szCs w:val="24"/>
        </w:rPr>
      </w:pPr>
      <w:r w:rsidRPr="00FF7D27">
        <w:rPr>
          <w:rFonts w:eastAsia="Calibri"/>
          <w:sz w:val="24"/>
          <w:szCs w:val="24"/>
        </w:rPr>
        <w:t>Obesity is both a chronic disease and a risk factor for other chronic conditions.</w:t>
      </w:r>
      <w:r w:rsidRPr="00FF7D27">
        <w:rPr>
          <w:rFonts w:eastAsia="Calibri"/>
          <w:sz w:val="24"/>
          <w:szCs w:val="24"/>
          <w:vertAlign w:val="superscript"/>
        </w:rPr>
        <w:endnoteReference w:id="69"/>
      </w:r>
      <w:r w:rsidRPr="00FF7D27">
        <w:rPr>
          <w:rFonts w:eastAsia="Calibri"/>
          <w:sz w:val="24"/>
          <w:szCs w:val="24"/>
        </w:rPr>
        <w:t xml:space="preserve"> Overweight or obese people are more likely to have type 2 diabetes, cardiovascular disease, gall bladder disease, and musculoskeletal disorders.</w:t>
      </w:r>
      <w:r w:rsidRPr="00FF7D27">
        <w:rPr>
          <w:rFonts w:eastAsia="Calibri"/>
          <w:sz w:val="24"/>
          <w:szCs w:val="24"/>
          <w:vertAlign w:val="superscript"/>
        </w:rPr>
        <w:endnoteReference w:id="70"/>
      </w:r>
      <w:r w:rsidRPr="00FF7D27">
        <w:rPr>
          <w:rFonts w:eastAsia="Calibri"/>
          <w:sz w:val="24"/>
          <w:szCs w:val="24"/>
        </w:rPr>
        <w:t xml:space="preserve"> In addition, overweight and obesity are associated with asthma, some forms of cancer, and many other health problems that interfere with daily living and reduce the quality of life.</w:t>
      </w:r>
      <w:r w:rsidRPr="00FF7D27">
        <w:rPr>
          <w:rFonts w:eastAsia="Calibri"/>
          <w:sz w:val="24"/>
          <w:szCs w:val="24"/>
          <w:vertAlign w:val="superscript"/>
        </w:rPr>
        <w:endnoteReference w:id="71"/>
      </w:r>
      <w:r w:rsidRPr="00FF7D27">
        <w:rPr>
          <w:rFonts w:eastAsia="Calibri"/>
          <w:sz w:val="24"/>
          <w:szCs w:val="24"/>
        </w:rPr>
        <w:t xml:space="preserve"> Engaging in physical activity and maintaining a healthy diet have been proven to lower the incidence of obesity, however </w:t>
      </w:r>
      <w:r w:rsidRPr="00FF7D27">
        <w:rPr>
          <w:sz w:val="24"/>
          <w:szCs w:val="24"/>
        </w:rPr>
        <w:t xml:space="preserve">structural barriers to accessing healthy foods and beverages and opportunities to be physically active (as described </w:t>
      </w:r>
      <w:r w:rsidRPr="00FF7D27">
        <w:rPr>
          <w:sz w:val="24"/>
          <w:szCs w:val="24"/>
        </w:rPr>
        <w:lastRenderedPageBreak/>
        <w:t>elsewhere in Chapter 8) disproportionately affect people of color in the Commonwealth.</w:t>
      </w:r>
      <w:r w:rsidRPr="00FF7D27">
        <w:rPr>
          <w:sz w:val="24"/>
          <w:szCs w:val="24"/>
          <w:vertAlign w:val="superscript"/>
        </w:rPr>
        <w:endnoteReference w:id="72"/>
      </w:r>
      <w:r w:rsidRPr="00FF7D27">
        <w:rPr>
          <w:sz w:val="24"/>
          <w:szCs w:val="24"/>
        </w:rPr>
        <w:t xml:space="preserve"> As a result, not all Massachusetts residents have the same opportunities to prevent obesity.</w:t>
      </w:r>
    </w:p>
    <w:p w14:paraId="116846FD" w14:textId="77777777" w:rsidR="00492AB1" w:rsidRPr="00FF7D27" w:rsidRDefault="00492AB1" w:rsidP="00E552D2">
      <w:pPr>
        <w:pStyle w:val="Heading3"/>
        <w:spacing w:line="360" w:lineRule="auto"/>
        <w:rPr>
          <w:sz w:val="24"/>
          <w:szCs w:val="24"/>
        </w:rPr>
      </w:pPr>
      <w:r w:rsidRPr="00FF7D27">
        <w:rPr>
          <w:sz w:val="24"/>
          <w:szCs w:val="24"/>
        </w:rPr>
        <w:t>Adults</w:t>
      </w:r>
    </w:p>
    <w:p w14:paraId="68780CBC" w14:textId="77777777" w:rsidR="00492AB1" w:rsidRPr="00FF7D27" w:rsidRDefault="00492AB1" w:rsidP="00E552D2">
      <w:pPr>
        <w:keepNext/>
        <w:keepLines/>
        <w:spacing w:line="360" w:lineRule="auto"/>
        <w:ind w:right="-360"/>
        <w:rPr>
          <w:rFonts w:eastAsia="Calibri"/>
          <w:sz w:val="24"/>
          <w:szCs w:val="24"/>
        </w:rPr>
      </w:pPr>
      <w:r w:rsidRPr="00FF7D27">
        <w:rPr>
          <w:rFonts w:eastAsia="Calibri"/>
          <w:sz w:val="24"/>
          <w:szCs w:val="24"/>
        </w:rPr>
        <w:t>Overweight is defined as having a body mass index (BMI) of 25.0 to 29.9 kg/m</w:t>
      </w:r>
      <w:r w:rsidRPr="00FF7D27">
        <w:rPr>
          <w:rFonts w:eastAsia="Calibri"/>
          <w:sz w:val="24"/>
          <w:szCs w:val="24"/>
          <w:vertAlign w:val="superscript"/>
        </w:rPr>
        <w:t>2</w:t>
      </w:r>
      <w:r w:rsidRPr="00FF7D27">
        <w:rPr>
          <w:rFonts w:eastAsia="Calibri"/>
          <w:sz w:val="24"/>
          <w:szCs w:val="24"/>
        </w:rPr>
        <w:t>. Obesity is defined as a BMI greater than or equal to 30.0kg/m</w:t>
      </w:r>
      <w:r w:rsidRPr="00FF7D27">
        <w:rPr>
          <w:rFonts w:eastAsia="Calibri"/>
          <w:sz w:val="24"/>
          <w:szCs w:val="24"/>
          <w:vertAlign w:val="superscript"/>
        </w:rPr>
        <w:t>2</w:t>
      </w:r>
      <w:r w:rsidRPr="00FF7D27">
        <w:rPr>
          <w:rFonts w:eastAsia="Calibri"/>
          <w:sz w:val="24"/>
          <w:szCs w:val="24"/>
        </w:rPr>
        <w:t>. Both conditions are linked to poor nutrition and inadequate physical activity. There has been a shift in the leading cause of death over the past 50 years from acute conditions to chronic diseases. Given the tie between obesity and so many other chronic diseases, the need to address obesity is a public health imperative to control morbidity and mortality as well as ballooning health care costs in an aging population.</w:t>
      </w:r>
    </w:p>
    <w:p w14:paraId="608D644F" w14:textId="77777777" w:rsidR="00492AB1" w:rsidRPr="00FF7D27" w:rsidRDefault="00492AB1" w:rsidP="00E552D2">
      <w:pPr>
        <w:pStyle w:val="Heading4"/>
        <w:keepNext/>
        <w:spacing w:line="360" w:lineRule="auto"/>
      </w:pPr>
      <w:r w:rsidRPr="00FF7D27">
        <w:t>Trends/ Disparities</w:t>
      </w:r>
    </w:p>
    <w:p w14:paraId="2B4E06A3" w14:textId="0D63F26B" w:rsidR="00492AB1" w:rsidRPr="00FF7D27" w:rsidRDefault="00492AB1" w:rsidP="00E552D2">
      <w:pPr>
        <w:spacing w:line="360" w:lineRule="auto"/>
        <w:ind w:right="-360"/>
        <w:rPr>
          <w:rFonts w:eastAsia="Calibri"/>
          <w:sz w:val="24"/>
          <w:szCs w:val="24"/>
        </w:rPr>
      </w:pPr>
      <w:r w:rsidRPr="00FF7D27">
        <w:rPr>
          <w:rFonts w:eastAsia="Calibri"/>
          <w:sz w:val="24"/>
          <w:szCs w:val="24"/>
        </w:rPr>
        <w:t>In 2015,</w:t>
      </w:r>
      <w:r w:rsidRPr="00FF7D27">
        <w:rPr>
          <w:rFonts w:eastAsia="Calibri"/>
          <w:b/>
          <w:i/>
          <w:sz w:val="24"/>
          <w:szCs w:val="24"/>
        </w:rPr>
        <w:t xml:space="preserve"> </w:t>
      </w:r>
      <w:r w:rsidRPr="00FF7D27">
        <w:rPr>
          <w:rFonts w:eastAsia="Calibri"/>
          <w:sz w:val="24"/>
          <w:szCs w:val="24"/>
        </w:rPr>
        <w:t xml:space="preserve">nearly 60% of Massachusetts adults met the criteria for being overweight or obese and 24.3% were obese. </w:t>
      </w:r>
      <w:r w:rsidRPr="00FF7D27">
        <w:rPr>
          <w:rFonts w:eastAsia="Calibri"/>
          <w:b/>
          <w:sz w:val="24"/>
          <w:szCs w:val="24"/>
        </w:rPr>
        <w:t>Figure 8.12</w:t>
      </w:r>
      <w:r w:rsidRPr="00FF7D27">
        <w:rPr>
          <w:rFonts w:eastAsia="Calibri"/>
          <w:sz w:val="24"/>
          <w:szCs w:val="24"/>
        </w:rPr>
        <w:t xml:space="preserve"> indicates that more than one-third of Black non-Hispanic adults (35</w:t>
      </w:r>
      <w:r w:rsidR="00EC151A" w:rsidRPr="00FF7D27">
        <w:rPr>
          <w:rFonts w:eastAsia="Calibri"/>
          <w:sz w:val="24"/>
          <w:szCs w:val="24"/>
        </w:rPr>
        <w:t>.6</w:t>
      </w:r>
      <w:r w:rsidRPr="00FF7D27">
        <w:rPr>
          <w:rFonts w:eastAsia="Calibri"/>
          <w:sz w:val="24"/>
          <w:szCs w:val="24"/>
        </w:rPr>
        <w:t>%) were obese compared to Hispanic (</w:t>
      </w:r>
      <w:r w:rsidR="00EC151A" w:rsidRPr="00FF7D27">
        <w:rPr>
          <w:rFonts w:eastAsia="Calibri"/>
          <w:sz w:val="24"/>
          <w:szCs w:val="24"/>
        </w:rPr>
        <w:t>28.9</w:t>
      </w:r>
      <w:r w:rsidRPr="00FF7D27">
        <w:rPr>
          <w:rFonts w:eastAsia="Calibri"/>
          <w:sz w:val="24"/>
          <w:szCs w:val="24"/>
        </w:rPr>
        <w:t>%), and White non-Hispanics (2</w:t>
      </w:r>
      <w:r w:rsidR="00EC151A" w:rsidRPr="00FF7D27">
        <w:rPr>
          <w:rFonts w:eastAsia="Calibri"/>
          <w:sz w:val="24"/>
          <w:szCs w:val="24"/>
        </w:rPr>
        <w:t>2</w:t>
      </w:r>
      <w:r w:rsidRPr="00FF7D27">
        <w:rPr>
          <w:rFonts w:eastAsia="Calibri"/>
          <w:sz w:val="24"/>
          <w:szCs w:val="24"/>
        </w:rPr>
        <w:t>.</w:t>
      </w:r>
      <w:r w:rsidR="00EC151A" w:rsidRPr="00FF7D27">
        <w:rPr>
          <w:rFonts w:eastAsia="Calibri"/>
          <w:sz w:val="24"/>
          <w:szCs w:val="24"/>
        </w:rPr>
        <w:t>7</w:t>
      </w:r>
      <w:r w:rsidRPr="00FF7D27">
        <w:rPr>
          <w:rFonts w:eastAsia="Calibri"/>
          <w:sz w:val="24"/>
          <w:szCs w:val="24"/>
        </w:rPr>
        <w:t>%). Adults with disabilities (34.</w:t>
      </w:r>
      <w:r w:rsidR="00EC151A" w:rsidRPr="00FF7D27">
        <w:rPr>
          <w:rFonts w:eastAsia="Calibri"/>
          <w:sz w:val="24"/>
          <w:szCs w:val="24"/>
        </w:rPr>
        <w:t>3</w:t>
      </w:r>
      <w:r w:rsidRPr="00FF7D27">
        <w:rPr>
          <w:rFonts w:eastAsia="Calibri"/>
          <w:sz w:val="24"/>
          <w:szCs w:val="24"/>
        </w:rPr>
        <w:t>%) were significantly more likely to be obese than adults with no disability (20</w:t>
      </w:r>
      <w:r w:rsidR="00EC151A" w:rsidRPr="00FF7D27">
        <w:rPr>
          <w:rFonts w:eastAsia="Calibri"/>
          <w:sz w:val="24"/>
          <w:szCs w:val="24"/>
        </w:rPr>
        <w:t>.7</w:t>
      </w:r>
      <w:r w:rsidRPr="00FF7D27">
        <w:rPr>
          <w:rFonts w:eastAsia="Calibri"/>
          <w:sz w:val="24"/>
          <w:szCs w:val="24"/>
        </w:rPr>
        <w:t xml:space="preserve">%). Adults who have less than </w:t>
      </w:r>
      <w:r w:rsidR="008B597B" w:rsidRPr="00FF7D27">
        <w:rPr>
          <w:rFonts w:eastAsia="Calibri"/>
          <w:sz w:val="24"/>
          <w:szCs w:val="24"/>
        </w:rPr>
        <w:t>a high school education</w:t>
      </w:r>
      <w:r w:rsidRPr="00FF7D27">
        <w:rPr>
          <w:rFonts w:eastAsia="Calibri"/>
          <w:sz w:val="24"/>
          <w:szCs w:val="24"/>
        </w:rPr>
        <w:t xml:space="preserve"> are</w:t>
      </w:r>
      <w:r w:rsidR="008B597B" w:rsidRPr="00FF7D27">
        <w:rPr>
          <w:rFonts w:eastAsia="Calibri"/>
          <w:sz w:val="24"/>
          <w:szCs w:val="24"/>
        </w:rPr>
        <w:t xml:space="preserve"> almost</w:t>
      </w:r>
      <w:r w:rsidRPr="00FF7D27">
        <w:rPr>
          <w:rFonts w:eastAsia="Calibri"/>
          <w:sz w:val="24"/>
          <w:szCs w:val="24"/>
        </w:rPr>
        <w:t xml:space="preserve"> twice as likely to be obese than adults with</w:t>
      </w:r>
      <w:r w:rsidR="008B597B" w:rsidRPr="00FF7D27">
        <w:rPr>
          <w:rFonts w:eastAsia="Calibri"/>
          <w:sz w:val="24"/>
          <w:szCs w:val="24"/>
        </w:rPr>
        <w:t xml:space="preserve"> four or more years of college</w:t>
      </w:r>
      <w:r w:rsidR="00704F99" w:rsidRPr="00FF7D27">
        <w:rPr>
          <w:rFonts w:eastAsia="Calibri"/>
          <w:sz w:val="24"/>
          <w:szCs w:val="24"/>
        </w:rPr>
        <w:t>.</w:t>
      </w:r>
    </w:p>
    <w:p w14:paraId="1419942B" w14:textId="6847279F"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8.12</w:t>
      </w:r>
    </w:p>
    <w:p w14:paraId="3455E80D" w14:textId="77777777" w:rsidR="00492AB1" w:rsidRPr="00FF7D27" w:rsidRDefault="00492AB1" w:rsidP="00E552D2">
      <w:pPr>
        <w:pStyle w:val="Subtitle"/>
        <w:keepNext/>
        <w:spacing w:line="360" w:lineRule="auto"/>
        <w:ind w:right="-360"/>
        <w:jc w:val="center"/>
        <w:rPr>
          <w:b w:val="0"/>
          <w:i/>
          <w:sz w:val="24"/>
          <w:szCs w:val="24"/>
        </w:rPr>
      </w:pPr>
      <w:r w:rsidRPr="00FF7D27">
        <w:rPr>
          <w:sz w:val="24"/>
          <w:szCs w:val="24"/>
        </w:rPr>
        <w:t>Percent of Adults Meeting Criteria for Obesity, Massachusetts, 2015</w:t>
      </w:r>
    </w:p>
    <w:p w14:paraId="5EB3F790" w14:textId="401D17B3" w:rsidR="00492AB1" w:rsidRPr="00FF7D27" w:rsidRDefault="000C6C16" w:rsidP="00E552D2">
      <w:pPr>
        <w:spacing w:line="360" w:lineRule="auto"/>
        <w:ind w:right="-360"/>
        <w:jc w:val="center"/>
        <w:rPr>
          <w:rFonts w:eastAsia="Calibri"/>
          <w:sz w:val="24"/>
          <w:szCs w:val="24"/>
        </w:rPr>
      </w:pPr>
      <w:r w:rsidRPr="00FF7D27">
        <w:rPr>
          <w:sz w:val="24"/>
          <w:szCs w:val="24"/>
        </w:rPr>
        <w:drawing>
          <wp:inline distT="0" distB="0" distL="0" distR="0" wp14:anchorId="3723052B" wp14:editId="2EBE9AAE">
            <wp:extent cx="4371975" cy="4562476"/>
            <wp:effectExtent l="0" t="0" r="0" b="0"/>
            <wp:docPr id="62" name="Chart 62" descr="This horizontal bar graph depicts the percent of adults who are obese broken down by race/ethnicity, disability and educational achievement.&#10;&#10;22.7 % of White non-Hispanic&#10;35.6 % of Black non-Hispanic&#10;28.9 % of Hispanic&#10;Data for Asian non-Hispanic adults was not reported&#10;&#10;34.3% of adults with a disability&#10;20.7% of adults without a disability&#10;&#10;32.5% of those Less than a high school degree&#10;27.7% of those with a high school degree&#10;23.7% of those with some college&#10;18.0% of those with a college degree or more&#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2D3C09" w14:textId="5850F824" w:rsidR="00492AB1" w:rsidRPr="00FF7D27" w:rsidRDefault="009837D5" w:rsidP="00E552D2">
      <w:pPr>
        <w:pStyle w:val="SHAFigureNote"/>
        <w:spacing w:line="360" w:lineRule="auto"/>
        <w:rPr>
          <w:sz w:val="24"/>
          <w:szCs w:val="24"/>
        </w:rPr>
      </w:pPr>
      <w:r w:rsidRPr="00FF7D27">
        <w:rPr>
          <w:sz w:val="24"/>
          <w:szCs w:val="24"/>
        </w:rPr>
        <w:t>NOTE: *INSUFFICIENT DATA</w:t>
      </w:r>
    </w:p>
    <w:p w14:paraId="1764EE41" w14:textId="77777777" w:rsidR="00492AB1" w:rsidRPr="00FF7D27" w:rsidRDefault="00492AB1" w:rsidP="00E552D2">
      <w:pPr>
        <w:pStyle w:val="Heading3"/>
        <w:spacing w:line="360" w:lineRule="auto"/>
        <w:rPr>
          <w:sz w:val="24"/>
          <w:szCs w:val="24"/>
        </w:rPr>
      </w:pPr>
      <w:r w:rsidRPr="00FF7D27">
        <w:rPr>
          <w:sz w:val="24"/>
          <w:szCs w:val="24"/>
        </w:rPr>
        <w:t>Children</w:t>
      </w:r>
    </w:p>
    <w:p w14:paraId="1614E3F2" w14:textId="01F6BB61" w:rsidR="00FF7D27" w:rsidRDefault="00492AB1" w:rsidP="00E552D2">
      <w:pPr>
        <w:spacing w:line="360" w:lineRule="auto"/>
        <w:ind w:right="-360"/>
        <w:rPr>
          <w:rFonts w:eastAsia="Calibri"/>
          <w:sz w:val="24"/>
          <w:szCs w:val="24"/>
        </w:rPr>
      </w:pPr>
      <w:r w:rsidRPr="00FF7D27">
        <w:rPr>
          <w:rFonts w:eastAsia="Calibri"/>
          <w:sz w:val="24"/>
          <w:szCs w:val="24"/>
        </w:rPr>
        <w:t>Child overweight is defined as a body mass index (BMI) at or above the 85</w:t>
      </w:r>
      <w:r w:rsidRPr="00FF7D27">
        <w:rPr>
          <w:rFonts w:eastAsia="Calibri"/>
          <w:sz w:val="24"/>
          <w:szCs w:val="24"/>
          <w:vertAlign w:val="superscript"/>
        </w:rPr>
        <w:t>th</w:t>
      </w:r>
      <w:r w:rsidR="008656E4" w:rsidRPr="00FF7D27">
        <w:rPr>
          <w:rFonts w:eastAsia="Calibri"/>
          <w:sz w:val="24"/>
          <w:szCs w:val="24"/>
        </w:rPr>
        <w:t xml:space="preserve"> percentile for age</w:t>
      </w:r>
      <w:r w:rsidRPr="00FF7D27">
        <w:rPr>
          <w:rFonts w:eastAsia="Calibri"/>
          <w:sz w:val="24"/>
          <w:szCs w:val="24"/>
        </w:rPr>
        <w:t>. Child obesity is defined as BMI at or above the 95</w:t>
      </w:r>
      <w:r w:rsidRPr="00FF7D27">
        <w:rPr>
          <w:rFonts w:eastAsia="Calibri"/>
          <w:sz w:val="24"/>
          <w:szCs w:val="24"/>
          <w:vertAlign w:val="superscript"/>
        </w:rPr>
        <w:t>th</w:t>
      </w:r>
      <w:r w:rsidRPr="00FF7D27">
        <w:rPr>
          <w:rFonts w:eastAsia="Calibri"/>
          <w:sz w:val="24"/>
          <w:szCs w:val="24"/>
        </w:rPr>
        <w:t xml:space="preserve"> percentile of expected for age.</w:t>
      </w:r>
      <w:r w:rsidRPr="00FF7D27">
        <w:rPr>
          <w:rFonts w:eastAsia="Calibri"/>
          <w:sz w:val="24"/>
          <w:szCs w:val="24"/>
          <w:vertAlign w:val="superscript"/>
        </w:rPr>
        <w:endnoteReference w:id="73"/>
      </w:r>
      <w:r w:rsidRPr="00FF7D27">
        <w:rPr>
          <w:rFonts w:eastAsia="Calibri"/>
          <w:sz w:val="24"/>
          <w:szCs w:val="24"/>
        </w:rPr>
        <w:t xml:space="preserve"> As in adults, child obesity is linked to poor nutrition and inadequate physical activity; and inequities persist across socioeconomic status and race/ethnicity.</w:t>
      </w:r>
      <w:r w:rsidRPr="00FF7D27">
        <w:rPr>
          <w:rFonts w:eastAsia="Calibri"/>
          <w:sz w:val="24"/>
          <w:szCs w:val="24"/>
          <w:vertAlign w:val="superscript"/>
        </w:rPr>
        <w:endnoteReference w:id="74"/>
      </w:r>
      <w:r w:rsidRPr="00FF7D27">
        <w:rPr>
          <w:rFonts w:eastAsia="Calibri"/>
          <w:sz w:val="24"/>
          <w:szCs w:val="24"/>
        </w:rPr>
        <w:t xml:space="preserve"> </w:t>
      </w:r>
    </w:p>
    <w:p w14:paraId="717F1C5A" w14:textId="77777777" w:rsidR="00FF7D27" w:rsidRDefault="00FF7D27">
      <w:pPr>
        <w:spacing w:before="0"/>
        <w:ind w:left="0" w:right="0"/>
        <w:jc w:val="left"/>
        <w:rPr>
          <w:rFonts w:eastAsia="Calibri"/>
          <w:sz w:val="24"/>
          <w:szCs w:val="24"/>
        </w:rPr>
      </w:pPr>
      <w:r>
        <w:rPr>
          <w:rFonts w:eastAsia="Calibri"/>
          <w:sz w:val="24"/>
          <w:szCs w:val="24"/>
        </w:rPr>
        <w:br w:type="page"/>
      </w:r>
    </w:p>
    <w:p w14:paraId="3A797476" w14:textId="77777777" w:rsidR="00492AB1" w:rsidRPr="00FF7D27" w:rsidRDefault="00492AB1" w:rsidP="00E552D2">
      <w:pPr>
        <w:pStyle w:val="Heading4"/>
        <w:spacing w:line="360" w:lineRule="auto"/>
      </w:pPr>
      <w:r w:rsidRPr="00FF7D27">
        <w:lastRenderedPageBreak/>
        <w:t>Trends/Disparities</w:t>
      </w:r>
    </w:p>
    <w:p w14:paraId="60759986" w14:textId="77777777" w:rsidR="00492AB1" w:rsidRPr="00FF7D27" w:rsidRDefault="00492AB1" w:rsidP="00E552D2">
      <w:pPr>
        <w:spacing w:line="360" w:lineRule="auto"/>
        <w:ind w:right="-360"/>
        <w:rPr>
          <w:rFonts w:eastAsia="Calibri"/>
          <w:sz w:val="24"/>
          <w:szCs w:val="24"/>
          <w:vertAlign w:val="superscript"/>
        </w:rPr>
      </w:pPr>
      <w:r w:rsidRPr="00FF7D27">
        <w:rPr>
          <w:rFonts w:eastAsia="Calibri"/>
          <w:sz w:val="24"/>
          <w:szCs w:val="24"/>
        </w:rPr>
        <w:t>Massachusetts is ranked as the fifth worst US state on the prevalence of obesity among children enrolled in the Women, Infant and Children (WIC) program who are two to four years old.</w:t>
      </w:r>
      <w:r w:rsidRPr="00FF7D27">
        <w:rPr>
          <w:rFonts w:eastAsia="Calibri"/>
          <w:sz w:val="24"/>
          <w:szCs w:val="24"/>
          <w:vertAlign w:val="superscript"/>
        </w:rPr>
        <w:endnoteReference w:id="75"/>
      </w:r>
      <w:r w:rsidRPr="00FF7D27">
        <w:rPr>
          <w:rFonts w:eastAsia="Calibri"/>
          <w:sz w:val="24"/>
          <w:szCs w:val="24"/>
          <w:vertAlign w:val="superscript"/>
        </w:rPr>
        <w:t>,</w:t>
      </w:r>
      <w:r w:rsidRPr="00FF7D27">
        <w:rPr>
          <w:rFonts w:eastAsia="Calibri"/>
          <w:sz w:val="24"/>
          <w:szCs w:val="24"/>
          <w:vertAlign w:val="superscript"/>
        </w:rPr>
        <w:endnoteReference w:id="76"/>
      </w:r>
    </w:p>
    <w:p w14:paraId="1A8F8E89" w14:textId="650172C4" w:rsidR="00492AB1" w:rsidRPr="00FF7D27" w:rsidRDefault="00DD12F9" w:rsidP="00E552D2">
      <w:pPr>
        <w:keepNext/>
        <w:spacing w:line="360" w:lineRule="auto"/>
        <w:ind w:right="-360"/>
        <w:jc w:val="center"/>
        <w:rPr>
          <w:b/>
          <w:sz w:val="24"/>
          <w:szCs w:val="24"/>
        </w:rPr>
      </w:pPr>
      <w:r w:rsidRPr="00FF7D27">
        <w:rPr>
          <w:b/>
          <w:sz w:val="24"/>
          <w:szCs w:val="24"/>
        </w:rPr>
        <w:t>Figure</w:t>
      </w:r>
      <w:r w:rsidR="00492AB1" w:rsidRPr="00FF7D27">
        <w:rPr>
          <w:b/>
          <w:sz w:val="24"/>
          <w:szCs w:val="24"/>
        </w:rPr>
        <w:t xml:space="preserve"> 8.13</w:t>
      </w:r>
    </w:p>
    <w:p w14:paraId="105BE3FB" w14:textId="7E01A649" w:rsidR="00492AB1" w:rsidRPr="00FF7D27" w:rsidRDefault="00492AB1" w:rsidP="00E552D2">
      <w:pPr>
        <w:pStyle w:val="Subtitle"/>
        <w:keepNext/>
        <w:spacing w:line="360" w:lineRule="auto"/>
        <w:ind w:right="-360"/>
        <w:jc w:val="center"/>
        <w:rPr>
          <w:b w:val="0"/>
          <w:i/>
          <w:sz w:val="24"/>
          <w:szCs w:val="24"/>
        </w:rPr>
      </w:pPr>
      <w:r w:rsidRPr="00FF7D27">
        <w:rPr>
          <w:sz w:val="24"/>
          <w:szCs w:val="24"/>
        </w:rPr>
        <w:t>Percent of WIC Children Aged 2-4 Years who have Obesity in the U</w:t>
      </w:r>
      <w:r w:rsidR="00C81EA8" w:rsidRPr="00FF7D27">
        <w:rPr>
          <w:sz w:val="24"/>
          <w:szCs w:val="24"/>
        </w:rPr>
        <w:t>S</w:t>
      </w:r>
      <w:r w:rsidRPr="00FF7D27">
        <w:rPr>
          <w:sz w:val="24"/>
          <w:szCs w:val="24"/>
        </w:rPr>
        <w:t xml:space="preserve"> by State, 2000-2014 </w:t>
      </w:r>
    </w:p>
    <w:p w14:paraId="3045CF3A" w14:textId="25DD37A4" w:rsidR="00492AB1" w:rsidRPr="00FF7D27" w:rsidRDefault="00C61A1D" w:rsidP="00E552D2">
      <w:pPr>
        <w:spacing w:line="360" w:lineRule="auto"/>
        <w:ind w:right="-360"/>
        <w:jc w:val="center"/>
        <w:rPr>
          <w:rFonts w:eastAsia="Calibri"/>
          <w:sz w:val="24"/>
          <w:szCs w:val="24"/>
        </w:rPr>
      </w:pPr>
      <w:r w:rsidRPr="00FF7D27">
        <w:rPr>
          <w:sz w:val="24"/>
          <w:szCs w:val="24"/>
        </w:rPr>
        <w:drawing>
          <wp:inline distT="0" distB="0" distL="0" distR="0" wp14:anchorId="32AC4C8C" wp14:editId="63907220">
            <wp:extent cx="6400800" cy="3092450"/>
            <wp:effectExtent l="0" t="0" r="0" b="0"/>
            <wp:docPr id="696" name="Chart 696" descr="This line graph demonstrates the relative ranking of Massachusetts compared to other states on the prevalence of obesity among children enrolled in the Special Supplemental Nutrition Program for Women, Infants and Children (WIC) who are two to four years old.  The line for MA is bolded and appears near the top of the graph, indicating a high prevalence of obesity in this population compared to other states. In 2014, the percent of children aged 2 to 4 years old in MA who were obese was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2BC302" w14:textId="08384B41" w:rsidR="00492AB1" w:rsidRPr="00FF7D27" w:rsidRDefault="009837D5" w:rsidP="00E552D2">
      <w:pPr>
        <w:pStyle w:val="SHAFigureNote"/>
        <w:spacing w:line="360" w:lineRule="auto"/>
        <w:rPr>
          <w:sz w:val="24"/>
          <w:szCs w:val="24"/>
        </w:rPr>
      </w:pPr>
      <w:r w:rsidRPr="00FF7D27">
        <w:rPr>
          <w:sz w:val="24"/>
          <w:szCs w:val="24"/>
        </w:rPr>
        <w:t>SOURCE: SPECIAL SUPPLEMENTAL NUTRITION PROGRAM FOR WOMEN, INFANTS, AND CHILDREN BIENNIAL SURVEY FOR PARTICIPANTS AGES 2-4 WHO HAVE OBESITY</w:t>
      </w:r>
    </w:p>
    <w:p w14:paraId="4B3B82C3" w14:textId="77777777" w:rsidR="009474E6" w:rsidRPr="00FF7D27" w:rsidRDefault="00492AB1" w:rsidP="00E552D2">
      <w:pPr>
        <w:spacing w:line="360" w:lineRule="auto"/>
        <w:ind w:right="-360"/>
        <w:rPr>
          <w:rFonts w:eastAsia="Calibri"/>
          <w:sz w:val="24"/>
          <w:szCs w:val="24"/>
        </w:rPr>
      </w:pPr>
      <w:r w:rsidRPr="00FF7D27">
        <w:rPr>
          <w:rFonts w:eastAsia="Calibri"/>
          <w:sz w:val="24"/>
          <w:szCs w:val="24"/>
        </w:rPr>
        <w:t>BMI screening reports conducted by school districts indicate that the prevalence of overweight and obesity decreased 2.1 percentage points from 2009 (34.3%) to 2015 (31.3%).</w:t>
      </w:r>
      <w:r w:rsidRPr="00FF7D27">
        <w:rPr>
          <w:rFonts w:eastAsia="Calibri"/>
          <w:sz w:val="24"/>
          <w:szCs w:val="24"/>
          <w:vertAlign w:val="superscript"/>
        </w:rPr>
        <w:endnoteReference w:id="77"/>
      </w:r>
      <w:r w:rsidRPr="00FF7D27">
        <w:rPr>
          <w:rFonts w:eastAsia="Calibri"/>
          <w:sz w:val="24"/>
          <w:szCs w:val="24"/>
        </w:rPr>
        <w:t xml:space="preserve"> However, this reduction in overweight and obesity was not shared evenly across all school districts. Between 2009 and 2014, school districts with median household incomes greater than $37,000 experienced significant improvements. However, the prevalence of overweight and obesity for the poorest school districts (less than $37,000 median household income) did not change and remained the highest across the state with approximately 40% of students being overweight or obese.</w:t>
      </w:r>
      <w:r w:rsidRPr="00FF7D27">
        <w:rPr>
          <w:rFonts w:eastAsia="Calibri"/>
          <w:sz w:val="24"/>
          <w:szCs w:val="24"/>
          <w:vertAlign w:val="superscript"/>
        </w:rPr>
        <w:endnoteReference w:id="78"/>
      </w:r>
    </w:p>
    <w:p w14:paraId="37137DC8" w14:textId="77777777" w:rsidR="009474E6" w:rsidRDefault="009474E6" w:rsidP="00E552D2">
      <w:pPr>
        <w:spacing w:line="360" w:lineRule="auto"/>
        <w:ind w:right="-360"/>
        <w:rPr>
          <w:rFonts w:eastAsia="Calibri"/>
        </w:rPr>
      </w:pPr>
    </w:p>
    <w:p w14:paraId="14ECCE62" w14:textId="45144E7A" w:rsidR="00492AB1" w:rsidRPr="009474E6" w:rsidRDefault="00492AB1" w:rsidP="00E552D2">
      <w:pPr>
        <w:spacing w:line="360" w:lineRule="auto"/>
        <w:ind w:right="-360"/>
        <w:rPr>
          <w:rFonts w:eastAsia="Calibri"/>
          <w:b/>
          <w:sz w:val="30"/>
          <w:szCs w:val="30"/>
        </w:rPr>
      </w:pPr>
      <w:r w:rsidRPr="009474E6">
        <w:rPr>
          <w:b/>
          <w:sz w:val="30"/>
          <w:szCs w:val="30"/>
        </w:rPr>
        <w:lastRenderedPageBreak/>
        <w:t>Cardiovascular Disease</w:t>
      </w:r>
    </w:p>
    <w:p w14:paraId="5BB65270" w14:textId="77777777" w:rsidR="00492AB1" w:rsidRPr="00FF7D27" w:rsidRDefault="00492AB1" w:rsidP="00E552D2">
      <w:pPr>
        <w:spacing w:line="360" w:lineRule="auto"/>
        <w:ind w:right="-360"/>
        <w:rPr>
          <w:rFonts w:ascii="Calibri" w:eastAsia="Calibri" w:hAnsi="Calibri" w:cs="Calibri"/>
          <w:sz w:val="24"/>
          <w:szCs w:val="24"/>
        </w:rPr>
      </w:pPr>
      <w:r w:rsidRPr="00FF7D27">
        <w:rPr>
          <w:rFonts w:eastAsia="Calibri"/>
          <w:sz w:val="24"/>
          <w:szCs w:val="24"/>
        </w:rPr>
        <w:t>Nationally, cardiovascular disease is the leading cause of death for both men and women, representing 600,000 deaths annually.</w:t>
      </w:r>
      <w:r w:rsidRPr="00FF7D27">
        <w:rPr>
          <w:rFonts w:eastAsia="Calibri"/>
          <w:sz w:val="24"/>
          <w:szCs w:val="24"/>
          <w:vertAlign w:val="superscript"/>
        </w:rPr>
        <w:endnoteReference w:id="79"/>
      </w:r>
      <w:r w:rsidRPr="00FF7D27">
        <w:rPr>
          <w:rFonts w:eastAsia="Calibri"/>
          <w:sz w:val="24"/>
          <w:szCs w:val="24"/>
        </w:rPr>
        <w:t xml:space="preserve"> In Massachusetts, cardiovascular disease is the second leading cause of death after cancer. </w:t>
      </w:r>
      <w:r w:rsidRPr="00FF7D27">
        <w:rPr>
          <w:rFonts w:ascii="Calibri" w:eastAsia="Calibri" w:hAnsi="Calibri" w:cs="Calibri"/>
          <w:sz w:val="24"/>
          <w:szCs w:val="24"/>
        </w:rPr>
        <w:t>Cardiovascular disease is a broad term that encompasses a number of adverse health outcomes, including congestive heart failure, myocardial infarction, and stroke. Every year, a staggering 735,000 Americans have a heart attack, while every 40 seconds someone in the United States has a stroke.</w:t>
      </w:r>
      <w:r w:rsidRPr="00FF7D27">
        <w:rPr>
          <w:rStyle w:val="EndnoteReference"/>
          <w:rFonts w:ascii="Calibri" w:eastAsia="Calibri" w:hAnsi="Calibri" w:cs="Calibri"/>
          <w:sz w:val="24"/>
          <w:szCs w:val="24"/>
        </w:rPr>
        <w:endnoteReference w:id="80"/>
      </w:r>
      <w:r w:rsidRPr="00FF7D27">
        <w:rPr>
          <w:rFonts w:ascii="Calibri" w:eastAsia="Calibri" w:hAnsi="Calibri" w:cs="Calibri"/>
          <w:sz w:val="24"/>
          <w:szCs w:val="24"/>
          <w:vertAlign w:val="superscript"/>
        </w:rPr>
        <w:t>,</w:t>
      </w:r>
      <w:r w:rsidRPr="00FF7D27">
        <w:rPr>
          <w:rStyle w:val="EndnoteReference"/>
          <w:rFonts w:ascii="Calibri" w:eastAsia="Calibri" w:hAnsi="Calibri" w:cs="Calibri"/>
          <w:sz w:val="24"/>
          <w:szCs w:val="24"/>
        </w:rPr>
        <w:endnoteReference w:id="81"/>
      </w:r>
      <w:r w:rsidRPr="00FF7D27">
        <w:rPr>
          <w:rFonts w:ascii="Calibri" w:eastAsia="Calibri" w:hAnsi="Calibri" w:cs="Calibri"/>
          <w:sz w:val="24"/>
          <w:szCs w:val="24"/>
        </w:rPr>
        <w:t xml:space="preserve"> </w:t>
      </w:r>
    </w:p>
    <w:p w14:paraId="7C858A28"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Nutrition, physical activity, access to healthy foods and safe communities also shape cardiovascular risk.</w:t>
      </w:r>
      <w:r w:rsidRPr="00FF7D27">
        <w:rPr>
          <w:rFonts w:eastAsia="Calibri"/>
          <w:sz w:val="24"/>
          <w:szCs w:val="24"/>
          <w:vertAlign w:val="superscript"/>
        </w:rPr>
        <w:endnoteReference w:id="82"/>
      </w:r>
      <w:r w:rsidRPr="00FF7D27">
        <w:rPr>
          <w:rFonts w:eastAsia="Calibri"/>
          <w:sz w:val="24"/>
          <w:szCs w:val="24"/>
        </w:rPr>
        <w:t xml:space="preserve"> For example, poor nutrition due to food insecurity and lack of access to affordable produce contribute to cardiovascular risk.</w:t>
      </w:r>
      <w:r w:rsidRPr="00FF7D27">
        <w:rPr>
          <w:rStyle w:val="EndnoteReference"/>
          <w:rFonts w:eastAsia="Calibri"/>
          <w:sz w:val="24"/>
          <w:szCs w:val="24"/>
        </w:rPr>
        <w:endnoteReference w:id="83"/>
      </w:r>
      <w:r w:rsidRPr="00FF7D27">
        <w:rPr>
          <w:rFonts w:eastAsia="Calibri"/>
          <w:sz w:val="24"/>
          <w:szCs w:val="24"/>
        </w:rPr>
        <w:t>Lack of access to safe neighborhoods, parks, and active transportation infrastructure contribute to physical inactivity that similarly enhances risk for cardiovascular disease.</w:t>
      </w:r>
      <w:r w:rsidRPr="00FF7D27">
        <w:rPr>
          <w:rFonts w:eastAsia="Calibri"/>
          <w:sz w:val="24"/>
          <w:szCs w:val="24"/>
          <w:vertAlign w:val="superscript"/>
        </w:rPr>
        <w:endnoteReference w:id="84"/>
      </w:r>
      <w:r w:rsidRPr="00FF7D27">
        <w:rPr>
          <w:rFonts w:eastAsia="Calibri"/>
          <w:sz w:val="24"/>
          <w:szCs w:val="24"/>
        </w:rPr>
        <w:t xml:space="preserve"> Additionally, chronic stress from exposure to trauma and discrimination contribute to that risk.</w:t>
      </w:r>
      <w:r w:rsidRPr="00FF7D27">
        <w:rPr>
          <w:rFonts w:eastAsia="Calibri"/>
          <w:sz w:val="24"/>
          <w:szCs w:val="24"/>
          <w:vertAlign w:val="superscript"/>
        </w:rPr>
        <w:endnoteReference w:id="85"/>
      </w:r>
      <w:r w:rsidRPr="00FF7D27">
        <w:rPr>
          <w:rFonts w:eastAsia="Calibri"/>
          <w:sz w:val="24"/>
          <w:szCs w:val="24"/>
        </w:rPr>
        <w:t xml:space="preserve"> </w:t>
      </w:r>
    </w:p>
    <w:p w14:paraId="2A12259B" w14:textId="77777777" w:rsidR="00492AB1" w:rsidRPr="00FF7D27" w:rsidRDefault="00492AB1" w:rsidP="00E552D2">
      <w:pPr>
        <w:pStyle w:val="Heading3"/>
        <w:spacing w:line="360" w:lineRule="auto"/>
        <w:rPr>
          <w:sz w:val="24"/>
          <w:szCs w:val="24"/>
        </w:rPr>
      </w:pPr>
      <w:r w:rsidRPr="00FF7D27">
        <w:rPr>
          <w:sz w:val="24"/>
          <w:szCs w:val="24"/>
        </w:rPr>
        <w:t>Hypertension</w:t>
      </w:r>
    </w:p>
    <w:p w14:paraId="15397591" w14:textId="77777777" w:rsidR="00492AB1" w:rsidRPr="00FF7D27" w:rsidRDefault="00492AB1" w:rsidP="00E552D2">
      <w:pPr>
        <w:spacing w:line="360" w:lineRule="auto"/>
        <w:ind w:right="-360"/>
        <w:rPr>
          <w:rFonts w:ascii="Calibri" w:eastAsia="Calibri" w:hAnsi="Calibri" w:cs="Calibri"/>
          <w:sz w:val="24"/>
          <w:szCs w:val="24"/>
        </w:rPr>
      </w:pPr>
      <w:r w:rsidRPr="00FF7D27">
        <w:rPr>
          <w:rFonts w:eastAsia="Calibri"/>
          <w:sz w:val="24"/>
          <w:szCs w:val="24"/>
        </w:rPr>
        <w:t>Hypertension is a critical risk factor for adverse cardiovascular and cerebrovascular outcomes including stroke, heart attacks, and congestive heart failure.</w:t>
      </w:r>
      <w:r w:rsidRPr="00FF7D27">
        <w:rPr>
          <w:rFonts w:eastAsia="Calibri"/>
          <w:sz w:val="24"/>
          <w:szCs w:val="24"/>
          <w:vertAlign w:val="superscript"/>
        </w:rPr>
        <w:endnoteReference w:id="86"/>
      </w:r>
      <w:r w:rsidRPr="00FF7D27">
        <w:rPr>
          <w:rFonts w:eastAsia="Calibri"/>
          <w:sz w:val="24"/>
          <w:szCs w:val="24"/>
          <w:vertAlign w:val="superscript"/>
        </w:rPr>
        <w:t xml:space="preserve"> </w:t>
      </w:r>
      <w:r w:rsidRPr="00FF7D27">
        <w:rPr>
          <w:rFonts w:ascii="Calibri" w:eastAsia="Calibri" w:hAnsi="Calibri" w:cs="Calibri"/>
          <w:sz w:val="24"/>
          <w:szCs w:val="24"/>
        </w:rPr>
        <w:t>In 2014, hypertension contributed to $19 million in total hospitalization costs in Massachusetts.</w:t>
      </w:r>
      <w:r w:rsidRPr="00FF7D27">
        <w:rPr>
          <w:rStyle w:val="EndnoteReference"/>
          <w:rFonts w:ascii="Calibri" w:eastAsia="Calibri" w:hAnsi="Calibri" w:cs="Calibri"/>
          <w:sz w:val="24"/>
          <w:szCs w:val="24"/>
        </w:rPr>
        <w:endnoteReference w:id="87"/>
      </w:r>
      <w:r w:rsidRPr="00FF7D27">
        <w:rPr>
          <w:rFonts w:ascii="Calibri" w:eastAsia="Calibri" w:hAnsi="Calibri" w:cs="Calibri"/>
          <w:sz w:val="24"/>
          <w:szCs w:val="24"/>
        </w:rPr>
        <w:t xml:space="preserve"> Hypertension disproportionately impacts people of color. These disparities are grounded</w:t>
      </w:r>
      <w:r w:rsidRPr="00FF7D27" w:rsidDel="008C0F34">
        <w:rPr>
          <w:rFonts w:ascii="Calibri" w:eastAsia="Calibri" w:hAnsi="Calibri" w:cs="Calibri"/>
          <w:sz w:val="24"/>
          <w:szCs w:val="24"/>
        </w:rPr>
        <w:t xml:space="preserve"> </w:t>
      </w:r>
      <w:r w:rsidRPr="00FF7D27">
        <w:rPr>
          <w:rFonts w:ascii="Calibri" w:eastAsia="Calibri" w:hAnsi="Calibri" w:cs="Calibri"/>
          <w:sz w:val="24"/>
          <w:szCs w:val="24"/>
        </w:rPr>
        <w:t>in social and economic inequities such as access to health care and poverty.</w:t>
      </w:r>
      <w:r w:rsidRPr="00FF7D27">
        <w:rPr>
          <w:rStyle w:val="EndnoteReference"/>
          <w:rFonts w:ascii="Calibri" w:eastAsia="Calibri" w:hAnsi="Calibri" w:cs="Calibri"/>
          <w:sz w:val="24"/>
          <w:szCs w:val="24"/>
        </w:rPr>
        <w:endnoteReference w:id="88"/>
      </w:r>
      <w:r w:rsidRPr="00FF7D27">
        <w:rPr>
          <w:rFonts w:ascii="Calibri" w:eastAsia="Calibri" w:hAnsi="Calibri" w:cs="Calibri"/>
          <w:sz w:val="24"/>
          <w:szCs w:val="24"/>
          <w:vertAlign w:val="superscript"/>
        </w:rPr>
        <w:t>,</w:t>
      </w:r>
      <w:r w:rsidRPr="00FF7D27">
        <w:rPr>
          <w:rStyle w:val="EndnoteReference"/>
          <w:rFonts w:ascii="Calibri" w:eastAsia="Calibri" w:hAnsi="Calibri" w:cs="Calibri"/>
          <w:sz w:val="24"/>
          <w:szCs w:val="24"/>
        </w:rPr>
        <w:endnoteReference w:id="89"/>
      </w:r>
    </w:p>
    <w:p w14:paraId="585FEF60" w14:textId="77777777" w:rsidR="00492AB1" w:rsidRPr="00FF7D27" w:rsidRDefault="00492AB1" w:rsidP="00E552D2">
      <w:pPr>
        <w:pStyle w:val="Heading4"/>
        <w:spacing w:line="360" w:lineRule="auto"/>
      </w:pPr>
      <w:r w:rsidRPr="00FF7D27">
        <w:t>Trends/Disparities</w:t>
      </w:r>
    </w:p>
    <w:p w14:paraId="2524F337" w14:textId="77777777" w:rsidR="00945BDC" w:rsidRPr="00FF7D27" w:rsidRDefault="00492AB1" w:rsidP="00945BDC">
      <w:pPr>
        <w:spacing w:line="360" w:lineRule="auto"/>
        <w:ind w:right="-360"/>
        <w:rPr>
          <w:rFonts w:eastAsia="Calibri"/>
          <w:sz w:val="24"/>
          <w:szCs w:val="24"/>
          <w:vertAlign w:val="superscript"/>
        </w:rPr>
      </w:pPr>
      <w:r w:rsidRPr="00FF7D27">
        <w:rPr>
          <w:rFonts w:eastAsia="Calibri"/>
          <w:sz w:val="24"/>
          <w:szCs w:val="24"/>
        </w:rPr>
        <w:t>Although hypertension alone is not a major contributor to health</w:t>
      </w:r>
      <w:r w:rsidR="00EF6D5B" w:rsidRPr="00FF7D27">
        <w:rPr>
          <w:rFonts w:eastAsia="Calibri"/>
          <w:sz w:val="24"/>
          <w:szCs w:val="24"/>
        </w:rPr>
        <w:t xml:space="preserve"> </w:t>
      </w:r>
      <w:r w:rsidRPr="00FF7D27">
        <w:rPr>
          <w:rFonts w:eastAsia="Calibri"/>
          <w:sz w:val="24"/>
          <w:szCs w:val="24"/>
        </w:rPr>
        <w:t xml:space="preserve">care costs, it is widely prevalent.  In 2015, 29.6% of Massachusetts adults said they had been diagnosed with hypertension, similar to previous years. </w:t>
      </w:r>
    </w:p>
    <w:p w14:paraId="50CC19EB" w14:textId="77777777" w:rsidR="00945BDC" w:rsidRPr="00FF7D27" w:rsidRDefault="00945BDC" w:rsidP="00945BDC">
      <w:pPr>
        <w:spacing w:line="360" w:lineRule="auto"/>
        <w:ind w:right="-360"/>
        <w:rPr>
          <w:rFonts w:eastAsia="Calibri"/>
          <w:sz w:val="24"/>
          <w:szCs w:val="24"/>
          <w:vertAlign w:val="superscript"/>
        </w:rPr>
      </w:pPr>
    </w:p>
    <w:p w14:paraId="2B55126F" w14:textId="1593590E" w:rsidR="00D816DF" w:rsidRPr="00FF7D27" w:rsidRDefault="00492AB1" w:rsidP="00945BDC">
      <w:pPr>
        <w:spacing w:line="360" w:lineRule="auto"/>
        <w:ind w:right="-360"/>
        <w:rPr>
          <w:rFonts w:eastAsia="Calibri"/>
          <w:sz w:val="24"/>
          <w:szCs w:val="24"/>
          <w:vertAlign w:val="superscript"/>
        </w:rPr>
      </w:pPr>
      <w:r w:rsidRPr="00FF7D27">
        <w:rPr>
          <w:rFonts w:eastAsia="Calibri"/>
          <w:sz w:val="24"/>
          <w:szCs w:val="24"/>
        </w:rPr>
        <w:t>In 2015, a larger percentage of Black non-Hispanic adults were diagnosed with hypertension (39.4%) compared to White non-Hispanic adults (30.7%). Racial/ethnic disparities in hypertension are likely an important contributing factor to hospitalizations for congestive heart failure, myocardial infarction, and stroke.</w:t>
      </w:r>
      <w:r w:rsidR="00D816DF" w:rsidRPr="00FF7D27">
        <w:rPr>
          <w:b/>
          <w:sz w:val="24"/>
          <w:szCs w:val="24"/>
        </w:rPr>
        <w:t xml:space="preserve"> </w:t>
      </w:r>
    </w:p>
    <w:p w14:paraId="26FF1A4D" w14:textId="27E8DC38" w:rsidR="00D816DF" w:rsidRPr="00FF7D27" w:rsidRDefault="00D816DF" w:rsidP="00E552D2">
      <w:pPr>
        <w:keepNext/>
        <w:spacing w:line="360" w:lineRule="auto"/>
        <w:ind w:right="-360"/>
        <w:jc w:val="center"/>
        <w:rPr>
          <w:b/>
          <w:sz w:val="24"/>
          <w:szCs w:val="24"/>
        </w:rPr>
      </w:pPr>
      <w:r w:rsidRPr="00FF7D27">
        <w:rPr>
          <w:b/>
          <w:sz w:val="24"/>
          <w:szCs w:val="24"/>
        </w:rPr>
        <w:lastRenderedPageBreak/>
        <w:t>Figure 8.14</w:t>
      </w:r>
    </w:p>
    <w:p w14:paraId="731F5A45" w14:textId="77777777" w:rsidR="00036BFA" w:rsidRPr="00FF7D27" w:rsidRDefault="00D816DF" w:rsidP="00E552D2">
      <w:pPr>
        <w:pStyle w:val="Subtitle"/>
        <w:keepNext/>
        <w:spacing w:line="360" w:lineRule="auto"/>
        <w:ind w:right="-360"/>
        <w:contextualSpacing/>
        <w:jc w:val="center"/>
        <w:rPr>
          <w:sz w:val="24"/>
          <w:szCs w:val="24"/>
        </w:rPr>
      </w:pPr>
      <w:r w:rsidRPr="00FF7D27">
        <w:rPr>
          <w:sz w:val="24"/>
          <w:szCs w:val="24"/>
        </w:rPr>
        <w:t>Percent of Adults Reporting Hypertension Diagno</w:t>
      </w:r>
      <w:r w:rsidR="007A09E6" w:rsidRPr="00FF7D27">
        <w:rPr>
          <w:sz w:val="24"/>
          <w:szCs w:val="24"/>
        </w:rPr>
        <w:t>sed by a Health Care Provider, b</w:t>
      </w:r>
      <w:r w:rsidRPr="00FF7D27">
        <w:rPr>
          <w:sz w:val="24"/>
          <w:szCs w:val="24"/>
        </w:rPr>
        <w:t xml:space="preserve">y Race/Ethnicity, </w:t>
      </w:r>
    </w:p>
    <w:p w14:paraId="23A0C03C" w14:textId="018D5398" w:rsidR="00D816DF" w:rsidRPr="00FF7D27" w:rsidRDefault="00D816DF" w:rsidP="00E552D2">
      <w:pPr>
        <w:pStyle w:val="Subtitle"/>
        <w:keepNext/>
        <w:spacing w:line="360" w:lineRule="auto"/>
        <w:ind w:right="-360"/>
        <w:contextualSpacing/>
        <w:jc w:val="center"/>
        <w:rPr>
          <w:b w:val="0"/>
          <w:i/>
          <w:sz w:val="24"/>
          <w:szCs w:val="24"/>
        </w:rPr>
      </w:pPr>
      <w:r w:rsidRPr="00FF7D27">
        <w:rPr>
          <w:sz w:val="24"/>
          <w:szCs w:val="24"/>
        </w:rPr>
        <w:t>Massachusetts, 2011</w:t>
      </w:r>
      <w:r w:rsidR="00036BFA" w:rsidRPr="00FF7D27">
        <w:rPr>
          <w:sz w:val="24"/>
          <w:szCs w:val="24"/>
        </w:rPr>
        <w:t xml:space="preserve">, 2013 and </w:t>
      </w:r>
      <w:r w:rsidRPr="00FF7D27">
        <w:rPr>
          <w:sz w:val="24"/>
          <w:szCs w:val="24"/>
        </w:rPr>
        <w:t>2015</w:t>
      </w:r>
    </w:p>
    <w:p w14:paraId="04081343" w14:textId="33CEF088" w:rsidR="00492AB1" w:rsidRPr="00FF7D27" w:rsidRDefault="001722E3" w:rsidP="00E552D2">
      <w:pPr>
        <w:spacing w:line="360" w:lineRule="auto"/>
        <w:ind w:right="-360"/>
        <w:jc w:val="center"/>
        <w:rPr>
          <w:rFonts w:eastAsia="Calibri"/>
          <w:sz w:val="24"/>
          <w:szCs w:val="24"/>
        </w:rPr>
      </w:pPr>
      <w:r w:rsidRPr="00FF7D27">
        <w:rPr>
          <w:sz w:val="24"/>
          <w:szCs w:val="24"/>
        </w:rPr>
        <w:drawing>
          <wp:inline distT="0" distB="0" distL="0" distR="0" wp14:anchorId="24EE7044" wp14:editId="08E38493">
            <wp:extent cx="5934075" cy="2419350"/>
            <wp:effectExtent l="0" t="0" r="0" b="0"/>
            <wp:docPr id="38" name="Chart 38" descr="This four line graph represents the trends among years  2011, 2013, and 2015 for adults diagnosed with hypertension in the state as a whole, as well as for White non-Hispanic, Black non-Hispanic and Hispanic Massachusetts individuals.  &#10;&#10;In 2011, 29.2% of all adults reported having hypertension , 34.6% Black non-Hispanic , 30.1% White non-Hispanic and 23.2% Hispanic.&#10;&#10;In 2015, 29.6% of all adults reported having hypertension,  39.4% of Black non-Hispanic adults, 30.7% of White non-Hispanic adults, and 24.9% of Hispanic adults reported having hypertension.&#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D7AF4E" w14:textId="2A4AAEB2" w:rsidR="00492AB1" w:rsidRPr="00FF7D27" w:rsidRDefault="00DD12F9" w:rsidP="00E552D2">
      <w:pPr>
        <w:keepNext/>
        <w:spacing w:line="360" w:lineRule="auto"/>
        <w:ind w:right="-360"/>
        <w:jc w:val="center"/>
        <w:rPr>
          <w:b/>
          <w:sz w:val="24"/>
          <w:szCs w:val="24"/>
        </w:rPr>
      </w:pPr>
      <w:r w:rsidRPr="00FF7D27">
        <w:rPr>
          <w:b/>
          <w:sz w:val="24"/>
          <w:szCs w:val="24"/>
        </w:rPr>
        <w:t>Figure</w:t>
      </w:r>
      <w:r w:rsidR="00492AB1" w:rsidRPr="00FF7D27">
        <w:rPr>
          <w:b/>
          <w:sz w:val="24"/>
          <w:szCs w:val="24"/>
        </w:rPr>
        <w:t xml:space="preserve"> 8.15</w:t>
      </w:r>
    </w:p>
    <w:p w14:paraId="216D257F" w14:textId="77777777" w:rsidR="00492AB1" w:rsidRPr="00FF7D27" w:rsidRDefault="00492AB1" w:rsidP="00E552D2">
      <w:pPr>
        <w:pStyle w:val="Subtitle"/>
        <w:spacing w:line="360" w:lineRule="auto"/>
        <w:jc w:val="center"/>
        <w:rPr>
          <w:rFonts w:eastAsiaTheme="majorEastAsia"/>
          <w:sz w:val="24"/>
          <w:szCs w:val="24"/>
        </w:rPr>
      </w:pPr>
      <w:r w:rsidRPr="00FF7D27">
        <w:rPr>
          <w:rFonts w:eastAsiaTheme="majorEastAsia"/>
          <w:sz w:val="24"/>
          <w:szCs w:val="24"/>
        </w:rPr>
        <w:t>Racial Health Inequities in Age-Adjusted Rates of Hospitalization, 2014</w:t>
      </w:r>
    </w:p>
    <w:p w14:paraId="73442AA9" w14:textId="0D53EE6A" w:rsidR="00492AB1" w:rsidRPr="00FF7D27" w:rsidRDefault="001722E3" w:rsidP="00E552D2">
      <w:pPr>
        <w:spacing w:line="360" w:lineRule="auto"/>
        <w:ind w:right="-360"/>
        <w:jc w:val="center"/>
        <w:rPr>
          <w:rFonts w:eastAsia="Calibri"/>
          <w:sz w:val="24"/>
          <w:szCs w:val="24"/>
        </w:rPr>
      </w:pPr>
      <w:r w:rsidRPr="00FF7D27">
        <w:rPr>
          <w:sz w:val="24"/>
          <w:szCs w:val="24"/>
        </w:rPr>
        <w:drawing>
          <wp:inline distT="0" distB="0" distL="0" distR="0" wp14:anchorId="67EE0BFB" wp14:editId="02794CD5">
            <wp:extent cx="5943600" cy="3327400"/>
            <wp:effectExtent l="0" t="0" r="0" b="6350"/>
            <wp:docPr id="40" name="Chart 40" descr="This vertical bar chart depicts differences across race/ethnicities in 2014 age-adjusted rates of hospitalizations for stroke, myocardial infarction, congestive heart failure and hypertension.&#10;&#10;For stroke, the age-adjusted rates of hospitalizations for White non-Hispanics, Black non-Hispanics, and Hispanics were 201.5, 368.1, and 264.9, respectively.&#10;&#10;For myocardial infarction, the age-adjusted rates of hospitalizations for White non-Hispanics, Black non-Hispanics, and Hispanics were 145.6, 159.0, and 182.5, respectively.&#10;&#10;For congestive heart failure, the age-adjusted rates of hospitalizations for White non-Hispanics, Black non-Hispanics, and Hispanics were 248.4, 520.5, and 400.7, respectively.&#10;&#10;For hypertension, the age-adjusted rates of hospitalizations for White non-Hispanics, Black non-Hispanics, and Hispanics were 13.2, 67.1, and 40.6, respectively.&#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259812" w14:textId="32BBAAD2" w:rsidR="00492AB1" w:rsidRPr="00FF7D27" w:rsidRDefault="009837D5" w:rsidP="00E552D2">
      <w:pPr>
        <w:pStyle w:val="SHAFigureNote"/>
        <w:spacing w:line="360" w:lineRule="auto"/>
        <w:rPr>
          <w:sz w:val="24"/>
          <w:szCs w:val="24"/>
        </w:rPr>
      </w:pPr>
      <w:r w:rsidRPr="00FF7D27">
        <w:rPr>
          <w:sz w:val="24"/>
          <w:szCs w:val="24"/>
        </w:rPr>
        <w:t>SOURCE: CHIA, CASE MIX HOSPITALIZATION DATA</w:t>
      </w:r>
    </w:p>
    <w:p w14:paraId="5247BBFC" w14:textId="7DB0299F" w:rsidR="00492AB1" w:rsidRPr="00FF7D27" w:rsidRDefault="00492AB1" w:rsidP="00E552D2">
      <w:pPr>
        <w:spacing w:line="360" w:lineRule="auto"/>
        <w:ind w:right="-360"/>
        <w:rPr>
          <w:rFonts w:eastAsia="Calibri"/>
          <w:sz w:val="24"/>
          <w:szCs w:val="24"/>
        </w:rPr>
      </w:pPr>
      <w:r w:rsidRPr="00FF7D27">
        <w:rPr>
          <w:rFonts w:eastAsia="Calibri"/>
          <w:sz w:val="24"/>
          <w:szCs w:val="24"/>
        </w:rPr>
        <w:lastRenderedPageBreak/>
        <w:t>In 2014, Black non-Hispanic residents (</w:t>
      </w:r>
      <w:r w:rsidR="00EC151A" w:rsidRPr="00FF7D27">
        <w:rPr>
          <w:rFonts w:eastAsia="Calibri"/>
          <w:sz w:val="24"/>
          <w:szCs w:val="24"/>
        </w:rPr>
        <w:t>6</w:t>
      </w:r>
      <w:r w:rsidR="00EF6D5B" w:rsidRPr="00FF7D27">
        <w:rPr>
          <w:rFonts w:eastAsia="Calibri"/>
          <w:sz w:val="24"/>
          <w:szCs w:val="24"/>
        </w:rPr>
        <w:t>7.</w:t>
      </w:r>
      <w:r w:rsidR="00EC151A" w:rsidRPr="00FF7D27">
        <w:rPr>
          <w:rFonts w:eastAsia="Calibri"/>
          <w:sz w:val="24"/>
          <w:szCs w:val="24"/>
        </w:rPr>
        <w:t>1</w:t>
      </w:r>
      <w:r w:rsidRPr="00FF7D27">
        <w:rPr>
          <w:rFonts w:eastAsia="Calibri"/>
          <w:sz w:val="24"/>
          <w:szCs w:val="24"/>
        </w:rPr>
        <w:t xml:space="preserve"> per 100,000 population) experienced more than five times the rate of hospitalizations for hypertension compared to White non-Hispanic residents (13.</w:t>
      </w:r>
      <w:r w:rsidR="00EC151A" w:rsidRPr="00FF7D27">
        <w:rPr>
          <w:rFonts w:eastAsia="Calibri"/>
          <w:sz w:val="24"/>
          <w:szCs w:val="24"/>
        </w:rPr>
        <w:t>2</w:t>
      </w:r>
      <w:r w:rsidRPr="00FF7D27">
        <w:rPr>
          <w:rFonts w:eastAsia="Calibri"/>
          <w:sz w:val="24"/>
          <w:szCs w:val="24"/>
        </w:rPr>
        <w:t xml:space="preserve"> per 100,000 population). Also in 2014, the rate of hypertension-related hospitalizations for Hispanic residents (</w:t>
      </w:r>
      <w:r w:rsidR="00EC151A" w:rsidRPr="00FF7D27">
        <w:rPr>
          <w:rFonts w:eastAsia="Calibri"/>
          <w:sz w:val="24"/>
          <w:szCs w:val="24"/>
        </w:rPr>
        <w:t>40</w:t>
      </w:r>
      <w:r w:rsidR="00EF6D5B" w:rsidRPr="00FF7D27">
        <w:rPr>
          <w:rFonts w:eastAsia="Calibri"/>
          <w:sz w:val="24"/>
          <w:szCs w:val="24"/>
        </w:rPr>
        <w:t>.6</w:t>
      </w:r>
      <w:r w:rsidRPr="00FF7D27">
        <w:rPr>
          <w:rFonts w:eastAsia="Calibri"/>
          <w:sz w:val="24"/>
          <w:szCs w:val="24"/>
        </w:rPr>
        <w:t xml:space="preserve"> per 100,000 population) was </w:t>
      </w:r>
      <w:r w:rsidR="00A1749C" w:rsidRPr="00FF7D27">
        <w:rPr>
          <w:rFonts w:eastAsia="Calibri"/>
          <w:sz w:val="24"/>
          <w:szCs w:val="24"/>
        </w:rPr>
        <w:t>more than three</w:t>
      </w:r>
      <w:r w:rsidRPr="00FF7D27">
        <w:rPr>
          <w:rFonts w:eastAsia="Calibri"/>
          <w:sz w:val="24"/>
          <w:szCs w:val="24"/>
        </w:rPr>
        <w:t xml:space="preserve"> times</w:t>
      </w:r>
      <w:r w:rsidR="00A1749C" w:rsidRPr="00FF7D27">
        <w:rPr>
          <w:rFonts w:eastAsia="Calibri"/>
          <w:sz w:val="24"/>
          <w:szCs w:val="24"/>
        </w:rPr>
        <w:t xml:space="preserve"> the rate than</w:t>
      </w:r>
      <w:r w:rsidRPr="00FF7D27">
        <w:rPr>
          <w:rFonts w:eastAsia="Calibri"/>
          <w:sz w:val="24"/>
          <w:szCs w:val="24"/>
        </w:rPr>
        <w:t xml:space="preserve"> White non-Hispanic residents (</w:t>
      </w:r>
      <w:r w:rsidR="00EF6D5B" w:rsidRPr="00FF7D27">
        <w:rPr>
          <w:rFonts w:eastAsia="Calibri"/>
          <w:sz w:val="24"/>
          <w:szCs w:val="24"/>
        </w:rPr>
        <w:t>13.</w:t>
      </w:r>
      <w:r w:rsidR="00EC151A" w:rsidRPr="00FF7D27">
        <w:rPr>
          <w:rFonts w:eastAsia="Calibri"/>
          <w:sz w:val="24"/>
          <w:szCs w:val="24"/>
        </w:rPr>
        <w:t>2</w:t>
      </w:r>
      <w:r w:rsidRPr="00FF7D27">
        <w:rPr>
          <w:rFonts w:eastAsia="Calibri"/>
          <w:sz w:val="24"/>
          <w:szCs w:val="24"/>
        </w:rPr>
        <w:t xml:space="preserve"> per 100,000 population).</w:t>
      </w:r>
    </w:p>
    <w:p w14:paraId="25039D66" w14:textId="77777777" w:rsidR="00492AB1" w:rsidRPr="00FF7D27" w:rsidRDefault="00492AB1" w:rsidP="00E552D2">
      <w:pPr>
        <w:pStyle w:val="Heading3"/>
        <w:spacing w:line="360" w:lineRule="auto"/>
        <w:rPr>
          <w:sz w:val="24"/>
          <w:szCs w:val="24"/>
        </w:rPr>
      </w:pPr>
      <w:r w:rsidRPr="00FF7D27">
        <w:rPr>
          <w:sz w:val="24"/>
          <w:szCs w:val="24"/>
        </w:rPr>
        <w:t>Heart Failure</w:t>
      </w:r>
    </w:p>
    <w:p w14:paraId="16BA0648" w14:textId="6BBF1CB7" w:rsidR="00492AB1" w:rsidRPr="00FF7D27" w:rsidRDefault="00492AB1" w:rsidP="00E552D2">
      <w:pPr>
        <w:spacing w:line="360" w:lineRule="auto"/>
        <w:ind w:right="-360"/>
        <w:rPr>
          <w:sz w:val="24"/>
          <w:szCs w:val="24"/>
        </w:rPr>
      </w:pPr>
      <w:r w:rsidRPr="00FF7D27">
        <w:rPr>
          <w:sz w:val="24"/>
          <w:szCs w:val="24"/>
        </w:rPr>
        <w:t>Congestive heart failure can be debilitating and challe</w:t>
      </w:r>
      <w:r w:rsidR="00154BBF" w:rsidRPr="00FF7D27">
        <w:rPr>
          <w:sz w:val="24"/>
          <w:szCs w:val="24"/>
        </w:rPr>
        <w:t>nging for patients to manage. It</w:t>
      </w:r>
      <w:r w:rsidRPr="00FF7D27">
        <w:rPr>
          <w:sz w:val="24"/>
          <w:szCs w:val="24"/>
        </w:rPr>
        <w:t xml:space="preserve"> is also a costly disease, amounting to $540 million in total hospitalization costs in Massachusetts in 2014.</w:t>
      </w:r>
      <w:r w:rsidRPr="00FF7D27">
        <w:rPr>
          <w:sz w:val="24"/>
          <w:szCs w:val="24"/>
          <w:vertAlign w:val="superscript"/>
        </w:rPr>
        <w:endnoteReference w:id="90"/>
      </w:r>
      <w:r w:rsidRPr="00FF7D27">
        <w:rPr>
          <w:sz w:val="24"/>
          <w:szCs w:val="24"/>
        </w:rPr>
        <w:t xml:space="preserve"> If not managed properly, congestive heart failure is associated with high readmission rates, poor quality of life, and high health care utilization.</w:t>
      </w:r>
      <w:r w:rsidRPr="00FF7D27">
        <w:rPr>
          <w:sz w:val="24"/>
          <w:szCs w:val="24"/>
          <w:vertAlign w:val="superscript"/>
        </w:rPr>
        <w:endnoteReference w:id="91"/>
      </w:r>
      <w:r w:rsidRPr="00FF7D27">
        <w:rPr>
          <w:sz w:val="24"/>
          <w:szCs w:val="24"/>
          <w:vertAlign w:val="superscript"/>
        </w:rPr>
        <w:t>,</w:t>
      </w:r>
      <w:r w:rsidRPr="00FF7D27">
        <w:rPr>
          <w:sz w:val="24"/>
          <w:szCs w:val="24"/>
          <w:vertAlign w:val="superscript"/>
        </w:rPr>
        <w:endnoteReference w:id="92"/>
      </w:r>
    </w:p>
    <w:p w14:paraId="798FC2C8" w14:textId="77777777" w:rsidR="00492AB1" w:rsidRPr="00FF7D27" w:rsidRDefault="00492AB1" w:rsidP="00E552D2">
      <w:pPr>
        <w:pStyle w:val="Heading4"/>
        <w:keepNext/>
        <w:spacing w:line="360" w:lineRule="auto"/>
      </w:pPr>
      <w:r w:rsidRPr="00FF7D27">
        <w:t>Trends/Disparities</w:t>
      </w:r>
    </w:p>
    <w:p w14:paraId="1B306F90"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In 2014, heart failure accounted for 273.9 hospitalizations per 100,000 population, a 1.7% decline from 2010. </w:t>
      </w:r>
    </w:p>
    <w:p w14:paraId="2C34B95C" w14:textId="609D7FDF" w:rsidR="00492AB1" w:rsidRPr="00FF7D27" w:rsidRDefault="00EF6D5B" w:rsidP="00E552D2">
      <w:pPr>
        <w:spacing w:line="360" w:lineRule="auto"/>
        <w:ind w:right="-360"/>
        <w:rPr>
          <w:rFonts w:eastAsia="Calibri"/>
          <w:sz w:val="24"/>
          <w:szCs w:val="24"/>
        </w:rPr>
      </w:pPr>
      <w:r w:rsidRPr="00FF7D27">
        <w:rPr>
          <w:rFonts w:eastAsia="Calibri"/>
          <w:sz w:val="24"/>
          <w:szCs w:val="24"/>
        </w:rPr>
        <w:t>In 2014, the rate of hospitalizations attributed to congestive heart failure for Black non-Hispanic residents (52</w:t>
      </w:r>
      <w:r w:rsidR="00EC151A" w:rsidRPr="00FF7D27">
        <w:rPr>
          <w:rFonts w:eastAsia="Calibri"/>
          <w:sz w:val="24"/>
          <w:szCs w:val="24"/>
        </w:rPr>
        <w:t>0</w:t>
      </w:r>
      <w:r w:rsidRPr="00FF7D27">
        <w:rPr>
          <w:rFonts w:eastAsia="Calibri"/>
          <w:sz w:val="24"/>
          <w:szCs w:val="24"/>
        </w:rPr>
        <w:t>.</w:t>
      </w:r>
      <w:r w:rsidR="00EC151A" w:rsidRPr="00FF7D27">
        <w:rPr>
          <w:rFonts w:eastAsia="Calibri"/>
          <w:sz w:val="24"/>
          <w:szCs w:val="24"/>
        </w:rPr>
        <w:t>5</w:t>
      </w:r>
      <w:r w:rsidRPr="00FF7D27">
        <w:rPr>
          <w:rFonts w:eastAsia="Calibri"/>
          <w:sz w:val="24"/>
          <w:szCs w:val="24"/>
        </w:rPr>
        <w:t xml:space="preserve"> per 100,000 population) was </w:t>
      </w:r>
      <w:r w:rsidR="001A59F4" w:rsidRPr="00FF7D27">
        <w:rPr>
          <w:rFonts w:eastAsia="Calibri"/>
          <w:sz w:val="24"/>
          <w:szCs w:val="24"/>
        </w:rPr>
        <w:t xml:space="preserve">more than </w:t>
      </w:r>
      <w:r w:rsidRPr="00FF7D27">
        <w:rPr>
          <w:rFonts w:eastAsia="Calibri"/>
          <w:sz w:val="24"/>
          <w:szCs w:val="24"/>
        </w:rPr>
        <w:t xml:space="preserve">twice </w:t>
      </w:r>
      <w:r w:rsidR="001A59F4" w:rsidRPr="00FF7D27">
        <w:rPr>
          <w:rFonts w:eastAsia="Calibri"/>
          <w:sz w:val="24"/>
          <w:szCs w:val="24"/>
        </w:rPr>
        <w:t>a</w:t>
      </w:r>
      <w:r w:rsidRPr="00FF7D27">
        <w:rPr>
          <w:rFonts w:eastAsia="Calibri"/>
          <w:sz w:val="24"/>
          <w:szCs w:val="24"/>
        </w:rPr>
        <w:t>s high than that for non-Hispanic White residents (2</w:t>
      </w:r>
      <w:r w:rsidR="00EC151A" w:rsidRPr="00FF7D27">
        <w:rPr>
          <w:rFonts w:eastAsia="Calibri"/>
          <w:sz w:val="24"/>
          <w:szCs w:val="24"/>
        </w:rPr>
        <w:t>48</w:t>
      </w:r>
      <w:r w:rsidRPr="00FF7D27">
        <w:rPr>
          <w:rFonts w:eastAsia="Calibri"/>
          <w:sz w:val="24"/>
          <w:szCs w:val="24"/>
        </w:rPr>
        <w:t>.</w:t>
      </w:r>
      <w:r w:rsidR="00EC151A" w:rsidRPr="00FF7D27">
        <w:rPr>
          <w:rFonts w:eastAsia="Calibri"/>
          <w:sz w:val="24"/>
          <w:szCs w:val="24"/>
        </w:rPr>
        <w:t>4</w:t>
      </w:r>
      <w:r w:rsidRPr="00FF7D27">
        <w:rPr>
          <w:rFonts w:eastAsia="Calibri"/>
          <w:sz w:val="24"/>
          <w:szCs w:val="24"/>
        </w:rPr>
        <w:t xml:space="preserve"> per 100,000 population). Similarly, Hispanic residents (</w:t>
      </w:r>
      <w:r w:rsidR="00EC151A" w:rsidRPr="00FF7D27">
        <w:rPr>
          <w:rFonts w:eastAsia="Calibri"/>
          <w:sz w:val="24"/>
          <w:szCs w:val="24"/>
        </w:rPr>
        <w:t>400.7</w:t>
      </w:r>
      <w:r w:rsidRPr="00FF7D27">
        <w:rPr>
          <w:rFonts w:eastAsia="Calibri"/>
          <w:sz w:val="24"/>
          <w:szCs w:val="24"/>
        </w:rPr>
        <w:t xml:space="preserve"> per 100,000 population) were hospitalized for congestive heart failure at a rate that was 1.</w:t>
      </w:r>
      <w:r w:rsidR="001A59F4" w:rsidRPr="00FF7D27">
        <w:rPr>
          <w:rFonts w:eastAsia="Calibri"/>
          <w:sz w:val="24"/>
          <w:szCs w:val="24"/>
        </w:rPr>
        <w:t>6</w:t>
      </w:r>
      <w:r w:rsidRPr="00FF7D27">
        <w:rPr>
          <w:rFonts w:eastAsia="Calibri"/>
          <w:sz w:val="24"/>
          <w:szCs w:val="24"/>
        </w:rPr>
        <w:t xml:space="preserve"> times higher than that for non-Hispanic White residents (2</w:t>
      </w:r>
      <w:r w:rsidR="00EC151A" w:rsidRPr="00FF7D27">
        <w:rPr>
          <w:rFonts w:eastAsia="Calibri"/>
          <w:sz w:val="24"/>
          <w:szCs w:val="24"/>
        </w:rPr>
        <w:t>48.4</w:t>
      </w:r>
      <w:r w:rsidRPr="00FF7D27">
        <w:rPr>
          <w:rFonts w:eastAsia="Calibri"/>
          <w:sz w:val="24"/>
          <w:szCs w:val="24"/>
        </w:rPr>
        <w:t xml:space="preserve"> per 100,000 population).</w:t>
      </w:r>
      <w:r w:rsidR="00492AB1" w:rsidRPr="00FF7D27">
        <w:rPr>
          <w:rFonts w:eastAsia="Calibri"/>
          <w:sz w:val="24"/>
          <w:szCs w:val="24"/>
        </w:rPr>
        <w:t xml:space="preserve"> </w:t>
      </w:r>
    </w:p>
    <w:p w14:paraId="3C48A5BB" w14:textId="77777777" w:rsidR="00492AB1" w:rsidRPr="00FF7D27" w:rsidRDefault="00492AB1" w:rsidP="00E552D2">
      <w:pPr>
        <w:pStyle w:val="Heading3"/>
        <w:spacing w:line="360" w:lineRule="auto"/>
        <w:rPr>
          <w:sz w:val="24"/>
          <w:szCs w:val="24"/>
        </w:rPr>
      </w:pPr>
      <w:r w:rsidRPr="00FF7D27">
        <w:rPr>
          <w:sz w:val="24"/>
          <w:szCs w:val="24"/>
        </w:rPr>
        <w:t>Myocardial Infarction</w:t>
      </w:r>
    </w:p>
    <w:p w14:paraId="4A0AD531"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Myocardial infarction contributed to $566 million in total hospitalization costs in 2014 in Massachusetts.</w:t>
      </w:r>
      <w:r w:rsidRPr="00FF7D27">
        <w:rPr>
          <w:rFonts w:eastAsia="Calibri"/>
          <w:sz w:val="24"/>
          <w:szCs w:val="24"/>
          <w:vertAlign w:val="superscript"/>
        </w:rPr>
        <w:endnoteReference w:id="93"/>
      </w:r>
      <w:r w:rsidRPr="00FF7D27">
        <w:rPr>
          <w:rFonts w:eastAsia="Calibri"/>
          <w:sz w:val="24"/>
          <w:szCs w:val="24"/>
        </w:rPr>
        <w:t xml:space="preserve"> Prevalence of myocardial infarction is connected to social determinants of health such as education and income.</w:t>
      </w:r>
      <w:r w:rsidRPr="00FF7D27">
        <w:rPr>
          <w:rFonts w:eastAsia="Calibri"/>
          <w:sz w:val="24"/>
          <w:szCs w:val="24"/>
          <w:vertAlign w:val="superscript"/>
        </w:rPr>
        <w:endnoteReference w:id="94"/>
      </w:r>
      <w:r w:rsidRPr="00FF7D27">
        <w:rPr>
          <w:rFonts w:eastAsia="Calibri"/>
          <w:sz w:val="24"/>
          <w:szCs w:val="24"/>
        </w:rPr>
        <w:t xml:space="preserve">  </w:t>
      </w:r>
    </w:p>
    <w:p w14:paraId="1CA1A5F9" w14:textId="77777777" w:rsidR="00492AB1" w:rsidRPr="00FF7D27" w:rsidRDefault="00492AB1" w:rsidP="00E552D2">
      <w:pPr>
        <w:pStyle w:val="Heading4"/>
        <w:spacing w:line="360" w:lineRule="auto"/>
      </w:pPr>
      <w:r w:rsidRPr="00FF7D27">
        <w:t>Trends/Disparities</w:t>
      </w:r>
    </w:p>
    <w:p w14:paraId="00690DE3" w14:textId="77777777" w:rsidR="00492AB1" w:rsidRPr="00FF7D27" w:rsidRDefault="00492AB1" w:rsidP="00E552D2">
      <w:pPr>
        <w:spacing w:line="360" w:lineRule="auto"/>
        <w:ind w:right="-360"/>
        <w:rPr>
          <w:sz w:val="24"/>
          <w:szCs w:val="24"/>
        </w:rPr>
      </w:pPr>
      <w:r w:rsidRPr="00FF7D27">
        <w:rPr>
          <w:sz w:val="24"/>
          <w:szCs w:val="24"/>
        </w:rPr>
        <w:t xml:space="preserve">In 2015, 5.7% of adults in Massachusetts were ever told they had a </w:t>
      </w:r>
      <w:r w:rsidRPr="00FF7D27">
        <w:rPr>
          <w:rFonts w:eastAsia="Calibri"/>
          <w:sz w:val="24"/>
          <w:szCs w:val="24"/>
        </w:rPr>
        <w:t>myocardial infarction</w:t>
      </w:r>
      <w:r w:rsidRPr="00FF7D27">
        <w:rPr>
          <w:sz w:val="24"/>
          <w:szCs w:val="24"/>
        </w:rPr>
        <w:t xml:space="preserve">. </w:t>
      </w:r>
    </w:p>
    <w:p w14:paraId="59467B6E" w14:textId="77777777" w:rsidR="00492AB1" w:rsidRPr="00FF7D27" w:rsidRDefault="00492AB1" w:rsidP="00E552D2">
      <w:pPr>
        <w:spacing w:line="360" w:lineRule="auto"/>
        <w:ind w:right="-360"/>
        <w:rPr>
          <w:sz w:val="24"/>
          <w:szCs w:val="24"/>
        </w:rPr>
      </w:pPr>
      <w:r w:rsidRPr="00FF7D27">
        <w:rPr>
          <w:color w:val="000000"/>
          <w:sz w:val="24"/>
          <w:szCs w:val="24"/>
        </w:rPr>
        <w:lastRenderedPageBreak/>
        <w:t xml:space="preserve">There are important and persistent disparities in reported myocardial infarction by educational attainment. </w:t>
      </w:r>
      <w:r w:rsidRPr="00FF7D27">
        <w:rPr>
          <w:sz w:val="24"/>
          <w:szCs w:val="24"/>
        </w:rPr>
        <w:t xml:space="preserve">In 2015, Massachusetts adults without a high school degree (14.1%) were nearly five times more likely to report they had a heart attack than persons with four or more years of post-high school education (2.9%). </w:t>
      </w:r>
    </w:p>
    <w:p w14:paraId="7FFA0D1D" w14:textId="49281061" w:rsidR="00492AB1" w:rsidRPr="00FF7D27" w:rsidRDefault="00DD12F9" w:rsidP="00E552D2">
      <w:pPr>
        <w:keepNext/>
        <w:spacing w:line="360" w:lineRule="auto"/>
        <w:ind w:right="-360"/>
        <w:jc w:val="center"/>
        <w:rPr>
          <w:b/>
          <w:sz w:val="24"/>
          <w:szCs w:val="24"/>
        </w:rPr>
      </w:pPr>
      <w:r w:rsidRPr="00FF7D27">
        <w:rPr>
          <w:b/>
          <w:sz w:val="24"/>
          <w:szCs w:val="24"/>
        </w:rPr>
        <w:t>Figure</w:t>
      </w:r>
      <w:r w:rsidR="00492AB1" w:rsidRPr="00FF7D27">
        <w:rPr>
          <w:b/>
          <w:sz w:val="24"/>
          <w:szCs w:val="24"/>
        </w:rPr>
        <w:t xml:space="preserve"> 8.1</w:t>
      </w:r>
      <w:r w:rsidR="00846C22" w:rsidRPr="00FF7D27">
        <w:rPr>
          <w:b/>
          <w:sz w:val="24"/>
          <w:szCs w:val="24"/>
        </w:rPr>
        <w:t>6</w:t>
      </w:r>
    </w:p>
    <w:p w14:paraId="36D61E2D" w14:textId="77777777" w:rsidR="00492AB1" w:rsidRPr="00FF7D27" w:rsidRDefault="00492AB1" w:rsidP="00E552D2">
      <w:pPr>
        <w:pStyle w:val="Subtitle"/>
        <w:keepNext/>
        <w:spacing w:after="0" w:line="360" w:lineRule="auto"/>
        <w:ind w:right="-360"/>
        <w:jc w:val="center"/>
        <w:rPr>
          <w:b w:val="0"/>
          <w:i/>
          <w:sz w:val="24"/>
          <w:szCs w:val="24"/>
        </w:rPr>
      </w:pPr>
      <w:r w:rsidRPr="00FF7D27">
        <w:rPr>
          <w:sz w:val="24"/>
          <w:szCs w:val="24"/>
        </w:rPr>
        <w:t>Percent of Adults Reporting Myocardial Infarction Diagnosis, by Educational Attainment, Massachusetts, 2011-2015</w:t>
      </w:r>
    </w:p>
    <w:p w14:paraId="4F507BF0" w14:textId="77777777" w:rsidR="00492AB1" w:rsidRPr="00FF7D27" w:rsidRDefault="00492AB1" w:rsidP="00E552D2">
      <w:pPr>
        <w:spacing w:before="0" w:line="360" w:lineRule="auto"/>
        <w:ind w:right="-360"/>
        <w:jc w:val="center"/>
        <w:rPr>
          <w:rFonts w:eastAsia="Calibri"/>
          <w:sz w:val="24"/>
          <w:szCs w:val="24"/>
        </w:rPr>
      </w:pPr>
      <w:r w:rsidRPr="00FF7D27">
        <w:rPr>
          <w:sz w:val="24"/>
          <w:szCs w:val="24"/>
        </w:rPr>
        <w:drawing>
          <wp:inline distT="0" distB="0" distL="0" distR="0" wp14:anchorId="15B5F3ED" wp14:editId="1037F107">
            <wp:extent cx="5943600" cy="3171190"/>
            <wp:effectExtent l="0" t="0" r="0" b="0"/>
            <wp:docPr id="54" name="Chart 54" descr="This line graph has 5 lines that represent the trend from 2011 to 2015 for adults with myocardial infarction in the state as a whole, as well as by educational attainment. &#10;&#10;In 2015, 5.7% of all adults reported having had a myocardial infarction, compared to 14.1% of those with less than a high school degree, 6.9% of those with a high school degree, 5.4% of those with some College, and 2.9% of those with a college degree or more.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DAF8CFD"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The rate of myocardial infarction-related hospitalizations declined 9.5% from 2010 (169.9 per 100,000 population) to 2014 (153.7 per 100,000 population). </w:t>
      </w:r>
    </w:p>
    <w:p w14:paraId="0A99C8C1" w14:textId="0240F561" w:rsidR="00EF6D5B" w:rsidRPr="00FF7D27" w:rsidRDefault="00EF6D5B" w:rsidP="00E552D2">
      <w:pPr>
        <w:spacing w:line="360" w:lineRule="auto"/>
        <w:ind w:right="-360"/>
        <w:rPr>
          <w:rFonts w:eastAsia="Calibri"/>
          <w:sz w:val="24"/>
          <w:szCs w:val="24"/>
        </w:rPr>
      </w:pPr>
      <w:r w:rsidRPr="00FF7D27">
        <w:rPr>
          <w:rFonts w:eastAsia="Calibri"/>
          <w:sz w:val="24"/>
          <w:szCs w:val="24"/>
        </w:rPr>
        <w:t>In 2014, the myocardial infarction hospitalization rate for Hispanic residents in Massachusetts (1</w:t>
      </w:r>
      <w:r w:rsidR="001A59F4" w:rsidRPr="00FF7D27">
        <w:rPr>
          <w:rFonts w:eastAsia="Calibri"/>
          <w:sz w:val="24"/>
          <w:szCs w:val="24"/>
        </w:rPr>
        <w:t>82</w:t>
      </w:r>
      <w:r w:rsidRPr="00FF7D27">
        <w:rPr>
          <w:rFonts w:eastAsia="Calibri"/>
          <w:sz w:val="24"/>
          <w:szCs w:val="24"/>
        </w:rPr>
        <w:t>.</w:t>
      </w:r>
      <w:r w:rsidR="001A59F4" w:rsidRPr="00FF7D27">
        <w:rPr>
          <w:rFonts w:eastAsia="Calibri"/>
          <w:sz w:val="24"/>
          <w:szCs w:val="24"/>
        </w:rPr>
        <w:t>5</w:t>
      </w:r>
      <w:r w:rsidRPr="00FF7D27">
        <w:rPr>
          <w:rFonts w:eastAsia="Calibri"/>
          <w:sz w:val="24"/>
          <w:szCs w:val="24"/>
        </w:rPr>
        <w:t xml:space="preserve"> per 100,000 population) and Black non-Hispanic residents (15</w:t>
      </w:r>
      <w:r w:rsidR="001A59F4" w:rsidRPr="00FF7D27">
        <w:rPr>
          <w:rFonts w:eastAsia="Calibri"/>
          <w:sz w:val="24"/>
          <w:szCs w:val="24"/>
        </w:rPr>
        <w:t>9</w:t>
      </w:r>
      <w:r w:rsidRPr="00FF7D27">
        <w:rPr>
          <w:rFonts w:eastAsia="Calibri"/>
          <w:sz w:val="24"/>
          <w:szCs w:val="24"/>
        </w:rPr>
        <w:t>.</w:t>
      </w:r>
      <w:r w:rsidR="001A59F4" w:rsidRPr="00FF7D27">
        <w:rPr>
          <w:rFonts w:eastAsia="Calibri"/>
          <w:sz w:val="24"/>
          <w:szCs w:val="24"/>
        </w:rPr>
        <w:t>0</w:t>
      </w:r>
      <w:r w:rsidRPr="00FF7D27">
        <w:rPr>
          <w:rFonts w:eastAsia="Calibri"/>
          <w:sz w:val="24"/>
          <w:szCs w:val="24"/>
        </w:rPr>
        <w:t xml:space="preserve"> per 100,000 population) exceeded the state average (153.7 per 100,000 population) and the average for White non-Hispanic residents (14</w:t>
      </w:r>
      <w:r w:rsidR="001A59F4" w:rsidRPr="00FF7D27">
        <w:rPr>
          <w:rFonts w:eastAsia="Calibri"/>
          <w:sz w:val="24"/>
          <w:szCs w:val="24"/>
        </w:rPr>
        <w:t>5</w:t>
      </w:r>
      <w:r w:rsidRPr="00FF7D27">
        <w:rPr>
          <w:rFonts w:eastAsia="Calibri"/>
          <w:sz w:val="24"/>
          <w:szCs w:val="24"/>
        </w:rPr>
        <w:t>.</w:t>
      </w:r>
      <w:r w:rsidR="001A59F4" w:rsidRPr="00FF7D27">
        <w:rPr>
          <w:rFonts w:eastAsia="Calibri"/>
          <w:sz w:val="24"/>
          <w:szCs w:val="24"/>
        </w:rPr>
        <w:t>6</w:t>
      </w:r>
      <w:r w:rsidRPr="00FF7D27">
        <w:rPr>
          <w:rFonts w:eastAsia="Calibri"/>
          <w:sz w:val="24"/>
          <w:szCs w:val="24"/>
        </w:rPr>
        <w:t xml:space="preserve"> per 100,000 population). </w:t>
      </w:r>
    </w:p>
    <w:p w14:paraId="23F3CC75" w14:textId="77777777" w:rsidR="00492AB1" w:rsidRPr="00FF7D27" w:rsidRDefault="00492AB1" w:rsidP="00E552D2">
      <w:pPr>
        <w:pStyle w:val="Heading3"/>
        <w:spacing w:line="360" w:lineRule="auto"/>
        <w:rPr>
          <w:sz w:val="24"/>
          <w:szCs w:val="24"/>
        </w:rPr>
      </w:pPr>
      <w:r w:rsidRPr="00FF7D27">
        <w:rPr>
          <w:sz w:val="24"/>
          <w:szCs w:val="24"/>
        </w:rPr>
        <w:lastRenderedPageBreak/>
        <w:t>Stroke</w:t>
      </w:r>
    </w:p>
    <w:p w14:paraId="5AF766D0" w14:textId="3C55DE3F" w:rsidR="00492AB1" w:rsidRPr="00FF7D27" w:rsidRDefault="00492AB1" w:rsidP="00E552D2">
      <w:pPr>
        <w:spacing w:line="360" w:lineRule="auto"/>
        <w:ind w:right="-360"/>
        <w:rPr>
          <w:rFonts w:ascii="Calibri" w:eastAsia="Calibri" w:hAnsi="Calibri" w:cs="Calibri"/>
          <w:sz w:val="24"/>
          <w:szCs w:val="24"/>
        </w:rPr>
      </w:pPr>
      <w:r w:rsidRPr="00FF7D27">
        <w:rPr>
          <w:sz w:val="24"/>
          <w:szCs w:val="24"/>
        </w:rPr>
        <w:t xml:space="preserve">Strokes </w:t>
      </w:r>
      <w:r w:rsidRPr="00FF7D27">
        <w:rPr>
          <w:rFonts w:eastAsia="Calibri"/>
          <w:sz w:val="24"/>
          <w:szCs w:val="24"/>
        </w:rPr>
        <w:t>were responsible for $613 million in total hospitalization costs in Massachusetts in 2014.</w:t>
      </w:r>
      <w:r w:rsidRPr="00FF7D27">
        <w:rPr>
          <w:rFonts w:eastAsia="Calibri"/>
          <w:sz w:val="24"/>
          <w:szCs w:val="24"/>
          <w:vertAlign w:val="superscript"/>
        </w:rPr>
        <w:endnoteReference w:id="95"/>
      </w:r>
      <w:r w:rsidRPr="00FF7D27">
        <w:rPr>
          <w:rFonts w:eastAsia="Calibri"/>
          <w:sz w:val="24"/>
          <w:szCs w:val="24"/>
        </w:rPr>
        <w:t xml:space="preserve"> </w:t>
      </w:r>
      <w:r w:rsidR="00EC76C6" w:rsidRPr="00FF7D27">
        <w:rPr>
          <w:rFonts w:eastAsia="Calibri"/>
          <w:sz w:val="24"/>
          <w:szCs w:val="24"/>
        </w:rPr>
        <w:t xml:space="preserve">These hospitalization costs </w:t>
      </w:r>
      <w:r w:rsidR="006D70E5" w:rsidRPr="00FF7D27">
        <w:rPr>
          <w:rFonts w:ascii="Calibri" w:eastAsia="Calibri" w:hAnsi="Calibri" w:cs="Calibri"/>
          <w:sz w:val="24"/>
          <w:szCs w:val="24"/>
        </w:rPr>
        <w:t>does not include</w:t>
      </w:r>
      <w:r w:rsidRPr="00FF7D27">
        <w:rPr>
          <w:rFonts w:ascii="Calibri" w:eastAsia="Calibri" w:hAnsi="Calibri" w:cs="Calibri"/>
          <w:sz w:val="24"/>
          <w:szCs w:val="24"/>
        </w:rPr>
        <w:t xml:space="preserve"> other economic costs of stroke, such as lost productivity or outpatient health</w:t>
      </w:r>
      <w:r w:rsidR="007F4EC8" w:rsidRPr="00FF7D27">
        <w:rPr>
          <w:rFonts w:ascii="Calibri" w:eastAsia="Calibri" w:hAnsi="Calibri" w:cs="Calibri"/>
          <w:sz w:val="24"/>
          <w:szCs w:val="24"/>
        </w:rPr>
        <w:t xml:space="preserve"> </w:t>
      </w:r>
      <w:r w:rsidRPr="00FF7D27">
        <w:rPr>
          <w:rFonts w:ascii="Calibri" w:eastAsia="Calibri" w:hAnsi="Calibri" w:cs="Calibri"/>
          <w:sz w:val="24"/>
          <w:szCs w:val="24"/>
        </w:rPr>
        <w:t>care expenditures, nor loss of life, reduced quality of life, and increased disability.</w:t>
      </w:r>
    </w:p>
    <w:p w14:paraId="6030303F" w14:textId="77777777" w:rsidR="00492AB1" w:rsidRPr="00FF7D27" w:rsidRDefault="00492AB1" w:rsidP="00E552D2">
      <w:pPr>
        <w:pStyle w:val="Heading4"/>
        <w:keepNext/>
        <w:spacing w:line="360" w:lineRule="auto"/>
      </w:pPr>
      <w:r w:rsidRPr="00FF7D27">
        <w:t>Trends/Disparities</w:t>
      </w:r>
    </w:p>
    <w:p w14:paraId="33B7D64D" w14:textId="20B9FE6F" w:rsidR="00492AB1" w:rsidRPr="00FF7D27" w:rsidRDefault="00492AB1" w:rsidP="00E552D2">
      <w:pPr>
        <w:spacing w:line="360" w:lineRule="auto"/>
        <w:ind w:right="-360"/>
        <w:rPr>
          <w:sz w:val="24"/>
          <w:szCs w:val="24"/>
        </w:rPr>
      </w:pPr>
      <w:r w:rsidRPr="00FF7D27">
        <w:rPr>
          <w:sz w:val="24"/>
          <w:szCs w:val="24"/>
        </w:rPr>
        <w:t xml:space="preserve">In 2015, 3.3% of Massachusetts residents reported having been told by a provider that they had a stroke.  In 2014, Massachusetts residents experienced 222.1 stroke-related hospitalizations per 100,000 population, a 3% decline from 2010 (228.9 per 100,000 population). </w:t>
      </w:r>
    </w:p>
    <w:p w14:paraId="2EA513A7" w14:textId="41E0D568" w:rsidR="00492AB1" w:rsidRPr="00FF7D27" w:rsidRDefault="00EF6D5B" w:rsidP="00E552D2">
      <w:pPr>
        <w:spacing w:line="360" w:lineRule="auto"/>
        <w:ind w:right="-360"/>
        <w:rPr>
          <w:sz w:val="24"/>
          <w:szCs w:val="24"/>
        </w:rPr>
      </w:pPr>
      <w:r w:rsidRPr="00FF7D27">
        <w:rPr>
          <w:sz w:val="24"/>
          <w:szCs w:val="24"/>
        </w:rPr>
        <w:t>Racial/ethnic disparities continue to exist in stroke-related hospitalizations. In 2014, Black non-Hispanic residents (3</w:t>
      </w:r>
      <w:r w:rsidR="001A59F4" w:rsidRPr="00FF7D27">
        <w:rPr>
          <w:sz w:val="24"/>
          <w:szCs w:val="24"/>
        </w:rPr>
        <w:t>6</w:t>
      </w:r>
      <w:r w:rsidRPr="00FF7D27">
        <w:rPr>
          <w:sz w:val="24"/>
          <w:szCs w:val="24"/>
        </w:rPr>
        <w:t>8.</w:t>
      </w:r>
      <w:r w:rsidR="001A59F4" w:rsidRPr="00FF7D27">
        <w:rPr>
          <w:sz w:val="24"/>
          <w:szCs w:val="24"/>
        </w:rPr>
        <w:t>1</w:t>
      </w:r>
      <w:r w:rsidRPr="00FF7D27">
        <w:rPr>
          <w:sz w:val="24"/>
          <w:szCs w:val="24"/>
        </w:rPr>
        <w:t xml:space="preserve"> per 100,000 population) experienced stroke-related hospitalization at a rate that was nearly twice as high as that for White non-Hispanic residents (20</w:t>
      </w:r>
      <w:r w:rsidR="001A59F4" w:rsidRPr="00FF7D27">
        <w:rPr>
          <w:sz w:val="24"/>
          <w:szCs w:val="24"/>
        </w:rPr>
        <w:t>1.5</w:t>
      </w:r>
      <w:r w:rsidRPr="00FF7D27">
        <w:rPr>
          <w:sz w:val="24"/>
          <w:szCs w:val="24"/>
        </w:rPr>
        <w:t xml:space="preserve"> per 100,000 population). Similarly, Hispanic residents (</w:t>
      </w:r>
      <w:r w:rsidR="001A59F4" w:rsidRPr="00FF7D27">
        <w:rPr>
          <w:sz w:val="24"/>
          <w:szCs w:val="24"/>
        </w:rPr>
        <w:t>264</w:t>
      </w:r>
      <w:r w:rsidRPr="00FF7D27">
        <w:rPr>
          <w:sz w:val="24"/>
          <w:szCs w:val="24"/>
        </w:rPr>
        <w:t>.</w:t>
      </w:r>
      <w:r w:rsidR="001A59F4" w:rsidRPr="00FF7D27">
        <w:rPr>
          <w:sz w:val="24"/>
          <w:szCs w:val="24"/>
        </w:rPr>
        <w:t>9</w:t>
      </w:r>
      <w:r w:rsidRPr="00FF7D27">
        <w:rPr>
          <w:sz w:val="24"/>
          <w:szCs w:val="24"/>
        </w:rPr>
        <w:t xml:space="preserve"> per 100,000 population) had a stroke hospitalization rate that was 1.</w:t>
      </w:r>
      <w:r w:rsidR="001A59F4" w:rsidRPr="00FF7D27">
        <w:rPr>
          <w:sz w:val="24"/>
          <w:szCs w:val="24"/>
        </w:rPr>
        <w:t>3</w:t>
      </w:r>
      <w:r w:rsidRPr="00FF7D27">
        <w:rPr>
          <w:sz w:val="24"/>
          <w:szCs w:val="24"/>
        </w:rPr>
        <w:t xml:space="preserve"> times that for White non-Hispanic residents (20</w:t>
      </w:r>
      <w:r w:rsidR="001A59F4" w:rsidRPr="00FF7D27">
        <w:rPr>
          <w:sz w:val="24"/>
          <w:szCs w:val="24"/>
        </w:rPr>
        <w:t>1.5</w:t>
      </w:r>
      <w:r w:rsidRPr="00FF7D27">
        <w:rPr>
          <w:sz w:val="24"/>
          <w:szCs w:val="24"/>
        </w:rPr>
        <w:t xml:space="preserve"> per 100,000 population).</w:t>
      </w:r>
    </w:p>
    <w:p w14:paraId="28F19D67" w14:textId="77777777" w:rsidR="00492AB1" w:rsidRPr="00347334" w:rsidRDefault="00492AB1" w:rsidP="00E552D2">
      <w:pPr>
        <w:pStyle w:val="Heading2"/>
        <w:spacing w:line="360" w:lineRule="auto"/>
      </w:pPr>
      <w:r w:rsidRPr="009837D5">
        <w:t>Diabetes</w:t>
      </w:r>
      <w:r w:rsidRPr="00347334">
        <w:t xml:space="preserve"> Mellitus</w:t>
      </w:r>
    </w:p>
    <w:p w14:paraId="5830381B" w14:textId="77777777" w:rsidR="00492AB1" w:rsidRPr="00FF7D27" w:rsidRDefault="00492AB1" w:rsidP="00E552D2">
      <w:pPr>
        <w:tabs>
          <w:tab w:val="left" w:pos="1080"/>
        </w:tabs>
        <w:spacing w:line="360" w:lineRule="auto"/>
        <w:ind w:right="-360"/>
        <w:rPr>
          <w:rFonts w:eastAsia="Calibri"/>
          <w:sz w:val="24"/>
          <w:szCs w:val="24"/>
        </w:rPr>
      </w:pPr>
      <w:r w:rsidRPr="00FF7D27">
        <w:rPr>
          <w:rFonts w:eastAsia="Calibri"/>
          <w:sz w:val="24"/>
          <w:szCs w:val="24"/>
        </w:rPr>
        <w:t xml:space="preserve">Diabetes mellitus is a condition where the body either does not make or cannot respond to the hormone insulin, resulting in high levels of sugar (glucose) in the blood. Diabetes mellitus is a term that includes type 1 and type 2 diabetes. </w:t>
      </w:r>
      <w:r w:rsidRPr="00FF7D27">
        <w:rPr>
          <w:rFonts w:ascii="Calibri" w:eastAsia="Calibri" w:hAnsi="Calibri" w:cs="Calibri"/>
          <w:sz w:val="24"/>
          <w:szCs w:val="24"/>
        </w:rPr>
        <w:t>It is a common chronic condition with profound impact on quality of life, currently impacting 29 million US adults, or approximately 9% of the population.</w:t>
      </w:r>
      <w:r w:rsidRPr="00FF7D27">
        <w:rPr>
          <w:rStyle w:val="EndnoteReference"/>
          <w:rFonts w:ascii="Calibri" w:eastAsia="Calibri" w:hAnsi="Calibri" w:cs="Calibri"/>
          <w:sz w:val="24"/>
          <w:szCs w:val="24"/>
        </w:rPr>
        <w:endnoteReference w:id="96"/>
      </w:r>
      <w:r w:rsidRPr="00FF7D27">
        <w:rPr>
          <w:rFonts w:ascii="Calibri" w:eastAsia="Calibri" w:hAnsi="Calibri" w:cs="Calibri"/>
          <w:sz w:val="24"/>
          <w:szCs w:val="24"/>
        </w:rPr>
        <w:t xml:space="preserve"> Most concerning, however, is that 25% of persons with diabetes and 90% of persons with prediabetes do not know they have these conditions, which has serious implications for disease management and prevention.</w:t>
      </w:r>
      <w:r w:rsidRPr="00FF7D27">
        <w:rPr>
          <w:rStyle w:val="EndnoteReference"/>
          <w:rFonts w:ascii="Calibri" w:eastAsia="Calibri" w:hAnsi="Calibri" w:cs="Calibri"/>
          <w:sz w:val="24"/>
          <w:szCs w:val="24"/>
        </w:rPr>
        <w:endnoteReference w:id="97"/>
      </w:r>
      <w:r w:rsidRPr="00FF7D27">
        <w:rPr>
          <w:rFonts w:ascii="Calibri" w:eastAsia="Calibri" w:hAnsi="Calibri" w:cs="Calibri"/>
          <w:sz w:val="24"/>
          <w:szCs w:val="24"/>
          <w:vertAlign w:val="superscript"/>
        </w:rPr>
        <w:t>,</w:t>
      </w:r>
      <w:r w:rsidRPr="00FF7D27">
        <w:rPr>
          <w:rStyle w:val="EndnoteReference"/>
          <w:rFonts w:ascii="Calibri" w:eastAsia="Calibri" w:hAnsi="Calibri" w:cs="Calibri"/>
          <w:sz w:val="24"/>
          <w:szCs w:val="24"/>
        </w:rPr>
        <w:endnoteReference w:id="98"/>
      </w:r>
    </w:p>
    <w:p w14:paraId="4CE54CC8" w14:textId="77777777" w:rsidR="00492AB1" w:rsidRPr="00FF7D27" w:rsidRDefault="00492AB1" w:rsidP="00E552D2">
      <w:pPr>
        <w:spacing w:line="360" w:lineRule="auto"/>
        <w:ind w:right="-360"/>
        <w:rPr>
          <w:rFonts w:eastAsia="Calibri"/>
          <w:sz w:val="24"/>
          <w:szCs w:val="24"/>
        </w:rPr>
      </w:pPr>
      <w:r w:rsidRPr="00FF7D27">
        <w:rPr>
          <w:rFonts w:eastAsia="Calibri"/>
          <w:sz w:val="24"/>
          <w:szCs w:val="24"/>
          <w:highlight w:val="white"/>
        </w:rPr>
        <w:t>Nationwide, the prevalence of diabetes is projected to increase dramatically. The prevalence of type 1 and type 2 diabetes is anticipated to increase 54% by 2030, affecting 54.9 million Americans</w:t>
      </w:r>
      <w:r w:rsidRPr="00FF7D27">
        <w:rPr>
          <w:rFonts w:eastAsia="Calibri"/>
          <w:sz w:val="24"/>
          <w:szCs w:val="24"/>
        </w:rPr>
        <w:t>.</w:t>
      </w:r>
    </w:p>
    <w:p w14:paraId="13BF80DB" w14:textId="74638A98" w:rsidR="00492AB1" w:rsidRPr="00FF7D27" w:rsidRDefault="00492AB1" w:rsidP="00E552D2">
      <w:pPr>
        <w:spacing w:line="360" w:lineRule="auto"/>
        <w:ind w:right="-360"/>
        <w:rPr>
          <w:rFonts w:eastAsia="Calibri"/>
          <w:sz w:val="24"/>
          <w:szCs w:val="24"/>
        </w:rPr>
      </w:pPr>
      <w:r w:rsidRPr="00FF7D27">
        <w:rPr>
          <w:rFonts w:eastAsia="Calibri"/>
          <w:sz w:val="24"/>
          <w:szCs w:val="24"/>
          <w:highlight w:val="white"/>
        </w:rPr>
        <w:t>In Massachusetts, the prevalence of diagnosed diabetes has more than doubled over a 22-year period. For example, in 1993, an estimated 3.9% of Massachusetts residents were told by a provider that they had diabetes. By 2015</w:t>
      </w:r>
      <w:r w:rsidR="00D816DF" w:rsidRPr="00FF7D27">
        <w:rPr>
          <w:rFonts w:eastAsia="Calibri"/>
          <w:sz w:val="24"/>
          <w:szCs w:val="24"/>
          <w:highlight w:val="white"/>
        </w:rPr>
        <w:t>,</w:t>
      </w:r>
      <w:r w:rsidRPr="00FF7D27">
        <w:rPr>
          <w:rFonts w:eastAsia="Calibri"/>
          <w:sz w:val="24"/>
          <w:szCs w:val="24"/>
          <w:highlight w:val="white"/>
        </w:rPr>
        <w:t xml:space="preserve"> an estimated 8.9% of Massachusetts residents were told they had diabetes. </w:t>
      </w:r>
    </w:p>
    <w:p w14:paraId="34BF1020" w14:textId="77777777" w:rsidR="00492AB1" w:rsidRPr="00FF7D27" w:rsidRDefault="00492AB1" w:rsidP="00E552D2">
      <w:pPr>
        <w:pStyle w:val="Heading3"/>
        <w:spacing w:line="360" w:lineRule="auto"/>
        <w:rPr>
          <w:rFonts w:eastAsia="Calibri"/>
          <w:i/>
          <w:sz w:val="24"/>
          <w:szCs w:val="24"/>
        </w:rPr>
      </w:pPr>
      <w:r w:rsidRPr="00FF7D27">
        <w:rPr>
          <w:sz w:val="24"/>
          <w:szCs w:val="24"/>
        </w:rPr>
        <w:lastRenderedPageBreak/>
        <w:t>Trends/Disparities</w:t>
      </w:r>
    </w:p>
    <w:p w14:paraId="20DA68CE" w14:textId="2FFF7273" w:rsidR="00492AB1" w:rsidRPr="00FF7D27" w:rsidRDefault="00492AB1" w:rsidP="00E552D2">
      <w:pPr>
        <w:spacing w:line="360" w:lineRule="auto"/>
        <w:ind w:right="-360"/>
        <w:rPr>
          <w:rFonts w:eastAsia="Calibri"/>
          <w:sz w:val="24"/>
          <w:szCs w:val="24"/>
        </w:rPr>
      </w:pPr>
      <w:r w:rsidRPr="00FF7D27">
        <w:rPr>
          <w:rFonts w:eastAsia="Calibri"/>
          <w:sz w:val="24"/>
          <w:szCs w:val="24"/>
        </w:rPr>
        <w:t>Socioeconomic disparities exist in diabetes prevalence. In Massachusetts</w:t>
      </w:r>
      <w:r w:rsidR="008656E4" w:rsidRPr="00FF7D27">
        <w:rPr>
          <w:rFonts w:eastAsia="Calibri"/>
          <w:sz w:val="24"/>
          <w:szCs w:val="24"/>
        </w:rPr>
        <w:t>,</w:t>
      </w:r>
      <w:r w:rsidRPr="00FF7D27">
        <w:rPr>
          <w:rFonts w:eastAsia="Calibri"/>
          <w:sz w:val="24"/>
          <w:szCs w:val="24"/>
        </w:rPr>
        <w:t xml:space="preserve"> adults with an annual household income of less than $25,000 (15.6%) have three times the prevalence of diabetes as compared to those with an annual househ</w:t>
      </w:r>
      <w:r w:rsidR="006D70E5" w:rsidRPr="00FF7D27">
        <w:rPr>
          <w:rFonts w:eastAsia="Calibri"/>
          <w:sz w:val="24"/>
          <w:szCs w:val="24"/>
        </w:rPr>
        <w:t>old income more than $75,000 (5</w:t>
      </w:r>
      <w:r w:rsidRPr="00FF7D27">
        <w:rPr>
          <w:rFonts w:eastAsia="Calibri"/>
          <w:sz w:val="24"/>
          <w:szCs w:val="24"/>
        </w:rPr>
        <w:t xml:space="preserve">%). </w:t>
      </w:r>
    </w:p>
    <w:p w14:paraId="75F35DC1" w14:textId="4F4D4970"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The prevalence of diabetes also decreases as educational attainment increases. A total of 14.5% of adults without a high school degree were diagnosed with diabetes compared to 5% of adults with four or more years of post-high school education. </w:t>
      </w:r>
    </w:p>
    <w:p w14:paraId="1460BACA" w14:textId="50773931" w:rsidR="00492AB1" w:rsidRPr="00FF7D27" w:rsidRDefault="00492AB1" w:rsidP="00E552D2">
      <w:pPr>
        <w:spacing w:line="360" w:lineRule="auto"/>
        <w:ind w:right="-360"/>
        <w:rPr>
          <w:rFonts w:eastAsia="Calibri"/>
          <w:b/>
          <w:sz w:val="24"/>
          <w:szCs w:val="24"/>
        </w:rPr>
      </w:pPr>
      <w:r w:rsidRPr="00FF7D27">
        <w:rPr>
          <w:rFonts w:eastAsia="Calibri"/>
          <w:sz w:val="24"/>
          <w:szCs w:val="24"/>
        </w:rPr>
        <w:t>Diabetes prevalence and mortality in Massachusetts also differs by race/ethnicity. In 2015, a greater proportion of Black non-Hispanic (12.3%) and Hispanic (11.7</w:t>
      </w:r>
      <w:r w:rsidR="002F7090" w:rsidRPr="00FF7D27">
        <w:rPr>
          <w:rFonts w:eastAsia="Calibri"/>
          <w:sz w:val="24"/>
          <w:szCs w:val="24"/>
        </w:rPr>
        <w:t>%</w:t>
      </w:r>
      <w:r w:rsidRPr="00FF7D27">
        <w:rPr>
          <w:rFonts w:eastAsia="Calibri"/>
          <w:sz w:val="24"/>
          <w:szCs w:val="24"/>
        </w:rPr>
        <w:t>) adults reported being diagnosed with diabetes compared to White non-Hispanic adults (8.7%).</w:t>
      </w:r>
      <w:r w:rsidRPr="00FF7D27">
        <w:rPr>
          <w:rFonts w:eastAsia="Calibri"/>
          <w:sz w:val="24"/>
          <w:szCs w:val="24"/>
          <w:vertAlign w:val="superscript"/>
        </w:rPr>
        <w:t xml:space="preserve"> </w:t>
      </w:r>
      <w:r w:rsidRPr="00FF7D27">
        <w:rPr>
          <w:rFonts w:eastAsia="Calibri"/>
          <w:sz w:val="24"/>
          <w:szCs w:val="24"/>
        </w:rPr>
        <w:t>In 2014, Black non-Hispanic residents were more than 2.1 times more likely to die from diabetes than White non-Hispanic residents (29.5 versus 13.8 per 100,000 population).</w:t>
      </w:r>
    </w:p>
    <w:p w14:paraId="5DEA8CA8" w14:textId="1D1FEAC7" w:rsidR="00492AB1" w:rsidRPr="00FF7D27" w:rsidRDefault="00EF6D5B" w:rsidP="00E552D2">
      <w:pPr>
        <w:spacing w:after="200" w:line="360" w:lineRule="auto"/>
        <w:ind w:right="-360"/>
        <w:rPr>
          <w:rFonts w:ascii="Calibri" w:eastAsia="Calibri" w:hAnsi="Calibri" w:cs="Calibri"/>
          <w:sz w:val="24"/>
          <w:szCs w:val="24"/>
        </w:rPr>
      </w:pPr>
      <w:r w:rsidRPr="00FF7D27">
        <w:rPr>
          <w:rFonts w:ascii="Calibri" w:eastAsia="Calibri" w:hAnsi="Calibri" w:cs="Calibri"/>
          <w:sz w:val="24"/>
          <w:szCs w:val="24"/>
        </w:rPr>
        <w:t xml:space="preserve">In 2014, Black non-Hispanic residents had </w:t>
      </w:r>
      <w:r w:rsidR="00E7696A" w:rsidRPr="00FF7D27">
        <w:rPr>
          <w:rFonts w:ascii="Calibri" w:eastAsia="Calibri" w:hAnsi="Calibri" w:cs="Calibri"/>
          <w:sz w:val="24"/>
          <w:szCs w:val="24"/>
        </w:rPr>
        <w:t>more than four</w:t>
      </w:r>
      <w:r w:rsidRPr="00FF7D27">
        <w:rPr>
          <w:rFonts w:ascii="Calibri" w:eastAsia="Calibri" w:hAnsi="Calibri" w:cs="Calibri"/>
          <w:sz w:val="24"/>
          <w:szCs w:val="24"/>
        </w:rPr>
        <w:t xml:space="preserve"> times the rate for diabetes emergency department visits as White non-Hispanics (4</w:t>
      </w:r>
      <w:r w:rsidR="00E7696A" w:rsidRPr="00FF7D27">
        <w:rPr>
          <w:rFonts w:ascii="Calibri" w:eastAsia="Calibri" w:hAnsi="Calibri" w:cs="Calibri"/>
          <w:sz w:val="24"/>
          <w:szCs w:val="24"/>
        </w:rPr>
        <w:t>19</w:t>
      </w:r>
      <w:r w:rsidRPr="00FF7D27">
        <w:rPr>
          <w:rFonts w:ascii="Calibri" w:eastAsia="Calibri" w:hAnsi="Calibri" w:cs="Calibri"/>
          <w:sz w:val="24"/>
          <w:szCs w:val="24"/>
        </w:rPr>
        <w:t>.</w:t>
      </w:r>
      <w:r w:rsidR="00E7696A" w:rsidRPr="00FF7D27">
        <w:rPr>
          <w:rFonts w:ascii="Calibri" w:eastAsia="Calibri" w:hAnsi="Calibri" w:cs="Calibri"/>
          <w:sz w:val="24"/>
          <w:szCs w:val="24"/>
        </w:rPr>
        <w:t>1 versus 99.3</w:t>
      </w:r>
      <w:r w:rsidRPr="00FF7D27">
        <w:rPr>
          <w:rFonts w:ascii="Calibri" w:eastAsia="Calibri" w:hAnsi="Calibri" w:cs="Calibri"/>
          <w:sz w:val="24"/>
          <w:szCs w:val="24"/>
        </w:rPr>
        <w:t xml:space="preserve"> per 100,000 population). Further, the diabetes emergency department visit rate among Hispanic residents was</w:t>
      </w:r>
      <w:r w:rsidR="00E7696A" w:rsidRPr="00FF7D27">
        <w:rPr>
          <w:rFonts w:ascii="Calibri" w:eastAsia="Calibri" w:hAnsi="Calibri" w:cs="Calibri"/>
          <w:sz w:val="24"/>
          <w:szCs w:val="24"/>
        </w:rPr>
        <w:t xml:space="preserve"> almost four</w:t>
      </w:r>
      <w:r w:rsidRPr="00FF7D27">
        <w:rPr>
          <w:rFonts w:ascii="Calibri" w:eastAsia="Calibri" w:hAnsi="Calibri" w:cs="Calibri"/>
          <w:sz w:val="24"/>
          <w:szCs w:val="24"/>
        </w:rPr>
        <w:t xml:space="preserve"> times that f</w:t>
      </w:r>
      <w:r w:rsidR="00E7696A" w:rsidRPr="00FF7D27">
        <w:rPr>
          <w:rFonts w:ascii="Calibri" w:eastAsia="Calibri" w:hAnsi="Calibri" w:cs="Calibri"/>
          <w:sz w:val="24"/>
          <w:szCs w:val="24"/>
        </w:rPr>
        <w:t>or White non-Hispanics (376.5 versus 99.3</w:t>
      </w:r>
      <w:r w:rsidRPr="00FF7D27">
        <w:rPr>
          <w:rFonts w:ascii="Calibri" w:eastAsia="Calibri" w:hAnsi="Calibri" w:cs="Calibri"/>
          <w:sz w:val="24"/>
          <w:szCs w:val="24"/>
        </w:rPr>
        <w:t xml:space="preserve"> per 100,000 population).</w:t>
      </w:r>
      <w:r w:rsidRPr="00FF7D27">
        <w:rPr>
          <w:rStyle w:val="EndnoteReference"/>
          <w:rFonts w:ascii="Calibri" w:eastAsia="Calibri" w:hAnsi="Calibri" w:cs="Calibri"/>
          <w:sz w:val="24"/>
          <w:szCs w:val="24"/>
        </w:rPr>
        <w:endnoteReference w:id="99"/>
      </w:r>
    </w:p>
    <w:p w14:paraId="0A22E87E" w14:textId="4A3DCEBA" w:rsidR="00492AB1" w:rsidRPr="00FF7D27" w:rsidRDefault="00DD12F9"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8.1</w:t>
      </w:r>
      <w:r w:rsidR="009B366D" w:rsidRPr="00FF7D27">
        <w:rPr>
          <w:b/>
          <w:sz w:val="24"/>
          <w:szCs w:val="24"/>
        </w:rPr>
        <w:t>7</w:t>
      </w:r>
    </w:p>
    <w:p w14:paraId="783DECFB" w14:textId="35DB87C0" w:rsidR="00492AB1" w:rsidRPr="00FF7D27" w:rsidRDefault="00492AB1" w:rsidP="00E552D2">
      <w:pPr>
        <w:pStyle w:val="Subtitle"/>
        <w:keepNext/>
        <w:spacing w:line="360" w:lineRule="auto"/>
        <w:ind w:right="-360"/>
        <w:jc w:val="center"/>
        <w:rPr>
          <w:b w:val="0"/>
          <w:i/>
          <w:sz w:val="24"/>
          <w:szCs w:val="24"/>
        </w:rPr>
      </w:pPr>
      <w:r w:rsidRPr="00FF7D27">
        <w:rPr>
          <w:sz w:val="24"/>
          <w:szCs w:val="24"/>
        </w:rPr>
        <w:t>Age-Adjusted Diabetes Emergency Department Visit Rate</w:t>
      </w:r>
      <w:r w:rsidR="007A09E6" w:rsidRPr="00FF7D27">
        <w:rPr>
          <w:sz w:val="24"/>
          <w:szCs w:val="24"/>
        </w:rPr>
        <w:t>, by</w:t>
      </w:r>
      <w:r w:rsidRPr="00FF7D27">
        <w:rPr>
          <w:sz w:val="24"/>
          <w:szCs w:val="24"/>
        </w:rPr>
        <w:t xml:space="preserve"> Race/Ethnicity, Massachusetts, 2014</w:t>
      </w:r>
    </w:p>
    <w:p w14:paraId="3342612A" w14:textId="652F9C32" w:rsidR="00492AB1" w:rsidRPr="00FF7D27" w:rsidRDefault="00492AB1" w:rsidP="00E552D2">
      <w:pPr>
        <w:spacing w:line="360" w:lineRule="auto"/>
        <w:ind w:right="-360"/>
        <w:jc w:val="center"/>
        <w:rPr>
          <w:rFonts w:eastAsia="Calibri"/>
          <w:sz w:val="24"/>
          <w:szCs w:val="24"/>
        </w:rPr>
      </w:pPr>
      <w:r w:rsidRPr="00FF7D27">
        <w:rPr>
          <w:rFonts w:eastAsia="Calibri"/>
          <w:sz w:val="24"/>
          <w:szCs w:val="24"/>
        </w:rPr>
        <w:t xml:space="preserve">  </w:t>
      </w:r>
      <w:r w:rsidR="002F7090" w:rsidRPr="00FF7D27">
        <w:rPr>
          <w:sz w:val="24"/>
          <w:szCs w:val="24"/>
        </w:rPr>
        <w:drawing>
          <wp:inline distT="0" distB="0" distL="0" distR="0" wp14:anchorId="6E8820B3" wp14:editId="13A36635">
            <wp:extent cx="4648200" cy="3190875"/>
            <wp:effectExtent l="0" t="0" r="0" b="0"/>
            <wp:docPr id="50" name="Chart 50" descr="This vertical bar chart shows age-adjusted emergency department visit rates for diabetes in 2014 by race/ethnicity.&#10;&#10;The rate for White non-Hispanic individuals with diabetes was 99.3, for Black non-Hispanic individuals with diabetes was 419.1, and for  Hispanic individuals with diabetes was  376.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965882" w14:textId="136AE2B5" w:rsidR="00492AB1" w:rsidRPr="00FF7D27" w:rsidRDefault="009837D5" w:rsidP="00E552D2">
      <w:pPr>
        <w:pStyle w:val="SHAFigureNote"/>
        <w:spacing w:line="360" w:lineRule="auto"/>
        <w:rPr>
          <w:sz w:val="24"/>
          <w:szCs w:val="24"/>
        </w:rPr>
      </w:pPr>
      <w:r w:rsidRPr="00FF7D27">
        <w:rPr>
          <w:sz w:val="24"/>
          <w:szCs w:val="24"/>
        </w:rPr>
        <w:t>SOURCE: CHIA, CASE MIX HOSPITALIZATION DATA</w:t>
      </w:r>
    </w:p>
    <w:p w14:paraId="01CD24DF" w14:textId="2DFCD191" w:rsidR="00ED5287" w:rsidRDefault="00ED5287">
      <w:pPr>
        <w:spacing w:before="0"/>
        <w:ind w:left="0" w:right="0"/>
        <w:jc w:val="left"/>
        <w:rPr>
          <w:noProof w:val="0"/>
          <w:szCs w:val="20"/>
        </w:rPr>
      </w:pPr>
      <w:r>
        <w:br w:type="page"/>
      </w:r>
    </w:p>
    <w:p w14:paraId="66CE3B4E" w14:textId="77777777" w:rsidR="00492AB1" w:rsidRDefault="00492AB1" w:rsidP="00E552D2">
      <w:pPr>
        <w:pStyle w:val="Heading1"/>
        <w:spacing w:line="360" w:lineRule="auto"/>
        <w:rPr>
          <w:rFonts w:eastAsia="Calibri"/>
        </w:rPr>
      </w:pPr>
      <w:r>
        <w:rPr>
          <w:rFonts w:eastAsia="Calibri"/>
        </w:rPr>
        <w:lastRenderedPageBreak/>
        <w:t>Chronic Lower Respiratory Disease</w:t>
      </w:r>
    </w:p>
    <w:p w14:paraId="10C61580"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Chronic lower respiratory diseases are diseases of the airways and other structures of the lung. Chronic lower respiratory diseases include asthma, chronic obstructive pulmonary disease (COPD), emphysema, and bronchitis. </w:t>
      </w:r>
    </w:p>
    <w:p w14:paraId="1A339423" w14:textId="7F0A8E05" w:rsidR="00492AB1" w:rsidRPr="00FF7D27" w:rsidRDefault="00492AB1" w:rsidP="00E552D2">
      <w:pPr>
        <w:spacing w:line="360" w:lineRule="auto"/>
        <w:ind w:right="-360"/>
        <w:rPr>
          <w:rFonts w:eastAsia="Calibri"/>
          <w:sz w:val="24"/>
          <w:szCs w:val="24"/>
        </w:rPr>
      </w:pPr>
      <w:r w:rsidRPr="00FF7D27">
        <w:rPr>
          <w:rFonts w:eastAsia="Calibri"/>
          <w:sz w:val="24"/>
          <w:szCs w:val="24"/>
        </w:rPr>
        <w:t>In 2014, chronic lower respiratory disease was the third leading cause of death in the United States</w:t>
      </w:r>
      <w:r w:rsidRPr="00FF7D27">
        <w:rPr>
          <w:rFonts w:eastAsia="Calibri"/>
          <w:sz w:val="24"/>
          <w:szCs w:val="24"/>
          <w:vertAlign w:val="superscript"/>
        </w:rPr>
        <w:endnoteReference w:id="100"/>
      </w:r>
      <w:r w:rsidRPr="00FF7D27">
        <w:rPr>
          <w:rFonts w:eastAsia="Calibri"/>
          <w:sz w:val="24"/>
          <w:szCs w:val="24"/>
        </w:rPr>
        <w:t xml:space="preserve"> and the fourth leading cause of death in Massachusetts. Among adults </w:t>
      </w:r>
      <w:r w:rsidR="00D816DF" w:rsidRPr="00FF7D27">
        <w:rPr>
          <w:rFonts w:eastAsia="Calibri"/>
          <w:sz w:val="24"/>
          <w:szCs w:val="24"/>
        </w:rPr>
        <w:t xml:space="preserve">aged </w:t>
      </w:r>
      <w:r w:rsidRPr="00FF7D27">
        <w:rPr>
          <w:rFonts w:eastAsia="Calibri"/>
          <w:sz w:val="24"/>
          <w:szCs w:val="24"/>
        </w:rPr>
        <w:t xml:space="preserve">65 to 84, chronic lower respiratory disease is the third leading cause of death, after cancer and cardiovascular disease. </w:t>
      </w:r>
    </w:p>
    <w:p w14:paraId="47C6C4E0"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Risk factors for chronic lower respiratory disease include, but are not limited to, exposure to tobacco smoke, air pollution, occupational chemicals, and dust.</w:t>
      </w:r>
      <w:r w:rsidRPr="00FF7D27">
        <w:rPr>
          <w:rFonts w:eastAsia="Calibri"/>
          <w:sz w:val="24"/>
          <w:szCs w:val="24"/>
          <w:vertAlign w:val="superscript"/>
        </w:rPr>
        <w:endnoteReference w:id="101"/>
      </w:r>
      <w:r w:rsidRPr="00FF7D27">
        <w:rPr>
          <w:rFonts w:eastAsia="Calibri"/>
          <w:sz w:val="24"/>
          <w:szCs w:val="24"/>
        </w:rPr>
        <w:t xml:space="preserve"> </w:t>
      </w:r>
    </w:p>
    <w:p w14:paraId="2F7BAE20"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The development and management of chronic lower respiratory disease is strongly linked with the social determinants of health, such as housing, tobacco exposure, and workplace exposures</w:t>
      </w:r>
      <w:r w:rsidRPr="00FF7D27">
        <w:rPr>
          <w:sz w:val="24"/>
          <w:szCs w:val="24"/>
        </w:rPr>
        <w:t xml:space="preserve"> such as chemicals, smoke, dust, fumes or mold</w:t>
      </w:r>
      <w:r w:rsidRPr="00FF7D27">
        <w:rPr>
          <w:rFonts w:eastAsia="Calibri"/>
          <w:sz w:val="24"/>
          <w:szCs w:val="24"/>
        </w:rPr>
        <w:t>.</w:t>
      </w:r>
      <w:r w:rsidRPr="00FF7D27">
        <w:rPr>
          <w:rFonts w:eastAsia="Calibri"/>
          <w:sz w:val="24"/>
          <w:szCs w:val="24"/>
          <w:vertAlign w:val="superscript"/>
        </w:rPr>
        <w:endnoteReference w:id="102"/>
      </w:r>
      <w:r w:rsidRPr="00FF7D27">
        <w:rPr>
          <w:rFonts w:eastAsia="Calibri"/>
          <w:sz w:val="24"/>
          <w:szCs w:val="24"/>
        </w:rPr>
        <w:t xml:space="preserve"> </w:t>
      </w:r>
    </w:p>
    <w:p w14:paraId="36D3D8EB" w14:textId="77777777" w:rsidR="00492AB1" w:rsidRPr="00FF7D27" w:rsidRDefault="00492AB1" w:rsidP="00E552D2">
      <w:pPr>
        <w:pStyle w:val="Heading3"/>
        <w:spacing w:line="360" w:lineRule="auto"/>
        <w:rPr>
          <w:sz w:val="24"/>
          <w:szCs w:val="24"/>
        </w:rPr>
      </w:pPr>
      <w:r w:rsidRPr="00FF7D27">
        <w:rPr>
          <w:sz w:val="24"/>
          <w:szCs w:val="24"/>
        </w:rPr>
        <w:t>Adult Asthma</w:t>
      </w:r>
    </w:p>
    <w:p w14:paraId="78357A4C" w14:textId="77777777"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sz w:val="24"/>
          <w:szCs w:val="24"/>
        </w:rPr>
        <w:t xml:space="preserve">Asthma is a chronic inflammation of the airways that affects people of all ages and is a significant public health problem both in Massachusetts and the United States. Asthma is exacerbated when airways become constricted with swelling and excessive mucous production, making it difficult to breathe. </w:t>
      </w:r>
    </w:p>
    <w:p w14:paraId="36A1A807" w14:textId="77777777" w:rsidR="00492AB1" w:rsidRPr="00FF7D27" w:rsidRDefault="00492AB1" w:rsidP="00E552D2">
      <w:pPr>
        <w:spacing w:line="360" w:lineRule="auto"/>
        <w:ind w:right="-360"/>
        <w:rPr>
          <w:rFonts w:eastAsia="Calibri"/>
          <w:sz w:val="24"/>
          <w:szCs w:val="24"/>
        </w:rPr>
      </w:pPr>
      <w:r w:rsidRPr="00FF7D27">
        <w:rPr>
          <w:rFonts w:ascii="Calibri" w:eastAsia="Calibri" w:hAnsi="Calibri" w:cs="Calibri"/>
          <w:sz w:val="24"/>
          <w:szCs w:val="24"/>
        </w:rPr>
        <w:t xml:space="preserve">Symptoms of asthma include wheezing, coughing, and chest tightness. Sometimes asthma symptoms become so severe that they result in an asthma attack that requires immediate medical treatment. Asthma attacks can be triggered by certain environmental factors such as air pollution, mold, pet dander or saliva, pests such as rodents and cockroaches, and dust mites in the environment. Asthma affects individuals differently, resulting in differing severity, presentation of symptoms and responsiveness to treatment. </w:t>
      </w:r>
      <w:r w:rsidRPr="00FF7D27">
        <w:rPr>
          <w:rFonts w:eastAsia="Calibri"/>
          <w:sz w:val="24"/>
          <w:szCs w:val="24"/>
        </w:rPr>
        <w:t>Asthma is among the top seven conditions that contribute to high costs and emergency room expenditures in the Commonwealth.</w:t>
      </w:r>
      <w:r w:rsidRPr="00FF7D27">
        <w:rPr>
          <w:rFonts w:eastAsia="Calibri"/>
          <w:sz w:val="24"/>
          <w:szCs w:val="24"/>
          <w:vertAlign w:val="superscript"/>
        </w:rPr>
        <w:endnoteReference w:id="103"/>
      </w:r>
      <w:r w:rsidRPr="00FF7D27">
        <w:rPr>
          <w:rFonts w:eastAsia="Calibri"/>
          <w:sz w:val="24"/>
          <w:szCs w:val="24"/>
        </w:rPr>
        <w:t xml:space="preserve"> </w:t>
      </w:r>
    </w:p>
    <w:p w14:paraId="72B7D61A" w14:textId="77777777" w:rsidR="00492AB1" w:rsidRPr="00FF7D27" w:rsidRDefault="00492AB1" w:rsidP="00E552D2">
      <w:pPr>
        <w:spacing w:line="360" w:lineRule="auto"/>
        <w:ind w:right="-360"/>
        <w:rPr>
          <w:rFonts w:ascii="Calibri" w:eastAsia="Calibri" w:hAnsi="Calibri" w:cs="Calibri"/>
          <w:sz w:val="24"/>
          <w:szCs w:val="24"/>
        </w:rPr>
      </w:pPr>
      <w:r w:rsidRPr="00FF7D27">
        <w:rPr>
          <w:rFonts w:eastAsia="Calibri"/>
          <w:sz w:val="24"/>
          <w:szCs w:val="24"/>
        </w:rPr>
        <w:t>On average, asthma patients in Massachusetts incur $58,600 in medical expenditures per person annually.</w:t>
      </w:r>
      <w:r w:rsidRPr="00FF7D27">
        <w:rPr>
          <w:rStyle w:val="EndnoteReference"/>
          <w:rFonts w:eastAsia="Calibri"/>
          <w:sz w:val="24"/>
          <w:szCs w:val="24"/>
        </w:rPr>
        <w:endnoteReference w:id="104"/>
      </w:r>
      <w:r w:rsidRPr="00FF7D27">
        <w:rPr>
          <w:rFonts w:eastAsia="Calibri"/>
          <w:sz w:val="24"/>
          <w:szCs w:val="24"/>
        </w:rPr>
        <w:t xml:space="preserve"> </w:t>
      </w:r>
      <w:r w:rsidRPr="00FF7D27">
        <w:rPr>
          <w:rFonts w:ascii="Calibri" w:eastAsia="Calibri" w:hAnsi="Calibri" w:cs="Calibri"/>
          <w:sz w:val="24"/>
          <w:szCs w:val="24"/>
        </w:rPr>
        <w:t xml:space="preserve">Although the percent of adults who have ever been told that they have asthma does not differ significantly by </w:t>
      </w:r>
      <w:r w:rsidRPr="00FF7D27">
        <w:rPr>
          <w:rFonts w:ascii="Calibri" w:eastAsia="Calibri" w:hAnsi="Calibri" w:cs="Calibri"/>
          <w:sz w:val="24"/>
          <w:szCs w:val="24"/>
        </w:rPr>
        <w:lastRenderedPageBreak/>
        <w:t xml:space="preserve">race/ethnicity, stark racial/ethnic disparities in emergency department visits and hospitalizations strongly suggest the role that the social determinants of health play in asthma outcomes.  </w:t>
      </w:r>
    </w:p>
    <w:p w14:paraId="119DA12E" w14:textId="77777777" w:rsidR="00492AB1" w:rsidRPr="00FF7D27" w:rsidRDefault="00492AB1" w:rsidP="00E552D2">
      <w:pPr>
        <w:pStyle w:val="Heading4"/>
        <w:spacing w:line="360" w:lineRule="auto"/>
      </w:pPr>
      <w:r w:rsidRPr="00FF7D27">
        <w:t>Trends/Disparities</w:t>
      </w:r>
    </w:p>
    <w:p w14:paraId="673D0D64"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The percentage of adults reporting that they have ever been told by a health provider that they have asthma (lifetime asthma) </w:t>
      </w:r>
      <w:r w:rsidRPr="00FF7D27">
        <w:rPr>
          <w:rFonts w:ascii="Calibri" w:eastAsia="Calibri" w:hAnsi="Calibri" w:cs="Calibri"/>
          <w:sz w:val="24"/>
          <w:szCs w:val="24"/>
        </w:rPr>
        <w:t xml:space="preserve">as well as the percentage reporting that they still have asthma (current asthma) were consistently higher in Massachusetts than in the US as a whole from 2000 through 2013. </w:t>
      </w:r>
      <w:r w:rsidRPr="00FF7D27">
        <w:rPr>
          <w:rFonts w:eastAsia="Calibri"/>
          <w:sz w:val="24"/>
          <w:szCs w:val="24"/>
        </w:rPr>
        <w:t xml:space="preserve">In 2015, the overall prevalence was 10.2%.  </w:t>
      </w:r>
    </w:p>
    <w:p w14:paraId="2C37B190" w14:textId="77777777"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sz w:val="24"/>
          <w:szCs w:val="24"/>
        </w:rPr>
        <w:t xml:space="preserve">Following national patterns, lifetime and current asthma prevalence in Massachusetts increased significantly from 2000 through 2010 (28.6% and 22.4% increase, respectively). While both lifetime and current asthma prevalence also appear to be increasing in more recent years, additional years of data are needed to estimate the magnitude of this increase.  </w:t>
      </w:r>
    </w:p>
    <w:p w14:paraId="6FA39AEE" w14:textId="1C363843"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Current asthma prevalence among Massachusetts adults differs based on demographic and socioeconomic factors and by geographic location. As seen in </w:t>
      </w:r>
      <w:r w:rsidR="00846C22" w:rsidRPr="00FF7D27">
        <w:rPr>
          <w:rFonts w:eastAsia="Calibri"/>
          <w:b/>
          <w:sz w:val="24"/>
          <w:szCs w:val="24"/>
        </w:rPr>
        <w:t>Figure 8.</w:t>
      </w:r>
      <w:r w:rsidR="009B366D" w:rsidRPr="00FF7D27">
        <w:rPr>
          <w:rFonts w:eastAsia="Calibri"/>
          <w:b/>
          <w:sz w:val="24"/>
          <w:szCs w:val="24"/>
        </w:rPr>
        <w:t>18</w:t>
      </w:r>
      <w:r w:rsidRPr="00FF7D27">
        <w:rPr>
          <w:rFonts w:eastAsia="Calibri"/>
          <w:sz w:val="24"/>
          <w:szCs w:val="24"/>
        </w:rPr>
        <w:t>, statistically significant disparities exist by gender, age, education, income, disability status, and weight.</w:t>
      </w:r>
    </w:p>
    <w:p w14:paraId="09616C83" w14:textId="22D4F6FD" w:rsidR="00492AB1" w:rsidRPr="00FF7D27" w:rsidRDefault="00D816DF" w:rsidP="00E552D2">
      <w:pPr>
        <w:spacing w:before="0" w:line="360" w:lineRule="auto"/>
        <w:ind w:left="0" w:right="0"/>
        <w:jc w:val="center"/>
        <w:rPr>
          <w:b/>
          <w:sz w:val="24"/>
          <w:szCs w:val="24"/>
        </w:rPr>
      </w:pPr>
      <w:r w:rsidRPr="00FF7D27">
        <w:rPr>
          <w:b/>
          <w:sz w:val="24"/>
          <w:szCs w:val="24"/>
        </w:rPr>
        <w:br w:type="page"/>
      </w:r>
      <w:r w:rsidR="00DD12F9" w:rsidRPr="00FF7D27">
        <w:rPr>
          <w:b/>
          <w:sz w:val="24"/>
          <w:szCs w:val="24"/>
        </w:rPr>
        <w:lastRenderedPageBreak/>
        <w:t>Figure</w:t>
      </w:r>
      <w:r w:rsidR="00492AB1" w:rsidRPr="00FF7D27">
        <w:rPr>
          <w:b/>
          <w:sz w:val="24"/>
          <w:szCs w:val="24"/>
        </w:rPr>
        <w:t xml:space="preserve"> 8.</w:t>
      </w:r>
      <w:r w:rsidR="00846C22" w:rsidRPr="00FF7D27">
        <w:rPr>
          <w:b/>
          <w:sz w:val="24"/>
          <w:szCs w:val="24"/>
        </w:rPr>
        <w:t>1</w:t>
      </w:r>
      <w:r w:rsidR="009B366D" w:rsidRPr="00FF7D27">
        <w:rPr>
          <w:b/>
          <w:sz w:val="24"/>
          <w:szCs w:val="24"/>
        </w:rPr>
        <w:t>8</w:t>
      </w:r>
    </w:p>
    <w:p w14:paraId="798CA43E" w14:textId="79F31D3F" w:rsidR="00492AB1" w:rsidRPr="00FF7D27" w:rsidRDefault="00492AB1" w:rsidP="00E552D2">
      <w:pPr>
        <w:spacing w:line="360" w:lineRule="auto"/>
        <w:ind w:right="-360"/>
        <w:jc w:val="center"/>
        <w:rPr>
          <w:b/>
          <w:sz w:val="24"/>
          <w:szCs w:val="24"/>
        </w:rPr>
      </w:pPr>
      <w:r w:rsidRPr="00FF7D27">
        <w:rPr>
          <w:sz w:val="24"/>
          <w:szCs w:val="24"/>
        </w:rPr>
        <w:t xml:space="preserve"> </w:t>
      </w:r>
      <w:r w:rsidR="00EA6625" w:rsidRPr="00FF7D27">
        <w:rPr>
          <w:b/>
          <w:sz w:val="24"/>
          <w:szCs w:val="24"/>
        </w:rPr>
        <w:t xml:space="preserve">Prevalence of Current Asthma </w:t>
      </w:r>
      <w:r w:rsidR="00925A89" w:rsidRPr="00FF7D27">
        <w:rPr>
          <w:b/>
          <w:sz w:val="24"/>
          <w:szCs w:val="24"/>
        </w:rPr>
        <w:t>a</w:t>
      </w:r>
      <w:r w:rsidRPr="00FF7D27">
        <w:rPr>
          <w:b/>
          <w:sz w:val="24"/>
          <w:szCs w:val="24"/>
        </w:rPr>
        <w:t>mong Adults</w:t>
      </w:r>
      <w:r w:rsidR="00C86588" w:rsidRPr="00FF7D27">
        <w:rPr>
          <w:b/>
          <w:sz w:val="24"/>
          <w:szCs w:val="24"/>
        </w:rPr>
        <w:t>,</w:t>
      </w:r>
      <w:r w:rsidRPr="00FF7D27">
        <w:rPr>
          <w:b/>
          <w:sz w:val="24"/>
          <w:szCs w:val="24"/>
        </w:rPr>
        <w:t xml:space="preserve"> by Social and Economic Characteristics, Massachusetts, 2015</w:t>
      </w:r>
    </w:p>
    <w:p w14:paraId="2385E9BE" w14:textId="071972E8" w:rsidR="00492AB1" w:rsidRPr="00FF7D27" w:rsidRDefault="00BC7930" w:rsidP="00E552D2">
      <w:pPr>
        <w:spacing w:line="360" w:lineRule="auto"/>
        <w:ind w:right="-360"/>
        <w:jc w:val="center"/>
        <w:rPr>
          <w:b/>
          <w:sz w:val="24"/>
          <w:szCs w:val="24"/>
        </w:rPr>
      </w:pPr>
      <w:r w:rsidRPr="00FF7D27">
        <w:rPr>
          <w:sz w:val="24"/>
          <w:szCs w:val="24"/>
        </w:rPr>
        <w:drawing>
          <wp:inline distT="0" distB="0" distL="0" distR="0" wp14:anchorId="7659DF5B" wp14:editId="440FE452">
            <wp:extent cx="5105400" cy="6731000"/>
            <wp:effectExtent l="0" t="0" r="0" b="0"/>
            <wp:docPr id="52" name="Chart 52" descr="This horizontal bar graph depicts several prevalence rates of  asthma among adults for a variety of demographic and socioeconomic categories.&#10;&#10;In 2015, 10.2% of adults in Massachusetts had current asthma&#10;&#10;7.3% of males had current asthma&#10;12.8% of females had current asthma&#10;&#10;11.4% of those age 18 to 34 had current asthma&#10;10.6% of those age 35 to 64 had current asthma&#10;7.7% of those age 65 or more had current asthma&#10;&#10;10.4% of White non-Hispanic adults had current asthma&#10;13.8% of Black non-Hispanic adults had current asthma&#10;9.5% of Hispanic adults had current asthma&#10;&#10;13.6% of those with less than a high school degree had current asthma&#10;11.5% of those with a high school degree had current asthma&#10;9.2% of those with at least some college education had current asthma&#10;&#10;12.9% of adults with an annual household income of less than $25,000 had current asthma&#10;9.5% of adults with an annual household income between $25,000 and $75,000 had current asthma&#10;9.5% of adults with an annual household income of $75,000 or more had current asthma&#10;&#10;13.4% of current smokers had current asthma&#10;10.4% of former smokers had current asthma&#10;10.0% of those who never smoked had current asthma&#10;&#10;15.7% of people with a disability had current asthma&#10;8.4% of people without a disability had current asthma&#10;&#10;12.0% of overweight or obese persons had current asthma&#10;8.8% of persons who are not overweight or obese had current asthma&#10;&#10;9.3% of people who live in rural areas had current asthma&#10;10.8% of people who live in urban areas had current asthma&#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364E461"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lastRenderedPageBreak/>
        <w:t>In 2012, the asthma hospitalization rate for Hispanic and Black non-Hispanic adults was 2.2 times higher than that for White non-Hispanic adults. That same year, emergency department visit rates for Black non-Hispanic and Hispanic adults were 3.4 and 3.1 times higher than the rate for White non-Hispanic adults respectively.</w:t>
      </w:r>
    </w:p>
    <w:p w14:paraId="309A4C95" w14:textId="77777777" w:rsidR="00492AB1" w:rsidRPr="00FF7D27" w:rsidRDefault="00492AB1" w:rsidP="00E552D2">
      <w:pPr>
        <w:spacing w:line="360" w:lineRule="auto"/>
        <w:ind w:right="-360"/>
        <w:rPr>
          <w:rFonts w:ascii="Calibri" w:eastAsia="Calibri" w:hAnsi="Calibri" w:cs="Calibri"/>
          <w:sz w:val="24"/>
          <w:szCs w:val="24"/>
        </w:rPr>
      </w:pPr>
      <w:r w:rsidRPr="00FF7D27">
        <w:rPr>
          <w:rFonts w:ascii="Calibri" w:eastAsia="Calibri" w:hAnsi="Calibri" w:cs="Calibri"/>
          <w:sz w:val="24"/>
          <w:szCs w:val="24"/>
        </w:rPr>
        <w:t>There are several features of the social and physical environment that enhance vulnerability for asthma. These include housing, health care access, stressors, workplace exposures, and outdoor air quality. Lack of access to safe and affordable housing can lead to environmental inequities that exacerbate asthma, including living in areas with high levels of air pollution or areas prone to flooding; poor physical and structural condition of housing, such as water leaks or dampness, holes in walls, and poor ventilation that increases risk of mold growth and pest infestations; and exposure to environmental tobacco smoke in multi-unit housing.</w:t>
      </w:r>
      <w:r w:rsidRPr="00FF7D27">
        <w:rPr>
          <w:sz w:val="24"/>
          <w:szCs w:val="24"/>
        </w:rPr>
        <w:t xml:space="preserve"> </w:t>
      </w:r>
      <w:r w:rsidRPr="00FF7D27">
        <w:rPr>
          <w:rFonts w:ascii="Calibri" w:eastAsia="Calibri" w:hAnsi="Calibri" w:cs="Calibri"/>
          <w:sz w:val="24"/>
          <w:szCs w:val="24"/>
        </w:rPr>
        <w:t>Historical and structural inequalities that place greater sources of pollution in low-income and racial/ethnic minority communities contribute to asthma disparities.</w:t>
      </w:r>
      <w:r w:rsidRPr="00FF7D27">
        <w:rPr>
          <w:rStyle w:val="EndnoteReference"/>
          <w:rFonts w:ascii="Calibri" w:eastAsia="Calibri" w:hAnsi="Calibri" w:cs="Calibri"/>
          <w:sz w:val="24"/>
          <w:szCs w:val="24"/>
        </w:rPr>
        <w:endnoteReference w:id="105"/>
      </w:r>
      <w:r w:rsidRPr="00FF7D27">
        <w:rPr>
          <w:rFonts w:ascii="Calibri" w:eastAsia="Calibri" w:hAnsi="Calibri" w:cs="Calibri"/>
          <w:sz w:val="24"/>
          <w:szCs w:val="24"/>
        </w:rPr>
        <w:t xml:space="preserve"> </w:t>
      </w:r>
    </w:p>
    <w:p w14:paraId="2A78C6D3" w14:textId="77777777" w:rsidR="00492AB1" w:rsidRPr="00FF7D27" w:rsidRDefault="00492AB1" w:rsidP="00E552D2">
      <w:pPr>
        <w:spacing w:line="360" w:lineRule="auto"/>
        <w:ind w:right="-360"/>
        <w:rPr>
          <w:sz w:val="24"/>
          <w:szCs w:val="24"/>
        </w:rPr>
      </w:pPr>
      <w:r w:rsidRPr="00FF7D27">
        <w:rPr>
          <w:sz w:val="24"/>
          <w:szCs w:val="24"/>
        </w:rPr>
        <w:t>In the workplace, factors such as chemicals, smoke, dust, fumes or mold, may cause or exacerbate asthma.</w:t>
      </w:r>
      <w:r w:rsidRPr="00FF7D27">
        <w:rPr>
          <w:rStyle w:val="EndnoteReference"/>
          <w:sz w:val="24"/>
          <w:szCs w:val="24"/>
        </w:rPr>
        <w:endnoteReference w:id="106"/>
      </w:r>
      <w:r w:rsidRPr="00FF7D27">
        <w:rPr>
          <w:sz w:val="24"/>
          <w:szCs w:val="24"/>
        </w:rPr>
        <w:t xml:space="preserve">  Work-related asthma is often under recognized and under diagnosed. </w:t>
      </w:r>
      <w:r w:rsidRPr="00FF7D27">
        <w:rPr>
          <w:rStyle w:val="EndnoteReference"/>
          <w:sz w:val="24"/>
          <w:szCs w:val="24"/>
        </w:rPr>
        <w:endnoteReference w:id="107"/>
      </w:r>
      <w:r w:rsidRPr="00FF7D27">
        <w:rPr>
          <w:sz w:val="24"/>
          <w:szCs w:val="24"/>
        </w:rPr>
        <w:t xml:space="preserve">  In Massachusetts, 44.5% of adults with current asthma who have ever been employed reported that their asthma was caused or made worse by their work.  Yet only 15.5% had discussed how work affected their asthma with their health care provider.  Further, only 8.3% had been diagnosed with work-related asthma. </w:t>
      </w:r>
      <w:r w:rsidRPr="00FF7D27">
        <w:rPr>
          <w:rStyle w:val="EndnoteReference"/>
          <w:sz w:val="24"/>
          <w:szCs w:val="24"/>
        </w:rPr>
        <w:endnoteReference w:id="108"/>
      </w:r>
    </w:p>
    <w:p w14:paraId="76704632" w14:textId="77777777" w:rsidR="00492AB1" w:rsidRPr="00FF7D27" w:rsidRDefault="00492AB1" w:rsidP="00E552D2">
      <w:pPr>
        <w:spacing w:line="360" w:lineRule="auto"/>
        <w:ind w:right="-360"/>
        <w:rPr>
          <w:rFonts w:eastAsia="Calibri"/>
          <w:b/>
          <w:sz w:val="24"/>
          <w:szCs w:val="24"/>
        </w:rPr>
      </w:pPr>
      <w:r w:rsidRPr="00FF7D27">
        <w:rPr>
          <w:rFonts w:eastAsia="Calibri"/>
          <w:sz w:val="24"/>
          <w:szCs w:val="24"/>
        </w:rPr>
        <w:t xml:space="preserve">Qualitatively, residents living in urban areas were described as especially vulnerable to adult asthma. As one participant shared: </w:t>
      </w:r>
      <w:r w:rsidRPr="00FF7D27">
        <w:rPr>
          <w:rFonts w:eastAsia="Calibri"/>
          <w:i/>
          <w:sz w:val="24"/>
          <w:szCs w:val="24"/>
        </w:rPr>
        <w:t>“In Boston’s Chinatown, for example, we see a lot of problems with the built environment. The residents live right beside the highway and there’s lots of pollution in the area, including many smokers who work in the restaurants; lots of residents suffer from asthma because of it.”</w:t>
      </w:r>
    </w:p>
    <w:p w14:paraId="4C41D92F" w14:textId="77777777" w:rsidR="00492AB1" w:rsidRPr="00FF7D27" w:rsidRDefault="00492AB1" w:rsidP="00E552D2">
      <w:pPr>
        <w:pStyle w:val="Heading3"/>
        <w:spacing w:line="360" w:lineRule="auto"/>
        <w:rPr>
          <w:sz w:val="24"/>
          <w:szCs w:val="24"/>
        </w:rPr>
      </w:pPr>
      <w:r w:rsidRPr="00FF7D27">
        <w:rPr>
          <w:sz w:val="24"/>
          <w:szCs w:val="24"/>
        </w:rPr>
        <w:t>Pediatric Asthma</w:t>
      </w:r>
    </w:p>
    <w:p w14:paraId="1535C501"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The prevalence of pediatric asthma is high in Massachusetts.</w:t>
      </w:r>
      <w:r w:rsidRPr="00FF7D27">
        <w:rPr>
          <w:rStyle w:val="EndnoteReference"/>
          <w:rFonts w:eastAsia="Calibri"/>
          <w:sz w:val="24"/>
          <w:szCs w:val="24"/>
        </w:rPr>
        <w:endnoteReference w:id="109"/>
      </w:r>
      <w:r w:rsidRPr="00FF7D27">
        <w:rPr>
          <w:rFonts w:eastAsia="Calibri"/>
          <w:sz w:val="24"/>
          <w:szCs w:val="24"/>
        </w:rPr>
        <w:t xml:space="preserve"> Two out of every three Massachusetts children with asthma have asthma that is not well controlled or is very poorly controlled.</w:t>
      </w:r>
      <w:r w:rsidRPr="00FF7D27">
        <w:rPr>
          <w:rStyle w:val="EndnoteReference"/>
          <w:rFonts w:eastAsia="Calibri"/>
          <w:sz w:val="24"/>
          <w:szCs w:val="24"/>
        </w:rPr>
        <w:endnoteReference w:id="110"/>
      </w:r>
      <w:r w:rsidRPr="00FF7D27">
        <w:rPr>
          <w:rFonts w:eastAsia="Calibri"/>
          <w:sz w:val="24"/>
          <w:szCs w:val="24"/>
        </w:rPr>
        <w:t xml:space="preserve"> The rate of asthma hospitalizations among children aged 19 and younger is increasing, and children had the highest rate of asthma emergency department visits compared to other age groups.  </w:t>
      </w:r>
      <w:r w:rsidRPr="00FF7D27">
        <w:rPr>
          <w:rFonts w:ascii="Calibri" w:eastAsia="Calibri" w:hAnsi="Calibri" w:cs="Calibri"/>
          <w:sz w:val="24"/>
          <w:szCs w:val="24"/>
        </w:rPr>
        <w:t>Disparities exist in poor asthma outcomes, with statistically significantly higher rates of emergency department visits and hospitalizations for asthma found among Black non-Hispanic and Hispanic children compared to White non-Hispanic children.</w:t>
      </w:r>
      <w:r w:rsidRPr="00FF7D27">
        <w:rPr>
          <w:rStyle w:val="EndnoteReference"/>
          <w:rFonts w:ascii="Calibri" w:eastAsia="Calibri" w:hAnsi="Calibri" w:cs="Calibri"/>
          <w:sz w:val="24"/>
          <w:szCs w:val="24"/>
        </w:rPr>
        <w:endnoteReference w:id="111"/>
      </w:r>
    </w:p>
    <w:p w14:paraId="4AD3848A" w14:textId="77777777" w:rsidR="00492AB1" w:rsidRPr="00FF7D27" w:rsidRDefault="00492AB1" w:rsidP="00E552D2">
      <w:pPr>
        <w:pStyle w:val="Heading4"/>
        <w:spacing w:line="360" w:lineRule="auto"/>
        <w:rPr>
          <w:rFonts w:eastAsia="Calibri"/>
        </w:rPr>
      </w:pPr>
      <w:r w:rsidRPr="00FF7D27">
        <w:lastRenderedPageBreak/>
        <w:t>Trends/Disparities</w:t>
      </w:r>
    </w:p>
    <w:p w14:paraId="2F907F6B"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From 2005 to 2010, current and lifetime asthma prevalence among Massachusetts children decreased by an average of 2.3% and 1.3% annually. Despite this progress, in 2006-2010, two out of every three Massachusetts children with asthma still had asthma that was not well controlled, or was poorly controlled.</w:t>
      </w:r>
    </w:p>
    <w:p w14:paraId="55750B2E" w14:textId="7E3F5615"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The prevalence of asthma among children in Massachusetts varies based on social </w:t>
      </w:r>
      <w:r w:rsidR="001337FA" w:rsidRPr="00FF7D27">
        <w:rPr>
          <w:rFonts w:eastAsia="Calibri"/>
          <w:sz w:val="24"/>
          <w:szCs w:val="24"/>
        </w:rPr>
        <w:t>and economic characteristics</w:t>
      </w:r>
      <w:r w:rsidRPr="00FF7D27">
        <w:rPr>
          <w:rFonts w:eastAsia="Calibri"/>
          <w:sz w:val="24"/>
          <w:szCs w:val="24"/>
        </w:rPr>
        <w:t xml:space="preserve"> as well as geography. The three-year (2013-2015) average annual prevalence of asthma among children in Massachusetts was 9.9%. High asthma prevalence among children is associated with being between the ages of 12 and 17 (12.7%) and having a household income of less than $25,000 per year (15.8%).</w:t>
      </w:r>
    </w:p>
    <w:p w14:paraId="063ABF5A" w14:textId="030C9278" w:rsidR="00492AB1" w:rsidRPr="00FF7D27" w:rsidRDefault="00492AB1" w:rsidP="00E552D2">
      <w:pPr>
        <w:keepNext/>
        <w:keepLines/>
        <w:spacing w:line="360" w:lineRule="auto"/>
        <w:ind w:right="-360"/>
        <w:jc w:val="center"/>
        <w:rPr>
          <w:b/>
          <w:sz w:val="24"/>
          <w:szCs w:val="24"/>
        </w:rPr>
      </w:pPr>
      <w:r w:rsidRPr="00FF7D27">
        <w:rPr>
          <w:b/>
          <w:sz w:val="24"/>
          <w:szCs w:val="24"/>
        </w:rPr>
        <w:lastRenderedPageBreak/>
        <w:t>Figure 8.</w:t>
      </w:r>
      <w:r w:rsidR="009B366D" w:rsidRPr="00FF7D27">
        <w:rPr>
          <w:b/>
          <w:sz w:val="24"/>
          <w:szCs w:val="24"/>
        </w:rPr>
        <w:t>19</w:t>
      </w:r>
    </w:p>
    <w:p w14:paraId="20553788" w14:textId="77777777" w:rsidR="00C81EA8" w:rsidRPr="00FF7D27" w:rsidRDefault="00EA6625" w:rsidP="00E552D2">
      <w:pPr>
        <w:keepNext/>
        <w:keepLines/>
        <w:spacing w:line="360" w:lineRule="auto"/>
        <w:ind w:right="-360"/>
        <w:contextualSpacing/>
        <w:jc w:val="center"/>
        <w:rPr>
          <w:b/>
          <w:sz w:val="24"/>
          <w:szCs w:val="24"/>
        </w:rPr>
      </w:pPr>
      <w:r w:rsidRPr="00FF7D27">
        <w:rPr>
          <w:b/>
          <w:sz w:val="24"/>
          <w:szCs w:val="24"/>
        </w:rPr>
        <w:t>Prevalence of C</w:t>
      </w:r>
      <w:r w:rsidR="00925A89" w:rsidRPr="00FF7D27">
        <w:rPr>
          <w:b/>
          <w:sz w:val="24"/>
          <w:szCs w:val="24"/>
        </w:rPr>
        <w:t>urrent Asthma a</w:t>
      </w:r>
      <w:r w:rsidR="00492AB1" w:rsidRPr="00FF7D27">
        <w:rPr>
          <w:b/>
          <w:sz w:val="24"/>
          <w:szCs w:val="24"/>
        </w:rPr>
        <w:t>mong Massachusetts Children</w:t>
      </w:r>
      <w:r w:rsidR="00C86588" w:rsidRPr="00FF7D27">
        <w:rPr>
          <w:b/>
          <w:sz w:val="24"/>
          <w:szCs w:val="24"/>
        </w:rPr>
        <w:t>,</w:t>
      </w:r>
      <w:r w:rsidR="00492AB1" w:rsidRPr="00FF7D27">
        <w:rPr>
          <w:b/>
          <w:sz w:val="24"/>
          <w:szCs w:val="24"/>
        </w:rPr>
        <w:t xml:space="preserve"> by Demographic and Socioeconomic Factors,</w:t>
      </w:r>
    </w:p>
    <w:p w14:paraId="16CB98CB" w14:textId="00401D60" w:rsidR="00492AB1" w:rsidRPr="00FF7D27" w:rsidRDefault="00492AB1" w:rsidP="00E552D2">
      <w:pPr>
        <w:keepNext/>
        <w:keepLines/>
        <w:spacing w:line="360" w:lineRule="auto"/>
        <w:ind w:right="-360"/>
        <w:contextualSpacing/>
        <w:jc w:val="center"/>
        <w:rPr>
          <w:b/>
          <w:sz w:val="24"/>
          <w:szCs w:val="24"/>
        </w:rPr>
      </w:pPr>
      <w:r w:rsidRPr="00FF7D27">
        <w:rPr>
          <w:b/>
          <w:sz w:val="24"/>
          <w:szCs w:val="24"/>
        </w:rPr>
        <w:t xml:space="preserve"> 2013-2015</w:t>
      </w:r>
    </w:p>
    <w:p w14:paraId="1BB166F6" w14:textId="110F17F0" w:rsidR="00492AB1" w:rsidRPr="00FF7D27" w:rsidRDefault="00BC7930" w:rsidP="00E552D2">
      <w:pPr>
        <w:keepNext/>
        <w:keepLines/>
        <w:spacing w:line="360" w:lineRule="auto"/>
        <w:ind w:right="-360"/>
        <w:jc w:val="center"/>
        <w:rPr>
          <w:rFonts w:eastAsia="Aileron"/>
          <w:b/>
          <w:sz w:val="24"/>
          <w:szCs w:val="24"/>
        </w:rPr>
      </w:pPr>
      <w:r w:rsidRPr="00FF7D27">
        <w:rPr>
          <w:sz w:val="24"/>
          <w:szCs w:val="24"/>
        </w:rPr>
        <w:drawing>
          <wp:inline distT="0" distB="0" distL="0" distR="0" wp14:anchorId="0B16048B" wp14:editId="12DE5B59">
            <wp:extent cx="4686301" cy="6981825"/>
            <wp:effectExtent l="0" t="0" r="0" b="0"/>
            <wp:docPr id="56" name="Chart 56" descr="This figure is a horizontal bar graph that depicts several prevalence rates of current asthma among children for a variety of demographic and socioeconomic categories.&#10;&#10;From 2013 to 2015, 9.9% of children in Massachusetts had current asthma&#10;&#10;10.3% of male children had current asthma&#10;9.7% of female children had current asthma&#10;&#10;3.6% of those age 0 to 4 had current asthma&#10;12.2% of those age 5 to 11 had current asthma&#10;12.7% of those age 12 to 17 had current asthma&#10;&#10;9.0% of White non-Hispanic children had current asthma&#10;13.2% of Black non-Hispanic children had current asthma&#10;15.2% of Hispanic children had current asthma&#10;&#10;10.9% of children in a household where the adult responder to survey had less than a high school degree had current asthma&#10;14.0% of children in a household where the adult responder to survey had a high school degree had current asthma&#10;9.0% of children in a household where the adult responder to survey had some college or more had current asthma  &#10;&#10;15.8% of children who live in household with an annual household income less than $25,000 had current asthma &#10;10.6% of children who live in a household with an annual income between $25,000 and $75,000 had current asthma&#10;8.1% of children who live in a household with an annual household income over $75,000 had current asthma&#10;&#10;15.9% of children in a household where the adult responder to survey is a current smoker had current asthma&#10;10.4% of children in a household where the adult responder to survey is a former smokers had current asthma&#10;10.0% of children in a household where the adult responder to survey is someone who never smoked had current asthma&#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FC79C38" w14:textId="4EC7A3D2" w:rsidR="00492AB1" w:rsidRPr="00FF7D27" w:rsidRDefault="00D816DF" w:rsidP="00E552D2">
      <w:pPr>
        <w:pStyle w:val="SHAFigureNote"/>
        <w:spacing w:line="360" w:lineRule="auto"/>
        <w:rPr>
          <w:sz w:val="24"/>
          <w:szCs w:val="24"/>
        </w:rPr>
      </w:pPr>
      <w:r w:rsidRPr="00FF7D27">
        <w:rPr>
          <w:sz w:val="24"/>
          <w:szCs w:val="24"/>
        </w:rPr>
        <w:lastRenderedPageBreak/>
        <w:t xml:space="preserve">NOTE: MULTIPLE YEARS OF DATA WERE COMBINED </w:t>
      </w:r>
      <w:r w:rsidR="00C86588" w:rsidRPr="00FF7D27">
        <w:rPr>
          <w:sz w:val="24"/>
          <w:szCs w:val="24"/>
        </w:rPr>
        <w:t xml:space="preserve">FROM THE BRFSS </w:t>
      </w:r>
      <w:r w:rsidRPr="00FF7D27">
        <w:rPr>
          <w:sz w:val="24"/>
          <w:szCs w:val="24"/>
        </w:rPr>
        <w:t>FOR SUFFICIENT SAMPLE SIZE</w:t>
      </w:r>
    </w:p>
    <w:p w14:paraId="27C0FAAB"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In 2012, the asthma hospitalization rate for Black non-Hispanic children and Hispanic children was 3.6 and 2.6 times higher than the rate for White non-Hispanic children.</w:t>
      </w:r>
    </w:p>
    <w:p w14:paraId="2FA38646" w14:textId="77777777" w:rsidR="00C521ED" w:rsidRPr="00FF7D27" w:rsidRDefault="00492AB1" w:rsidP="00E552D2">
      <w:pPr>
        <w:spacing w:line="360" w:lineRule="auto"/>
        <w:ind w:right="-360"/>
        <w:contextualSpacing/>
        <w:rPr>
          <w:rFonts w:eastAsia="Calibri"/>
          <w:sz w:val="24"/>
          <w:szCs w:val="24"/>
        </w:rPr>
      </w:pPr>
      <w:r w:rsidRPr="00FF7D27">
        <w:rPr>
          <w:rFonts w:eastAsia="Calibri"/>
          <w:sz w:val="24"/>
          <w:szCs w:val="24"/>
        </w:rPr>
        <w:t xml:space="preserve">Social determinants of health affect inequities in asthma-related outcomes. For example, housing stock, residential segregation, tenancy laws, insurance coverage, and schools are factors associated with asthma inequities.  </w:t>
      </w:r>
    </w:p>
    <w:p w14:paraId="00E239A8" w14:textId="77777777" w:rsidR="00FF7D27" w:rsidRDefault="00FF7D27">
      <w:pPr>
        <w:spacing w:before="0"/>
        <w:ind w:left="0" w:right="0"/>
        <w:jc w:val="left"/>
        <w:rPr>
          <w:b/>
          <w:sz w:val="24"/>
          <w:szCs w:val="24"/>
        </w:rPr>
      </w:pPr>
      <w:r>
        <w:rPr>
          <w:b/>
          <w:sz w:val="24"/>
          <w:szCs w:val="24"/>
        </w:rPr>
        <w:br w:type="page"/>
      </w:r>
    </w:p>
    <w:p w14:paraId="6D4A8180" w14:textId="4BBF31B1" w:rsidR="00FF7D27" w:rsidRDefault="00C521ED" w:rsidP="00FF7D27">
      <w:pPr>
        <w:spacing w:line="360" w:lineRule="auto"/>
        <w:ind w:right="-360"/>
        <w:contextualSpacing/>
        <w:jc w:val="center"/>
        <w:rPr>
          <w:b/>
          <w:sz w:val="24"/>
          <w:szCs w:val="24"/>
        </w:rPr>
      </w:pPr>
      <w:r w:rsidRPr="00FF7D27">
        <w:rPr>
          <w:b/>
          <w:sz w:val="24"/>
          <w:szCs w:val="24"/>
        </w:rPr>
        <w:lastRenderedPageBreak/>
        <w:t>Figure 8.2</w:t>
      </w:r>
      <w:r w:rsidR="009B366D" w:rsidRPr="00FF7D27">
        <w:rPr>
          <w:b/>
          <w:sz w:val="24"/>
          <w:szCs w:val="24"/>
        </w:rPr>
        <w:t>0</w:t>
      </w:r>
      <w:r w:rsidR="00945BDC" w:rsidRPr="00FF7D27">
        <w:rPr>
          <w:b/>
          <w:sz w:val="24"/>
          <w:szCs w:val="24"/>
        </w:rPr>
        <w:t xml:space="preserve">: </w:t>
      </w:r>
    </w:p>
    <w:p w14:paraId="4CC9A518" w14:textId="5E570748" w:rsidR="00C521ED" w:rsidRPr="00FF7D27" w:rsidRDefault="00C521ED" w:rsidP="00FF7D27">
      <w:pPr>
        <w:spacing w:line="360" w:lineRule="auto"/>
        <w:ind w:right="-360"/>
        <w:contextualSpacing/>
        <w:jc w:val="center"/>
        <w:rPr>
          <w:b/>
          <w:sz w:val="24"/>
          <w:szCs w:val="24"/>
        </w:rPr>
      </w:pPr>
      <w:r w:rsidRPr="00FF7D27">
        <w:rPr>
          <w:b/>
          <w:sz w:val="24"/>
          <w:szCs w:val="24"/>
        </w:rPr>
        <w:t xml:space="preserve">Prevalence of COPD among Massachusetts Adults, by Social and Economic Factors, </w:t>
      </w:r>
      <w:r w:rsidR="00FF7D27">
        <w:rPr>
          <w:b/>
          <w:sz w:val="24"/>
          <w:szCs w:val="24"/>
        </w:rPr>
        <w:t xml:space="preserve">Massachusetts, </w:t>
      </w:r>
      <w:r w:rsidRPr="00FF7D27">
        <w:rPr>
          <w:b/>
          <w:sz w:val="24"/>
          <w:szCs w:val="24"/>
        </w:rPr>
        <w:t>2015</w:t>
      </w:r>
      <w:r w:rsidRPr="00FF7D27">
        <w:rPr>
          <w:sz w:val="24"/>
          <w:szCs w:val="24"/>
        </w:rPr>
        <w:drawing>
          <wp:inline distT="0" distB="0" distL="0" distR="0" wp14:anchorId="7BD94AEA" wp14:editId="46917217">
            <wp:extent cx="4581526" cy="6657974"/>
            <wp:effectExtent l="0" t="0" r="0" b="0"/>
            <wp:docPr id="57" name="Chart 57" descr="This figure is a horizontal bar graph that depicts several prevalence rates of COPD among adults for a variety of demographic and socioeconomic categories.&#10;&#10;In 2015, 5.7% of adults in Massachusetts had COPD&#10;&#10;5.1% of males had COPD&#10;6.2% of females had COPD&#10;&#10;3.1% of those age 25 to 34 had COPD&#10;3.0% of those age 35 to 44 had COPD&#10;6.4% of those age 45 to 54 had COPD&#10;6.9% of those age 55 to 64 had COPD&#10;8.8% of those age 65 to 74 had COPD&#10;14.2% of those age 75 or older had COPD&#10;&#10;&#10;6.3% of White non-Hispanic adults had COPD&#10;4.6% of Black non-Hispanic adults had COPD&#10;4.0% of Hispanic adults had COPD&#10;&#10;11.5% of those with less than a high school degree had COPD&#10;7.7% of those with a high school degree had COPD&#10;6.0% of those with some college had COPD&#10;2.2% of those with a college degree or more had COPD&#10;&#10;11.5% with a household income less than $25,000 had COPD&#10;6.8% with a household income between $25,000 and $35,000 had COPD&#10;7.1% with a household income between $35,000 and $50,000 had COPD&#10;4.0% with a household income between $50,000 and $75,000 had COPD&#10;2.6% with a household income of $75,000 or more had COPD&#10;&#10;14.5% of people with a disability had COPD&#10;2.2% of people without a disability had COPD&#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3691388" w14:textId="77777777" w:rsidR="00C521ED" w:rsidRPr="00FF7D27" w:rsidRDefault="00C521ED" w:rsidP="00E552D2">
      <w:pPr>
        <w:pStyle w:val="Heading3"/>
        <w:spacing w:line="360" w:lineRule="auto"/>
        <w:rPr>
          <w:sz w:val="24"/>
          <w:szCs w:val="24"/>
        </w:rPr>
      </w:pPr>
      <w:r w:rsidRPr="00FF7D27">
        <w:rPr>
          <w:sz w:val="24"/>
          <w:szCs w:val="24"/>
        </w:rPr>
        <w:lastRenderedPageBreak/>
        <w:t>Chronic Obstructive Pulmonary Disease</w:t>
      </w:r>
    </w:p>
    <w:p w14:paraId="711F0B77" w14:textId="77777777" w:rsidR="00C521ED" w:rsidRPr="00FF7D27" w:rsidRDefault="00C521ED" w:rsidP="00E552D2">
      <w:pPr>
        <w:spacing w:line="360" w:lineRule="auto"/>
        <w:ind w:right="-360"/>
        <w:rPr>
          <w:rFonts w:eastAsia="Calibri"/>
          <w:sz w:val="24"/>
          <w:szCs w:val="24"/>
        </w:rPr>
      </w:pPr>
      <w:r w:rsidRPr="00FF7D27">
        <w:rPr>
          <w:rFonts w:eastAsia="Calibri"/>
          <w:sz w:val="24"/>
          <w:szCs w:val="24"/>
        </w:rPr>
        <w:t>Chronic Obstructive Pulmonary Disease (COPD) refers to a group of diseases that cause airflow blockage and breathing-related problems. COPD includes emphysema, chronic bronchitis, and in some cases asthma.</w:t>
      </w:r>
    </w:p>
    <w:p w14:paraId="4F07C3DF" w14:textId="77777777" w:rsidR="00C521ED" w:rsidRPr="00FF7D27" w:rsidRDefault="00C521ED" w:rsidP="00E552D2">
      <w:pPr>
        <w:spacing w:line="360" w:lineRule="auto"/>
        <w:ind w:right="-360"/>
        <w:rPr>
          <w:rFonts w:eastAsia="Calibri"/>
          <w:sz w:val="24"/>
          <w:szCs w:val="24"/>
        </w:rPr>
      </w:pPr>
      <w:r w:rsidRPr="00FF7D27">
        <w:rPr>
          <w:rFonts w:eastAsia="Calibri"/>
          <w:sz w:val="24"/>
          <w:szCs w:val="24"/>
          <w:highlight w:val="white"/>
        </w:rPr>
        <w:t>In the US, exposure to tobacco smoke is a key risk factor for COPD.</w:t>
      </w:r>
      <w:r w:rsidRPr="00FF7D27">
        <w:rPr>
          <w:rFonts w:eastAsia="Calibri"/>
          <w:sz w:val="24"/>
          <w:szCs w:val="24"/>
          <w:highlight w:val="white"/>
          <w:vertAlign w:val="superscript"/>
        </w:rPr>
        <w:endnoteReference w:id="112"/>
      </w:r>
      <w:r w:rsidRPr="00FF7D27">
        <w:rPr>
          <w:rFonts w:eastAsia="Calibri"/>
          <w:sz w:val="24"/>
          <w:szCs w:val="24"/>
          <w:highlight w:val="white"/>
        </w:rPr>
        <w:t xml:space="preserve"> Exposure to air pollutants in the home and workplace, genetic factors, and respiratory infections are also risk factors.</w:t>
      </w:r>
      <w:r w:rsidRPr="00FF7D27">
        <w:rPr>
          <w:rFonts w:eastAsia="Calibri"/>
          <w:sz w:val="24"/>
          <w:szCs w:val="24"/>
          <w:highlight w:val="white"/>
          <w:vertAlign w:val="superscript"/>
        </w:rPr>
        <w:endnoteReference w:id="113"/>
      </w:r>
      <w:r w:rsidRPr="00FF7D27">
        <w:rPr>
          <w:rFonts w:eastAsia="Calibri"/>
          <w:sz w:val="24"/>
          <w:szCs w:val="24"/>
          <w:highlight w:val="white"/>
        </w:rPr>
        <w:t xml:space="preserve"> </w:t>
      </w:r>
    </w:p>
    <w:p w14:paraId="30639D4E" w14:textId="77777777" w:rsidR="00492AB1" w:rsidRPr="00FF7D27" w:rsidRDefault="00492AB1" w:rsidP="00E552D2">
      <w:pPr>
        <w:pStyle w:val="Heading4"/>
        <w:keepNext/>
        <w:spacing w:line="360" w:lineRule="auto"/>
      </w:pPr>
      <w:r w:rsidRPr="00FF7D27">
        <w:t>Trends/Disparities</w:t>
      </w:r>
    </w:p>
    <w:p w14:paraId="78967BB8" w14:textId="4D322D60" w:rsidR="00492AB1" w:rsidRPr="00FF7D27" w:rsidRDefault="00492AB1" w:rsidP="00E552D2">
      <w:pPr>
        <w:spacing w:line="360" w:lineRule="auto"/>
        <w:ind w:right="-360"/>
        <w:rPr>
          <w:rFonts w:eastAsia="Calibri"/>
          <w:sz w:val="24"/>
          <w:szCs w:val="24"/>
        </w:rPr>
      </w:pPr>
      <w:r w:rsidRPr="00FF7D27">
        <w:rPr>
          <w:rFonts w:eastAsia="Calibri"/>
          <w:sz w:val="24"/>
          <w:szCs w:val="24"/>
        </w:rPr>
        <w:t>In 2015, the prevalence of COPD among Massachusetts adults was 5.7%</w:t>
      </w:r>
      <w:r w:rsidR="00154BBF" w:rsidRPr="00FF7D27">
        <w:rPr>
          <w:rFonts w:eastAsia="Calibri"/>
          <w:sz w:val="24"/>
          <w:szCs w:val="24"/>
        </w:rPr>
        <w:t xml:space="preserve"> (</w:t>
      </w:r>
      <w:r w:rsidR="00154BBF" w:rsidRPr="00FF7D27">
        <w:rPr>
          <w:rFonts w:eastAsia="Calibri"/>
          <w:b/>
          <w:sz w:val="24"/>
          <w:szCs w:val="24"/>
        </w:rPr>
        <w:t>see Figure 8.2</w:t>
      </w:r>
      <w:r w:rsidR="009B366D" w:rsidRPr="00FF7D27">
        <w:rPr>
          <w:rFonts w:eastAsia="Calibri"/>
          <w:b/>
          <w:sz w:val="24"/>
          <w:szCs w:val="24"/>
        </w:rPr>
        <w:t>0</w:t>
      </w:r>
      <w:r w:rsidR="002B278B" w:rsidRPr="00FF7D27">
        <w:rPr>
          <w:rFonts w:eastAsia="Calibri"/>
          <w:sz w:val="24"/>
          <w:szCs w:val="24"/>
        </w:rPr>
        <w:t xml:space="preserve"> on the previous</w:t>
      </w:r>
      <w:r w:rsidR="00154BBF" w:rsidRPr="00FF7D27">
        <w:rPr>
          <w:rFonts w:eastAsia="Calibri"/>
          <w:sz w:val="24"/>
          <w:szCs w:val="24"/>
        </w:rPr>
        <w:t xml:space="preserve"> page)</w:t>
      </w:r>
      <w:r w:rsidRPr="00FF7D27">
        <w:rPr>
          <w:rFonts w:eastAsia="Calibri"/>
          <w:sz w:val="24"/>
          <w:szCs w:val="24"/>
        </w:rPr>
        <w:t xml:space="preserve">. Those with prevalence exceeding the state average include women (6.2%); adults older than 75 years of age (14.2%); white non-Hispanic adults (6.3%); adults with less than a </w:t>
      </w:r>
      <w:r w:rsidR="00C521ED" w:rsidRPr="00FF7D27">
        <w:rPr>
          <w:rFonts w:eastAsia="Calibri"/>
          <w:sz w:val="24"/>
          <w:szCs w:val="24"/>
        </w:rPr>
        <w:t>high school</w:t>
      </w:r>
      <w:r w:rsidRPr="00FF7D27">
        <w:rPr>
          <w:rFonts w:eastAsia="Calibri"/>
          <w:sz w:val="24"/>
          <w:szCs w:val="24"/>
        </w:rPr>
        <w:t xml:space="preserve"> (11.5%); persons with lower household incomes (e.g., household income less than $25,000 (11.5%), and persons with a disability (14.5%). </w:t>
      </w:r>
      <w:r w:rsidRPr="00FF7D27">
        <w:rPr>
          <w:rFonts w:ascii="Calibri" w:eastAsia="Calibri" w:hAnsi="Calibri" w:cs="Calibri"/>
          <w:sz w:val="24"/>
          <w:szCs w:val="24"/>
        </w:rPr>
        <w:t xml:space="preserve">COPD is consistently among the top ten reasons for hospital admission in Massachusetts and </w:t>
      </w:r>
      <w:r w:rsidRPr="00FF7D27">
        <w:rPr>
          <w:sz w:val="24"/>
          <w:szCs w:val="24"/>
        </w:rPr>
        <w:t>the rate of potentially preventable hospitalizations due to COPD in Massachusetts exceeds the national average</w:t>
      </w:r>
      <w:r w:rsidRPr="00FF7D27">
        <w:rPr>
          <w:rFonts w:ascii="Calibri" w:eastAsia="Calibri" w:hAnsi="Calibri" w:cs="Calibri"/>
          <w:sz w:val="24"/>
          <w:szCs w:val="24"/>
        </w:rPr>
        <w:t>.</w:t>
      </w:r>
    </w:p>
    <w:p w14:paraId="5AF90E96" w14:textId="77777777" w:rsidR="009837D5" w:rsidRPr="00A36914" w:rsidRDefault="009837D5" w:rsidP="00E552D2">
      <w:pPr>
        <w:pStyle w:val="Heading2"/>
        <w:spacing w:line="360" w:lineRule="auto"/>
      </w:pPr>
      <w:r w:rsidRPr="00A36914">
        <w:t>Cancer</w:t>
      </w:r>
    </w:p>
    <w:p w14:paraId="1FB16B9B" w14:textId="77777777" w:rsidR="009837D5" w:rsidRPr="00FF7D27" w:rsidRDefault="009837D5" w:rsidP="00E552D2">
      <w:pPr>
        <w:spacing w:line="360" w:lineRule="auto"/>
        <w:ind w:right="-360"/>
        <w:rPr>
          <w:rFonts w:eastAsia="Calibri"/>
          <w:sz w:val="24"/>
          <w:szCs w:val="24"/>
        </w:rPr>
      </w:pPr>
      <w:r w:rsidRPr="00FF7D27">
        <w:rPr>
          <w:rFonts w:eastAsia="Calibri"/>
          <w:sz w:val="24"/>
          <w:szCs w:val="24"/>
        </w:rPr>
        <w:t>The burden of cancer in the United States and Massachusetts remains high in terms of prevalence, health care utilization, health care costs, and mortality.</w:t>
      </w:r>
      <w:r w:rsidRPr="00FF7D27">
        <w:rPr>
          <w:rFonts w:eastAsia="Calibri"/>
          <w:sz w:val="24"/>
          <w:szCs w:val="24"/>
          <w:vertAlign w:val="superscript"/>
        </w:rPr>
        <w:endnoteReference w:id="114"/>
      </w:r>
      <w:r w:rsidRPr="00FF7D27">
        <w:rPr>
          <w:rFonts w:eastAsia="Calibri"/>
          <w:sz w:val="24"/>
          <w:szCs w:val="24"/>
        </w:rPr>
        <w:t xml:space="preserve"> Since 2006, cancer surpassed heart disease as the leading cause of death in Massachusetts. </w:t>
      </w:r>
    </w:p>
    <w:p w14:paraId="7479EE59" w14:textId="77777777" w:rsidR="009837D5" w:rsidRPr="00FF7D27" w:rsidRDefault="009837D5" w:rsidP="00E552D2">
      <w:pPr>
        <w:spacing w:line="360" w:lineRule="auto"/>
        <w:ind w:right="-360"/>
        <w:rPr>
          <w:rFonts w:eastAsia="Calibri"/>
          <w:sz w:val="24"/>
          <w:szCs w:val="24"/>
        </w:rPr>
      </w:pPr>
      <w:r w:rsidRPr="00FF7D27">
        <w:rPr>
          <w:rFonts w:eastAsia="Calibri"/>
          <w:sz w:val="24"/>
          <w:szCs w:val="24"/>
        </w:rPr>
        <w:t>Although cancer incidence and mortality rates decreased in Massachusetts from 2010 to 2014, there were still more than 36,000 new cancer cases diagnosed annually during this period. The age-adjusted cancer incidence rate in Massachusetts was 471.1 per 100,000 population with men having a higher cancer incidence rate than women (505.7 versus 450.4 per 100,000 population). From 2010 to 2014, cancer incidence decreased 3.2% annually among men. Black non-Hispanic men and White non-Hispanic women had the highest incidence rate of all cancer types during this period.</w:t>
      </w:r>
    </w:p>
    <w:p w14:paraId="7C9D020E" w14:textId="76A9490E" w:rsidR="00DD12F9" w:rsidRPr="00FF7D27" w:rsidRDefault="009837D5" w:rsidP="00E552D2">
      <w:pPr>
        <w:spacing w:line="360" w:lineRule="auto"/>
        <w:ind w:right="-360"/>
        <w:rPr>
          <w:b/>
          <w:sz w:val="24"/>
          <w:szCs w:val="24"/>
        </w:rPr>
      </w:pPr>
      <w:r w:rsidRPr="00FF7D27">
        <w:rPr>
          <w:rFonts w:ascii="Calibri" w:eastAsia="Calibri" w:hAnsi="Calibri" w:cs="Calibri"/>
          <w:sz w:val="24"/>
          <w:szCs w:val="24"/>
        </w:rPr>
        <w:t>Across the Commonwealth, breast cancer among women and prostate cancer among men is most common. Lung cancer, colon cancer, and melanoma are also among the leading types of cancer among both women and men. Together, these five cancers account for more than half of all cancer cases across the Commonwealth.</w:t>
      </w:r>
    </w:p>
    <w:p w14:paraId="0370F914" w14:textId="55F402A4" w:rsidR="00492AB1" w:rsidRPr="00FF7D27" w:rsidRDefault="00492AB1" w:rsidP="00E552D2">
      <w:pPr>
        <w:spacing w:line="360" w:lineRule="auto"/>
        <w:ind w:right="-360"/>
        <w:rPr>
          <w:rFonts w:eastAsia="Calibri"/>
          <w:sz w:val="24"/>
          <w:szCs w:val="24"/>
        </w:rPr>
      </w:pPr>
      <w:r w:rsidRPr="00FF7D27">
        <w:rPr>
          <w:rFonts w:eastAsia="Calibri"/>
          <w:sz w:val="24"/>
          <w:szCs w:val="24"/>
        </w:rPr>
        <w:lastRenderedPageBreak/>
        <w:t>In addition, the overall cancer mortality rate decreased in Massachusetts from 2010 to 2014 (1.5% annually for women and 2% annually for men). Overall, cancer mortality for men was 1.4 times the overall cancer mortality rate for women (190.2 versus 135.9 per 100,000 population). Despite this decrease in mortality rate, an average of 12,734 people in Massachusetts die each year from cancer.</w:t>
      </w:r>
    </w:p>
    <w:p w14:paraId="240895C5"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Several socioeconomic factors contribute to the prevalence of cancer and/or late stage cancer diagnoses. Obesity, tobacco use, and tobacco exposure are leading risk factors for many cancers including colorectal and breast cancer.</w:t>
      </w:r>
      <w:r w:rsidRPr="00FF7D27">
        <w:rPr>
          <w:rFonts w:eastAsia="Calibri"/>
          <w:sz w:val="24"/>
          <w:szCs w:val="24"/>
          <w:vertAlign w:val="superscript"/>
        </w:rPr>
        <w:endnoteReference w:id="115"/>
      </w:r>
      <w:r w:rsidRPr="00FF7D27">
        <w:rPr>
          <w:sz w:val="24"/>
          <w:szCs w:val="24"/>
        </w:rPr>
        <w:t xml:space="preserve"> </w:t>
      </w:r>
      <w:r w:rsidRPr="00FF7D27">
        <w:rPr>
          <w:rFonts w:eastAsia="Calibri"/>
          <w:sz w:val="24"/>
          <w:szCs w:val="24"/>
        </w:rPr>
        <w:t>Additionally, lack of access to healthy foods, limited physical activity, and lack of access to smoking cessation services are also risk factors.</w:t>
      </w:r>
      <w:r w:rsidRPr="00FF7D27">
        <w:rPr>
          <w:rFonts w:eastAsia="Calibri"/>
          <w:sz w:val="24"/>
          <w:szCs w:val="24"/>
          <w:vertAlign w:val="superscript"/>
        </w:rPr>
        <w:t xml:space="preserve"> </w:t>
      </w:r>
      <w:r w:rsidRPr="00FF7D27">
        <w:rPr>
          <w:rFonts w:eastAsia="Calibri"/>
          <w:sz w:val="24"/>
          <w:szCs w:val="24"/>
          <w:vertAlign w:val="superscript"/>
        </w:rPr>
        <w:endnoteReference w:id="116"/>
      </w:r>
      <w:r w:rsidRPr="00FF7D27">
        <w:rPr>
          <w:rFonts w:eastAsia="Calibri"/>
          <w:sz w:val="24"/>
          <w:szCs w:val="24"/>
          <w:vertAlign w:val="superscript"/>
        </w:rPr>
        <w:t>,</w:t>
      </w:r>
      <w:r w:rsidRPr="00FF7D27">
        <w:rPr>
          <w:rFonts w:eastAsia="Calibri"/>
          <w:sz w:val="24"/>
          <w:szCs w:val="24"/>
          <w:vertAlign w:val="superscript"/>
        </w:rPr>
        <w:endnoteReference w:id="117"/>
      </w:r>
      <w:r w:rsidRPr="00FF7D27">
        <w:rPr>
          <w:rFonts w:eastAsia="Calibri"/>
          <w:sz w:val="24"/>
          <w:szCs w:val="24"/>
        </w:rPr>
        <w:t xml:space="preserve"> Gaps in health care coverage represent a barrier to covering the costs of diagnostic testing. For examples, individuals with high deductibles, low premiums, or high co-pays must pay for diagnostic tests to confirm a cancer diagnosis, contributing to delays in diagnosis.</w:t>
      </w:r>
      <w:r w:rsidRPr="00FF7D27">
        <w:rPr>
          <w:rFonts w:eastAsia="Calibri"/>
          <w:sz w:val="24"/>
          <w:szCs w:val="24"/>
          <w:vertAlign w:val="superscript"/>
        </w:rPr>
        <w:endnoteReference w:id="118"/>
      </w:r>
    </w:p>
    <w:p w14:paraId="7866722A" w14:textId="77777777" w:rsidR="00492AB1" w:rsidRPr="00FF7D27" w:rsidRDefault="00492AB1" w:rsidP="00E552D2">
      <w:pPr>
        <w:pStyle w:val="Heading3"/>
        <w:spacing w:line="360" w:lineRule="auto"/>
        <w:rPr>
          <w:sz w:val="24"/>
          <w:szCs w:val="24"/>
        </w:rPr>
      </w:pPr>
      <w:r w:rsidRPr="00FF7D27">
        <w:rPr>
          <w:sz w:val="24"/>
          <w:szCs w:val="24"/>
        </w:rPr>
        <w:t>Lung Cancer</w:t>
      </w:r>
    </w:p>
    <w:p w14:paraId="0D36C007" w14:textId="4897D580" w:rsidR="00492AB1" w:rsidRPr="00FF7D27" w:rsidRDefault="00492AB1" w:rsidP="00E552D2">
      <w:pPr>
        <w:spacing w:before="0" w:after="0" w:line="360" w:lineRule="auto"/>
        <w:ind w:right="-360"/>
        <w:rPr>
          <w:rFonts w:eastAsia="Calibri"/>
          <w:sz w:val="24"/>
          <w:szCs w:val="24"/>
        </w:rPr>
      </w:pPr>
      <w:r w:rsidRPr="00FF7D27">
        <w:rPr>
          <w:rFonts w:eastAsia="Calibri"/>
          <w:sz w:val="24"/>
          <w:szCs w:val="24"/>
        </w:rPr>
        <w:t xml:space="preserve">Lung cancer was the second leading cause of cancer among both men and women in Massachusetts between 2010 and 2014 and the leading cause of cancer deaths among both men and women. Lung cancer represents almost </w:t>
      </w:r>
      <w:r w:rsidR="00E35789" w:rsidRPr="00FF7D27">
        <w:rPr>
          <w:rFonts w:eastAsia="Calibri"/>
          <w:sz w:val="24"/>
          <w:szCs w:val="24"/>
        </w:rPr>
        <w:t>14%</w:t>
      </w:r>
      <w:r w:rsidRPr="00FF7D27">
        <w:rPr>
          <w:rFonts w:eastAsia="Calibri"/>
          <w:sz w:val="24"/>
          <w:szCs w:val="24"/>
        </w:rPr>
        <w:t xml:space="preserve"> of all cancers in men and women in Massachusetts, and more than one fourth (26.5%) of all cancer deaths in both men and women in Massachusetts were due to lung cancer.  </w:t>
      </w:r>
    </w:p>
    <w:p w14:paraId="08718F4F" w14:textId="77777777" w:rsidR="00492AB1" w:rsidRPr="00FF7D27" w:rsidRDefault="00492AB1" w:rsidP="00E552D2">
      <w:pPr>
        <w:spacing w:before="0" w:after="0" w:line="360" w:lineRule="auto"/>
        <w:ind w:right="-360"/>
        <w:rPr>
          <w:rFonts w:eastAsia="Calibri"/>
          <w:sz w:val="24"/>
          <w:szCs w:val="24"/>
        </w:rPr>
      </w:pPr>
    </w:p>
    <w:p w14:paraId="0793771C" w14:textId="2FCC9C17" w:rsidR="00492AB1" w:rsidRPr="00FF7D27" w:rsidRDefault="00492AB1" w:rsidP="00E552D2">
      <w:pPr>
        <w:spacing w:before="0" w:after="0" w:line="360" w:lineRule="auto"/>
        <w:ind w:right="-360"/>
        <w:rPr>
          <w:rFonts w:eastAsia="Calibri"/>
          <w:sz w:val="24"/>
          <w:szCs w:val="24"/>
        </w:rPr>
      </w:pPr>
      <w:r w:rsidRPr="00FF7D27">
        <w:rPr>
          <w:rFonts w:eastAsia="Calibri"/>
          <w:sz w:val="24"/>
          <w:szCs w:val="24"/>
        </w:rPr>
        <w:t>Nearly one in 15 (6.4%)</w:t>
      </w:r>
      <w:r w:rsidRPr="00FF7D27">
        <w:rPr>
          <w:rFonts w:eastAsia="Calibri"/>
          <w:b/>
          <w:sz w:val="24"/>
          <w:szCs w:val="24"/>
        </w:rPr>
        <w:t xml:space="preserve"> </w:t>
      </w:r>
      <w:r w:rsidR="00C521ED" w:rsidRPr="00FF7D27">
        <w:rPr>
          <w:rFonts w:eastAsia="Calibri"/>
          <w:sz w:val="24"/>
          <w:szCs w:val="24"/>
        </w:rPr>
        <w:t>adults</w:t>
      </w:r>
      <w:r w:rsidRPr="00FF7D27">
        <w:rPr>
          <w:rFonts w:eastAsia="Calibri"/>
          <w:sz w:val="24"/>
          <w:szCs w:val="24"/>
        </w:rPr>
        <w:t xml:space="preserve"> in the US will develop lung cancer at some point during their lifetime.</w:t>
      </w:r>
      <w:r w:rsidRPr="00FF7D27">
        <w:rPr>
          <w:rFonts w:eastAsia="Calibri"/>
          <w:sz w:val="24"/>
          <w:szCs w:val="24"/>
          <w:vertAlign w:val="superscript"/>
        </w:rPr>
        <w:endnoteReference w:id="119"/>
      </w:r>
      <w:r w:rsidRPr="00FF7D27">
        <w:rPr>
          <w:rFonts w:eastAsia="Calibri"/>
          <w:sz w:val="24"/>
          <w:szCs w:val="24"/>
        </w:rPr>
        <w:t xml:space="preserve"> Cigarette smoking is the most important risk factor for lung cancer.</w:t>
      </w:r>
      <w:r w:rsidRPr="00FF7D27">
        <w:rPr>
          <w:rFonts w:eastAsia="Calibri"/>
          <w:sz w:val="24"/>
          <w:szCs w:val="24"/>
          <w:highlight w:val="white"/>
        </w:rPr>
        <w:t xml:space="preserve"> In the US, 90% of lung cancers are linked to cigarette smoking. The risk of developing lung cancer or dying from lung cancer is 15 to 30 times greater among people who smoke cigarettes than among people who do not. Other risk factors for lung cancer include </w:t>
      </w:r>
      <w:r w:rsidRPr="00FF7D27">
        <w:rPr>
          <w:rFonts w:eastAsia="Calibri"/>
          <w:sz w:val="24"/>
          <w:szCs w:val="24"/>
        </w:rPr>
        <w:t>s</w:t>
      </w:r>
      <w:r w:rsidR="00C521ED" w:rsidRPr="00FF7D27">
        <w:rPr>
          <w:rFonts w:eastAsia="Calibri"/>
          <w:sz w:val="24"/>
          <w:szCs w:val="24"/>
        </w:rPr>
        <w:t>econd-hand smoke, exposure to</w:t>
      </w:r>
      <w:r w:rsidRPr="00FF7D27">
        <w:rPr>
          <w:rFonts w:eastAsia="Calibri"/>
          <w:sz w:val="24"/>
          <w:szCs w:val="24"/>
        </w:rPr>
        <w:t xml:space="preserve"> asbestos, personal or family history of lung cancer, age, and air pollution.</w:t>
      </w:r>
      <w:r w:rsidRPr="00FF7D27">
        <w:rPr>
          <w:rFonts w:eastAsia="Calibri"/>
          <w:sz w:val="24"/>
          <w:szCs w:val="24"/>
          <w:vertAlign w:val="superscript"/>
        </w:rPr>
        <w:endnoteReference w:id="120"/>
      </w:r>
    </w:p>
    <w:p w14:paraId="3F4D237F" w14:textId="77777777" w:rsidR="00492AB1" w:rsidRPr="00FF7D27" w:rsidRDefault="00492AB1" w:rsidP="00E552D2">
      <w:pPr>
        <w:spacing w:before="0" w:after="0" w:line="360" w:lineRule="auto"/>
        <w:ind w:right="-360"/>
        <w:rPr>
          <w:rFonts w:eastAsia="Calibri"/>
          <w:sz w:val="24"/>
          <w:szCs w:val="24"/>
        </w:rPr>
      </w:pPr>
    </w:p>
    <w:p w14:paraId="0D578D11" w14:textId="77777777" w:rsidR="00492AB1" w:rsidRPr="00FF7D27" w:rsidRDefault="00492AB1" w:rsidP="00E552D2">
      <w:pPr>
        <w:spacing w:before="0" w:after="0" w:line="360" w:lineRule="auto"/>
        <w:ind w:right="-360"/>
        <w:rPr>
          <w:rFonts w:eastAsia="Calibri"/>
          <w:sz w:val="24"/>
          <w:szCs w:val="24"/>
        </w:rPr>
      </w:pPr>
      <w:r w:rsidRPr="00FF7D27">
        <w:rPr>
          <w:rFonts w:eastAsia="Calibri"/>
          <w:sz w:val="24"/>
          <w:szCs w:val="24"/>
        </w:rPr>
        <w:t xml:space="preserve">The overall lung cancer incidence in Massachusetts from 2010 -2014 was 70.8 per 100,000 among men and 60.7 per 100,000 among women.  During the same period, the overall lung cancer mortality rate in Massachusetts was 60.3 per 100,000 and 36.9 per 100,000 among men and women, respectively. </w:t>
      </w:r>
    </w:p>
    <w:p w14:paraId="72CB750D" w14:textId="77777777" w:rsidR="00492AB1" w:rsidRPr="00FF7D27" w:rsidRDefault="00492AB1" w:rsidP="00E552D2">
      <w:pPr>
        <w:pStyle w:val="Heading4"/>
        <w:keepNext/>
        <w:spacing w:line="360" w:lineRule="auto"/>
      </w:pPr>
      <w:r w:rsidRPr="00FF7D27">
        <w:lastRenderedPageBreak/>
        <w:t>Trends/Disparities</w:t>
      </w:r>
    </w:p>
    <w:p w14:paraId="0256768D" w14:textId="5601CB2F" w:rsidR="00492AB1" w:rsidRPr="00FF7D27" w:rsidRDefault="00492AB1" w:rsidP="00E552D2">
      <w:pPr>
        <w:spacing w:line="360" w:lineRule="auto"/>
        <w:ind w:right="-360"/>
        <w:rPr>
          <w:rFonts w:eastAsia="Calibri"/>
          <w:sz w:val="24"/>
          <w:szCs w:val="24"/>
        </w:rPr>
      </w:pPr>
      <w:r w:rsidRPr="00FF7D27">
        <w:rPr>
          <w:rFonts w:eastAsia="Calibri"/>
          <w:sz w:val="24"/>
          <w:szCs w:val="24"/>
        </w:rPr>
        <w:t>Lung cancer incidence decreased signi</w:t>
      </w:r>
      <w:r w:rsidR="00E35789" w:rsidRPr="00FF7D27">
        <w:rPr>
          <w:rFonts w:eastAsia="Calibri"/>
          <w:sz w:val="24"/>
          <w:szCs w:val="24"/>
        </w:rPr>
        <w:t>ficantly among women from 2010 to</w:t>
      </w:r>
      <w:r w:rsidRPr="00FF7D27">
        <w:rPr>
          <w:rFonts w:eastAsia="Calibri"/>
          <w:sz w:val="24"/>
          <w:szCs w:val="24"/>
        </w:rPr>
        <w:t xml:space="preserve"> 2014 (1.4% per year) but not for men. During the same period, the lung cancer incidence rate was statistically significantly higher among White non-Hispanic women (64.1 per 100,000) when compared to the state average (60.7 per 100,000 population).</w:t>
      </w:r>
    </w:p>
    <w:p w14:paraId="1CB1BD83" w14:textId="641620CF" w:rsidR="009474E6" w:rsidRPr="00FF7D27" w:rsidRDefault="00492AB1" w:rsidP="00945BDC">
      <w:pPr>
        <w:spacing w:line="360" w:lineRule="auto"/>
        <w:ind w:right="-360"/>
        <w:rPr>
          <w:rFonts w:eastAsia="Calibri"/>
          <w:sz w:val="24"/>
          <w:szCs w:val="24"/>
        </w:rPr>
      </w:pPr>
      <w:r w:rsidRPr="00FF7D27">
        <w:rPr>
          <w:rFonts w:eastAsia="Calibri"/>
          <w:sz w:val="24"/>
          <w:szCs w:val="24"/>
        </w:rPr>
        <w:t>Between 2010-2014, mortality significantly decreased by 1.4% per year among men and 1% per year among women. Over this same period, the lung cancer mortality rate for White non-Hispanic men and women (51.7 and 39.2 per 100,000 population) exceeded the rate for all racial/ethnic groups c</w:t>
      </w:r>
      <w:r w:rsidR="009474E6" w:rsidRPr="00FF7D27">
        <w:rPr>
          <w:rFonts w:eastAsia="Calibri"/>
          <w:sz w:val="24"/>
          <w:szCs w:val="24"/>
        </w:rPr>
        <w:t xml:space="preserve">ombined. </w:t>
      </w:r>
    </w:p>
    <w:p w14:paraId="31C4C4E0" w14:textId="171D3E65" w:rsidR="00492AB1" w:rsidRPr="00FF7D27" w:rsidRDefault="00DD12F9" w:rsidP="00E552D2">
      <w:pPr>
        <w:spacing w:line="360" w:lineRule="auto"/>
        <w:ind w:right="-360"/>
        <w:jc w:val="center"/>
        <w:rPr>
          <w:rFonts w:eastAsia="Calibri"/>
          <w:sz w:val="24"/>
          <w:szCs w:val="24"/>
        </w:rPr>
      </w:pPr>
      <w:r w:rsidRPr="00FF7D27">
        <w:rPr>
          <w:b/>
          <w:sz w:val="24"/>
          <w:szCs w:val="24"/>
        </w:rPr>
        <w:t>Figure</w:t>
      </w:r>
      <w:r w:rsidR="00492AB1" w:rsidRPr="00FF7D27">
        <w:rPr>
          <w:b/>
          <w:sz w:val="24"/>
          <w:szCs w:val="24"/>
        </w:rPr>
        <w:t xml:space="preserve"> 8.2</w:t>
      </w:r>
      <w:r w:rsidR="009B366D" w:rsidRPr="00FF7D27">
        <w:rPr>
          <w:b/>
          <w:sz w:val="24"/>
          <w:szCs w:val="24"/>
        </w:rPr>
        <w:t>1</w:t>
      </w:r>
    </w:p>
    <w:p w14:paraId="64C1891C" w14:textId="29CC1B7F" w:rsidR="00492AB1" w:rsidRPr="00FF7D27" w:rsidRDefault="00492AB1" w:rsidP="00E552D2">
      <w:pPr>
        <w:spacing w:line="360" w:lineRule="auto"/>
        <w:ind w:right="-360"/>
        <w:jc w:val="center"/>
        <w:rPr>
          <w:b/>
          <w:sz w:val="24"/>
          <w:szCs w:val="24"/>
        </w:rPr>
      </w:pPr>
      <w:r w:rsidRPr="00FF7D27">
        <w:rPr>
          <w:b/>
          <w:sz w:val="24"/>
          <w:szCs w:val="24"/>
        </w:rPr>
        <w:t>Age-Adjusted Lung Cancer Incid</w:t>
      </w:r>
      <w:r w:rsidR="00C86588" w:rsidRPr="00FF7D27">
        <w:rPr>
          <w:b/>
          <w:sz w:val="24"/>
          <w:szCs w:val="24"/>
        </w:rPr>
        <w:t>ence and Mortality Rate, b</w:t>
      </w:r>
      <w:r w:rsidRPr="00FF7D27">
        <w:rPr>
          <w:b/>
          <w:sz w:val="24"/>
          <w:szCs w:val="24"/>
        </w:rPr>
        <w:t>y Race/Ethnicity and Sex, Massachusetts, 2010-2014</w:t>
      </w:r>
    </w:p>
    <w:p w14:paraId="6FB5D8CD" w14:textId="5F4FA531" w:rsidR="00492AB1" w:rsidRPr="00FF7D27" w:rsidRDefault="00BC7930" w:rsidP="00E552D2">
      <w:pPr>
        <w:spacing w:line="360" w:lineRule="auto"/>
        <w:ind w:right="-360"/>
        <w:jc w:val="center"/>
        <w:rPr>
          <w:rFonts w:eastAsia="Calibri"/>
          <w:sz w:val="24"/>
          <w:szCs w:val="24"/>
          <w:highlight w:val="yellow"/>
        </w:rPr>
      </w:pPr>
      <w:r w:rsidRPr="00FF7D27">
        <w:rPr>
          <w:sz w:val="24"/>
          <w:szCs w:val="24"/>
        </w:rPr>
        <w:drawing>
          <wp:inline distT="0" distB="0" distL="0" distR="0" wp14:anchorId="0D813AEC" wp14:editId="52F47E60">
            <wp:extent cx="5943600" cy="3248025"/>
            <wp:effectExtent l="0" t="0" r="0" b="0"/>
            <wp:docPr id="58" name="Chart 58" descr="This vertical bar graph shows age-adjusted lung cancer incidence rates and mortality rates per 100,000 for males and females.  In addition, the bars are separated by race/ethnicity.&#10;&#10;For 2010 to 2014, for all races combined, the male incidence rate was 70.8, the male mortality rate was 50.3, the female incidence rate was 60.7 and the female mortality rate was 36.9&#10;&#10;For White non-Hispanic individuals, the male incidence rate was 72.5, the male mortality rate was 51.7, the female incidence rate was 64.1 and the female mortality rate was 39.2&#10;&#10;For Black non-Hispanic individuals, the male incidence rate was 69.7, the male mortality rate was 50.2, the female incidence rate was 46.8 and the female mortality rate was 27.9&#10;&#10;For Asian non-Hispanic individuals, the male incidence rate was 58.5 the male mortality rate was 37.7, the female incidence rate was 33.7 and the female mortality rate was 17.5&#10;&#10;For Hispanic individuals, the male incidence rate was 39.7, the male mortality rate was 24.2, the female incidence rate was 28.4 and the female mortality rate was 12.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55B7F67" w14:textId="0D1A0BA1" w:rsidR="00C86588" w:rsidRPr="00FF7D27" w:rsidRDefault="00C86588" w:rsidP="00E552D2">
      <w:pPr>
        <w:pStyle w:val="SHAFigureNote"/>
        <w:spacing w:line="360" w:lineRule="auto"/>
        <w:rPr>
          <w:sz w:val="24"/>
          <w:szCs w:val="24"/>
        </w:rPr>
      </w:pPr>
      <w:r w:rsidRPr="00FF7D27">
        <w:rPr>
          <w:sz w:val="24"/>
          <w:szCs w:val="24"/>
        </w:rPr>
        <w:t>NOTE: MULTIPLE YEARS OF DATA WERE COMBINED FROM THE BRFSS FOR SUFFICIENT SAMPLE SIZE</w:t>
      </w:r>
    </w:p>
    <w:p w14:paraId="2E4B2450" w14:textId="77777777" w:rsidR="00492AB1" w:rsidRPr="00FF7D27" w:rsidRDefault="00492AB1" w:rsidP="00E552D2">
      <w:pPr>
        <w:pStyle w:val="Heading3"/>
        <w:spacing w:line="360" w:lineRule="auto"/>
        <w:rPr>
          <w:sz w:val="24"/>
          <w:szCs w:val="24"/>
        </w:rPr>
      </w:pPr>
      <w:r w:rsidRPr="00FF7D27">
        <w:rPr>
          <w:sz w:val="24"/>
          <w:szCs w:val="24"/>
        </w:rPr>
        <w:t xml:space="preserve">Breast Cancer </w:t>
      </w:r>
    </w:p>
    <w:p w14:paraId="13BCE403" w14:textId="77777777" w:rsidR="00492AB1" w:rsidRPr="00FF7D27" w:rsidRDefault="00492AB1" w:rsidP="00E552D2">
      <w:pPr>
        <w:spacing w:line="360" w:lineRule="auto"/>
        <w:ind w:right="-360"/>
        <w:rPr>
          <w:sz w:val="24"/>
          <w:szCs w:val="24"/>
        </w:rPr>
      </w:pPr>
      <w:r w:rsidRPr="00FF7D27">
        <w:rPr>
          <w:rFonts w:eastAsia="Calibri"/>
          <w:sz w:val="24"/>
          <w:szCs w:val="24"/>
        </w:rPr>
        <w:t xml:space="preserve">Breast cancer was the most commonly diagnosed cancer among Massachusetts women from 2010 to 2014, representing almost a third (29.8%) of all cancers among women, and was the second leading cause of cancer </w:t>
      </w:r>
      <w:r w:rsidRPr="00FF7D27">
        <w:rPr>
          <w:rFonts w:eastAsia="Calibri"/>
          <w:sz w:val="24"/>
          <w:szCs w:val="24"/>
        </w:rPr>
        <w:lastRenderedPageBreak/>
        <w:t xml:space="preserve">deaths among Massachusetts women.  About one in seven (13.2%) of all cancer deaths in women were due to breast cancer.  </w:t>
      </w:r>
    </w:p>
    <w:p w14:paraId="5083FD7D"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Risk factors for breast cancer include race, family history, age, and personal history of breast cancer. </w:t>
      </w:r>
      <w:r w:rsidRPr="00FF7D27">
        <w:rPr>
          <w:rFonts w:ascii="Calibri" w:eastAsia="Calibri" w:hAnsi="Calibri" w:cs="Calibri"/>
          <w:sz w:val="24"/>
          <w:szCs w:val="24"/>
        </w:rPr>
        <w:t>Other risk factors include having a period at an early age, having a child at an older age, never having children, radiation therapy to the breast or chest, obesity, and alcohol use</w:t>
      </w:r>
      <w:r w:rsidRPr="00FF7D27">
        <w:rPr>
          <w:rFonts w:eastAsia="Calibri"/>
          <w:sz w:val="24"/>
          <w:szCs w:val="24"/>
        </w:rPr>
        <w:t>.</w:t>
      </w:r>
      <w:r w:rsidRPr="00FF7D27">
        <w:rPr>
          <w:rFonts w:eastAsia="Calibri"/>
          <w:sz w:val="24"/>
          <w:szCs w:val="24"/>
          <w:vertAlign w:val="superscript"/>
        </w:rPr>
        <w:endnoteReference w:id="121"/>
      </w:r>
      <w:r w:rsidRPr="00FF7D27">
        <w:rPr>
          <w:rFonts w:eastAsia="Calibri"/>
          <w:sz w:val="24"/>
          <w:szCs w:val="24"/>
        </w:rPr>
        <w:t xml:space="preserve"> </w:t>
      </w:r>
    </w:p>
    <w:p w14:paraId="72A0794D"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Between 2010 and 2014 the overall breast cancer incidence rate among Massachusetts women was 136.3 per 100,000 and the mortality rate was 18.2 per 100,000.</w:t>
      </w:r>
    </w:p>
    <w:p w14:paraId="115A7776" w14:textId="77777777" w:rsidR="00492AB1" w:rsidRPr="00FF7D27" w:rsidRDefault="00492AB1" w:rsidP="00E552D2">
      <w:pPr>
        <w:pStyle w:val="Heading4"/>
        <w:keepNext/>
        <w:spacing w:line="360" w:lineRule="auto"/>
      </w:pPr>
      <w:r w:rsidRPr="00FF7D27">
        <w:t>Trends/Disparities</w:t>
      </w:r>
    </w:p>
    <w:p w14:paraId="56A5A057" w14:textId="387C5D5C" w:rsidR="00492AB1" w:rsidRPr="00FF7D27" w:rsidRDefault="00154BBF" w:rsidP="00E552D2">
      <w:pPr>
        <w:spacing w:line="360" w:lineRule="auto"/>
        <w:ind w:right="-360"/>
        <w:rPr>
          <w:rFonts w:eastAsia="Calibri"/>
          <w:sz w:val="24"/>
          <w:szCs w:val="24"/>
        </w:rPr>
      </w:pPr>
      <w:r w:rsidRPr="00FF7D27">
        <w:rPr>
          <w:rFonts w:eastAsia="Calibri"/>
          <w:sz w:val="24"/>
          <w:szCs w:val="24"/>
        </w:rPr>
        <w:t xml:space="preserve">There was no significant change in breast cancer incidence or mortality between 2010 and 2014. </w:t>
      </w:r>
      <w:r w:rsidR="00492AB1" w:rsidRPr="00FF7D27">
        <w:rPr>
          <w:rFonts w:eastAsia="Calibri"/>
          <w:sz w:val="24"/>
          <w:szCs w:val="24"/>
        </w:rPr>
        <w:t>Breast cancer incidence was highest for White non-Hispanic women (142.3 per 100,000 population), followed by Black non-Hispanic women (116.4 per 100,000 population).</w:t>
      </w:r>
    </w:p>
    <w:p w14:paraId="2B050578"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Breast cancer mortality rates exceeded the state average (18.2 per 100,000 population) for Black non-Hispanic women (19.7 per 100,000 population), followed by White non-Hispanic women (18.8 per 100,000 population). While Black non-Hispanic women had a lower breast cancer incidence rate, they had the highest mortality rate. </w:t>
      </w:r>
    </w:p>
    <w:p w14:paraId="7AAF9A97" w14:textId="15C9629F" w:rsidR="00492AB1" w:rsidRPr="00FF7D27" w:rsidRDefault="00DD12F9" w:rsidP="00E552D2">
      <w:pPr>
        <w:keepNext/>
        <w:keepLines/>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8.2</w:t>
      </w:r>
      <w:r w:rsidR="009B366D" w:rsidRPr="00FF7D27">
        <w:rPr>
          <w:b/>
          <w:sz w:val="24"/>
          <w:szCs w:val="24"/>
        </w:rPr>
        <w:t>2</w:t>
      </w:r>
      <w:r w:rsidR="00492AB1" w:rsidRPr="00FF7D27">
        <w:rPr>
          <w:b/>
          <w:sz w:val="24"/>
          <w:szCs w:val="24"/>
        </w:rPr>
        <w:t xml:space="preserve"> </w:t>
      </w:r>
    </w:p>
    <w:p w14:paraId="05241AE1" w14:textId="77777777" w:rsidR="00925A89" w:rsidRPr="00FF7D27" w:rsidRDefault="00492AB1" w:rsidP="00E552D2">
      <w:pPr>
        <w:keepNext/>
        <w:keepLines/>
        <w:spacing w:line="360" w:lineRule="auto"/>
        <w:ind w:right="-360"/>
        <w:contextualSpacing/>
        <w:jc w:val="center"/>
        <w:rPr>
          <w:b/>
          <w:sz w:val="24"/>
          <w:szCs w:val="24"/>
        </w:rPr>
      </w:pPr>
      <w:r w:rsidRPr="00FF7D27">
        <w:rPr>
          <w:b/>
          <w:sz w:val="24"/>
          <w:szCs w:val="24"/>
        </w:rPr>
        <w:t>Age-Adjusted Breast Cancer Incidence and Mo</w:t>
      </w:r>
      <w:r w:rsidR="007A09E6" w:rsidRPr="00FF7D27">
        <w:rPr>
          <w:b/>
          <w:sz w:val="24"/>
          <w:szCs w:val="24"/>
        </w:rPr>
        <w:t>rtality Rate, b</w:t>
      </w:r>
      <w:r w:rsidRPr="00FF7D27">
        <w:rPr>
          <w:b/>
          <w:sz w:val="24"/>
          <w:szCs w:val="24"/>
        </w:rPr>
        <w:t>y Race/Ethnicity and Sex,</w:t>
      </w:r>
    </w:p>
    <w:p w14:paraId="3DCA966E" w14:textId="1886C444" w:rsidR="00492AB1" w:rsidRPr="00FF7D27" w:rsidRDefault="00492AB1" w:rsidP="00E552D2">
      <w:pPr>
        <w:keepNext/>
        <w:keepLines/>
        <w:spacing w:line="360" w:lineRule="auto"/>
        <w:ind w:right="-360"/>
        <w:contextualSpacing/>
        <w:jc w:val="center"/>
        <w:rPr>
          <w:b/>
          <w:sz w:val="24"/>
          <w:szCs w:val="24"/>
        </w:rPr>
      </w:pPr>
      <w:r w:rsidRPr="00FF7D27">
        <w:rPr>
          <w:b/>
          <w:sz w:val="24"/>
          <w:szCs w:val="24"/>
        </w:rPr>
        <w:t xml:space="preserve"> Massachusetts, 2010-2014</w:t>
      </w:r>
    </w:p>
    <w:p w14:paraId="1FF9D24E" w14:textId="426CDD68" w:rsidR="00492AB1" w:rsidRPr="00FF7D27" w:rsidRDefault="00BC7930" w:rsidP="00E552D2">
      <w:pPr>
        <w:spacing w:line="360" w:lineRule="auto"/>
        <w:ind w:right="-360"/>
        <w:jc w:val="center"/>
        <w:rPr>
          <w:rFonts w:eastAsia="Calibri"/>
          <w:sz w:val="24"/>
          <w:szCs w:val="24"/>
          <w:highlight w:val="yellow"/>
        </w:rPr>
      </w:pPr>
      <w:r w:rsidRPr="00FF7D27">
        <w:rPr>
          <w:sz w:val="24"/>
          <w:szCs w:val="24"/>
        </w:rPr>
        <w:drawing>
          <wp:inline distT="0" distB="0" distL="0" distR="0" wp14:anchorId="6576BBEA" wp14:editId="53E9801C">
            <wp:extent cx="5943600" cy="2832100"/>
            <wp:effectExtent l="0" t="0" r="0" b="6350"/>
            <wp:docPr id="60" name="Chart 60" descr="This vertical bar graph depicts age-adjusted breast cancer incidence rates and mortality rates per 100,000 for different categories of race/ethnicities.&#10;&#10;For all race/ethnicity categories combined, the incidence rate was 136.3 and the mortality rate was 18.2.&#10;&#10;For White non-Hispanic individuals, the incidence rate was 142.3 and the mortality rate was 18.8&#10;&#10;For Black non-Hispanic individuals, the incidence rate was 116.4 and the mortality rate was 19.7&#10;&#10;For Asian non-Hispanic individuals, the incidence rate was 90.2 and the mortality rate was 7.9&#10;&#10;For Hispanic individuals, the incidence rate was 88.4 and the mortality rate was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5AD249D" w14:textId="567495A5" w:rsidR="00C86588" w:rsidRPr="00FF7D27" w:rsidRDefault="00C86588" w:rsidP="00E552D2">
      <w:pPr>
        <w:pStyle w:val="SHAFigureNote"/>
        <w:spacing w:line="360" w:lineRule="auto"/>
        <w:rPr>
          <w:sz w:val="24"/>
          <w:szCs w:val="24"/>
        </w:rPr>
      </w:pPr>
      <w:r w:rsidRPr="00FF7D27">
        <w:rPr>
          <w:sz w:val="24"/>
          <w:szCs w:val="24"/>
        </w:rPr>
        <w:t>NOTE: MULTIPLE YEARS OF DATA WERE COMBINED FROM THE BRFSS FOR SUFFICIENT SAMPLE SIZE</w:t>
      </w:r>
    </w:p>
    <w:p w14:paraId="4E05B3BB" w14:textId="77777777" w:rsidR="00492AB1" w:rsidRPr="00FF7D27" w:rsidRDefault="00492AB1" w:rsidP="00E552D2">
      <w:pPr>
        <w:pStyle w:val="Heading3"/>
        <w:spacing w:line="360" w:lineRule="auto"/>
        <w:rPr>
          <w:sz w:val="24"/>
          <w:szCs w:val="24"/>
        </w:rPr>
      </w:pPr>
      <w:r w:rsidRPr="00FF7D27">
        <w:rPr>
          <w:sz w:val="24"/>
          <w:szCs w:val="24"/>
        </w:rPr>
        <w:t>Colorectal Cancer</w:t>
      </w:r>
    </w:p>
    <w:p w14:paraId="4BCCEC04" w14:textId="5CE83782"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Colorectal cancer was the third leading cause of cancer and was the third leading cause of cancer deaths among both women and men in Massachusetts between 2010 and 2014, representing 7.8% of cancer diagnoses among women and 8.3% of cancer diagnoses among men.  Colorectal cancer also contributed to 8% and 8.5% of cancer deaths in Massachusetts men and women, respectively. </w:t>
      </w:r>
      <w:r w:rsidRPr="00FF7D27">
        <w:rPr>
          <w:rFonts w:ascii="Calibri" w:eastAsia="Times New Roman" w:hAnsi="Calibri" w:cs="Arial"/>
          <w:sz w:val="24"/>
          <w:szCs w:val="24"/>
        </w:rPr>
        <w:t>Risk factors for colorectal cancer include age, race, personal or family history of colon or rectal cancer, personal history of other cancers, personal history of other gastrointestinal issues, certain types of diet, physical inactivity, overweight and obesity, smoking, heavy alcohol use, and inherited or genetic syndromes.</w:t>
      </w:r>
      <w:r w:rsidRPr="00FF7D27">
        <w:rPr>
          <w:rStyle w:val="EndnoteReference"/>
          <w:rFonts w:ascii="Calibri" w:eastAsia="Times New Roman" w:hAnsi="Calibri" w:cs="Arial"/>
          <w:sz w:val="24"/>
          <w:szCs w:val="24"/>
        </w:rPr>
        <w:endnoteReference w:id="122"/>
      </w:r>
    </w:p>
    <w:p w14:paraId="0F87428D"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The overall colorectal cancer incidence in Massachusetts from 2010 -2014 was 43.0 per 100,000 among men and 33.7 per 100,000 among women. During the same period, the overall colorectal cancer mortality rate in Massachusetts was 15.3 per 100,000 and 10.9 per 100,000 among men and women, respectively. </w:t>
      </w:r>
    </w:p>
    <w:p w14:paraId="5310E0AE" w14:textId="77777777" w:rsidR="00492AB1" w:rsidRPr="00FF7D27" w:rsidRDefault="00492AB1" w:rsidP="00E552D2">
      <w:pPr>
        <w:pStyle w:val="Heading4"/>
        <w:keepNext/>
        <w:spacing w:line="360" w:lineRule="auto"/>
      </w:pPr>
      <w:r w:rsidRPr="00FF7D27">
        <w:lastRenderedPageBreak/>
        <w:t>Trends/Disparities</w:t>
      </w:r>
    </w:p>
    <w:p w14:paraId="49885BA9"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The incidence rate for cancer of the colon decreased 2.4% annually for women in Massachusetts from 2010 to 2014. Colorectal cancer incidence was highest for Black non-Hispanic men (46.8 per 100,000 population), followed by White non-Hispanic men (43.0 per 100,000 population), Black non-Hispanic women (37.2 per 100,000 population), and Hispanic men (36.2 per 100,000 population).</w:t>
      </w:r>
    </w:p>
    <w:p w14:paraId="0F31442E" w14:textId="4C835450" w:rsidR="00492AB1" w:rsidRPr="00FF7D27" w:rsidRDefault="00757A56" w:rsidP="00E552D2">
      <w:pPr>
        <w:keepNext/>
        <w:spacing w:line="360" w:lineRule="auto"/>
        <w:ind w:right="-360"/>
        <w:jc w:val="center"/>
        <w:rPr>
          <w:b/>
          <w:sz w:val="24"/>
          <w:szCs w:val="24"/>
        </w:rPr>
      </w:pPr>
      <w:r w:rsidRPr="00FF7D27">
        <w:rPr>
          <w:b/>
          <w:sz w:val="24"/>
          <w:szCs w:val="24"/>
        </w:rPr>
        <w:t>Figure</w:t>
      </w:r>
      <w:r w:rsidR="00492AB1" w:rsidRPr="00FF7D27">
        <w:rPr>
          <w:b/>
          <w:sz w:val="24"/>
          <w:szCs w:val="24"/>
        </w:rPr>
        <w:t xml:space="preserve"> 8.2</w:t>
      </w:r>
      <w:r w:rsidR="009B366D" w:rsidRPr="00FF7D27">
        <w:rPr>
          <w:b/>
          <w:sz w:val="24"/>
          <w:szCs w:val="24"/>
        </w:rPr>
        <w:t>3</w:t>
      </w:r>
      <w:r w:rsidR="00492AB1" w:rsidRPr="00FF7D27">
        <w:rPr>
          <w:b/>
          <w:sz w:val="24"/>
          <w:szCs w:val="24"/>
        </w:rPr>
        <w:t xml:space="preserve"> </w:t>
      </w:r>
    </w:p>
    <w:p w14:paraId="70114DC2" w14:textId="71782169" w:rsidR="00492AB1" w:rsidRPr="00FF7D27" w:rsidRDefault="00492AB1" w:rsidP="00E552D2">
      <w:pPr>
        <w:pStyle w:val="Subtitle"/>
        <w:spacing w:line="360" w:lineRule="auto"/>
        <w:ind w:right="-360"/>
        <w:jc w:val="center"/>
        <w:rPr>
          <w:sz w:val="24"/>
          <w:szCs w:val="24"/>
        </w:rPr>
      </w:pPr>
      <w:r w:rsidRPr="00FF7D27">
        <w:rPr>
          <w:rFonts w:cstheme="minorBidi"/>
          <w:sz w:val="24"/>
          <w:szCs w:val="24"/>
        </w:rPr>
        <w:t>Age-Adjusted Colorectal Cancer I</w:t>
      </w:r>
      <w:r w:rsidR="007A09E6" w:rsidRPr="00FF7D27">
        <w:rPr>
          <w:rFonts w:cstheme="minorBidi"/>
          <w:sz w:val="24"/>
          <w:szCs w:val="24"/>
        </w:rPr>
        <w:t>ncidence and Mortality Rate, b</w:t>
      </w:r>
      <w:r w:rsidRPr="00FF7D27">
        <w:rPr>
          <w:rFonts w:cstheme="minorBidi"/>
          <w:sz w:val="24"/>
          <w:szCs w:val="24"/>
        </w:rPr>
        <w:t>y Race/Ethnicity and Sex, Massachusetts, 2010-2014</w:t>
      </w:r>
    </w:p>
    <w:p w14:paraId="7EBA92A7" w14:textId="34108A71" w:rsidR="00BC7930" w:rsidRPr="00FF7D27" w:rsidRDefault="00BC7930" w:rsidP="00E552D2">
      <w:pPr>
        <w:spacing w:line="360" w:lineRule="auto"/>
        <w:ind w:right="-360"/>
        <w:jc w:val="center"/>
        <w:rPr>
          <w:rFonts w:eastAsia="Calibri"/>
          <w:sz w:val="24"/>
          <w:szCs w:val="24"/>
        </w:rPr>
      </w:pPr>
      <w:r w:rsidRPr="00FF7D27">
        <w:rPr>
          <w:sz w:val="24"/>
          <w:szCs w:val="24"/>
        </w:rPr>
        <w:drawing>
          <wp:inline distT="0" distB="0" distL="0" distR="0" wp14:anchorId="799BE198" wp14:editId="7AD75C88">
            <wp:extent cx="5943600" cy="3173095"/>
            <wp:effectExtent l="0" t="0" r="0" b="8255"/>
            <wp:docPr id="61" name="Chart 61" descr="This vertical bar graph shows age-adjusted colorectal cancer incidence rates and mortality rates per 100,000 for males and females.  In addition, the bars are separated by race/ethnicity.&#10;&#10;For 2010 to 2014, for all races combined, the male incidence rate was 43.0, the male mortality rate was 15.3, the female incidence rate was 33.7 and the female mortality rate was 10.9&#10;&#10;For White non-Hispanic individuals, the male incidence rate was 43, the male mortality rate was 15.6, the female incidence rate was 33.7 and the female mortality rate was 10.8&#10;&#10;For Black non-Hispanic individuals, the male incidence rate was 46.8, the male mortality rate was 17.2, the female incidence rate was 37.2 and the female mortality rate was 13.9&#10;&#10;For Asian non-Hispanic individuals, the male incidence rate was 34.5 the male mortality rate was 8.7, the female incidence rate was 28.5 and the female mortality rate was 8.9&#10;&#10;For Hispanic individuals, the male incidence rate was 36.2, the male mortality rate was 10.4, the female incidence rate was 27.2 and the female mortality rate was 9.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19DB2FB" w14:textId="4BBD3887" w:rsidR="00C86588" w:rsidRPr="00FF7D27" w:rsidRDefault="00C86588" w:rsidP="00E552D2">
      <w:pPr>
        <w:pStyle w:val="SHAFigureNote"/>
        <w:spacing w:line="360" w:lineRule="auto"/>
        <w:rPr>
          <w:sz w:val="24"/>
          <w:szCs w:val="24"/>
        </w:rPr>
      </w:pPr>
      <w:r w:rsidRPr="00FF7D27">
        <w:rPr>
          <w:sz w:val="24"/>
          <w:szCs w:val="24"/>
        </w:rPr>
        <w:t>NOTE: MULTIPLE YEARS OF DATA WERE COMBINED FROM THE BRFSS FOR SUFFICIENT SAMPLE SIZE</w:t>
      </w:r>
    </w:p>
    <w:p w14:paraId="62E0FC64"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Colorectal cancer mortality was significantly higher among Black non-Hispanic women than any other racial group (13.9 per 100,000). Among men, however, mortality rates were higher among Black non-Hispanic men (17.2 per 100,000) than either Asian (8.7 per 100,000) or Hispanic men (10.4 per 100,000).  Racial disparities in colorectal cancer mortality may reflect unequal access to timely, quality preventive care and cancer treatment. </w:t>
      </w:r>
    </w:p>
    <w:p w14:paraId="5ADEACAA" w14:textId="77777777" w:rsidR="00492AB1" w:rsidRPr="00FF7D27" w:rsidRDefault="00492AB1" w:rsidP="00E552D2">
      <w:pPr>
        <w:pStyle w:val="Heading3"/>
        <w:spacing w:line="360" w:lineRule="auto"/>
        <w:rPr>
          <w:sz w:val="24"/>
          <w:szCs w:val="24"/>
        </w:rPr>
      </w:pPr>
      <w:r w:rsidRPr="00FF7D27">
        <w:rPr>
          <w:sz w:val="24"/>
          <w:szCs w:val="24"/>
        </w:rPr>
        <w:lastRenderedPageBreak/>
        <w:t>Prostate Cancer</w:t>
      </w:r>
    </w:p>
    <w:p w14:paraId="2B92E6AD"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Most prostate cancers grow slowly. In most men, the cancer never causes serious health issues. But in some cases, prostate cancer can grow rapidly and spread outside the prostate and over time can cause death. Prostate cancer was the most commonly diagnosed type of cancer in Massachusetts men from 2010 to 2014 and was the second leading cause of cancer deaths among men during this period. Nearly one-quarter (24.2%) of cancer diagnoses among men and one in 10 (9.3%) of all cancer deaths among men were due to prostate cancer in 2010-2014.</w:t>
      </w:r>
    </w:p>
    <w:p w14:paraId="3DA84A6C"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Risk factors for prostate cancer include race, family history and age.</w:t>
      </w:r>
      <w:r w:rsidRPr="00FF7D27">
        <w:rPr>
          <w:rFonts w:eastAsia="Calibri"/>
          <w:sz w:val="24"/>
          <w:szCs w:val="24"/>
          <w:vertAlign w:val="superscript"/>
        </w:rPr>
        <w:endnoteReference w:id="123"/>
      </w:r>
      <w:r w:rsidRPr="00FF7D27">
        <w:rPr>
          <w:rFonts w:eastAsia="Calibri"/>
          <w:sz w:val="24"/>
          <w:szCs w:val="24"/>
        </w:rPr>
        <w:t xml:space="preserve"> Approximately one in eight men (11.6%) in the US will be diagnosed with prostate cancer at some point during their lifetime.</w:t>
      </w:r>
      <w:r w:rsidRPr="00FF7D27">
        <w:rPr>
          <w:rFonts w:eastAsia="Calibri"/>
          <w:sz w:val="24"/>
          <w:szCs w:val="24"/>
          <w:vertAlign w:val="superscript"/>
        </w:rPr>
        <w:endnoteReference w:id="124"/>
      </w:r>
      <w:r w:rsidRPr="00FF7D27">
        <w:rPr>
          <w:rFonts w:eastAsia="Calibri"/>
          <w:sz w:val="24"/>
          <w:szCs w:val="24"/>
        </w:rPr>
        <w:t xml:space="preserve"> </w:t>
      </w:r>
    </w:p>
    <w:p w14:paraId="7C3BE753"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Between 2010 and 2014 the overall prostate cancer incidence rate among Massachusetts men was 114.4 per 100,000 and the mortality rate was 18.6 per 100,000.</w:t>
      </w:r>
    </w:p>
    <w:p w14:paraId="2126500B" w14:textId="77777777" w:rsidR="00492AB1" w:rsidRPr="00FF7D27" w:rsidRDefault="00492AB1" w:rsidP="00E552D2">
      <w:pPr>
        <w:pStyle w:val="Heading4"/>
        <w:spacing w:line="360" w:lineRule="auto"/>
      </w:pPr>
      <w:r w:rsidRPr="00FF7D27">
        <w:t>Trends/ Disparities</w:t>
      </w:r>
    </w:p>
    <w:p w14:paraId="55D97742"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 xml:space="preserve">From 2010 to 2014, the incidence of prostate cancer decreased 11.1% annually. The incidence of prostate cancer for Black non-Hispanic men was 1.9 times that for White non-Hispanic men (198.5 versus 106.3 per 100,000 population). Prostate cancer incidence for Hispanic men (123.1 per 100,000 population) exceeded the state average (114.4 per 100,000 population). </w:t>
      </w:r>
    </w:p>
    <w:p w14:paraId="12C100D6" w14:textId="424D36F5" w:rsidR="00945BDC" w:rsidRPr="00FF7D27" w:rsidRDefault="00492AB1" w:rsidP="00E552D2">
      <w:pPr>
        <w:spacing w:line="360" w:lineRule="auto"/>
        <w:ind w:right="-360"/>
        <w:rPr>
          <w:rFonts w:eastAsia="Calibri"/>
          <w:sz w:val="24"/>
          <w:szCs w:val="24"/>
        </w:rPr>
      </w:pPr>
      <w:r w:rsidRPr="00FF7D27">
        <w:rPr>
          <w:rFonts w:eastAsia="Calibri"/>
          <w:sz w:val="24"/>
          <w:szCs w:val="24"/>
        </w:rPr>
        <w:t>In 2010-2014, the prostate cancer mortality rate for Black non-Hispanic men was 2.1 times the state average (39.8 versus 18.6 per 100,000).</w:t>
      </w:r>
    </w:p>
    <w:p w14:paraId="27422747" w14:textId="77777777" w:rsidR="00945BDC" w:rsidRPr="00FF7D27" w:rsidRDefault="00945BDC">
      <w:pPr>
        <w:spacing w:before="0"/>
        <w:ind w:left="0" w:right="0"/>
        <w:jc w:val="left"/>
        <w:rPr>
          <w:rFonts w:eastAsia="Calibri"/>
          <w:sz w:val="24"/>
          <w:szCs w:val="24"/>
        </w:rPr>
      </w:pPr>
      <w:r w:rsidRPr="00FF7D27">
        <w:rPr>
          <w:rFonts w:eastAsia="Calibri"/>
          <w:sz w:val="24"/>
          <w:szCs w:val="24"/>
        </w:rPr>
        <w:br w:type="page"/>
      </w:r>
    </w:p>
    <w:p w14:paraId="1149CDC3" w14:textId="550379A5" w:rsidR="00492AB1" w:rsidRPr="00FF7D27" w:rsidRDefault="00757A56" w:rsidP="00E552D2">
      <w:pPr>
        <w:keepNext/>
        <w:spacing w:line="360" w:lineRule="auto"/>
        <w:ind w:right="-360"/>
        <w:jc w:val="center"/>
        <w:rPr>
          <w:b/>
          <w:sz w:val="24"/>
          <w:szCs w:val="24"/>
        </w:rPr>
      </w:pPr>
      <w:r w:rsidRPr="00FF7D27">
        <w:rPr>
          <w:b/>
          <w:sz w:val="24"/>
          <w:szCs w:val="24"/>
        </w:rPr>
        <w:lastRenderedPageBreak/>
        <w:t>Figure</w:t>
      </w:r>
      <w:r w:rsidR="00492AB1" w:rsidRPr="00FF7D27">
        <w:rPr>
          <w:b/>
          <w:sz w:val="24"/>
          <w:szCs w:val="24"/>
        </w:rPr>
        <w:t xml:space="preserve"> 8.2</w:t>
      </w:r>
      <w:r w:rsidR="009B366D" w:rsidRPr="00FF7D27">
        <w:rPr>
          <w:b/>
          <w:sz w:val="24"/>
          <w:szCs w:val="24"/>
        </w:rPr>
        <w:t>4</w:t>
      </w:r>
      <w:r w:rsidR="00492AB1" w:rsidRPr="00FF7D27">
        <w:rPr>
          <w:b/>
          <w:sz w:val="24"/>
          <w:szCs w:val="24"/>
        </w:rPr>
        <w:t xml:space="preserve"> </w:t>
      </w:r>
    </w:p>
    <w:p w14:paraId="57677845" w14:textId="195D2C14" w:rsidR="00492AB1" w:rsidRPr="00FF7D27" w:rsidRDefault="00492AB1" w:rsidP="00E552D2">
      <w:pPr>
        <w:spacing w:line="360" w:lineRule="auto"/>
        <w:ind w:right="-360"/>
        <w:jc w:val="center"/>
        <w:rPr>
          <w:b/>
          <w:sz w:val="24"/>
          <w:szCs w:val="24"/>
        </w:rPr>
      </w:pPr>
      <w:r w:rsidRPr="00FF7D27">
        <w:rPr>
          <w:b/>
          <w:sz w:val="24"/>
          <w:szCs w:val="24"/>
        </w:rPr>
        <w:t>Age-Adjusted Prostate Cancer</w:t>
      </w:r>
      <w:r w:rsidR="00E35789" w:rsidRPr="00FF7D27">
        <w:rPr>
          <w:b/>
          <w:sz w:val="24"/>
          <w:szCs w:val="24"/>
        </w:rPr>
        <w:t xml:space="preserve"> Incidence and Mortality Rate, </w:t>
      </w:r>
      <w:r w:rsidR="007A09E6" w:rsidRPr="00FF7D27">
        <w:rPr>
          <w:b/>
          <w:sz w:val="24"/>
          <w:szCs w:val="24"/>
        </w:rPr>
        <w:t>b</w:t>
      </w:r>
      <w:r w:rsidRPr="00FF7D27">
        <w:rPr>
          <w:b/>
          <w:sz w:val="24"/>
          <w:szCs w:val="24"/>
        </w:rPr>
        <w:t>y Race/Ethnicity, Massachusetts, 2010-2014</w:t>
      </w:r>
    </w:p>
    <w:p w14:paraId="319D3C32" w14:textId="3DD625FF" w:rsidR="00492AB1" w:rsidRPr="00FF7D27" w:rsidRDefault="00BC7930" w:rsidP="00E552D2">
      <w:pPr>
        <w:spacing w:line="360" w:lineRule="auto"/>
        <w:ind w:right="-360"/>
        <w:jc w:val="center"/>
        <w:rPr>
          <w:rFonts w:eastAsia="Calibri"/>
          <w:sz w:val="24"/>
          <w:szCs w:val="24"/>
        </w:rPr>
      </w:pPr>
      <w:r w:rsidRPr="00FF7D27">
        <w:rPr>
          <w:sz w:val="24"/>
          <w:szCs w:val="24"/>
        </w:rPr>
        <w:drawing>
          <wp:inline distT="0" distB="0" distL="0" distR="0" wp14:anchorId="5B7C6EBE" wp14:editId="00CB7B22">
            <wp:extent cx="5943600" cy="3035300"/>
            <wp:effectExtent l="0" t="0" r="0" b="0"/>
            <wp:docPr id="63" name="Chart 63" descr="This vertical bar graph depicts age-adjusted prostate cancer incidence and mortality rates per 100,000 by race/ethnicity.&#10;&#10;For White non-Hispanic individuals, the incidence rate was 106.3 and the mortality rate was 18.1&#10;&#10;For Black non-Hispanic individuals, the incidence rate was 198.5 and the mortality rate was 39.8&#10;&#10;For Asian non-Hispanic individuals, the incidence rate was 56.7 and the mortality rate was 7.2&#10;&#10;For Hispanic individuals, the incidence rate was 123.1 and the mortality rate was 15.8&#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1B0E1F" w14:textId="77777777" w:rsidR="00492AB1" w:rsidRPr="00FF7D27" w:rsidRDefault="00492AB1" w:rsidP="00E552D2">
      <w:pPr>
        <w:pStyle w:val="Heading3"/>
        <w:spacing w:line="360" w:lineRule="auto"/>
        <w:rPr>
          <w:sz w:val="24"/>
          <w:szCs w:val="24"/>
        </w:rPr>
      </w:pPr>
      <w:r w:rsidRPr="00FF7D27">
        <w:rPr>
          <w:sz w:val="24"/>
          <w:szCs w:val="24"/>
        </w:rPr>
        <w:t>Melanoma</w:t>
      </w:r>
    </w:p>
    <w:p w14:paraId="40F9B1CC" w14:textId="73A6A8BF" w:rsidR="00492AB1" w:rsidRPr="00FF7D27" w:rsidRDefault="00492AB1" w:rsidP="00E552D2">
      <w:pPr>
        <w:spacing w:line="360" w:lineRule="auto"/>
        <w:ind w:right="-360"/>
        <w:rPr>
          <w:rFonts w:eastAsia="Calibri"/>
          <w:sz w:val="24"/>
          <w:szCs w:val="24"/>
        </w:rPr>
      </w:pPr>
      <w:r w:rsidRPr="00FF7D27">
        <w:rPr>
          <w:rFonts w:eastAsia="Calibri"/>
          <w:sz w:val="24"/>
          <w:szCs w:val="24"/>
        </w:rPr>
        <w:t>Skin cancer is the most common form of cancer in the United States. Skin cancers fall into three groups: melanoma, basal cell carcinoma, and squamous cell</w:t>
      </w:r>
      <w:r w:rsidR="005D0558" w:rsidRPr="00FF7D27">
        <w:rPr>
          <w:rFonts w:eastAsia="Calibri"/>
          <w:sz w:val="24"/>
          <w:szCs w:val="24"/>
        </w:rPr>
        <w:t xml:space="preserve"> carcinoma. Almost all (97%) </w:t>
      </w:r>
      <w:r w:rsidRPr="00FF7D27">
        <w:rPr>
          <w:rFonts w:eastAsia="Calibri"/>
          <w:sz w:val="24"/>
          <w:szCs w:val="24"/>
        </w:rPr>
        <w:t xml:space="preserve">skin cancers are due to basal cell and squamous carcinomas. Melanoma is less common, accounting for only about 3% of skin cancers. However, melanoma is more dangerous than basal and squamous cell cancers as it is more likely to spread to other parts of the body if not caught early.  </w:t>
      </w:r>
      <w:r w:rsidRPr="00FF7D27">
        <w:rPr>
          <w:rFonts w:ascii="Calibri" w:hAnsi="Calibri" w:cs="Arial"/>
          <w:sz w:val="24"/>
          <w:szCs w:val="24"/>
        </w:rPr>
        <w:t>Risk factors for melanoma include chronic sun exposure, indoor tanning, fair skin, family history, previous skin cancer, and age.  Other risk factors are repeated sunburns, especially as a child, having a tendency to freckle or sunburn easily, and inability to tan.</w:t>
      </w:r>
    </w:p>
    <w:p w14:paraId="4626C6BC" w14:textId="282BB45D" w:rsidR="00492AB1" w:rsidRPr="00FF7D27" w:rsidRDefault="00492AB1" w:rsidP="00E552D2">
      <w:pPr>
        <w:spacing w:line="360" w:lineRule="auto"/>
        <w:ind w:right="-360"/>
        <w:rPr>
          <w:rFonts w:eastAsia="Calibri"/>
          <w:sz w:val="24"/>
          <w:szCs w:val="24"/>
        </w:rPr>
      </w:pPr>
      <w:r w:rsidRPr="00FF7D27">
        <w:rPr>
          <w:rFonts w:eastAsia="Calibri"/>
          <w:sz w:val="24"/>
          <w:szCs w:val="24"/>
        </w:rPr>
        <w:t>Melanoma of the skin was the fifth leading cause of cancer among men and the</w:t>
      </w:r>
      <w:r w:rsidRPr="00FF7D27">
        <w:rPr>
          <w:rFonts w:eastAsia="Calibri"/>
          <w:b/>
          <w:sz w:val="24"/>
          <w:szCs w:val="24"/>
        </w:rPr>
        <w:t xml:space="preserve"> </w:t>
      </w:r>
      <w:r w:rsidRPr="00FF7D27">
        <w:rPr>
          <w:rFonts w:eastAsia="Calibri"/>
          <w:sz w:val="24"/>
          <w:szCs w:val="24"/>
        </w:rPr>
        <w:t>sixth leading cause of cancer among</w:t>
      </w:r>
      <w:r w:rsidRPr="00FF7D27">
        <w:rPr>
          <w:rFonts w:eastAsia="Calibri"/>
          <w:b/>
          <w:sz w:val="24"/>
          <w:szCs w:val="24"/>
        </w:rPr>
        <w:t xml:space="preserve"> </w:t>
      </w:r>
      <w:r w:rsidRPr="00FF7D27">
        <w:rPr>
          <w:rFonts w:eastAsia="Calibri"/>
          <w:sz w:val="24"/>
          <w:szCs w:val="24"/>
        </w:rPr>
        <w:t>women in Massachusetts between 2010 and 2014 and it accounted for 3.7% of cancer diagnoses among women and 4.9% of cancer diagnoses among men. It was also the 12th and 14th leading cause of cancer death in Massachusetts men and women, respectively. In Massachusetts</w:t>
      </w:r>
      <w:r w:rsidR="005D0558" w:rsidRPr="00FF7D27">
        <w:rPr>
          <w:rFonts w:eastAsia="Calibri"/>
          <w:sz w:val="24"/>
          <w:szCs w:val="24"/>
        </w:rPr>
        <w:t xml:space="preserve">, </w:t>
      </w:r>
      <w:r w:rsidRPr="00FF7D27">
        <w:rPr>
          <w:rFonts w:eastAsia="Calibri"/>
          <w:sz w:val="24"/>
          <w:szCs w:val="24"/>
        </w:rPr>
        <w:t>melanoma is responsible for 2.1% of all cancer deaths among men and 1.3% of all cancer deaths among women.</w:t>
      </w:r>
    </w:p>
    <w:p w14:paraId="58A2FC27"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lastRenderedPageBreak/>
        <w:t xml:space="preserve">The overall incidence of melanoma in Massachusetts from 2010 -2014 was 25.5 per 100,000 among men and 17.3 per 100,000 among women.  During the same period, the overall mortality rate for melanoma in Massachusetts was 4.1 per 100,000 and 1.9 per 100,000 among men and women, respectively. </w:t>
      </w:r>
    </w:p>
    <w:p w14:paraId="288F55A8" w14:textId="77777777" w:rsidR="00492AB1" w:rsidRPr="00FF7D27" w:rsidRDefault="00492AB1" w:rsidP="00E552D2">
      <w:pPr>
        <w:pStyle w:val="Heading4"/>
        <w:keepNext/>
        <w:spacing w:line="360" w:lineRule="auto"/>
      </w:pPr>
      <w:r w:rsidRPr="00FF7D27">
        <w:t>Trends/Disparities</w:t>
      </w:r>
    </w:p>
    <w:p w14:paraId="1DD5DDFB"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The incidence of melanoma among White non-Hispanic men was 1.4 times that for White non-Hispanic women (27.8 versus 19.3 per 100,000). For women, the incidence of melanoma decreased 4.6% annually from 2010 to 2014.</w:t>
      </w:r>
    </w:p>
    <w:p w14:paraId="30B1B8C1" w14:textId="77777777" w:rsidR="00492AB1" w:rsidRPr="00FF7D27" w:rsidRDefault="00492AB1" w:rsidP="00E552D2">
      <w:pPr>
        <w:spacing w:line="360" w:lineRule="auto"/>
        <w:ind w:right="-360"/>
        <w:rPr>
          <w:rFonts w:eastAsia="Calibri"/>
          <w:sz w:val="24"/>
          <w:szCs w:val="24"/>
        </w:rPr>
      </w:pPr>
      <w:r w:rsidRPr="00FF7D27">
        <w:rPr>
          <w:rFonts w:eastAsia="Calibri"/>
          <w:sz w:val="24"/>
          <w:szCs w:val="24"/>
        </w:rPr>
        <w:t>White non-Hispanic men had a melanoma mortality rate that was approximately double that for White non-Hispanic women (4.5 versus 2.1 per 100,000). Melanoma cases were too few among racial/ethnic minorities to generate age-adjusted incidence and mortality rates.</w:t>
      </w:r>
    </w:p>
    <w:p w14:paraId="2D09A466" w14:textId="22843466" w:rsidR="00492AB1" w:rsidRPr="00FF7D27" w:rsidRDefault="00757A56" w:rsidP="00E552D2">
      <w:pPr>
        <w:keepNext/>
        <w:spacing w:line="360" w:lineRule="auto"/>
        <w:ind w:right="-360"/>
        <w:jc w:val="center"/>
        <w:rPr>
          <w:b/>
          <w:sz w:val="24"/>
          <w:szCs w:val="24"/>
        </w:rPr>
      </w:pPr>
      <w:r w:rsidRPr="00FF7D27">
        <w:rPr>
          <w:b/>
          <w:sz w:val="24"/>
          <w:szCs w:val="24"/>
        </w:rPr>
        <w:t>Figure</w:t>
      </w:r>
      <w:r w:rsidR="00492AB1" w:rsidRPr="00FF7D27">
        <w:rPr>
          <w:b/>
          <w:sz w:val="24"/>
          <w:szCs w:val="24"/>
        </w:rPr>
        <w:t xml:space="preserve"> 8.2</w:t>
      </w:r>
      <w:r w:rsidR="009B366D" w:rsidRPr="00FF7D27">
        <w:rPr>
          <w:b/>
          <w:sz w:val="24"/>
          <w:szCs w:val="24"/>
        </w:rPr>
        <w:t>5</w:t>
      </w:r>
      <w:r w:rsidR="00492AB1" w:rsidRPr="00FF7D27">
        <w:rPr>
          <w:b/>
          <w:sz w:val="24"/>
          <w:szCs w:val="24"/>
        </w:rPr>
        <w:t xml:space="preserve"> </w:t>
      </w:r>
    </w:p>
    <w:p w14:paraId="65F4A030" w14:textId="4A49531C" w:rsidR="00492AB1" w:rsidRPr="00FF7D27" w:rsidRDefault="00492AB1" w:rsidP="00E552D2">
      <w:pPr>
        <w:spacing w:line="360" w:lineRule="auto"/>
        <w:ind w:right="-360"/>
        <w:jc w:val="center"/>
        <w:rPr>
          <w:b/>
          <w:sz w:val="24"/>
          <w:szCs w:val="24"/>
        </w:rPr>
      </w:pPr>
      <w:r w:rsidRPr="00FF7D27">
        <w:rPr>
          <w:b/>
          <w:sz w:val="24"/>
          <w:szCs w:val="24"/>
        </w:rPr>
        <w:t>Age-Adjusted Melanoma</w:t>
      </w:r>
      <w:r w:rsidR="007A09E6" w:rsidRPr="00FF7D27">
        <w:rPr>
          <w:b/>
          <w:sz w:val="24"/>
          <w:szCs w:val="24"/>
        </w:rPr>
        <w:t xml:space="preserve"> Incidence and Mortality Rate, b</w:t>
      </w:r>
      <w:r w:rsidRPr="00FF7D27">
        <w:rPr>
          <w:b/>
          <w:sz w:val="24"/>
          <w:szCs w:val="24"/>
        </w:rPr>
        <w:t>y Race/Ethnicity and Sex, Massachusetts, 2010-2014</w:t>
      </w:r>
    </w:p>
    <w:p w14:paraId="74B2480C" w14:textId="7C72402E" w:rsidR="00492AB1" w:rsidRPr="00FF7D27" w:rsidRDefault="00BC7930" w:rsidP="00E552D2">
      <w:pPr>
        <w:spacing w:line="360" w:lineRule="auto"/>
        <w:ind w:right="-360"/>
        <w:jc w:val="center"/>
        <w:rPr>
          <w:rFonts w:eastAsia="Calibri"/>
          <w:sz w:val="24"/>
          <w:szCs w:val="24"/>
          <w:highlight w:val="yellow"/>
        </w:rPr>
      </w:pPr>
      <w:r w:rsidRPr="00FF7D27">
        <w:rPr>
          <w:sz w:val="24"/>
          <w:szCs w:val="24"/>
        </w:rPr>
        <w:drawing>
          <wp:inline distT="0" distB="0" distL="0" distR="0" wp14:anchorId="4615231D" wp14:editId="07ABD496">
            <wp:extent cx="5943600" cy="3154045"/>
            <wp:effectExtent l="0" t="0" r="0" b="8255"/>
            <wp:docPr id="64" name="Chart 64" descr="This vertical bar graph shows age-adjusted melanoma incidence and mortality rates per 100,000 for males and females.  In addition, the bars are separated by race/ethnicity.&#10;&#10;Incidence of melanoma across all races is 25.5 for males and 17.3 for females, while mortality is 4.1 and 1.9, respectively. Among White non-Hispanic individuals, incidence is 27.8 for males and 19.3 for females, with mortality at 4.5 and 2.1, respectively. There were too few cases among Black non-Hispanic, Asian non-Hispanic and Hispanic individuals to be able to analyze and report the data, so the chart shows an asterisk to represent these result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682E2CD" w14:textId="0FC3B82E" w:rsidR="00492AB1" w:rsidRPr="00FF7D27" w:rsidRDefault="00EF6D5B" w:rsidP="00E552D2">
      <w:pPr>
        <w:pStyle w:val="SHAFigureNote"/>
        <w:spacing w:line="360" w:lineRule="auto"/>
        <w:rPr>
          <w:sz w:val="24"/>
          <w:szCs w:val="24"/>
        </w:rPr>
      </w:pPr>
      <w:r w:rsidRPr="00FF7D27">
        <w:rPr>
          <w:sz w:val="24"/>
          <w:szCs w:val="24"/>
        </w:rPr>
        <w:t>NOTE: *AN AGE-ADJUSTED INCIDENCE RATE WAS NOT CALCULATED WHEN THERE WERE FEWER THAN 20 CASES</w:t>
      </w:r>
    </w:p>
    <w:p w14:paraId="417A99AA" w14:textId="01CA9A28" w:rsidR="00492AB1" w:rsidRPr="00FF7D27" w:rsidRDefault="00492AB1" w:rsidP="00FF7D27">
      <w:pPr>
        <w:spacing w:before="0" w:after="200" w:line="360" w:lineRule="auto"/>
        <w:ind w:right="-360"/>
        <w:jc w:val="left"/>
        <w:rPr>
          <w:rFonts w:eastAsia="Calibri"/>
          <w:b/>
          <w:sz w:val="40"/>
          <w:szCs w:val="40"/>
        </w:rPr>
      </w:pPr>
      <w:r w:rsidRPr="00FF7D27">
        <w:rPr>
          <w:rFonts w:eastAsia="Calibri"/>
          <w:sz w:val="24"/>
          <w:szCs w:val="24"/>
        </w:rPr>
        <w:br w:type="page"/>
      </w:r>
      <w:r w:rsidRPr="00FF7D27">
        <w:rPr>
          <w:rFonts w:eastAsia="Calibri"/>
          <w:b/>
          <w:sz w:val="40"/>
          <w:szCs w:val="40"/>
        </w:rPr>
        <w:lastRenderedPageBreak/>
        <w:t>Selected Resources, Programs, and Services</w:t>
      </w:r>
    </w:p>
    <w:p w14:paraId="49F48415" w14:textId="77777777" w:rsidR="00595DFF" w:rsidRPr="00FF7D27" w:rsidRDefault="00595DFF" w:rsidP="00E552D2">
      <w:pPr>
        <w:spacing w:line="360" w:lineRule="auto"/>
        <w:ind w:right="-360"/>
        <w:rPr>
          <w:rFonts w:cs="Times New Roman"/>
          <w:sz w:val="24"/>
          <w:szCs w:val="24"/>
        </w:rPr>
      </w:pPr>
      <w:r w:rsidRPr="00FF7D27">
        <w:rPr>
          <w:sz w:val="24"/>
          <w:szCs w:val="24"/>
        </w:rPr>
        <w:t>Following are selected resources, services, and programs that support the topics discussed in this chapter.</w:t>
      </w:r>
    </w:p>
    <w:p w14:paraId="1765F603" w14:textId="77777777" w:rsidR="00492AB1" w:rsidRPr="00FF7D27" w:rsidRDefault="00492AB1" w:rsidP="00E552D2">
      <w:pPr>
        <w:pStyle w:val="Heading4"/>
        <w:spacing w:line="360" w:lineRule="auto"/>
        <w:rPr>
          <w:color w:val="203864"/>
        </w:rPr>
      </w:pPr>
      <w:r w:rsidRPr="00FF7D27">
        <w:rPr>
          <w:color w:val="203864"/>
        </w:rPr>
        <w:t>General</w:t>
      </w:r>
    </w:p>
    <w:p w14:paraId="3D9B901B" w14:textId="77777777" w:rsidR="00492AB1" w:rsidRPr="00FF7D27" w:rsidRDefault="00492AB1" w:rsidP="00E552D2">
      <w:pPr>
        <w:pStyle w:val="ListParagraph"/>
        <w:numPr>
          <w:ilvl w:val="0"/>
          <w:numId w:val="126"/>
        </w:numPr>
        <w:spacing w:line="360" w:lineRule="auto"/>
        <w:ind w:right="-360"/>
        <w:rPr>
          <w:sz w:val="24"/>
          <w:szCs w:val="24"/>
        </w:rPr>
      </w:pPr>
      <w:r w:rsidRPr="00FF7D27">
        <w:rPr>
          <w:rFonts w:eastAsia="Calibri"/>
          <w:sz w:val="24"/>
          <w:szCs w:val="24"/>
        </w:rPr>
        <w:t xml:space="preserve">The Massachusetts Partnership for Health Promotion and Chronic Disease Prevention is a </w:t>
      </w:r>
      <w:r w:rsidRPr="00FF7D27">
        <w:rPr>
          <w:sz w:val="24"/>
          <w:szCs w:val="24"/>
        </w:rPr>
        <w:t>coalition of statewide partners organized around seven priority objectives in Communities of Practice (CoPs). The CoPs develop strategies and activities to address common risk factors for chronic disease. Content-specific CoPs are featured below.</w:t>
      </w:r>
    </w:p>
    <w:p w14:paraId="13F42C6F" w14:textId="77777777" w:rsidR="00492AB1" w:rsidRPr="00FF7D27" w:rsidRDefault="00492AB1" w:rsidP="00E552D2">
      <w:pPr>
        <w:pStyle w:val="ListParagraph"/>
        <w:numPr>
          <w:ilvl w:val="0"/>
          <w:numId w:val="126"/>
        </w:numPr>
        <w:spacing w:line="360" w:lineRule="auto"/>
        <w:ind w:right="-360"/>
        <w:rPr>
          <w:sz w:val="24"/>
          <w:szCs w:val="24"/>
        </w:rPr>
      </w:pPr>
      <w:r w:rsidRPr="00FF7D27">
        <w:rPr>
          <w:sz w:val="24"/>
          <w:szCs w:val="24"/>
        </w:rPr>
        <w:t>The Prevention and Wellness Trust Fund (PWTF) was established by the state legislature and administered by the Massachusetts Department of Public Health for local partnerships to reduce rates of chronic disease.</w:t>
      </w:r>
    </w:p>
    <w:p w14:paraId="195962E3" w14:textId="77777777" w:rsidR="00492AB1" w:rsidRPr="00FF7D27" w:rsidRDefault="00492AB1" w:rsidP="00E552D2">
      <w:pPr>
        <w:pStyle w:val="ListParagraph"/>
        <w:numPr>
          <w:ilvl w:val="0"/>
          <w:numId w:val="126"/>
        </w:numPr>
        <w:spacing w:line="360" w:lineRule="auto"/>
        <w:ind w:right="-360"/>
        <w:rPr>
          <w:sz w:val="24"/>
          <w:szCs w:val="24"/>
        </w:rPr>
      </w:pPr>
      <w:r w:rsidRPr="00FF7D27">
        <w:rPr>
          <w:sz w:val="24"/>
          <w:szCs w:val="24"/>
        </w:rPr>
        <w:t xml:space="preserve">MDPH supports health system interventions and community-clinical linkages that focus on both the general population and priority populations experiencing increased risk for chronic disease through two CDC-funded initiatives, </w:t>
      </w:r>
      <w:r w:rsidRPr="00FF7D27">
        <w:rPr>
          <w:rFonts w:eastAsia="Calibri"/>
          <w:i/>
          <w:sz w:val="24"/>
          <w:szCs w:val="24"/>
        </w:rPr>
        <w:t>State Public Health Actions to Prevent and Control Diabetes, Heart Disease, Obesity and Associated Risk Factors and Promote School Health</w:t>
      </w:r>
      <w:r w:rsidRPr="00FF7D27">
        <w:rPr>
          <w:rFonts w:eastAsia="Calibri"/>
          <w:sz w:val="24"/>
          <w:szCs w:val="24"/>
        </w:rPr>
        <w:t xml:space="preserve"> and </w:t>
      </w:r>
      <w:r w:rsidRPr="00FF7D27">
        <w:rPr>
          <w:i/>
          <w:sz w:val="24"/>
          <w:szCs w:val="24"/>
        </w:rPr>
        <w:t>State and Local Public Health Actions to Prevent Obesity, Diabetes, Heart Disease and Stroke</w:t>
      </w:r>
      <w:r w:rsidRPr="00FF7D27">
        <w:rPr>
          <w:sz w:val="24"/>
          <w:szCs w:val="24"/>
        </w:rPr>
        <w:t>.</w:t>
      </w:r>
    </w:p>
    <w:p w14:paraId="153359A9" w14:textId="77777777" w:rsidR="00492AB1" w:rsidRPr="00FF7D27" w:rsidRDefault="00492AB1" w:rsidP="00E552D2">
      <w:pPr>
        <w:pStyle w:val="ListParagraph"/>
        <w:numPr>
          <w:ilvl w:val="0"/>
          <w:numId w:val="126"/>
        </w:numPr>
        <w:spacing w:line="360" w:lineRule="auto"/>
        <w:ind w:right="-360"/>
        <w:rPr>
          <w:rFonts w:eastAsia="Calibri"/>
          <w:b/>
          <w:i/>
          <w:sz w:val="24"/>
          <w:szCs w:val="24"/>
        </w:rPr>
      </w:pPr>
      <w:r w:rsidRPr="00FF7D27">
        <w:rPr>
          <w:rFonts w:eastAsia="Calibri"/>
          <w:sz w:val="24"/>
          <w:szCs w:val="24"/>
        </w:rPr>
        <w:t>The Mass in Motion Municipal Wellness and Leadership Program works with 27 partners and 60 municipalities to promote equitable food access.</w:t>
      </w:r>
    </w:p>
    <w:p w14:paraId="6E036EE6" w14:textId="77777777" w:rsidR="00492AB1" w:rsidRPr="00FF7D27" w:rsidRDefault="00492AB1" w:rsidP="00E552D2">
      <w:pPr>
        <w:pStyle w:val="Heading4"/>
        <w:spacing w:line="360" w:lineRule="auto"/>
        <w:rPr>
          <w:color w:val="203864"/>
        </w:rPr>
      </w:pPr>
      <w:r w:rsidRPr="00FF7D27">
        <w:rPr>
          <w:color w:val="203864"/>
        </w:rPr>
        <w:t>Nutrition</w:t>
      </w:r>
    </w:p>
    <w:p w14:paraId="14C26AD6" w14:textId="3E5D3548" w:rsidR="00492AB1" w:rsidRPr="00FF7D27" w:rsidRDefault="00492AB1" w:rsidP="00E552D2">
      <w:pPr>
        <w:pStyle w:val="ListParagraph"/>
        <w:numPr>
          <w:ilvl w:val="0"/>
          <w:numId w:val="127"/>
        </w:numPr>
        <w:spacing w:before="0" w:after="0" w:line="360" w:lineRule="auto"/>
        <w:ind w:right="-360"/>
        <w:rPr>
          <w:rFonts w:eastAsia="Calibri"/>
          <w:b/>
          <w:i/>
          <w:sz w:val="24"/>
          <w:szCs w:val="24"/>
        </w:rPr>
      </w:pPr>
      <w:r w:rsidRPr="00FF7D27">
        <w:rPr>
          <w:rFonts w:eastAsia="Calibri"/>
          <w:sz w:val="24"/>
          <w:szCs w:val="24"/>
        </w:rPr>
        <w:t xml:space="preserve">There are strict regulatory standards for </w:t>
      </w:r>
      <w:r w:rsidR="00CE5FA1" w:rsidRPr="00FF7D27">
        <w:rPr>
          <w:rFonts w:eastAsia="Calibri"/>
          <w:sz w:val="24"/>
          <w:szCs w:val="24"/>
        </w:rPr>
        <w:t xml:space="preserve">both </w:t>
      </w:r>
      <w:r w:rsidRPr="00FF7D27">
        <w:rPr>
          <w:rFonts w:eastAsia="Calibri"/>
          <w:sz w:val="24"/>
          <w:szCs w:val="24"/>
        </w:rPr>
        <w:t>the sale o</w:t>
      </w:r>
      <w:r w:rsidR="00CE5FA1" w:rsidRPr="00FF7D27">
        <w:rPr>
          <w:rFonts w:eastAsia="Calibri"/>
          <w:sz w:val="24"/>
          <w:szCs w:val="24"/>
        </w:rPr>
        <w:t xml:space="preserve">f foods and beverages that are </w:t>
      </w:r>
      <w:r w:rsidRPr="00FF7D27">
        <w:rPr>
          <w:rFonts w:eastAsia="Calibri"/>
          <w:sz w:val="24"/>
          <w:szCs w:val="24"/>
        </w:rPr>
        <w:t>part of the federal reimbursable school lunch meal in public schools</w:t>
      </w:r>
      <w:r w:rsidR="00CE5FA1" w:rsidRPr="00FF7D27">
        <w:rPr>
          <w:rFonts w:eastAsia="Calibri"/>
          <w:sz w:val="24"/>
          <w:szCs w:val="24"/>
        </w:rPr>
        <w:t xml:space="preserve"> as well as those foods sold at other times.</w:t>
      </w:r>
    </w:p>
    <w:p w14:paraId="01896232" w14:textId="77777777" w:rsidR="00492AB1" w:rsidRPr="00FF7D27" w:rsidRDefault="00492AB1" w:rsidP="00E552D2">
      <w:pPr>
        <w:pStyle w:val="ListParagraph"/>
        <w:numPr>
          <w:ilvl w:val="0"/>
          <w:numId w:val="127"/>
        </w:numPr>
        <w:spacing w:before="0" w:after="0" w:line="360" w:lineRule="auto"/>
        <w:ind w:right="-360"/>
        <w:rPr>
          <w:rFonts w:eastAsia="Calibri"/>
          <w:sz w:val="24"/>
          <w:szCs w:val="24"/>
        </w:rPr>
      </w:pPr>
      <w:r w:rsidRPr="00FF7D27">
        <w:rPr>
          <w:rFonts w:eastAsia="Calibri"/>
          <w:sz w:val="24"/>
          <w:szCs w:val="24"/>
        </w:rPr>
        <w:t>The Healthy Incentives Program (HIP) works to subsidize SNAP purchases at farmer’s markets, farm stands, mobile markets, and Community Supported Agriculture (CSA) farms.</w:t>
      </w:r>
    </w:p>
    <w:p w14:paraId="0E88D276" w14:textId="77777777" w:rsidR="00492AB1" w:rsidRPr="00FF7D27" w:rsidRDefault="00492AB1" w:rsidP="00E552D2">
      <w:pPr>
        <w:pStyle w:val="ListParagraph"/>
        <w:numPr>
          <w:ilvl w:val="0"/>
          <w:numId w:val="127"/>
        </w:numPr>
        <w:spacing w:before="0" w:after="0" w:line="360" w:lineRule="auto"/>
        <w:ind w:right="-360"/>
        <w:rPr>
          <w:rFonts w:eastAsia="Calibri"/>
          <w:sz w:val="24"/>
          <w:szCs w:val="24"/>
        </w:rPr>
      </w:pPr>
      <w:r w:rsidRPr="00FF7D27">
        <w:rPr>
          <w:rFonts w:eastAsia="Calibri"/>
          <w:sz w:val="24"/>
          <w:szCs w:val="24"/>
        </w:rPr>
        <w:t>There are four regional food banks and a related emergency food system (SNAP-Ed).</w:t>
      </w:r>
    </w:p>
    <w:p w14:paraId="31FEB87C" w14:textId="77777777" w:rsidR="00492AB1" w:rsidRPr="00FF7D27" w:rsidRDefault="00492AB1" w:rsidP="00E552D2">
      <w:pPr>
        <w:pStyle w:val="ListParagraph"/>
        <w:numPr>
          <w:ilvl w:val="0"/>
          <w:numId w:val="127"/>
        </w:numPr>
        <w:spacing w:before="0" w:after="0" w:line="360" w:lineRule="auto"/>
        <w:ind w:right="-360"/>
        <w:rPr>
          <w:rFonts w:eastAsia="Calibri"/>
          <w:sz w:val="24"/>
          <w:szCs w:val="24"/>
        </w:rPr>
      </w:pPr>
      <w:r w:rsidRPr="00FF7D27">
        <w:rPr>
          <w:rFonts w:eastAsia="Calibri"/>
          <w:sz w:val="24"/>
          <w:szCs w:val="24"/>
        </w:rPr>
        <w:t>The Massachusetts Local Food Action Plan focuses on improving food access, food security, and health.</w:t>
      </w:r>
    </w:p>
    <w:p w14:paraId="13F83432" w14:textId="77777777" w:rsidR="00492AB1" w:rsidRPr="00FF7D27" w:rsidRDefault="00543D07" w:rsidP="00E552D2">
      <w:pPr>
        <w:pStyle w:val="ListParagraph"/>
        <w:numPr>
          <w:ilvl w:val="0"/>
          <w:numId w:val="127"/>
        </w:numPr>
        <w:spacing w:before="0" w:after="0" w:line="360" w:lineRule="auto"/>
        <w:ind w:right="-360"/>
        <w:rPr>
          <w:rStyle w:val="Hyperlink"/>
          <w:rFonts w:eastAsia="Calibri"/>
          <w:sz w:val="24"/>
          <w:szCs w:val="24"/>
        </w:rPr>
      </w:pPr>
      <w:hyperlink r:id="rId37" w:history="1">
        <w:r w:rsidR="00492AB1" w:rsidRPr="00FF7D27">
          <w:rPr>
            <w:rStyle w:val="Hyperlink"/>
            <w:rFonts w:eastAsia="Calibri"/>
            <w:sz w:val="24"/>
            <w:szCs w:val="24"/>
          </w:rPr>
          <w:t>Children’s Health Watch’s Hunger Vital Signs</w:t>
        </w:r>
      </w:hyperlink>
      <w:r w:rsidR="00492AB1" w:rsidRPr="00FF7D27">
        <w:rPr>
          <w:rFonts w:eastAsia="Calibri"/>
          <w:sz w:val="24"/>
          <w:szCs w:val="24"/>
        </w:rPr>
        <w:t>, is a simple-to-use tool to screen individuals and their households for food insecurity.</w:t>
      </w:r>
    </w:p>
    <w:p w14:paraId="33F71468" w14:textId="77777777" w:rsidR="00492AB1" w:rsidRPr="00FF7D27" w:rsidRDefault="00492AB1" w:rsidP="00E552D2">
      <w:pPr>
        <w:pStyle w:val="ListParagraph"/>
        <w:numPr>
          <w:ilvl w:val="0"/>
          <w:numId w:val="127"/>
        </w:numPr>
        <w:spacing w:before="0" w:after="0" w:line="360" w:lineRule="auto"/>
        <w:ind w:right="-360"/>
        <w:rPr>
          <w:rFonts w:eastAsia="Calibri"/>
          <w:sz w:val="24"/>
          <w:szCs w:val="24"/>
        </w:rPr>
      </w:pPr>
      <w:r w:rsidRPr="00FF7D27">
        <w:rPr>
          <w:rFonts w:eastAsia="Calibri"/>
          <w:sz w:val="24"/>
          <w:szCs w:val="24"/>
        </w:rPr>
        <w:lastRenderedPageBreak/>
        <w:t xml:space="preserve">By Executive Order, all foods purchased by state agencies who have dependent clients in the Commonwealth must meet a set of nutrition standards based on the </w:t>
      </w:r>
      <w:hyperlink r:id="rId38" w:history="1">
        <w:r w:rsidRPr="00FF7D27">
          <w:rPr>
            <w:rStyle w:val="Hyperlink"/>
            <w:rFonts w:eastAsia="Calibri"/>
            <w:sz w:val="24"/>
            <w:szCs w:val="24"/>
          </w:rPr>
          <w:t>Dietary Guidelines for Americans.</w:t>
        </w:r>
      </w:hyperlink>
    </w:p>
    <w:p w14:paraId="28D69863" w14:textId="77777777" w:rsidR="00492AB1" w:rsidRPr="00FF7D27" w:rsidRDefault="00492AB1" w:rsidP="00E552D2">
      <w:pPr>
        <w:pStyle w:val="ListParagraph"/>
        <w:numPr>
          <w:ilvl w:val="0"/>
          <w:numId w:val="127"/>
        </w:numPr>
        <w:spacing w:before="0" w:after="0" w:line="360" w:lineRule="auto"/>
        <w:ind w:right="-360"/>
        <w:rPr>
          <w:rFonts w:eastAsia="Calibri"/>
          <w:sz w:val="24"/>
          <w:szCs w:val="24"/>
        </w:rPr>
      </w:pPr>
      <w:r w:rsidRPr="00FF7D27">
        <w:rPr>
          <w:rFonts w:ascii="Calibri" w:hAnsi="Calibri" w:cs="Calibri"/>
          <w:sz w:val="24"/>
          <w:szCs w:val="24"/>
          <w:shd w:val="solid" w:color="FFFFFF" w:fill="FFFFFF"/>
        </w:rPr>
        <w:t>The Massachusetts Food Trust Program, established in 2014, provides loans, grants, and technical assistance to support new and expanded healthy food retailers and local food enterprises in low and moderate income communities.</w:t>
      </w:r>
    </w:p>
    <w:p w14:paraId="72A99C74" w14:textId="77777777" w:rsidR="00492AB1" w:rsidRPr="00FF7D27" w:rsidRDefault="00492AB1" w:rsidP="00E552D2">
      <w:pPr>
        <w:pStyle w:val="Heading4"/>
        <w:spacing w:line="360" w:lineRule="auto"/>
        <w:rPr>
          <w:color w:val="203864"/>
        </w:rPr>
      </w:pPr>
      <w:r w:rsidRPr="00FF7D27">
        <w:rPr>
          <w:color w:val="203864"/>
        </w:rPr>
        <w:t xml:space="preserve">Physical Activity </w:t>
      </w:r>
    </w:p>
    <w:p w14:paraId="6FE413F6" w14:textId="77777777" w:rsidR="00492AB1" w:rsidRPr="00FF7D27" w:rsidRDefault="00543D07" w:rsidP="00E552D2">
      <w:pPr>
        <w:pStyle w:val="ListParagraph"/>
        <w:numPr>
          <w:ilvl w:val="0"/>
          <w:numId w:val="128"/>
        </w:numPr>
        <w:spacing w:before="0" w:after="0" w:line="360" w:lineRule="auto"/>
        <w:ind w:right="-360"/>
        <w:rPr>
          <w:rFonts w:eastAsia="Calibri"/>
          <w:sz w:val="24"/>
          <w:szCs w:val="24"/>
        </w:rPr>
      </w:pPr>
      <w:hyperlink r:id="rId39" w:history="1">
        <w:r w:rsidR="00492AB1" w:rsidRPr="00FF7D27">
          <w:rPr>
            <w:rStyle w:val="Hyperlink"/>
            <w:rFonts w:eastAsia="Calibri"/>
            <w:sz w:val="24"/>
            <w:szCs w:val="24"/>
          </w:rPr>
          <w:t>The Healthy Transportation Compact</w:t>
        </w:r>
      </w:hyperlink>
      <w:r w:rsidR="00492AB1" w:rsidRPr="00FF7D27">
        <w:rPr>
          <w:rFonts w:eastAsia="Calibri"/>
          <w:sz w:val="24"/>
          <w:szCs w:val="24"/>
        </w:rPr>
        <w:t xml:space="preserve"> integrates health into transportation decision-making and assists with the development and implementation of MassDOT’s </w:t>
      </w:r>
      <w:r w:rsidR="00492AB1" w:rsidRPr="00FF7D27">
        <w:rPr>
          <w:rFonts w:eastAsia="Calibri"/>
          <w:i/>
          <w:sz w:val="24"/>
          <w:szCs w:val="24"/>
        </w:rPr>
        <w:t>Complete Streets</w:t>
      </w:r>
      <w:r w:rsidR="00492AB1" w:rsidRPr="00FF7D27">
        <w:rPr>
          <w:rFonts w:eastAsia="Calibri"/>
          <w:sz w:val="24"/>
          <w:szCs w:val="24"/>
        </w:rPr>
        <w:t xml:space="preserve"> Funding Program.</w:t>
      </w:r>
    </w:p>
    <w:p w14:paraId="1BDEAE18" w14:textId="77777777" w:rsidR="00492AB1" w:rsidRPr="00FF7D27" w:rsidRDefault="00492AB1" w:rsidP="00E552D2">
      <w:pPr>
        <w:pStyle w:val="ListParagraph"/>
        <w:numPr>
          <w:ilvl w:val="0"/>
          <w:numId w:val="128"/>
        </w:numPr>
        <w:spacing w:before="0" w:after="0" w:line="360" w:lineRule="auto"/>
        <w:ind w:right="-360"/>
        <w:rPr>
          <w:rFonts w:eastAsia="Calibri"/>
          <w:sz w:val="24"/>
          <w:szCs w:val="24"/>
        </w:rPr>
      </w:pPr>
      <w:r w:rsidRPr="00FF7D27">
        <w:rPr>
          <w:rFonts w:eastAsia="Calibri"/>
          <w:sz w:val="24"/>
          <w:szCs w:val="24"/>
        </w:rPr>
        <w:t>The Massachusetts Partnership for Health Promotion and Chronic Disease Prevention’s</w:t>
      </w:r>
      <w:r w:rsidRPr="00FF7D27">
        <w:rPr>
          <w:rFonts w:eastAsia="Calibri"/>
          <w:i/>
          <w:sz w:val="24"/>
          <w:szCs w:val="24"/>
        </w:rPr>
        <w:t xml:space="preserve"> Built Environment Community of Practice</w:t>
      </w:r>
      <w:r w:rsidRPr="00FF7D27">
        <w:rPr>
          <w:rFonts w:eastAsia="Calibri"/>
          <w:sz w:val="24"/>
          <w:szCs w:val="24"/>
        </w:rPr>
        <w:t xml:space="preserve"> helps implement Complete Streets Policies.</w:t>
      </w:r>
    </w:p>
    <w:p w14:paraId="48C98D95" w14:textId="6E233AA8" w:rsidR="00492AB1" w:rsidRPr="00FF7D27" w:rsidRDefault="00543D07" w:rsidP="00E552D2">
      <w:pPr>
        <w:pStyle w:val="ListParagraph"/>
        <w:numPr>
          <w:ilvl w:val="0"/>
          <w:numId w:val="128"/>
        </w:numPr>
        <w:spacing w:before="0" w:after="0" w:line="360" w:lineRule="auto"/>
        <w:ind w:right="-360"/>
        <w:rPr>
          <w:rFonts w:eastAsia="Calibri"/>
          <w:sz w:val="24"/>
          <w:szCs w:val="24"/>
        </w:rPr>
      </w:pPr>
      <w:hyperlink r:id="rId40" w:history="1">
        <w:r w:rsidR="00492AB1" w:rsidRPr="00FF7D27">
          <w:rPr>
            <w:rStyle w:val="Hyperlink"/>
            <w:rFonts w:eastAsia="Calibri"/>
            <w:sz w:val="24"/>
            <w:szCs w:val="24"/>
          </w:rPr>
          <w:t>The Massachusetts Healthy Community Design Toolkit</w:t>
        </w:r>
      </w:hyperlink>
      <w:r w:rsidR="00492AB1" w:rsidRPr="00FF7D27">
        <w:rPr>
          <w:rFonts w:eastAsia="Calibri"/>
          <w:sz w:val="24"/>
          <w:szCs w:val="24"/>
        </w:rPr>
        <w:t xml:space="preserve"> provides municipalities with tools and best practices for local community design decisions that support more walkable and bikeable environments. </w:t>
      </w:r>
    </w:p>
    <w:p w14:paraId="7749762D" w14:textId="77777777" w:rsidR="00492AB1" w:rsidRPr="00FF7D27" w:rsidRDefault="00492AB1" w:rsidP="00E552D2">
      <w:pPr>
        <w:pStyle w:val="Heading4"/>
        <w:spacing w:line="360" w:lineRule="auto"/>
        <w:rPr>
          <w:color w:val="203864"/>
        </w:rPr>
      </w:pPr>
      <w:r w:rsidRPr="00FF7D27">
        <w:rPr>
          <w:color w:val="203864"/>
        </w:rPr>
        <w:t>Tobacco Use and Exposure</w:t>
      </w:r>
    </w:p>
    <w:p w14:paraId="58478F83" w14:textId="77777777" w:rsidR="00492AB1" w:rsidRPr="00FF7D27" w:rsidRDefault="00492AB1" w:rsidP="00E552D2">
      <w:pPr>
        <w:pStyle w:val="ListParagraph"/>
        <w:numPr>
          <w:ilvl w:val="0"/>
          <w:numId w:val="129"/>
        </w:numPr>
        <w:spacing w:before="0" w:after="0" w:line="360" w:lineRule="auto"/>
        <w:ind w:right="-360"/>
        <w:rPr>
          <w:rFonts w:eastAsia="Calibri"/>
          <w:sz w:val="24"/>
          <w:szCs w:val="24"/>
        </w:rPr>
      </w:pPr>
      <w:r w:rsidRPr="00FF7D27">
        <w:rPr>
          <w:sz w:val="24"/>
          <w:szCs w:val="24"/>
        </w:rPr>
        <w:t xml:space="preserve">The Massachusetts Tobacco Cessation and Prevention (MTCP) program </w:t>
      </w:r>
      <w:r w:rsidRPr="00FF7D27">
        <w:rPr>
          <w:rFonts w:eastAsia="Calibri"/>
          <w:sz w:val="24"/>
          <w:szCs w:val="24"/>
        </w:rPr>
        <w:t xml:space="preserve">works to </w:t>
      </w:r>
      <w:r w:rsidRPr="00FF7D27">
        <w:rPr>
          <w:rFonts w:cs="Arial"/>
          <w:sz w:val="24"/>
          <w:szCs w:val="24"/>
        </w:rPr>
        <w:t>reduce the health and economic burden of tobacco use in the Commonwealth by helping current smokers to quit, preventing young people from starting to use tobacco, and protecting all Massachusetts residents from secondhand smoke.</w:t>
      </w:r>
    </w:p>
    <w:p w14:paraId="4C597579" w14:textId="41D1462B" w:rsidR="00492AB1" w:rsidRPr="00FF7D27" w:rsidRDefault="00492AB1" w:rsidP="00E552D2">
      <w:pPr>
        <w:pStyle w:val="ListParagraph"/>
        <w:numPr>
          <w:ilvl w:val="0"/>
          <w:numId w:val="129"/>
        </w:numPr>
        <w:spacing w:before="0" w:after="0" w:line="360" w:lineRule="auto"/>
        <w:ind w:right="-360"/>
        <w:jc w:val="left"/>
        <w:rPr>
          <w:rFonts w:cs="Arial"/>
          <w:color w:val="000000"/>
          <w:sz w:val="24"/>
          <w:szCs w:val="24"/>
        </w:rPr>
      </w:pPr>
      <w:r w:rsidRPr="00FF7D27">
        <w:rPr>
          <w:rFonts w:cs="Arial"/>
          <w:color w:val="000000"/>
          <w:sz w:val="24"/>
          <w:szCs w:val="24"/>
        </w:rPr>
        <w:t>MTCP funds the</w:t>
      </w:r>
      <w:r w:rsidRPr="00FF7D27">
        <w:rPr>
          <w:rFonts w:cs="Arial"/>
          <w:b/>
          <w:color w:val="000000"/>
          <w:sz w:val="24"/>
          <w:szCs w:val="24"/>
        </w:rPr>
        <w:t xml:space="preserve"> </w:t>
      </w:r>
      <w:r w:rsidRPr="00FF7D27">
        <w:rPr>
          <w:rFonts w:cs="Arial"/>
          <w:color w:val="000000"/>
          <w:sz w:val="24"/>
          <w:szCs w:val="24"/>
        </w:rPr>
        <w:t>Massachusetts Smokers’ Helpline</w:t>
      </w:r>
      <w:r w:rsidRPr="00FF7D27">
        <w:rPr>
          <w:rFonts w:cs="Arial"/>
          <w:b/>
          <w:color w:val="000000"/>
          <w:sz w:val="24"/>
          <w:szCs w:val="24"/>
        </w:rPr>
        <w:t xml:space="preserve"> </w:t>
      </w:r>
      <w:r w:rsidRPr="00FF7D27">
        <w:rPr>
          <w:rFonts w:cs="Arial"/>
          <w:color w:val="000000"/>
          <w:sz w:val="24"/>
          <w:szCs w:val="24"/>
        </w:rPr>
        <w:t xml:space="preserve">which provides free, confidential coaching to help tobacco users quit. Coaching is available 24/7 by calling (800)QUIT NOW,  or online at </w:t>
      </w:r>
      <w:hyperlink r:id="rId41" w:history="1">
        <w:r w:rsidRPr="00FF7D27">
          <w:rPr>
            <w:rStyle w:val="Hyperlink"/>
            <w:rFonts w:cs="Arial"/>
            <w:sz w:val="24"/>
            <w:szCs w:val="24"/>
          </w:rPr>
          <w:t>www.KeepTryingMA.org</w:t>
        </w:r>
      </w:hyperlink>
      <w:r w:rsidR="00EA5ACA" w:rsidRPr="00FF7D27">
        <w:rPr>
          <w:rFonts w:cs="Arial"/>
          <w:color w:val="000000"/>
          <w:sz w:val="24"/>
          <w:szCs w:val="24"/>
        </w:rPr>
        <w:t>.</w:t>
      </w:r>
    </w:p>
    <w:p w14:paraId="1EFC777A" w14:textId="77777777" w:rsidR="00492AB1" w:rsidRPr="00FF7D27" w:rsidRDefault="00492AB1" w:rsidP="00E552D2">
      <w:pPr>
        <w:pStyle w:val="ListParagraph"/>
        <w:numPr>
          <w:ilvl w:val="0"/>
          <w:numId w:val="129"/>
        </w:numPr>
        <w:spacing w:before="0" w:after="0" w:line="360" w:lineRule="auto"/>
        <w:ind w:right="-360"/>
        <w:rPr>
          <w:rFonts w:eastAsia="Calibri"/>
          <w:sz w:val="24"/>
          <w:szCs w:val="24"/>
        </w:rPr>
      </w:pPr>
      <w:r w:rsidRPr="00FF7D27">
        <w:rPr>
          <w:rFonts w:eastAsia="Calibri"/>
          <w:sz w:val="24"/>
          <w:szCs w:val="24"/>
        </w:rPr>
        <w:t>The QuitWorks program, a free, evidence-based referral service that helps clinicians refer patients to quit smoking programs and services.</w:t>
      </w:r>
    </w:p>
    <w:p w14:paraId="568058F6" w14:textId="77777777" w:rsidR="00492AB1" w:rsidRPr="00FF7D27" w:rsidRDefault="00492AB1" w:rsidP="00E552D2">
      <w:pPr>
        <w:pStyle w:val="ListParagraph"/>
        <w:numPr>
          <w:ilvl w:val="0"/>
          <w:numId w:val="129"/>
        </w:numPr>
        <w:spacing w:before="0" w:after="0" w:line="360" w:lineRule="auto"/>
        <w:ind w:right="-360"/>
        <w:rPr>
          <w:rFonts w:eastAsia="Calibri"/>
          <w:sz w:val="24"/>
          <w:szCs w:val="24"/>
        </w:rPr>
      </w:pPr>
      <w:r w:rsidRPr="00FF7D27">
        <w:rPr>
          <w:rFonts w:eastAsia="Calibri"/>
          <w:sz w:val="24"/>
          <w:szCs w:val="24"/>
        </w:rPr>
        <w:t>MassHealth provides comprehensive cessation coverage including mediation and counseling to all MassHealth members to ensure that tobacco use treatment is available, affordable, and easy to use.</w:t>
      </w:r>
    </w:p>
    <w:p w14:paraId="14E1C6D0" w14:textId="77777777" w:rsidR="00492AB1" w:rsidRPr="00FF7D27" w:rsidRDefault="00492AB1" w:rsidP="00E552D2">
      <w:pPr>
        <w:pStyle w:val="Heading4"/>
        <w:keepNext/>
        <w:spacing w:line="360" w:lineRule="auto"/>
        <w:rPr>
          <w:color w:val="203864"/>
        </w:rPr>
      </w:pPr>
      <w:r w:rsidRPr="00FF7D27">
        <w:rPr>
          <w:color w:val="203864"/>
        </w:rPr>
        <w:lastRenderedPageBreak/>
        <w:t>Smoking Prevention</w:t>
      </w:r>
    </w:p>
    <w:p w14:paraId="3494CD30" w14:textId="77777777" w:rsidR="00492AB1" w:rsidRPr="00FF7D27" w:rsidRDefault="00492AB1" w:rsidP="00E552D2">
      <w:pPr>
        <w:pStyle w:val="ListParagraph"/>
        <w:numPr>
          <w:ilvl w:val="0"/>
          <w:numId w:val="130"/>
        </w:numPr>
        <w:spacing w:before="0" w:after="0" w:line="360" w:lineRule="auto"/>
        <w:ind w:right="-360"/>
        <w:rPr>
          <w:rFonts w:eastAsia="Calibri" w:cs="Arial"/>
          <w:color w:val="000000"/>
          <w:sz w:val="24"/>
          <w:szCs w:val="24"/>
        </w:rPr>
      </w:pPr>
      <w:r w:rsidRPr="00FF7D27">
        <w:rPr>
          <w:rFonts w:cs="Arial"/>
          <w:color w:val="000000"/>
          <w:sz w:val="24"/>
          <w:szCs w:val="24"/>
        </w:rPr>
        <w:t xml:space="preserve">MTCP provides comprehensive statewide technical assistance to local boards of health and community-based programs to increase capacity for tobacco policy and enforcement, community education, and youth engagement. </w:t>
      </w:r>
    </w:p>
    <w:p w14:paraId="4B908A0C" w14:textId="77777777" w:rsidR="00492AB1" w:rsidRPr="00FF7D27" w:rsidRDefault="00492AB1" w:rsidP="00E552D2">
      <w:pPr>
        <w:pStyle w:val="ListParagraph"/>
        <w:numPr>
          <w:ilvl w:val="0"/>
          <w:numId w:val="130"/>
        </w:numPr>
        <w:spacing w:before="0" w:after="0" w:line="360" w:lineRule="auto"/>
        <w:ind w:right="-360"/>
        <w:rPr>
          <w:rFonts w:eastAsia="Calibri"/>
          <w:sz w:val="24"/>
          <w:szCs w:val="24"/>
        </w:rPr>
      </w:pPr>
      <w:r w:rsidRPr="00FF7D27">
        <w:rPr>
          <w:rFonts w:eastAsia="Calibri"/>
          <w:sz w:val="24"/>
          <w:szCs w:val="24"/>
        </w:rPr>
        <w:t>MTCP works directly with 186 municipal boards of health help to inform local tobacco regulations that reduce youth exposure to tobacco industry targeting.  These strategies include increasing the price of tobacco, limiting the availability of tobacco, and decreasing youth exposure to tobacco products.</w:t>
      </w:r>
    </w:p>
    <w:p w14:paraId="030CBF83" w14:textId="77777777" w:rsidR="00492AB1" w:rsidRPr="00FF7D27" w:rsidRDefault="00492AB1" w:rsidP="00E552D2">
      <w:pPr>
        <w:pStyle w:val="ListParagraph"/>
        <w:numPr>
          <w:ilvl w:val="0"/>
          <w:numId w:val="130"/>
        </w:numPr>
        <w:spacing w:before="0" w:after="0" w:line="360" w:lineRule="auto"/>
        <w:ind w:right="-360"/>
        <w:rPr>
          <w:rFonts w:eastAsia="Calibri"/>
          <w:sz w:val="24"/>
          <w:szCs w:val="24"/>
        </w:rPr>
      </w:pPr>
      <w:r w:rsidRPr="00FF7D27">
        <w:rPr>
          <w:rFonts w:eastAsia="Calibri"/>
          <w:sz w:val="24"/>
          <w:szCs w:val="24"/>
        </w:rPr>
        <w:t>The 84, an MTCP statewide movement of high school students who work to educate peers and adults about the tobacco industry’s marketing tactics, creates local and statewide change to reduce the influence of tobacco on communities, and promotes social norms against tobacco use.</w:t>
      </w:r>
    </w:p>
    <w:p w14:paraId="1B1BAD34" w14:textId="77777777" w:rsidR="00492AB1" w:rsidRPr="00FF7D27" w:rsidRDefault="00492AB1" w:rsidP="00E552D2">
      <w:pPr>
        <w:pStyle w:val="Heading4"/>
        <w:spacing w:line="360" w:lineRule="auto"/>
        <w:rPr>
          <w:color w:val="203864"/>
        </w:rPr>
      </w:pPr>
      <w:r w:rsidRPr="00FF7D27">
        <w:rPr>
          <w:color w:val="203864"/>
        </w:rPr>
        <w:t>Second Hand Smoke</w:t>
      </w:r>
    </w:p>
    <w:p w14:paraId="0FD0689B" w14:textId="77777777" w:rsidR="00492AB1" w:rsidRPr="00FF7D27" w:rsidRDefault="00492AB1" w:rsidP="00E552D2">
      <w:pPr>
        <w:pStyle w:val="ListParagraph"/>
        <w:numPr>
          <w:ilvl w:val="0"/>
          <w:numId w:val="131"/>
        </w:numPr>
        <w:spacing w:line="360" w:lineRule="auto"/>
        <w:ind w:right="-360"/>
        <w:rPr>
          <w:rFonts w:eastAsia="Calibri"/>
          <w:sz w:val="24"/>
          <w:szCs w:val="24"/>
        </w:rPr>
      </w:pPr>
      <w:r w:rsidRPr="00FF7D27">
        <w:rPr>
          <w:rFonts w:eastAsia="Calibri"/>
          <w:sz w:val="24"/>
          <w:szCs w:val="24"/>
        </w:rPr>
        <w:t xml:space="preserve">MTCP provides the Smoke-free Workplace Law Complaint line </w:t>
      </w:r>
      <w:r w:rsidRPr="00FF7D27">
        <w:rPr>
          <w:rFonts w:cs="Arial"/>
          <w:color w:val="222222"/>
          <w:sz w:val="24"/>
          <w:szCs w:val="24"/>
          <w:shd w:val="clear" w:color="auto" w:fill="FFFFFF"/>
        </w:rPr>
        <w:t xml:space="preserve">(800)992-1895 </w:t>
      </w:r>
      <w:r w:rsidRPr="00FF7D27">
        <w:rPr>
          <w:rFonts w:eastAsia="Calibri"/>
          <w:sz w:val="24"/>
          <w:szCs w:val="24"/>
        </w:rPr>
        <w:t>for residents to report violations of the Commonwealth’s smoke-free workplace law.</w:t>
      </w:r>
    </w:p>
    <w:p w14:paraId="4949BC14" w14:textId="77777777" w:rsidR="00492AB1" w:rsidRPr="00FF7D27" w:rsidRDefault="00492AB1" w:rsidP="00E552D2">
      <w:pPr>
        <w:pStyle w:val="ListParagraph"/>
        <w:numPr>
          <w:ilvl w:val="0"/>
          <w:numId w:val="131"/>
        </w:numPr>
        <w:spacing w:line="360" w:lineRule="auto"/>
        <w:ind w:right="-360"/>
        <w:rPr>
          <w:rFonts w:eastAsia="Calibri"/>
          <w:sz w:val="24"/>
          <w:szCs w:val="24"/>
        </w:rPr>
      </w:pPr>
      <w:r w:rsidRPr="00FF7D27">
        <w:rPr>
          <w:rFonts w:eastAsia="Calibri"/>
          <w:sz w:val="24"/>
          <w:szCs w:val="24"/>
        </w:rPr>
        <w:t>The Massachusetts Smoke-Free Housing Project’s toll-free information line (877)830-8795 provides free information and technical assistance to landlords and condo associations that are interested in implementing a smoke-free rule and provides tenants with information about their rights to a smoke-free environment and referrals to organizations that may be able to help.</w:t>
      </w:r>
    </w:p>
    <w:p w14:paraId="2CC126D4" w14:textId="77777777" w:rsidR="00492AB1" w:rsidRPr="00FF7D27" w:rsidRDefault="00492AB1" w:rsidP="00E552D2">
      <w:pPr>
        <w:pStyle w:val="ListParagraph"/>
        <w:numPr>
          <w:ilvl w:val="0"/>
          <w:numId w:val="131"/>
        </w:numPr>
        <w:spacing w:line="360" w:lineRule="auto"/>
        <w:ind w:right="-360"/>
        <w:rPr>
          <w:rFonts w:eastAsia="Calibri"/>
          <w:sz w:val="24"/>
          <w:szCs w:val="24"/>
        </w:rPr>
      </w:pPr>
      <w:r w:rsidRPr="00FF7D27">
        <w:rPr>
          <w:rFonts w:eastAsia="Calibri"/>
          <w:sz w:val="24"/>
          <w:szCs w:val="24"/>
        </w:rPr>
        <w:t>MTCP technical assistance providers and local community partnership programs work closely with public housing authorities to develop and implement smoke-free policies.</w:t>
      </w:r>
    </w:p>
    <w:p w14:paraId="08FB6B82" w14:textId="77777777" w:rsidR="00492AB1" w:rsidRPr="00FF7D27" w:rsidRDefault="00492AB1" w:rsidP="00E552D2">
      <w:pPr>
        <w:pStyle w:val="Heading4"/>
        <w:spacing w:line="360" w:lineRule="auto"/>
        <w:rPr>
          <w:color w:val="203864"/>
        </w:rPr>
      </w:pPr>
      <w:r w:rsidRPr="00FF7D27">
        <w:rPr>
          <w:color w:val="203864"/>
        </w:rPr>
        <w:t xml:space="preserve">Obesity </w:t>
      </w:r>
    </w:p>
    <w:p w14:paraId="3058218F" w14:textId="77777777" w:rsidR="00492AB1" w:rsidRPr="00FF7D27" w:rsidRDefault="00492AB1" w:rsidP="00E552D2">
      <w:pPr>
        <w:pStyle w:val="ListParagraph"/>
        <w:numPr>
          <w:ilvl w:val="0"/>
          <w:numId w:val="132"/>
        </w:numPr>
        <w:spacing w:before="0" w:after="0" w:line="360" w:lineRule="auto"/>
        <w:ind w:right="-360"/>
        <w:rPr>
          <w:rFonts w:eastAsia="Calibri"/>
          <w:sz w:val="24"/>
          <w:szCs w:val="24"/>
        </w:rPr>
      </w:pPr>
      <w:r w:rsidRPr="00FF7D27">
        <w:rPr>
          <w:rFonts w:eastAsia="Calibri"/>
          <w:sz w:val="24"/>
          <w:szCs w:val="24"/>
        </w:rPr>
        <w:t>State tax credit for small businesses who offer a wellness program to their employees.</w:t>
      </w:r>
    </w:p>
    <w:p w14:paraId="400C41CB" w14:textId="77777777" w:rsidR="00492AB1" w:rsidRPr="00FF7D27" w:rsidRDefault="00492AB1" w:rsidP="00E552D2">
      <w:pPr>
        <w:pStyle w:val="ListParagraph"/>
        <w:numPr>
          <w:ilvl w:val="0"/>
          <w:numId w:val="132"/>
        </w:numPr>
        <w:spacing w:before="0" w:after="0" w:line="360" w:lineRule="auto"/>
        <w:ind w:right="-360"/>
        <w:rPr>
          <w:rFonts w:eastAsia="Calibri"/>
          <w:sz w:val="24"/>
          <w:szCs w:val="24"/>
        </w:rPr>
      </w:pPr>
      <w:r w:rsidRPr="00FF7D27">
        <w:rPr>
          <w:rFonts w:eastAsia="Calibri"/>
          <w:sz w:val="24"/>
          <w:szCs w:val="24"/>
        </w:rPr>
        <w:t>The Prevention and Wellness Trust Fund supports the  adoption of workplace wellness programs.</w:t>
      </w:r>
    </w:p>
    <w:p w14:paraId="3144D03B" w14:textId="77777777" w:rsidR="00492AB1" w:rsidRPr="00FF7D27" w:rsidRDefault="00492AB1" w:rsidP="00E552D2">
      <w:pPr>
        <w:pStyle w:val="ListParagraph"/>
        <w:numPr>
          <w:ilvl w:val="0"/>
          <w:numId w:val="132"/>
        </w:numPr>
        <w:spacing w:before="0" w:after="0" w:line="360" w:lineRule="auto"/>
        <w:ind w:right="-360"/>
        <w:rPr>
          <w:rFonts w:eastAsia="Calibri"/>
          <w:sz w:val="24"/>
          <w:szCs w:val="24"/>
        </w:rPr>
      </w:pPr>
      <w:r w:rsidRPr="00FF7D27">
        <w:rPr>
          <w:rFonts w:eastAsia="Calibri"/>
          <w:sz w:val="24"/>
          <w:szCs w:val="24"/>
        </w:rPr>
        <w:t>Mandatory BMI screenings take place annually in public school grades 1, 4, 7, and 10.</w:t>
      </w:r>
    </w:p>
    <w:p w14:paraId="37F525DA" w14:textId="77777777" w:rsidR="00492AB1" w:rsidRPr="00FF7D27" w:rsidRDefault="00492AB1" w:rsidP="00E552D2">
      <w:pPr>
        <w:pStyle w:val="Heading4"/>
        <w:spacing w:line="360" w:lineRule="auto"/>
        <w:rPr>
          <w:color w:val="203864"/>
        </w:rPr>
      </w:pPr>
      <w:r w:rsidRPr="00FF7D27">
        <w:rPr>
          <w:color w:val="203864"/>
        </w:rPr>
        <w:t>Cardiovascular Disease</w:t>
      </w:r>
    </w:p>
    <w:p w14:paraId="499DAA0B" w14:textId="77777777" w:rsidR="00947A6E" w:rsidRPr="00FF7D27" w:rsidRDefault="00947A6E" w:rsidP="00E552D2">
      <w:pPr>
        <w:pStyle w:val="ListParagraph"/>
        <w:numPr>
          <w:ilvl w:val="0"/>
          <w:numId w:val="133"/>
        </w:numPr>
        <w:spacing w:line="360" w:lineRule="auto"/>
        <w:ind w:right="-360"/>
        <w:rPr>
          <w:sz w:val="24"/>
          <w:szCs w:val="24"/>
        </w:rPr>
      </w:pPr>
      <w:r w:rsidRPr="00FF7D27">
        <w:rPr>
          <w:sz w:val="24"/>
          <w:szCs w:val="24"/>
        </w:rPr>
        <w:t>All nine community partnerships in the Prevention and Wellness Trust Fund (PWTF) included strategies to address hypertension in their population.</w:t>
      </w:r>
    </w:p>
    <w:p w14:paraId="1DD9F476" w14:textId="3FBEB6A6" w:rsidR="00947A6E" w:rsidRPr="00FF7D27" w:rsidRDefault="00947A6E" w:rsidP="00E552D2">
      <w:pPr>
        <w:pStyle w:val="ListParagraph"/>
        <w:numPr>
          <w:ilvl w:val="0"/>
          <w:numId w:val="133"/>
        </w:numPr>
        <w:spacing w:line="360" w:lineRule="auto"/>
        <w:ind w:right="-360"/>
        <w:rPr>
          <w:sz w:val="24"/>
          <w:szCs w:val="24"/>
        </w:rPr>
      </w:pPr>
      <w:r w:rsidRPr="00FF7D27">
        <w:rPr>
          <w:sz w:val="24"/>
          <w:szCs w:val="24"/>
        </w:rPr>
        <w:lastRenderedPageBreak/>
        <w:t>The Massachusetts Paul Coverdell National Acute Stroke Program (Coverdell) strives to decrease the rate of premature death and disability from stroke in collaboration with emergency medical</w:t>
      </w:r>
      <w:r w:rsidR="00EA5ACA" w:rsidRPr="00FF7D27">
        <w:rPr>
          <w:sz w:val="24"/>
          <w:szCs w:val="24"/>
        </w:rPr>
        <w:t xml:space="preserve"> </w:t>
      </w:r>
      <w:r w:rsidRPr="00FF7D27">
        <w:rPr>
          <w:sz w:val="24"/>
          <w:szCs w:val="24"/>
        </w:rPr>
        <w:t>services, hospitals and post-acute care providers in the Commonwealth.</w:t>
      </w:r>
    </w:p>
    <w:p w14:paraId="6CD12227" w14:textId="77777777" w:rsidR="00947A6E" w:rsidRPr="00FF7D27" w:rsidRDefault="00947A6E" w:rsidP="00E552D2">
      <w:pPr>
        <w:pStyle w:val="ListParagraph"/>
        <w:numPr>
          <w:ilvl w:val="0"/>
          <w:numId w:val="133"/>
        </w:numPr>
        <w:spacing w:line="360" w:lineRule="auto"/>
        <w:ind w:right="-360"/>
        <w:rPr>
          <w:sz w:val="24"/>
          <w:szCs w:val="24"/>
        </w:rPr>
      </w:pPr>
      <w:r w:rsidRPr="00FF7D27">
        <w:rPr>
          <w:sz w:val="24"/>
          <w:szCs w:val="24"/>
        </w:rPr>
        <w:t>The Face, Arm, Speech and Time (FAST) media campaign targets communities with higher incidence of stroke by providing information about the signs and symptoms of stroke and the need to seek medical care immediately by dialing 911.</w:t>
      </w:r>
    </w:p>
    <w:p w14:paraId="68B9230D" w14:textId="6DE106DC" w:rsidR="00492AB1" w:rsidRPr="00FF7D27" w:rsidRDefault="00492AB1" w:rsidP="00E552D2">
      <w:pPr>
        <w:pStyle w:val="Heading4"/>
        <w:spacing w:line="360" w:lineRule="auto"/>
        <w:rPr>
          <w:rFonts w:eastAsia="Calibri"/>
          <w:color w:val="203864"/>
        </w:rPr>
      </w:pPr>
      <w:r w:rsidRPr="00FF7D27">
        <w:rPr>
          <w:rFonts w:eastAsia="Calibri"/>
          <w:color w:val="203864"/>
        </w:rPr>
        <w:t>Diabetes</w:t>
      </w:r>
    </w:p>
    <w:p w14:paraId="21828F8D" w14:textId="77777777" w:rsidR="00492AB1" w:rsidRPr="00FF7D27" w:rsidRDefault="00492AB1" w:rsidP="00E552D2">
      <w:pPr>
        <w:pStyle w:val="ListParagraph"/>
        <w:numPr>
          <w:ilvl w:val="0"/>
          <w:numId w:val="134"/>
        </w:numPr>
        <w:spacing w:before="0" w:after="0" w:line="360" w:lineRule="auto"/>
        <w:ind w:right="-360"/>
        <w:rPr>
          <w:rFonts w:eastAsia="Calibri"/>
          <w:sz w:val="24"/>
          <w:szCs w:val="24"/>
        </w:rPr>
      </w:pPr>
      <w:r w:rsidRPr="00FF7D27">
        <w:rPr>
          <w:rFonts w:eastAsia="Calibri"/>
          <w:sz w:val="24"/>
          <w:szCs w:val="24"/>
        </w:rPr>
        <w:t>The State Diabetes Prevention Network to increase awareness of prediabetes and the evidence-based Diabetes Prevention Program among residents and health care providers.</w:t>
      </w:r>
    </w:p>
    <w:p w14:paraId="28C9E84B" w14:textId="77777777" w:rsidR="00492AB1" w:rsidRPr="00FF7D27" w:rsidRDefault="00492AB1" w:rsidP="00E552D2">
      <w:pPr>
        <w:pStyle w:val="ListParagraph"/>
        <w:numPr>
          <w:ilvl w:val="0"/>
          <w:numId w:val="134"/>
        </w:numPr>
        <w:spacing w:before="0" w:after="0" w:line="360" w:lineRule="auto"/>
        <w:ind w:right="-360"/>
        <w:rPr>
          <w:rFonts w:eastAsia="Calibri"/>
          <w:sz w:val="24"/>
          <w:szCs w:val="24"/>
        </w:rPr>
      </w:pPr>
      <w:r w:rsidRPr="00FF7D27">
        <w:rPr>
          <w:rFonts w:eastAsia="Calibri"/>
          <w:sz w:val="24"/>
          <w:szCs w:val="24"/>
        </w:rPr>
        <w:t>The Prevention and Wellness Trust Fund program focuses on improved identification, management and referral of patients with prediabetes and diabetes for the purposes of prevention and self-management.</w:t>
      </w:r>
    </w:p>
    <w:p w14:paraId="64E15771" w14:textId="77777777" w:rsidR="00492AB1" w:rsidRPr="00FF7D27" w:rsidRDefault="00492AB1" w:rsidP="00E552D2">
      <w:pPr>
        <w:pStyle w:val="ListParagraph"/>
        <w:numPr>
          <w:ilvl w:val="0"/>
          <w:numId w:val="134"/>
        </w:numPr>
        <w:spacing w:before="0" w:after="0" w:line="360" w:lineRule="auto"/>
        <w:ind w:right="-360"/>
        <w:rPr>
          <w:rFonts w:eastAsia="Calibri"/>
          <w:sz w:val="24"/>
          <w:szCs w:val="24"/>
        </w:rPr>
      </w:pPr>
      <w:r w:rsidRPr="00FF7D27">
        <w:rPr>
          <w:rFonts w:eastAsia="Calibri"/>
          <w:sz w:val="24"/>
          <w:szCs w:val="24"/>
        </w:rPr>
        <w:t>Collaboration with New England Quality Improvement Network and Quality Improvement Organizations (NE QIN-QIO) to sustain and expand diabetes self-management education.</w:t>
      </w:r>
    </w:p>
    <w:p w14:paraId="33E46DDB" w14:textId="77777777" w:rsidR="00492AB1" w:rsidRPr="00FF7D27" w:rsidRDefault="00492AB1" w:rsidP="00E552D2">
      <w:pPr>
        <w:pStyle w:val="Heading4"/>
        <w:spacing w:line="360" w:lineRule="auto"/>
        <w:rPr>
          <w:color w:val="203864"/>
        </w:rPr>
      </w:pPr>
      <w:r w:rsidRPr="00FF7D27">
        <w:rPr>
          <w:color w:val="203864"/>
        </w:rPr>
        <w:t>Chronic Lower Respiratory Disease</w:t>
      </w:r>
    </w:p>
    <w:p w14:paraId="5D57424C" w14:textId="24C1D311" w:rsidR="00492AB1" w:rsidRPr="00FF7D27" w:rsidRDefault="00492AB1" w:rsidP="00E552D2">
      <w:pPr>
        <w:pStyle w:val="ListParagraph"/>
        <w:numPr>
          <w:ilvl w:val="0"/>
          <w:numId w:val="135"/>
        </w:numPr>
        <w:spacing w:line="360" w:lineRule="auto"/>
        <w:ind w:right="-360"/>
        <w:rPr>
          <w:sz w:val="24"/>
          <w:szCs w:val="24"/>
        </w:rPr>
      </w:pPr>
      <w:r w:rsidRPr="00FF7D27">
        <w:rPr>
          <w:rFonts w:eastAsia="Calibri"/>
          <w:sz w:val="24"/>
          <w:szCs w:val="24"/>
        </w:rPr>
        <w:t xml:space="preserve">The Massachusetts Department of Housing </w:t>
      </w:r>
      <w:r w:rsidR="00704F99" w:rsidRPr="00FF7D27">
        <w:rPr>
          <w:rFonts w:eastAsia="Calibri"/>
          <w:sz w:val="24"/>
          <w:szCs w:val="24"/>
        </w:rPr>
        <w:t>and Community Development and US</w:t>
      </w:r>
      <w:r w:rsidRPr="00FF7D27">
        <w:rPr>
          <w:rFonts w:eastAsia="Calibri"/>
          <w:sz w:val="24"/>
          <w:szCs w:val="24"/>
        </w:rPr>
        <w:t xml:space="preserve"> Office of Housing and Urban Development provides guidance</w:t>
      </w:r>
      <w:r w:rsidRPr="00FF7D27">
        <w:rPr>
          <w:sz w:val="24"/>
          <w:szCs w:val="24"/>
        </w:rPr>
        <w:t xml:space="preserve"> to public housing authorities on adopting smoke-free policies.</w:t>
      </w:r>
    </w:p>
    <w:p w14:paraId="77975258" w14:textId="77777777" w:rsidR="00492AB1" w:rsidRPr="00FF7D27" w:rsidRDefault="00492AB1" w:rsidP="00E552D2">
      <w:pPr>
        <w:pStyle w:val="Heading4"/>
        <w:spacing w:line="360" w:lineRule="auto"/>
        <w:rPr>
          <w:color w:val="203864"/>
        </w:rPr>
      </w:pPr>
      <w:r w:rsidRPr="00FF7D27">
        <w:rPr>
          <w:color w:val="203864"/>
        </w:rPr>
        <w:t>Adult Asthma</w:t>
      </w:r>
    </w:p>
    <w:p w14:paraId="033EFA06" w14:textId="77777777" w:rsidR="00492AB1" w:rsidRPr="00FF7D27" w:rsidRDefault="00492AB1" w:rsidP="00E552D2">
      <w:pPr>
        <w:pStyle w:val="ListParagraph"/>
        <w:numPr>
          <w:ilvl w:val="0"/>
          <w:numId w:val="135"/>
        </w:numPr>
        <w:spacing w:line="360" w:lineRule="auto"/>
        <w:ind w:right="-360"/>
        <w:rPr>
          <w:rFonts w:eastAsia="Calibri"/>
          <w:sz w:val="24"/>
          <w:szCs w:val="24"/>
        </w:rPr>
      </w:pPr>
      <w:r w:rsidRPr="00FF7D27">
        <w:rPr>
          <w:rFonts w:eastAsia="Calibri"/>
          <w:sz w:val="24"/>
          <w:szCs w:val="24"/>
        </w:rPr>
        <w:t>The Reducing Older Adult Asthma Disparities (ROAAD) study to improve asthma management and decrease health care utilization among older adults with poorly controlled asthma in Lowell, MA.</w:t>
      </w:r>
    </w:p>
    <w:p w14:paraId="220A7BFE" w14:textId="77777777" w:rsidR="00492AB1" w:rsidRPr="00FF7D27" w:rsidRDefault="00492AB1" w:rsidP="00E552D2">
      <w:pPr>
        <w:pStyle w:val="Heading4"/>
        <w:spacing w:line="360" w:lineRule="auto"/>
        <w:rPr>
          <w:color w:val="203864"/>
        </w:rPr>
      </w:pPr>
      <w:r w:rsidRPr="00FF7D27">
        <w:rPr>
          <w:color w:val="203864"/>
        </w:rPr>
        <w:t>Pediatric Asthma</w:t>
      </w:r>
    </w:p>
    <w:p w14:paraId="07438184" w14:textId="77777777" w:rsidR="00492AB1" w:rsidRPr="00FF7D27" w:rsidRDefault="00492AB1" w:rsidP="00E552D2">
      <w:pPr>
        <w:pStyle w:val="ListParagraph"/>
        <w:numPr>
          <w:ilvl w:val="0"/>
          <w:numId w:val="135"/>
        </w:numPr>
        <w:spacing w:before="0" w:after="0" w:line="360" w:lineRule="auto"/>
        <w:ind w:right="-360"/>
        <w:jc w:val="left"/>
        <w:rPr>
          <w:rFonts w:eastAsia="Calibri"/>
          <w:sz w:val="24"/>
          <w:szCs w:val="24"/>
        </w:rPr>
      </w:pPr>
      <w:r w:rsidRPr="00FF7D27">
        <w:rPr>
          <w:rFonts w:eastAsia="Calibri"/>
          <w:sz w:val="24"/>
          <w:szCs w:val="24"/>
        </w:rPr>
        <w:t>The Prevention and Wellness Trust Fund (PWTF) forges local partnerships to address pediatric asthma in multiple settings.</w:t>
      </w:r>
    </w:p>
    <w:p w14:paraId="43CC5EF3" w14:textId="77777777" w:rsidR="00492AB1" w:rsidRPr="00FF7D27" w:rsidRDefault="00492AB1" w:rsidP="00E552D2">
      <w:pPr>
        <w:pStyle w:val="ListParagraph"/>
        <w:numPr>
          <w:ilvl w:val="0"/>
          <w:numId w:val="135"/>
        </w:numPr>
        <w:spacing w:before="0" w:after="0" w:line="360" w:lineRule="auto"/>
        <w:ind w:right="-360"/>
        <w:jc w:val="left"/>
        <w:rPr>
          <w:rFonts w:eastAsia="Calibri"/>
          <w:sz w:val="24"/>
          <w:szCs w:val="24"/>
        </w:rPr>
      </w:pPr>
      <w:r w:rsidRPr="00FF7D27">
        <w:rPr>
          <w:rFonts w:eastAsia="Calibri"/>
          <w:sz w:val="24"/>
          <w:szCs w:val="24"/>
        </w:rPr>
        <w:t>The Massachusetts Asthma Prevention and Control Program (MAPCP) implements standardized training, technical assistance and assessment protocols.</w:t>
      </w:r>
    </w:p>
    <w:p w14:paraId="12635A62" w14:textId="77777777" w:rsidR="00492AB1" w:rsidRPr="00FF7D27" w:rsidRDefault="00492AB1" w:rsidP="00E552D2">
      <w:pPr>
        <w:pStyle w:val="ListParagraph"/>
        <w:numPr>
          <w:ilvl w:val="0"/>
          <w:numId w:val="135"/>
        </w:numPr>
        <w:spacing w:before="0" w:after="0" w:line="360" w:lineRule="auto"/>
        <w:ind w:right="-360"/>
        <w:rPr>
          <w:rFonts w:eastAsia="Calibri"/>
          <w:sz w:val="24"/>
          <w:szCs w:val="24"/>
        </w:rPr>
      </w:pPr>
      <w:r w:rsidRPr="00FF7D27">
        <w:rPr>
          <w:rFonts w:eastAsia="Calibri"/>
          <w:sz w:val="24"/>
          <w:szCs w:val="24"/>
        </w:rPr>
        <w:lastRenderedPageBreak/>
        <w:t>The Promoting Policies for Asthma in Local Communities (PALC) project provides technical assistance and support protect the health of children with asthma.</w:t>
      </w:r>
    </w:p>
    <w:p w14:paraId="088F2DBB" w14:textId="77777777" w:rsidR="00492AB1" w:rsidRPr="00FF7D27" w:rsidRDefault="00492AB1" w:rsidP="00E552D2">
      <w:pPr>
        <w:pStyle w:val="ListParagraph"/>
        <w:numPr>
          <w:ilvl w:val="0"/>
          <w:numId w:val="135"/>
        </w:numPr>
        <w:spacing w:before="0" w:after="0" w:line="360" w:lineRule="auto"/>
        <w:ind w:right="-360"/>
        <w:rPr>
          <w:sz w:val="24"/>
          <w:szCs w:val="24"/>
        </w:rPr>
      </w:pPr>
      <w:r w:rsidRPr="00FF7D27">
        <w:rPr>
          <w:rFonts w:eastAsia="Calibri"/>
          <w:sz w:val="24"/>
          <w:szCs w:val="24"/>
        </w:rPr>
        <w:t>The Logan Airport Health Study Trust, a collaboration among MassPort (Massachusetts Port Authority), the Massachusetts League of Community Health Centers, and five community health centers in communities with increased probable rates of asthma (i.e. Chelsea, East Boston/Winthrop, Charlestown, the North End, and South Boston).</w:t>
      </w:r>
    </w:p>
    <w:p w14:paraId="77DA2763" w14:textId="080528A2" w:rsidR="00492AB1" w:rsidRPr="00FF7D27" w:rsidRDefault="00492AB1" w:rsidP="00E552D2">
      <w:pPr>
        <w:pStyle w:val="Heading4"/>
        <w:spacing w:line="360" w:lineRule="auto"/>
        <w:rPr>
          <w:color w:val="203864"/>
        </w:rPr>
      </w:pPr>
      <w:r w:rsidRPr="00FF7D27">
        <w:rPr>
          <w:color w:val="203864"/>
        </w:rPr>
        <w:t>COPD</w:t>
      </w:r>
    </w:p>
    <w:p w14:paraId="0725F39C" w14:textId="41063B9F" w:rsidR="00492AB1" w:rsidRPr="00FF7D27" w:rsidRDefault="00492AB1" w:rsidP="00E552D2">
      <w:pPr>
        <w:pStyle w:val="ListParagraph"/>
        <w:numPr>
          <w:ilvl w:val="0"/>
          <w:numId w:val="136"/>
        </w:numPr>
        <w:spacing w:before="0" w:after="0" w:line="360" w:lineRule="auto"/>
        <w:ind w:right="-360"/>
        <w:rPr>
          <w:rFonts w:eastAsia="Calibri"/>
          <w:color w:val="000000" w:themeColor="text1"/>
          <w:sz w:val="24"/>
          <w:szCs w:val="24"/>
        </w:rPr>
      </w:pPr>
      <w:r w:rsidRPr="00FF7D27">
        <w:rPr>
          <w:color w:val="000000" w:themeColor="text1"/>
          <w:sz w:val="24"/>
          <w:szCs w:val="24"/>
        </w:rPr>
        <w:t>The Reducing Older Adult Asthma Disparities (ROAAD) study to improve asthma and COPD management and decrease health care utilization among o</w:t>
      </w:r>
      <w:r w:rsidR="00EA5ACA" w:rsidRPr="00FF7D27">
        <w:rPr>
          <w:color w:val="000000" w:themeColor="text1"/>
          <w:sz w:val="24"/>
          <w:szCs w:val="24"/>
        </w:rPr>
        <w:t>lder adults with COPD in Lowell, MA.</w:t>
      </w:r>
    </w:p>
    <w:p w14:paraId="55FF57DA" w14:textId="77777777" w:rsidR="00492AB1" w:rsidRPr="00FF7D27" w:rsidRDefault="00492AB1" w:rsidP="00E552D2">
      <w:pPr>
        <w:pStyle w:val="ListParagraph"/>
        <w:numPr>
          <w:ilvl w:val="0"/>
          <w:numId w:val="136"/>
        </w:numPr>
        <w:spacing w:before="0" w:after="0" w:line="360" w:lineRule="auto"/>
        <w:ind w:right="-360"/>
        <w:rPr>
          <w:rFonts w:eastAsia="Calibri"/>
          <w:sz w:val="24"/>
          <w:szCs w:val="24"/>
        </w:rPr>
      </w:pPr>
      <w:r w:rsidRPr="00FF7D27">
        <w:rPr>
          <w:rFonts w:eastAsia="Calibri"/>
          <w:sz w:val="24"/>
          <w:szCs w:val="24"/>
        </w:rPr>
        <w:t>Tobacco treatment or cessation services to reduce the burden of and management of COPD .</w:t>
      </w:r>
    </w:p>
    <w:p w14:paraId="3FDA182B" w14:textId="77777777" w:rsidR="00492AB1" w:rsidRPr="00FF7D27" w:rsidRDefault="00492AB1" w:rsidP="00E552D2">
      <w:pPr>
        <w:pStyle w:val="Heading4"/>
        <w:spacing w:line="360" w:lineRule="auto"/>
        <w:rPr>
          <w:color w:val="000066"/>
        </w:rPr>
      </w:pPr>
      <w:r w:rsidRPr="00FF7D27">
        <w:rPr>
          <w:color w:val="000066"/>
        </w:rPr>
        <w:t>All Cancers</w:t>
      </w:r>
    </w:p>
    <w:p w14:paraId="2CDDF886" w14:textId="77777777" w:rsidR="00492AB1" w:rsidRPr="00FF7D27" w:rsidRDefault="00492AB1" w:rsidP="00E552D2">
      <w:pPr>
        <w:pStyle w:val="ListParagraph"/>
        <w:numPr>
          <w:ilvl w:val="0"/>
          <w:numId w:val="137"/>
        </w:numPr>
        <w:spacing w:before="0" w:after="0" w:line="360" w:lineRule="auto"/>
        <w:ind w:right="-360"/>
        <w:rPr>
          <w:rFonts w:eastAsia="Calibri"/>
          <w:sz w:val="24"/>
          <w:szCs w:val="24"/>
        </w:rPr>
      </w:pPr>
      <w:r w:rsidRPr="00FF7D27">
        <w:rPr>
          <w:rFonts w:eastAsia="Calibri"/>
          <w:sz w:val="24"/>
          <w:szCs w:val="24"/>
        </w:rPr>
        <w:t>Several collaborative partnerships focused on eliminating cancer disparities and promoting health equity for the most common cancers.</w:t>
      </w:r>
    </w:p>
    <w:p w14:paraId="5A93EA6B" w14:textId="77777777" w:rsidR="00492AB1" w:rsidRPr="00FF7D27" w:rsidRDefault="00492AB1" w:rsidP="00E552D2">
      <w:pPr>
        <w:pStyle w:val="ListParagraph"/>
        <w:numPr>
          <w:ilvl w:val="0"/>
          <w:numId w:val="137"/>
        </w:numPr>
        <w:spacing w:before="0" w:after="0" w:line="360" w:lineRule="auto"/>
        <w:ind w:right="-360"/>
        <w:rPr>
          <w:rFonts w:eastAsia="Calibri"/>
          <w:sz w:val="24"/>
          <w:szCs w:val="24"/>
        </w:rPr>
      </w:pPr>
      <w:r w:rsidRPr="00FF7D27">
        <w:rPr>
          <w:rFonts w:eastAsia="Calibri"/>
          <w:sz w:val="24"/>
          <w:szCs w:val="24"/>
        </w:rPr>
        <w:t>The Massachusetts Comprehensive Cancer Prevention and Control Network (MCCPCN), a statewide partnership that resulted in a State Cancer Plan focused on action to reduce cancer risk, find cancer earlier, improve and increase access to quality cancer care, and improve the health and well-being of cancer survivors.</w:t>
      </w:r>
    </w:p>
    <w:p w14:paraId="7794FE7B" w14:textId="77777777" w:rsidR="00492AB1" w:rsidRPr="00FF7D27" w:rsidRDefault="00492AB1" w:rsidP="00E552D2">
      <w:pPr>
        <w:pStyle w:val="Heading4"/>
        <w:spacing w:line="360" w:lineRule="auto"/>
        <w:rPr>
          <w:color w:val="203864"/>
        </w:rPr>
      </w:pPr>
      <w:r w:rsidRPr="00FF7D27">
        <w:rPr>
          <w:color w:val="203864"/>
        </w:rPr>
        <w:t>Lung Cancer</w:t>
      </w:r>
    </w:p>
    <w:p w14:paraId="29F3BF4D" w14:textId="599A6D0B" w:rsidR="00492AB1" w:rsidRPr="00FF7D27" w:rsidRDefault="00492AB1" w:rsidP="00E552D2">
      <w:pPr>
        <w:pStyle w:val="ListParagraph"/>
        <w:numPr>
          <w:ilvl w:val="0"/>
          <w:numId w:val="138"/>
        </w:numPr>
        <w:spacing w:line="360" w:lineRule="auto"/>
        <w:ind w:right="-360"/>
        <w:rPr>
          <w:rFonts w:eastAsia="Calibri"/>
          <w:sz w:val="24"/>
          <w:szCs w:val="24"/>
        </w:rPr>
      </w:pPr>
      <w:r w:rsidRPr="00FF7D27">
        <w:rPr>
          <w:rFonts w:eastAsia="Calibri"/>
          <w:sz w:val="24"/>
          <w:szCs w:val="24"/>
        </w:rPr>
        <w:t>The Lung Cancer Workgroup to provide support to existing and emerging lung cancer screening programs across the state to ensure they follow screening guid</w:t>
      </w:r>
      <w:r w:rsidR="00704F99" w:rsidRPr="00FF7D27">
        <w:rPr>
          <w:rFonts w:eastAsia="Calibri"/>
          <w:sz w:val="24"/>
          <w:szCs w:val="24"/>
        </w:rPr>
        <w:t>elines for lung cancer by the US</w:t>
      </w:r>
      <w:r w:rsidRPr="00FF7D27">
        <w:rPr>
          <w:rFonts w:eastAsia="Calibri"/>
          <w:sz w:val="24"/>
          <w:szCs w:val="24"/>
        </w:rPr>
        <w:t xml:space="preserve"> Preventative Services Task Force.</w:t>
      </w:r>
    </w:p>
    <w:p w14:paraId="06FEC850" w14:textId="77777777" w:rsidR="00492AB1" w:rsidRPr="00FF7D27" w:rsidRDefault="00492AB1" w:rsidP="00E552D2">
      <w:pPr>
        <w:pStyle w:val="Heading4"/>
        <w:spacing w:line="360" w:lineRule="auto"/>
        <w:rPr>
          <w:color w:val="203864"/>
        </w:rPr>
      </w:pPr>
      <w:r w:rsidRPr="00FF7D27">
        <w:rPr>
          <w:color w:val="203864"/>
        </w:rPr>
        <w:t>Breast Cancer</w:t>
      </w:r>
    </w:p>
    <w:p w14:paraId="775768A5" w14:textId="77777777" w:rsidR="00492AB1" w:rsidRPr="00FF7D27" w:rsidRDefault="00492AB1" w:rsidP="00E552D2">
      <w:pPr>
        <w:pStyle w:val="ListParagraph"/>
        <w:numPr>
          <w:ilvl w:val="0"/>
          <w:numId w:val="138"/>
        </w:numPr>
        <w:spacing w:line="360" w:lineRule="auto"/>
        <w:ind w:right="-360"/>
        <w:rPr>
          <w:rFonts w:eastAsia="Calibri"/>
          <w:sz w:val="24"/>
          <w:szCs w:val="24"/>
        </w:rPr>
      </w:pPr>
      <w:r w:rsidRPr="00FF7D27">
        <w:rPr>
          <w:rFonts w:eastAsia="Calibri"/>
          <w:sz w:val="24"/>
          <w:szCs w:val="24"/>
        </w:rPr>
        <w:t xml:space="preserve">The Breast Cancer Equity Coalition (comprised of city and state health department representatives, patient navigators, public health policy makers, researchers, oncology and primary-care clinicians, advocates, and patients) to work with health centers to implement evidence-based interventions </w:t>
      </w:r>
      <w:r w:rsidRPr="00FF7D27">
        <w:rPr>
          <w:rFonts w:eastAsia="Calibri"/>
          <w:sz w:val="24"/>
          <w:szCs w:val="24"/>
        </w:rPr>
        <w:lastRenderedPageBreak/>
        <w:t>among patient navigators and community health workers to assist patients in navigating potential barriers to care.</w:t>
      </w:r>
    </w:p>
    <w:p w14:paraId="6F567BFF" w14:textId="77777777" w:rsidR="00492AB1" w:rsidRPr="00FF7D27" w:rsidRDefault="00492AB1" w:rsidP="00E552D2">
      <w:pPr>
        <w:pStyle w:val="Heading4"/>
        <w:spacing w:line="360" w:lineRule="auto"/>
        <w:rPr>
          <w:color w:val="203864"/>
        </w:rPr>
      </w:pPr>
      <w:r w:rsidRPr="00FF7D27">
        <w:rPr>
          <w:color w:val="203864"/>
        </w:rPr>
        <w:t>Colorectal Cancer</w:t>
      </w:r>
    </w:p>
    <w:p w14:paraId="63DFE1CB" w14:textId="77777777" w:rsidR="00492AB1" w:rsidRPr="00FF7D27" w:rsidRDefault="00492AB1" w:rsidP="00E552D2">
      <w:pPr>
        <w:pStyle w:val="ListParagraph"/>
        <w:numPr>
          <w:ilvl w:val="0"/>
          <w:numId w:val="138"/>
        </w:numPr>
        <w:spacing w:before="0" w:after="0" w:line="360" w:lineRule="auto"/>
        <w:ind w:right="-360"/>
        <w:rPr>
          <w:rFonts w:eastAsia="Calibri"/>
          <w:sz w:val="24"/>
          <w:szCs w:val="24"/>
        </w:rPr>
      </w:pPr>
      <w:r w:rsidRPr="00FF7D27">
        <w:rPr>
          <w:rFonts w:eastAsia="Calibri"/>
          <w:sz w:val="24"/>
          <w:szCs w:val="24"/>
        </w:rPr>
        <w:t>A Massachusetts Division of Prevention and Wellness (DPW) program that works with the Massachusetts League of Community Health Centers (MLCHC) to improve the rate of colorectal cancer screening in federally qualified health centers (FQHCs).</w:t>
      </w:r>
    </w:p>
    <w:p w14:paraId="1EE601D7" w14:textId="18D0842C" w:rsidR="00492AB1" w:rsidRPr="00FF7D27" w:rsidRDefault="00492AB1" w:rsidP="00E552D2">
      <w:pPr>
        <w:pStyle w:val="ListParagraph"/>
        <w:numPr>
          <w:ilvl w:val="0"/>
          <w:numId w:val="138"/>
        </w:numPr>
        <w:spacing w:before="0" w:after="0" w:line="360" w:lineRule="auto"/>
        <w:ind w:right="-360"/>
        <w:rPr>
          <w:rFonts w:eastAsia="Calibri"/>
          <w:sz w:val="24"/>
          <w:szCs w:val="24"/>
        </w:rPr>
      </w:pPr>
      <w:r w:rsidRPr="00FF7D27">
        <w:rPr>
          <w:rFonts w:eastAsia="Calibri"/>
          <w:sz w:val="24"/>
          <w:szCs w:val="24"/>
        </w:rPr>
        <w:t xml:space="preserve">The Massachusetts Comprehensive Cancer Prevention and Control Network (MCCPCN) state cancer plan for 2017-2022 to help meet a national goal </w:t>
      </w:r>
      <w:r w:rsidR="00CE5FA1" w:rsidRPr="00FF7D27">
        <w:rPr>
          <w:rFonts w:eastAsia="Calibri"/>
          <w:sz w:val="24"/>
          <w:szCs w:val="24"/>
        </w:rPr>
        <w:t xml:space="preserve">of </w:t>
      </w:r>
      <w:r w:rsidRPr="00FF7D27">
        <w:rPr>
          <w:rFonts w:eastAsia="Calibri"/>
          <w:sz w:val="24"/>
          <w:szCs w:val="24"/>
        </w:rPr>
        <w:t>80% of people screened for colorectal cancer by 2018.</w:t>
      </w:r>
    </w:p>
    <w:p w14:paraId="78E14774" w14:textId="617AB7FE" w:rsidR="00492AB1" w:rsidRPr="00FF7D27" w:rsidRDefault="00492AB1" w:rsidP="00E552D2">
      <w:pPr>
        <w:pStyle w:val="ListParagraph"/>
        <w:numPr>
          <w:ilvl w:val="0"/>
          <w:numId w:val="138"/>
        </w:numPr>
        <w:spacing w:before="0" w:after="0" w:line="360" w:lineRule="auto"/>
        <w:ind w:right="-360"/>
        <w:rPr>
          <w:rFonts w:eastAsia="Calibri"/>
          <w:sz w:val="24"/>
          <w:szCs w:val="24"/>
        </w:rPr>
      </w:pPr>
      <w:r w:rsidRPr="00FF7D27">
        <w:rPr>
          <w:rFonts w:eastAsia="Calibri"/>
          <w:sz w:val="24"/>
          <w:szCs w:val="24"/>
        </w:rPr>
        <w:t xml:space="preserve">The Massachusetts Partnership for Health Promotion and Chronic Disease Prevention’s </w:t>
      </w:r>
      <w:r w:rsidRPr="00FF7D27">
        <w:rPr>
          <w:sz w:val="24"/>
          <w:szCs w:val="24"/>
        </w:rPr>
        <w:t>Clinical Preventive Services and Population Health Management Community of Practice has a goal of increasing colorectal cancer screening rates by 5% by 2017.  In addition, they support</w:t>
      </w:r>
      <w:r w:rsidRPr="00FF7D27">
        <w:rPr>
          <w:rFonts w:eastAsia="Calibri"/>
          <w:sz w:val="24"/>
          <w:szCs w:val="24"/>
        </w:rPr>
        <w:t xml:space="preserve"> provider use and recommendation of home-based stool testing through professional development opportunities and increased public awareness campaigns specific to fecal testing as a colorectal cancer screening option</w:t>
      </w:r>
      <w:r w:rsidR="00EA5ACA" w:rsidRPr="00FF7D27">
        <w:rPr>
          <w:rFonts w:eastAsia="Calibri"/>
          <w:sz w:val="24"/>
          <w:szCs w:val="24"/>
        </w:rPr>
        <w:t>.</w:t>
      </w:r>
    </w:p>
    <w:p w14:paraId="2B575694" w14:textId="5A03C3CA" w:rsidR="00492AB1" w:rsidRPr="00FF7D27" w:rsidRDefault="00492AB1" w:rsidP="00E552D2">
      <w:pPr>
        <w:pStyle w:val="Heading4"/>
        <w:spacing w:line="360" w:lineRule="auto"/>
        <w:rPr>
          <w:color w:val="203864"/>
        </w:rPr>
      </w:pPr>
      <w:r w:rsidRPr="00FF7D27">
        <w:rPr>
          <w:color w:val="203864"/>
        </w:rPr>
        <w:t>Prostate Cancer</w:t>
      </w:r>
    </w:p>
    <w:p w14:paraId="50A13B6A" w14:textId="70DB4A90" w:rsidR="00FF7D27" w:rsidRDefault="00492AB1" w:rsidP="00E552D2">
      <w:pPr>
        <w:pStyle w:val="ListParagraph"/>
        <w:keepNext/>
        <w:numPr>
          <w:ilvl w:val="0"/>
          <w:numId w:val="139"/>
        </w:numPr>
        <w:spacing w:before="0" w:after="0" w:line="360" w:lineRule="auto"/>
        <w:ind w:right="-360"/>
        <w:jc w:val="left"/>
        <w:rPr>
          <w:rFonts w:eastAsia="Calibri"/>
          <w:sz w:val="24"/>
          <w:szCs w:val="24"/>
        </w:rPr>
      </w:pPr>
      <w:r w:rsidRPr="00FF7D27">
        <w:rPr>
          <w:rFonts w:eastAsia="Calibri"/>
          <w:sz w:val="24"/>
          <w:szCs w:val="24"/>
        </w:rPr>
        <w:t xml:space="preserve">The Prostate Cancer Work Group developed information for men and provider’s about prostate cancer screening guidelines and shared decision making. The workgroup also developed  a Continuing Medical Education (CME) course on </w:t>
      </w:r>
      <w:r w:rsidRPr="00FF7D27">
        <w:rPr>
          <w:rFonts w:eastAsia="Calibri"/>
          <w:i/>
          <w:sz w:val="24"/>
          <w:szCs w:val="24"/>
        </w:rPr>
        <w:t xml:space="preserve">Prostate Cancer and Primary Care </w:t>
      </w:r>
      <w:r w:rsidRPr="00FF7D27">
        <w:rPr>
          <w:rFonts w:eastAsia="Calibri"/>
          <w:sz w:val="24"/>
          <w:szCs w:val="24"/>
        </w:rPr>
        <w:t>in collaboration with the Massachusetts Medical Societ</w:t>
      </w:r>
      <w:r w:rsidRPr="00FF7D27">
        <w:rPr>
          <w:rFonts w:eastAsia="Calibri"/>
          <w:i/>
          <w:sz w:val="24"/>
          <w:szCs w:val="24"/>
        </w:rPr>
        <w:t>y</w:t>
      </w:r>
      <w:r w:rsidR="00EA5ACA" w:rsidRPr="00FF7D27">
        <w:rPr>
          <w:rFonts w:eastAsia="Calibri"/>
          <w:sz w:val="24"/>
          <w:szCs w:val="24"/>
        </w:rPr>
        <w:t>.</w:t>
      </w:r>
    </w:p>
    <w:p w14:paraId="27C85A32" w14:textId="77777777" w:rsidR="00FF7D27" w:rsidRDefault="00FF7D27">
      <w:pPr>
        <w:spacing w:before="0"/>
        <w:ind w:left="0" w:right="0"/>
        <w:jc w:val="left"/>
        <w:rPr>
          <w:rFonts w:eastAsia="Calibri"/>
          <w:sz w:val="24"/>
          <w:szCs w:val="24"/>
        </w:rPr>
      </w:pPr>
      <w:r>
        <w:rPr>
          <w:rFonts w:eastAsia="Calibri"/>
          <w:sz w:val="24"/>
          <w:szCs w:val="24"/>
        </w:rPr>
        <w:br w:type="page"/>
      </w:r>
    </w:p>
    <w:p w14:paraId="54712E91" w14:textId="77777777" w:rsidR="00492AB1" w:rsidRPr="00FF7D27" w:rsidRDefault="00492AB1" w:rsidP="00E552D2">
      <w:pPr>
        <w:pStyle w:val="Heading4"/>
        <w:spacing w:line="360" w:lineRule="auto"/>
        <w:rPr>
          <w:color w:val="203864"/>
        </w:rPr>
      </w:pPr>
      <w:bookmarkStart w:id="1" w:name="_GoBack"/>
      <w:bookmarkEnd w:id="1"/>
      <w:r w:rsidRPr="00FF7D27">
        <w:rPr>
          <w:color w:val="203864"/>
        </w:rPr>
        <w:lastRenderedPageBreak/>
        <w:t>Melanoma</w:t>
      </w:r>
    </w:p>
    <w:p w14:paraId="15146172" w14:textId="77777777" w:rsidR="00492AB1" w:rsidRPr="00FF7D27" w:rsidRDefault="00492AB1" w:rsidP="00E552D2">
      <w:pPr>
        <w:pStyle w:val="ListParagraph"/>
        <w:numPr>
          <w:ilvl w:val="0"/>
          <w:numId w:val="139"/>
        </w:numPr>
        <w:spacing w:before="0" w:after="0" w:line="360" w:lineRule="auto"/>
        <w:ind w:right="-360"/>
        <w:rPr>
          <w:sz w:val="24"/>
          <w:szCs w:val="24"/>
        </w:rPr>
      </w:pPr>
      <w:r w:rsidRPr="00FF7D27">
        <w:rPr>
          <w:rFonts w:eastAsia="Calibri"/>
          <w:sz w:val="24"/>
          <w:szCs w:val="24"/>
        </w:rPr>
        <w:t>Funding sunscreen dispensers in public and recreational areas and a sun safety and melanoma awareness program.</w:t>
      </w:r>
    </w:p>
    <w:p w14:paraId="49EB140D" w14:textId="77777777" w:rsidR="00492AB1" w:rsidRPr="00FF7D27" w:rsidRDefault="00492AB1" w:rsidP="00E552D2">
      <w:pPr>
        <w:pStyle w:val="ListParagraph"/>
        <w:numPr>
          <w:ilvl w:val="0"/>
          <w:numId w:val="139"/>
        </w:numPr>
        <w:spacing w:before="0" w:after="0" w:line="360" w:lineRule="auto"/>
        <w:ind w:right="-360"/>
        <w:rPr>
          <w:rFonts w:ascii="Calibri" w:hAnsi="Calibri" w:cs="Calibri"/>
          <w:sz w:val="24"/>
          <w:szCs w:val="24"/>
        </w:rPr>
      </w:pPr>
      <w:r w:rsidRPr="00FF7D27">
        <w:rPr>
          <w:rFonts w:eastAsia="Calibri"/>
          <w:sz w:val="24"/>
          <w:szCs w:val="24"/>
        </w:rPr>
        <w:t>L</w:t>
      </w:r>
      <w:r w:rsidRPr="00FF7D27">
        <w:rPr>
          <w:rFonts w:ascii="Calibri" w:hAnsi="Calibri" w:cs="Calibri"/>
          <w:sz w:val="24"/>
          <w:szCs w:val="24"/>
        </w:rPr>
        <w:t>egislation was implemented in 2016 that bans anyone under the age 18 in Massachusetts from using or operating a tanning facility.</w:t>
      </w:r>
    </w:p>
    <w:p w14:paraId="5A6D150E" w14:textId="77777777" w:rsidR="00492AB1" w:rsidRPr="00FF7D27" w:rsidRDefault="00492AB1" w:rsidP="00E552D2">
      <w:pPr>
        <w:pStyle w:val="ListParagraph"/>
        <w:numPr>
          <w:ilvl w:val="0"/>
          <w:numId w:val="139"/>
        </w:numPr>
        <w:spacing w:before="0" w:after="0" w:line="360" w:lineRule="auto"/>
        <w:ind w:right="-360"/>
        <w:rPr>
          <w:rFonts w:ascii="Calibri" w:hAnsi="Calibri" w:cs="Calibri"/>
          <w:sz w:val="24"/>
          <w:szCs w:val="24"/>
        </w:rPr>
      </w:pPr>
      <w:r w:rsidRPr="00FF7D27">
        <w:rPr>
          <w:rFonts w:ascii="Calibri" w:hAnsi="Calibri" w:cs="Calibri"/>
          <w:sz w:val="24"/>
          <w:szCs w:val="24"/>
        </w:rPr>
        <w:t>Health departments across Massachusetts have increased the number of school age children who follow protective measures by conducting skin cancer education and outreach to schools, parents, and teachers.</w:t>
      </w:r>
    </w:p>
    <w:p w14:paraId="25CDAE3A" w14:textId="77777777" w:rsidR="00492AB1" w:rsidRPr="00FF7D27" w:rsidRDefault="00492AB1" w:rsidP="00E552D2">
      <w:pPr>
        <w:pStyle w:val="ListParagraph"/>
        <w:numPr>
          <w:ilvl w:val="0"/>
          <w:numId w:val="139"/>
        </w:numPr>
        <w:spacing w:before="0" w:after="0" w:line="360" w:lineRule="auto"/>
        <w:ind w:right="-360"/>
        <w:rPr>
          <w:rFonts w:ascii="Calibri" w:hAnsi="Calibri" w:cs="Calibri"/>
          <w:sz w:val="24"/>
          <w:szCs w:val="24"/>
        </w:rPr>
      </w:pPr>
      <w:r w:rsidRPr="00FF7D27">
        <w:rPr>
          <w:rFonts w:ascii="Calibri" w:hAnsi="Calibri" w:cs="Calibri"/>
          <w:sz w:val="24"/>
          <w:szCs w:val="24"/>
        </w:rPr>
        <w:t>Major hospitals are promoting sun protective measures through intensive community outreach at beaches and wide dissemination of written educational materials.</w:t>
      </w:r>
    </w:p>
    <w:p w14:paraId="045E8F1B" w14:textId="77777777" w:rsidR="009837D5" w:rsidRPr="00FF7D27" w:rsidRDefault="009837D5" w:rsidP="00E552D2">
      <w:pPr>
        <w:spacing w:before="0" w:line="360" w:lineRule="auto"/>
        <w:ind w:left="0" w:right="0"/>
        <w:jc w:val="left"/>
        <w:rPr>
          <w:rFonts w:eastAsiaTheme="majorEastAsia" w:cstheme="majorBidi"/>
          <w:b/>
          <w:sz w:val="24"/>
          <w:szCs w:val="24"/>
        </w:rPr>
      </w:pPr>
      <w:r w:rsidRPr="00FF7D27">
        <w:rPr>
          <w:sz w:val="24"/>
          <w:szCs w:val="24"/>
        </w:rPr>
        <w:br w:type="page"/>
      </w:r>
    </w:p>
    <w:p w14:paraId="1AD4AC1C" w14:textId="53B5E6A8" w:rsidR="00823FDF" w:rsidRDefault="00492AB1" w:rsidP="00E552D2">
      <w:pPr>
        <w:pStyle w:val="Heading1"/>
        <w:spacing w:line="360" w:lineRule="auto"/>
        <w:sectPr w:rsidR="00823FDF" w:rsidSect="009474E6">
          <w:endnotePr>
            <w:numFmt w:val="decimal"/>
          </w:endnotePr>
          <w:type w:val="continuous"/>
          <w:pgSz w:w="12240" w:h="15840"/>
          <w:pgMar w:top="1440" w:right="1080" w:bottom="1440" w:left="1080" w:header="720" w:footer="720" w:gutter="0"/>
          <w:cols w:space="720"/>
          <w:docGrid w:linePitch="360"/>
        </w:sectPr>
      </w:pPr>
      <w:r>
        <w:lastRenderedPageBreak/>
        <w:t>References</w:t>
      </w:r>
    </w:p>
    <w:p w14:paraId="7881218B" w14:textId="1E2E442E" w:rsidR="00CF07DC" w:rsidRDefault="00CF07DC" w:rsidP="00E552D2">
      <w:pPr>
        <w:spacing w:before="0" w:line="360" w:lineRule="auto"/>
        <w:ind w:left="0" w:right="0"/>
        <w:jc w:val="left"/>
        <w:rPr>
          <w:b/>
          <w:sz w:val="40"/>
          <w:szCs w:val="40"/>
        </w:rPr>
      </w:pPr>
    </w:p>
    <w:sectPr w:rsidR="00CF07DC" w:rsidSect="00EF080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712F0" w14:textId="77777777" w:rsidR="00543D07" w:rsidRPr="00EC73EF" w:rsidRDefault="00543D07" w:rsidP="00EC73EF">
      <w:pPr>
        <w:pStyle w:val="Footer"/>
      </w:pPr>
    </w:p>
  </w:endnote>
  <w:endnote w:type="continuationSeparator" w:id="0">
    <w:p w14:paraId="2397F687" w14:textId="77777777" w:rsidR="00543D07" w:rsidRPr="00EC73EF" w:rsidRDefault="00543D07" w:rsidP="00EC73EF">
      <w:pPr>
        <w:pStyle w:val="Footer"/>
      </w:pPr>
    </w:p>
  </w:endnote>
  <w:endnote w:type="continuationNotice" w:id="1">
    <w:p w14:paraId="0A810325" w14:textId="77777777" w:rsidR="00543D07" w:rsidRPr="00EC73EF" w:rsidRDefault="00543D07" w:rsidP="00EC73EF">
      <w:pPr>
        <w:pStyle w:val="Footer"/>
      </w:pPr>
    </w:p>
  </w:endnote>
  <w:endnote w:id="2">
    <w:p w14:paraId="17C38AAC" w14:textId="7D8CF43D"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MDPH, Massachusetts Deaths 2014. Available at: </w:t>
      </w:r>
      <w:hyperlink r:id="rId1" w:history="1">
        <w:r w:rsidRPr="00FE4FD3">
          <w:rPr>
            <w:rStyle w:val="Hyperlink"/>
            <w:color w:val="auto"/>
            <w:sz w:val="22"/>
            <w:szCs w:val="22"/>
          </w:rPr>
          <w:t>http://www.mass.gov/eohhs/docs/dph/research-epi/death-data/death-report-2014.pdf</w:t>
        </w:r>
      </w:hyperlink>
      <w:r w:rsidRPr="00FE4FD3">
        <w:rPr>
          <w:rStyle w:val="Hyperlink"/>
          <w:color w:val="auto"/>
          <w:sz w:val="22"/>
          <w:szCs w:val="22"/>
        </w:rPr>
        <w:t>. Accessed July 17, 2017.</w:t>
      </w:r>
    </w:p>
  </w:endnote>
  <w:endnote w:id="3">
    <w:p w14:paraId="43ABADA5" w14:textId="06BAE6CE"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Structural racism and health inequities in the USA: evidence and interventions Bailey, Zinzi D et al. The Lancet, Volume 389 , Issue 10077, 1453-1463.</w:t>
      </w:r>
    </w:p>
  </w:endnote>
  <w:endnote w:id="4">
    <w:p w14:paraId="2C315F85" w14:textId="2EE0DBF2"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Elsheikh E, Barhoum N. Haas Institute for a Fair and Inclusive Society. Structural Racialization and Food Insecurity. Available at: http://haasinstitute.berkeley.edu/sites/default/files/Structural%20Racialization%20%20%26%20Food%20Insecurity%20in%20the%20US-%28Final%29.pdf. Accessed June 22, 2017. </w:t>
      </w:r>
    </w:p>
  </w:endnote>
  <w:endnote w:id="5">
    <w:p w14:paraId="7D2A3D37" w14:textId="44E7BBC8"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National Center for Health Statistics. Health, United States, 2015: With Special Feature on Racial and Ethnic Health Disparities. Hyattsville, MD. 2016.</w:t>
      </w:r>
    </w:p>
  </w:endnote>
  <w:endnote w:id="6">
    <w:p w14:paraId="587B6742" w14:textId="2BE86D4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Roux A, Merkin S, Arnett D, et al. Neighborhood of Residence and Incidence of Coronary Heart Disease. </w:t>
      </w:r>
      <w:r w:rsidRPr="00FE4FD3">
        <w:rPr>
          <w:rFonts w:eastAsia="Calibri" w:cstheme="minorHAnsi"/>
          <w:i/>
        </w:rPr>
        <w:t>New England Journal of Medicine.</w:t>
      </w:r>
      <w:r w:rsidRPr="00FE4FD3">
        <w:rPr>
          <w:rFonts w:eastAsia="Calibri" w:cstheme="minorHAnsi"/>
        </w:rPr>
        <w:t xml:space="preserve"> July 2001. 345:99-106.</w:t>
      </w:r>
    </w:p>
  </w:endnote>
  <w:endnote w:id="7">
    <w:p w14:paraId="64314A83" w14:textId="0BA34D19"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Micha, R et al.  Association Between Dietary Factors and Mortality From Heart Disease, Stroke, and Type 2 Diabetes in the United States. </w:t>
      </w:r>
      <w:r w:rsidRPr="00FE4FD3">
        <w:rPr>
          <w:rFonts w:eastAsia="Calibri" w:cstheme="minorHAnsi"/>
          <w:i/>
        </w:rPr>
        <w:t xml:space="preserve"> JAMA</w:t>
      </w:r>
      <w:r w:rsidRPr="00FE4FD3">
        <w:rPr>
          <w:rFonts w:eastAsia="Calibri" w:cstheme="minorHAnsi"/>
        </w:rPr>
        <w:t>. 2017;317(9):912-924. doi:10.1001/jama.2017.0947.</w:t>
      </w:r>
    </w:p>
  </w:endnote>
  <w:endnote w:id="8">
    <w:p w14:paraId="52046CCA" w14:textId="1EE6612E"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Ibid</w:t>
      </w:r>
    </w:p>
  </w:endnote>
  <w:endnote w:id="9">
    <w:p w14:paraId="0ECE5C20" w14:textId="13D735D4"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Centers for Disease Control. Factors that Contribute to Health Disparities in Cancer. Available at: https://www.cdc.gov/cancer/healthdisparities/basic_info/challenges.htm. Accessed July 20, 2017.</w:t>
      </w:r>
    </w:p>
  </w:endnote>
  <w:endnote w:id="10">
    <w:p w14:paraId="1DB0E9D4"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Hung HC, et al. Fruit and vegetable intake and risk of major chronic disease. </w:t>
      </w:r>
      <w:r w:rsidRPr="00FE4FD3">
        <w:rPr>
          <w:rFonts w:eastAsia="Calibri" w:cstheme="minorHAnsi"/>
          <w:i/>
        </w:rPr>
        <w:t>J Natl Cancer Inst</w:t>
      </w:r>
      <w:r w:rsidRPr="00FE4FD3">
        <w:rPr>
          <w:rFonts w:eastAsia="Calibri" w:cstheme="minorHAnsi"/>
        </w:rPr>
        <w:t>. 2004; 96(21): 1577-84.</w:t>
      </w:r>
    </w:p>
  </w:endnote>
  <w:endnote w:id="11">
    <w:p w14:paraId="27073851"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Bazzano, LA, et al. Intake of fruit, vegetables, and fruit juices and risk of diabetes in women. </w:t>
      </w:r>
      <w:r w:rsidRPr="00FE4FD3">
        <w:rPr>
          <w:rFonts w:eastAsia="Calibri" w:cstheme="minorHAnsi"/>
          <w:i/>
        </w:rPr>
        <w:t>Diabetes Care</w:t>
      </w:r>
      <w:r w:rsidRPr="00FE4FD3">
        <w:rPr>
          <w:rFonts w:eastAsia="Calibri" w:cstheme="minorHAnsi"/>
        </w:rPr>
        <w:t>. 2008; 31(7): 1311-7.</w:t>
      </w:r>
    </w:p>
  </w:endnote>
  <w:endnote w:id="12">
    <w:p w14:paraId="5B084E25"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Ludwig DS, Peterson KE, Gortmaker SL. Relation between consumption of sugar-sweetened drinks and childhood obesity: a prospective, observational analysis. </w:t>
      </w:r>
      <w:r w:rsidRPr="00FE4FD3">
        <w:rPr>
          <w:rFonts w:eastAsia="Calibri" w:cstheme="minorHAnsi"/>
          <w:i/>
        </w:rPr>
        <w:t>Lancet</w:t>
      </w:r>
      <w:r w:rsidRPr="00FE4FD3">
        <w:rPr>
          <w:rFonts w:eastAsia="Calibri" w:cstheme="minorHAnsi"/>
        </w:rPr>
        <w:t>. 2001; 357: 505–508.</w:t>
      </w:r>
    </w:p>
  </w:endnote>
  <w:endnote w:id="13">
    <w:p w14:paraId="68AACFA9"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Bell J, et al. Policy Link and The Food Trust. Available at: </w:t>
      </w:r>
      <w:hyperlink r:id="rId2">
        <w:r w:rsidRPr="00FE4FD3">
          <w:rPr>
            <w:rFonts w:eastAsia="Calibri" w:cstheme="minorHAnsi"/>
          </w:rPr>
          <w:t>http://thefoodtrust.org/uploads/media_items/access-to-healthy-food.original.pdf</w:t>
        </w:r>
      </w:hyperlink>
      <w:r w:rsidRPr="00FE4FD3">
        <w:rPr>
          <w:rFonts w:eastAsia="Calibri" w:cstheme="minorHAnsi"/>
        </w:rPr>
        <w:t>. Accessed June 22, 2017.</w:t>
      </w:r>
    </w:p>
  </w:endnote>
  <w:endnote w:id="14">
    <w:p w14:paraId="7BED67A6"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Centers for Disease Control. Healthy Places. Available at: https://www.cdc.gov/healthyplaces/healthtopics/healthyfood_environment.htm. Accessed July 20, 2017</w:t>
      </w:r>
    </w:p>
  </w:endnote>
  <w:endnote w:id="15">
    <w:p w14:paraId="5DAE42AA" w14:textId="61AD18BD"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Ibid</w:t>
      </w:r>
    </w:p>
  </w:endnote>
  <w:endnote w:id="16">
    <w:p w14:paraId="01405B3D"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Rao M, et al. Do healthier foods and diet patterns cost more than less healthy options? </w:t>
      </w:r>
      <w:r w:rsidRPr="00FE4FD3">
        <w:rPr>
          <w:rFonts w:eastAsia="Calibri" w:cstheme="minorHAnsi"/>
          <w:i/>
        </w:rPr>
        <w:t>BMJ Open</w:t>
      </w:r>
      <w:r w:rsidRPr="00FE4FD3">
        <w:rPr>
          <w:rFonts w:eastAsia="Calibri" w:cstheme="minorHAnsi"/>
        </w:rPr>
        <w:t xml:space="preserve"> [serial online].  </w:t>
      </w:r>
      <w:r w:rsidRPr="00FE4FD3">
        <w:rPr>
          <w:rFonts w:eastAsia="Calibri" w:cstheme="minorHAnsi"/>
          <w:highlight w:val="white"/>
        </w:rPr>
        <w:t>2013; 3: e004277. doi: 10.1136/bmjopen-2013-004277.</w:t>
      </w:r>
    </w:p>
  </w:endnote>
  <w:endnote w:id="17">
    <w:p w14:paraId="1CF8E0B8"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De Cuba SE et al. Food Insecurity Among Children in Massachusetts. </w:t>
      </w:r>
      <w:r w:rsidRPr="00FE4FD3">
        <w:rPr>
          <w:rFonts w:eastAsia="Calibri" w:cstheme="minorHAnsi"/>
          <w:i/>
        </w:rPr>
        <w:t xml:space="preserve">New England J of Pub Policy. </w:t>
      </w:r>
      <w:r w:rsidRPr="00FE4FD3">
        <w:rPr>
          <w:rFonts w:eastAsia="Calibri" w:cstheme="minorHAnsi"/>
        </w:rPr>
        <w:t>2013; 25(1): Article 9.</w:t>
      </w:r>
    </w:p>
  </w:endnote>
  <w:endnote w:id="18">
    <w:p w14:paraId="12D1B71C"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Centers for Disease Control and Prevention. Transportation and Food Access. Available at: </w:t>
      </w:r>
      <w:hyperlink r:id="rId3">
        <w:r w:rsidRPr="00FE4FD3">
          <w:rPr>
            <w:rFonts w:eastAsia="Calibri" w:cstheme="minorHAnsi"/>
          </w:rPr>
          <w:t>https://www.cdc.gov/healthyplaces/healthtopics/healthyfood/transportation.htm</w:t>
        </w:r>
      </w:hyperlink>
      <w:r w:rsidRPr="00FE4FD3">
        <w:rPr>
          <w:rFonts w:eastAsia="Calibri" w:cstheme="minorHAnsi"/>
        </w:rPr>
        <w:t xml:space="preserve">. Accessed June 22, 2017. </w:t>
      </w:r>
    </w:p>
  </w:endnote>
  <w:endnote w:id="19">
    <w:p w14:paraId="126A57FF"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Elsheikh E, Barhoum N. Haas Institute for a Fair and Inclusive Society. Structural Racialization and Food Insecurity. Available at:  </w:t>
      </w:r>
      <w:hyperlink r:id="rId4">
        <w:r w:rsidRPr="00FE4FD3">
          <w:rPr>
            <w:rFonts w:eastAsia="Calibri" w:cstheme="minorHAnsi"/>
          </w:rPr>
          <w:t>http://haasinstitute.berkeley.edu/sites/default/files/Structural%20Racialization%20%20%26%20Food%20Insecurity%20in%20the%20US-%28Final%29.pdf</w:t>
        </w:r>
      </w:hyperlink>
      <w:r w:rsidRPr="00FE4FD3">
        <w:rPr>
          <w:rFonts w:eastAsia="Calibri" w:cstheme="minorHAnsi"/>
        </w:rPr>
        <w:t xml:space="preserve">. Accessed June 22, 2017. </w:t>
      </w:r>
    </w:p>
  </w:endnote>
  <w:endnote w:id="20">
    <w:p w14:paraId="14BE90EB" w14:textId="0CFDC4B0"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MA BRFSS Report 2015. Available at: </w:t>
      </w:r>
      <w:hyperlink r:id="rId5" w:history="1">
        <w:r w:rsidRPr="00FE4FD3">
          <w:rPr>
            <w:rStyle w:val="Hyperlink"/>
            <w:color w:val="auto"/>
            <w:sz w:val="22"/>
            <w:szCs w:val="22"/>
            <w:shd w:val="clear" w:color="auto" w:fill="auto"/>
          </w:rPr>
          <w:t>http://www.mass.gov/eohhs/gov/departments/dph/programs/admin/dmoa/health-survey/brfss/statewide-reports-and-presentations.html</w:t>
        </w:r>
      </w:hyperlink>
      <w:r w:rsidRPr="00FE4FD3">
        <w:rPr>
          <w:rFonts w:eastAsia="Calibri" w:cstheme="minorHAnsi"/>
          <w:sz w:val="22"/>
          <w:szCs w:val="22"/>
        </w:rPr>
        <w:t>. Accessed June 22, 2017.</w:t>
      </w:r>
    </w:p>
  </w:endnote>
  <w:endnote w:id="21">
    <w:p w14:paraId="6DCA36D6" w14:textId="485DEF24"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MDPH, Massachusetts Youth Health Survey, 2015.</w:t>
      </w:r>
    </w:p>
  </w:endnote>
  <w:endnote w:id="22">
    <w:p w14:paraId="01A69F6D"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United States Department of Agriculture. Food Access Research Atlas. Available at: </w:t>
      </w:r>
      <w:hyperlink r:id="rId6">
        <w:r w:rsidRPr="00FE4FD3">
          <w:rPr>
            <w:rFonts w:eastAsia="Calibri" w:cstheme="minorHAnsi"/>
          </w:rPr>
          <w:t>https://www.ers.usda.gov/data-products/food-access-research-atlas/go-to-the-atlas/</w:t>
        </w:r>
      </w:hyperlink>
      <w:r w:rsidRPr="00FE4FD3">
        <w:rPr>
          <w:rFonts w:eastAsia="Calibri" w:cstheme="minorHAnsi"/>
        </w:rPr>
        <w:t>. Accessed June 22, 2017.</w:t>
      </w:r>
    </w:p>
  </w:endnote>
  <w:endnote w:id="23">
    <w:p w14:paraId="703ED536"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ACS 2013 5-year estimates. Households with Food Stamp/SNAP benefits in the past 12 months. Available at: </w:t>
      </w:r>
      <w:hyperlink r:id="rId7">
        <w:r w:rsidRPr="00FE4FD3">
          <w:rPr>
            <w:rFonts w:eastAsia="Calibri" w:cstheme="minorHAnsi"/>
          </w:rPr>
          <w:t>https://factfinder.census.gov/faces/tableservices/jsf/pages/productview.xhtml?pid=ACS_15_5YR_S2201&amp;prodType=table</w:t>
        </w:r>
      </w:hyperlink>
      <w:r w:rsidRPr="00FE4FD3">
        <w:rPr>
          <w:rFonts w:eastAsia="Calibri" w:cstheme="minorHAnsi"/>
        </w:rPr>
        <w:t xml:space="preserve">. Accessed June 22, 2017. </w:t>
      </w:r>
    </w:p>
  </w:endnote>
  <w:endnote w:id="24">
    <w:p w14:paraId="358676CC"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w:t>
      </w:r>
      <w:r w:rsidRPr="00FE4FD3">
        <w:rPr>
          <w:rFonts w:eastAsia="Calibri" w:cstheme="minorHAnsi"/>
          <w:i/>
        </w:rPr>
        <w:t xml:space="preserve"> </w:t>
      </w:r>
      <w:r w:rsidRPr="00FE4FD3">
        <w:rPr>
          <w:rFonts w:eastAsia="Calibri" w:cstheme="minorHAnsi"/>
        </w:rPr>
        <w:t xml:space="preserve">United States Department of Agriculture. SNAP Community Characteristics- Massachusetts. Available at: </w:t>
      </w:r>
      <w:hyperlink r:id="rId8">
        <w:r w:rsidRPr="00FE4FD3">
          <w:rPr>
            <w:rFonts w:eastAsia="Calibri" w:cstheme="minorHAnsi"/>
          </w:rPr>
          <w:t>https://www.fns.usda.gov/ops/snap-community-characteristics-massachusetts</w:t>
        </w:r>
      </w:hyperlink>
      <w:r w:rsidRPr="00FE4FD3">
        <w:rPr>
          <w:rFonts w:eastAsia="Calibri" w:cstheme="minorHAnsi"/>
        </w:rPr>
        <w:t>. Accessed June 22, 2017.</w:t>
      </w:r>
    </w:p>
  </w:endnote>
  <w:endnote w:id="25">
    <w:p w14:paraId="028850FF"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Tableau. Massachusetts SNAP Gap. Available at: </w:t>
      </w:r>
      <w:hyperlink r:id="rId9" w:anchor="!/vizhome/MHandSNAP/Story1">
        <w:r w:rsidRPr="00FE4FD3">
          <w:rPr>
            <w:rFonts w:eastAsia="Calibri" w:cstheme="minorHAnsi"/>
          </w:rPr>
          <w:t>https://public.tableau.com/profile/food.bank.of.western.ma#!/vizhome/MHandSNAP/Story1</w:t>
        </w:r>
      </w:hyperlink>
      <w:r w:rsidRPr="00FE4FD3">
        <w:rPr>
          <w:rFonts w:eastAsia="Calibri" w:cstheme="minorHAnsi"/>
        </w:rPr>
        <w:t>. Accessed June 22, 2017.</w:t>
      </w:r>
    </w:p>
  </w:endnote>
  <w:endnote w:id="26">
    <w:p w14:paraId="4297F4C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 xml:space="preserve">Project Bread. The 2016 Status Report on Hunger in Massachusetts. Available at: </w:t>
      </w:r>
      <w:hyperlink r:id="rId10">
        <w:r w:rsidRPr="00FE4FD3">
          <w:rPr>
            <w:rFonts w:eastAsia="Calibri" w:cstheme="minorHAnsi"/>
            <w:sz w:val="22"/>
            <w:szCs w:val="22"/>
          </w:rPr>
          <w:t>http://www.projectbread.org/get-the-facts/reports-and-studies/</w:t>
        </w:r>
      </w:hyperlink>
      <w:r w:rsidRPr="00FE4FD3">
        <w:rPr>
          <w:rFonts w:eastAsia="Calibri" w:cstheme="minorHAnsi"/>
          <w:i/>
          <w:sz w:val="22"/>
          <w:szCs w:val="22"/>
        </w:rPr>
        <w:t xml:space="preserve">. </w:t>
      </w:r>
      <w:r w:rsidRPr="00FE4FD3">
        <w:rPr>
          <w:rFonts w:eastAsia="Calibri" w:cstheme="minorHAnsi"/>
          <w:sz w:val="22"/>
          <w:szCs w:val="22"/>
        </w:rPr>
        <w:t>Accessed June 22, 2017.</w:t>
      </w:r>
    </w:p>
  </w:endnote>
  <w:endnote w:id="27">
    <w:p w14:paraId="5A96E564"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GBFB. GBFB FY16 Impact. </w:t>
      </w:r>
    </w:p>
  </w:endnote>
  <w:endnote w:id="28">
    <w:p w14:paraId="69EB0F68"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Worcester County Food Bank. Hunger in Worcester County. Available at: </w:t>
      </w:r>
      <w:hyperlink r:id="rId11">
        <w:r w:rsidRPr="00FE4FD3">
          <w:rPr>
            <w:rFonts w:eastAsia="Calibri" w:cstheme="minorHAnsi"/>
          </w:rPr>
          <w:t>https://foodbank.org/learn-more/hunger-in-worcester-county/</w:t>
        </w:r>
      </w:hyperlink>
      <w:r w:rsidRPr="00FE4FD3">
        <w:rPr>
          <w:rFonts w:eastAsia="Calibri" w:cstheme="minorHAnsi"/>
        </w:rPr>
        <w:t xml:space="preserve">. Accessed June 22, 2017. </w:t>
      </w:r>
    </w:p>
  </w:endnote>
  <w:endnote w:id="29">
    <w:p w14:paraId="79BB0010"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The Food Bank of Western Massachusetts. Local Hunger Facts. Available at: </w:t>
      </w:r>
      <w:hyperlink r:id="rId12">
        <w:r w:rsidRPr="00FE4FD3">
          <w:rPr>
            <w:rFonts w:eastAsia="Calibri" w:cstheme="minorHAnsi"/>
          </w:rPr>
          <w:t>https://www.foodbankwma.org/learn/local-hunger-facts/</w:t>
        </w:r>
      </w:hyperlink>
      <w:r w:rsidRPr="00FE4FD3">
        <w:rPr>
          <w:rFonts w:eastAsia="Calibri" w:cstheme="minorHAnsi"/>
        </w:rPr>
        <w:t xml:space="preserve">. Accessed June 22, 2017. </w:t>
      </w:r>
    </w:p>
  </w:endnote>
  <w:endnote w:id="30">
    <w:p w14:paraId="15FE6C9D"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The Greater Boston Food Bank. GBFB FY16 Impact. Available at: </w:t>
      </w:r>
      <w:hyperlink r:id="rId13">
        <w:r w:rsidRPr="00FE4FD3">
          <w:rPr>
            <w:rFonts w:eastAsia="Calibri" w:cstheme="minorHAnsi"/>
          </w:rPr>
          <w:t>https://www.gbfb.org/our-impact/our-results/gbfb-impact/?_ga=2.55944802.894750628.1497635496-115627245.1497635496</w:t>
        </w:r>
      </w:hyperlink>
      <w:r w:rsidRPr="00FE4FD3">
        <w:rPr>
          <w:rFonts w:eastAsia="Calibri" w:cstheme="minorHAnsi"/>
        </w:rPr>
        <w:t xml:space="preserve">. Accessed June 22, 2017. </w:t>
      </w:r>
    </w:p>
  </w:endnote>
  <w:endnote w:id="31">
    <w:p w14:paraId="5C996DD1"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The Greater Boston Food Bank. Hunger in Eastern Massachusetts 2014. Available at: </w:t>
      </w:r>
      <w:hyperlink r:id="rId14">
        <w:r w:rsidRPr="00FE4FD3">
          <w:rPr>
            <w:rFonts w:eastAsia="Calibri" w:cstheme="minorHAnsi"/>
          </w:rPr>
          <w:t>http://gbfb.org/wp-content/uploads/2016/10/hunger-eastern-ma-2014.pdf</w:t>
        </w:r>
      </w:hyperlink>
      <w:r w:rsidRPr="00FE4FD3">
        <w:rPr>
          <w:rFonts w:eastAsia="Calibri" w:cstheme="minorHAnsi"/>
        </w:rPr>
        <w:t xml:space="preserve">. Accessed June 22, 2017. </w:t>
      </w:r>
    </w:p>
  </w:endnote>
  <w:endnote w:id="32">
    <w:p w14:paraId="0516E044" w14:textId="2D8ABBAB"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Warburton, Darren ER, Crystal Whitney Nicol, and Shannon SD Bredin. Health benefits of physical activity: the evidence. </w:t>
      </w:r>
      <w:r w:rsidRPr="00FE4FD3">
        <w:rPr>
          <w:rFonts w:eastAsia="Calibri" w:cstheme="minorHAnsi"/>
          <w:i/>
        </w:rPr>
        <w:t>Canadian medical association journal.</w:t>
      </w:r>
      <w:r w:rsidRPr="00FE4FD3">
        <w:rPr>
          <w:rFonts w:eastAsia="Calibri" w:cstheme="minorHAnsi"/>
        </w:rPr>
        <w:t xml:space="preserve"> 2006: 801-809.</w:t>
      </w:r>
    </w:p>
  </w:endnote>
  <w:endnote w:id="33">
    <w:p w14:paraId="59A6556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highlight w:val="white"/>
        </w:rPr>
        <w:t>Carlson, Susan A., et al. Inadequate physical activity and health care expenditures in the United States. </w:t>
      </w:r>
      <w:r w:rsidRPr="00FE4FD3">
        <w:rPr>
          <w:rFonts w:eastAsia="Calibri" w:cstheme="minorHAnsi"/>
          <w:i/>
          <w:sz w:val="22"/>
          <w:szCs w:val="22"/>
        </w:rPr>
        <w:t>Progress in cardiovascular diseases</w:t>
      </w:r>
      <w:r w:rsidRPr="00FE4FD3">
        <w:rPr>
          <w:rFonts w:eastAsia="Calibri" w:cstheme="minorHAnsi"/>
          <w:sz w:val="22"/>
          <w:szCs w:val="22"/>
        </w:rPr>
        <w:t>. 2015: 315-323.</w:t>
      </w:r>
    </w:p>
  </w:endnote>
  <w:endnote w:id="34">
    <w:p w14:paraId="5D278CA3"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 xml:space="preserve">Wilson-Frederick, Shondelle M., et al. Examination of race disparities in physical inactivity among adults of similar social context. </w:t>
      </w:r>
      <w:r w:rsidRPr="00FE4FD3">
        <w:rPr>
          <w:rFonts w:eastAsia="Calibri" w:cstheme="minorHAnsi"/>
          <w:i/>
        </w:rPr>
        <w:t>Ethnicity &amp; disease</w:t>
      </w:r>
      <w:r w:rsidRPr="00FE4FD3">
        <w:rPr>
          <w:rFonts w:eastAsia="Calibri" w:cstheme="minorHAnsi"/>
        </w:rPr>
        <w:t>. 2014: 363.</w:t>
      </w:r>
    </w:p>
  </w:endnote>
  <w:endnote w:id="35">
    <w:p w14:paraId="514B2DD8" w14:textId="77777777"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 xml:space="preserve">Li, Kelin, and Ming Wen. Racial and ethnic disparities in leisure-time physical activity in California: Patterns and mechanisms. </w:t>
      </w:r>
      <w:r w:rsidRPr="00FE4FD3">
        <w:rPr>
          <w:rFonts w:eastAsia="Calibri" w:cstheme="minorHAnsi"/>
          <w:i/>
          <w:highlight w:val="white"/>
        </w:rPr>
        <w:t>Race and social problems.</w:t>
      </w:r>
      <w:r w:rsidRPr="00FE4FD3">
        <w:rPr>
          <w:rFonts w:eastAsia="Calibri" w:cstheme="minorHAnsi"/>
          <w:highlight w:val="white"/>
        </w:rPr>
        <w:t xml:space="preserve"> 2013: 147-156.</w:t>
      </w:r>
    </w:p>
  </w:endnote>
  <w:endnote w:id="36">
    <w:p w14:paraId="4C2A8F22" w14:textId="515088F0"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Centers for Disease Control and Prevention. 2008 Physical Activity Guidelines for Americans. Available at: </w:t>
      </w:r>
      <w:hyperlink r:id="rId15">
        <w:r w:rsidRPr="00FE4FD3">
          <w:rPr>
            <w:rFonts w:eastAsia="Calibri" w:cstheme="minorHAnsi"/>
          </w:rPr>
          <w:t>https://www.cdc.gov/physicalactivity/basics/index.htm</w:t>
        </w:r>
      </w:hyperlink>
      <w:r w:rsidRPr="00FE4FD3">
        <w:rPr>
          <w:rFonts w:eastAsia="Calibri" w:cstheme="minorHAnsi"/>
        </w:rPr>
        <w:t>. Accessed on June 22, 2017.</w:t>
      </w:r>
    </w:p>
  </w:endnote>
  <w:endnote w:id="37">
    <w:p w14:paraId="17C1F920" w14:textId="26A5D4A2"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Durand CP, Andalib M, Dunton GF, Wolch J, Pentz MA. A Systematic Review of Built Environment Factors Related to Physical Activity and Obesity Risk: Implications for Smart Growth Urban Planning. Obes Rev. 2011:12(501).</w:t>
      </w:r>
    </w:p>
  </w:endnote>
  <w:endnote w:id="38">
    <w:p w14:paraId="077EF813" w14:textId="430F433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American Planning Association. (2007.) “How Cities Use Parks to Improve Public Health.” Available at: https://www.planning.org/cityparks/briefingpapers/physicalactivity.htm. Accessed July 17, 2017.</w:t>
      </w:r>
    </w:p>
  </w:endnote>
  <w:endnote w:id="39">
    <w:p w14:paraId="2CFFB444" w14:textId="77777777"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 xml:space="preserve">Frank, Lawrence D., et al. Linking objectively measured physical activity with objectively measured urban form: findings from SMARTRAQ. </w:t>
      </w:r>
      <w:r w:rsidRPr="00FE4FD3">
        <w:rPr>
          <w:rFonts w:eastAsia="Calibri" w:cstheme="minorHAnsi"/>
          <w:i/>
          <w:highlight w:val="white"/>
        </w:rPr>
        <w:t>American journal of preventive medicine</w:t>
      </w:r>
      <w:r w:rsidRPr="00FE4FD3">
        <w:rPr>
          <w:rFonts w:eastAsia="Calibri" w:cstheme="minorHAnsi"/>
          <w:highlight w:val="white"/>
        </w:rPr>
        <w:t xml:space="preserve"> 2005: 117-125.</w:t>
      </w:r>
    </w:p>
  </w:endnote>
  <w:endnote w:id="40">
    <w:p w14:paraId="68B3537E"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 xml:space="preserve">Sallis, James F., and Karen Glanz. </w:t>
      </w:r>
      <w:r w:rsidRPr="00FE4FD3">
        <w:rPr>
          <w:rFonts w:eastAsia="Calibri" w:cstheme="minorHAnsi"/>
          <w:i/>
          <w:sz w:val="22"/>
          <w:szCs w:val="22"/>
        </w:rPr>
        <w:t>Physical activity and food environments: solutions to the obesity epidemic</w:t>
      </w:r>
      <w:r w:rsidRPr="00FE4FD3">
        <w:rPr>
          <w:rFonts w:eastAsia="Calibri" w:cstheme="minorHAnsi"/>
          <w:sz w:val="22"/>
          <w:szCs w:val="22"/>
        </w:rPr>
        <w:t>. Milbank Quarterly 2009: 123-154.</w:t>
      </w:r>
    </w:p>
  </w:endnote>
  <w:endnote w:id="41">
    <w:p w14:paraId="4296EADB"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de Nazelle A, Nieuwenhuijsen MJ, Antó JM, et al. Improving health through policies that promote active travel: a review of evidence to support integrated health impact assessment. Environ Int. 2011; 37(4):766-77.</w:t>
      </w:r>
    </w:p>
  </w:endnote>
  <w:endnote w:id="42">
    <w:p w14:paraId="32BCA47B" w14:textId="77777777" w:rsidR="0079760B" w:rsidRPr="00FE4FD3" w:rsidRDefault="0079760B" w:rsidP="00FE4FD3">
      <w:pPr>
        <w:spacing w:before="0" w:after="0"/>
        <w:ind w:right="-360"/>
        <w:jc w:val="left"/>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shd w:val="clear" w:color="auto" w:fill="FFFFFF"/>
        </w:rPr>
        <w:t xml:space="preserve">Frank, Lawrence D., Thomas L. Schmid, James F. Sallis, James Chapman, and Brian E. Saelens. Linking objectively measured physical activity with objectively measured urban form: findings from SMARTRAQ. </w:t>
      </w:r>
      <w:r w:rsidRPr="00FE4FD3">
        <w:rPr>
          <w:rFonts w:eastAsia="Times New Roman" w:cstheme="minorHAnsi"/>
          <w:i/>
          <w:shd w:val="clear" w:color="auto" w:fill="FFFFFF"/>
        </w:rPr>
        <w:t>American journal of preventive medicine</w:t>
      </w:r>
      <w:r w:rsidRPr="00FE4FD3">
        <w:rPr>
          <w:rFonts w:eastAsia="Times New Roman" w:cstheme="minorHAnsi"/>
          <w:shd w:val="clear" w:color="auto" w:fill="FFFFFF"/>
        </w:rPr>
        <w:t xml:space="preserve"> 2005: 117-125.</w:t>
      </w:r>
    </w:p>
  </w:endnote>
  <w:endnote w:id="43">
    <w:p w14:paraId="09FEE31F" w14:textId="113946E8"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Reynolds, Conor, et al. Active Transportation in Urban Areas: Exploring Health Benefits and Risks. National Collaborating Centre for Environmental Health. Available at: </w:t>
      </w:r>
      <w:hyperlink r:id="rId16">
        <w:r w:rsidRPr="00FE4FD3">
          <w:rPr>
            <w:rFonts w:eastAsia="Calibri" w:cstheme="minorHAnsi"/>
          </w:rPr>
          <w:t>http://www.ncceh.ca/sites/default/files/Active_Transportation_in_Urban_Areas_June_2010.pdf</w:t>
        </w:r>
      </w:hyperlink>
      <w:r w:rsidRPr="00FE4FD3">
        <w:rPr>
          <w:rFonts w:eastAsia="Calibri" w:cstheme="minorHAnsi"/>
        </w:rPr>
        <w:t>. Accessed on June 22, 2017.</w:t>
      </w:r>
    </w:p>
  </w:endnote>
  <w:endnote w:id="44">
    <w:p w14:paraId="125BC6F9"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Parks, S. E., Robyn A. Housemann, and Ross C. Brownson. Differential correlates of physical activity in urban and rural adults of various socioeconomic backgrounds in the United States. </w:t>
      </w:r>
      <w:r w:rsidRPr="00FE4FD3">
        <w:rPr>
          <w:rFonts w:eastAsia="Calibri" w:cstheme="minorHAnsi"/>
          <w:i/>
          <w:highlight w:val="white"/>
        </w:rPr>
        <w:t>Journal of Epidemiology &amp; Community Health</w:t>
      </w:r>
      <w:r w:rsidRPr="00FE4FD3">
        <w:rPr>
          <w:rFonts w:eastAsia="Calibri" w:cstheme="minorHAnsi"/>
          <w:highlight w:val="white"/>
        </w:rPr>
        <w:t> 2003: 29-35.</w:t>
      </w:r>
    </w:p>
  </w:endnote>
  <w:endnote w:id="45">
    <w:p w14:paraId="65ED0676" w14:textId="77777777"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 xml:space="preserve">Gordon-Larsen, Penny, et al. Inequality in the built environment underlies key health disparities in physical activity and obesity. </w:t>
      </w:r>
      <w:r w:rsidRPr="00FE4FD3">
        <w:rPr>
          <w:rFonts w:eastAsia="Calibri" w:cstheme="minorHAnsi"/>
          <w:i/>
          <w:highlight w:val="white"/>
        </w:rPr>
        <w:t>Pediatrics</w:t>
      </w:r>
      <w:r w:rsidRPr="00FE4FD3">
        <w:rPr>
          <w:rFonts w:eastAsia="Calibri" w:cstheme="minorHAnsi"/>
          <w:highlight w:val="white"/>
        </w:rPr>
        <w:t xml:space="preserve"> 2006: 417-424.</w:t>
      </w:r>
    </w:p>
  </w:endnote>
  <w:endnote w:id="46">
    <w:p w14:paraId="511DCC0F" w14:textId="77777777" w:rsidR="0079760B" w:rsidRPr="00FE4FD3" w:rsidRDefault="0079760B" w:rsidP="00FE4FD3">
      <w:pPr>
        <w:spacing w:before="0" w:after="0"/>
        <w:ind w:right="-360"/>
        <w:jc w:val="left"/>
        <w:rPr>
          <w:rFonts w:eastAsia="Calibri" w:cstheme="minorHAnsi"/>
          <w:highlight w:val="white"/>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Pray, Leslie, ed. </w:t>
      </w:r>
      <w:r w:rsidRPr="00FE4FD3">
        <w:rPr>
          <w:rFonts w:eastAsia="Calibri" w:cstheme="minorHAnsi"/>
          <w:i/>
          <w:highlight w:val="white"/>
        </w:rPr>
        <w:t>Physical Activity: Moving Toward Obesity Solutions: Workshop Summary</w:t>
      </w:r>
      <w:r w:rsidRPr="00FE4FD3">
        <w:rPr>
          <w:rFonts w:eastAsia="Calibri" w:cstheme="minorHAnsi"/>
          <w:highlight w:val="white"/>
        </w:rPr>
        <w:t>. National Academies Press. 2015.</w:t>
      </w:r>
    </w:p>
  </w:endnote>
  <w:endnote w:id="47">
    <w:p w14:paraId="7F2A4A90" w14:textId="49063ED5" w:rsidR="0079760B" w:rsidRPr="00FE4FD3" w:rsidRDefault="0079760B" w:rsidP="00FE4FD3">
      <w:pPr>
        <w:shd w:val="clear" w:color="auto" w:fill="FFFFFF"/>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highlight w:val="white"/>
        </w:rPr>
        <w:t xml:space="preserve">McGinnis, J.M. </w:t>
      </w:r>
      <w:r w:rsidRPr="00FE4FD3">
        <w:rPr>
          <w:rFonts w:eastAsia="Calibri" w:cstheme="minorHAnsi"/>
          <w:i/>
        </w:rPr>
        <w:t>Actual causes of death, 1990–2010</w:t>
      </w:r>
      <w:r w:rsidRPr="00FE4FD3">
        <w:rPr>
          <w:rFonts w:eastAsia="Calibri" w:cstheme="minorHAnsi"/>
        </w:rPr>
        <w:t xml:space="preserve">. Presentation at the Workshop on Determinants of Premature Mortality, September 18, National Research Council, Washington, DC. </w:t>
      </w:r>
      <w:r w:rsidRPr="00FE4FD3">
        <w:rPr>
          <w:rFonts w:eastAsia="Calibri" w:cstheme="minorHAnsi"/>
          <w:highlight w:val="white"/>
        </w:rPr>
        <w:t>2013</w:t>
      </w:r>
      <w:r w:rsidRPr="00FE4FD3">
        <w:rPr>
          <w:rFonts w:eastAsia="Calibri" w:cstheme="minorHAnsi"/>
        </w:rPr>
        <w:t>.</w:t>
      </w:r>
    </w:p>
  </w:endnote>
  <w:endnote w:id="48">
    <w:p w14:paraId="147B84D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Larsen BA, Pekmezi D, Marquez B, Benitez TJ, Marcus BH. Physical activity in Latinas: social and environmental influences. </w:t>
      </w:r>
      <w:r w:rsidRPr="00FE4FD3">
        <w:rPr>
          <w:rFonts w:cstheme="minorHAnsi"/>
          <w:i/>
          <w:iCs/>
          <w:sz w:val="22"/>
          <w:szCs w:val="22"/>
          <w:shd w:val="clear" w:color="auto" w:fill="FFFFFF"/>
        </w:rPr>
        <w:t>Women’s health (London, England)</w:t>
      </w:r>
      <w:r w:rsidRPr="00FE4FD3">
        <w:rPr>
          <w:rFonts w:cstheme="minorHAnsi"/>
          <w:sz w:val="22"/>
          <w:szCs w:val="22"/>
          <w:shd w:val="clear" w:color="auto" w:fill="FFFFFF"/>
        </w:rPr>
        <w:t>. 2013;9(2):10.2217/whe.13.9. doi:10.2217/whe.13.9.</w:t>
      </w:r>
    </w:p>
  </w:endnote>
  <w:endnote w:id="49">
    <w:p w14:paraId="33F8288F" w14:textId="1E855F69"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MA YRBS Report 2015. Available at: </w:t>
      </w:r>
      <w:hyperlink r:id="rId17" w:history="1">
        <w:r w:rsidRPr="00FE4FD3">
          <w:rPr>
            <w:rStyle w:val="Hyperlink"/>
            <w:color w:val="auto"/>
            <w:sz w:val="22"/>
            <w:szCs w:val="22"/>
          </w:rPr>
          <w:t>http://www.mass.gov/eohhs/docs/dph/behavioral-risk/youth-health-risk-report-2015.pdf</w:t>
        </w:r>
      </w:hyperlink>
      <w:r w:rsidRPr="00FE4FD3">
        <w:rPr>
          <w:rFonts w:cstheme="minorHAnsi"/>
          <w:sz w:val="22"/>
          <w:szCs w:val="22"/>
        </w:rPr>
        <w:t xml:space="preserve">. Accessed </w:t>
      </w:r>
      <w:r w:rsidRPr="00FE4FD3">
        <w:rPr>
          <w:rFonts w:eastAsia="Calibri" w:cstheme="minorHAnsi"/>
          <w:sz w:val="22"/>
          <w:szCs w:val="22"/>
        </w:rPr>
        <w:t>June 12, 2010.</w:t>
      </w:r>
    </w:p>
  </w:endnote>
  <w:endnote w:id="50">
    <w:p w14:paraId="584ECF5F" w14:textId="5272475C"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Centers for Disease Control and Prevention, "Best Practices for Comprehensive Tobacco Control - 2014," US Department of Health and Human Services, Centers for Disease Control and Prevention, National Center for Chronic Disease Prevention and Health Promotion, Office on Smoking and Health, Atlanta, 2014.</w:t>
      </w:r>
    </w:p>
  </w:endnote>
  <w:endnote w:id="51">
    <w:p w14:paraId="627656B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 xml:space="preserve">The Health Consequences of Smoking—50 Years of Progress: A Report of the Surgeon General </w:t>
      </w:r>
      <w:hyperlink r:id="rId18" w:history="1">
        <w:r w:rsidRPr="00FE4FD3">
          <w:rPr>
            <w:rStyle w:val="Hyperlink"/>
            <w:rFonts w:eastAsia="Calibri"/>
            <w:color w:val="auto"/>
            <w:sz w:val="22"/>
            <w:szCs w:val="22"/>
          </w:rPr>
          <w:t>https://www.surgeongeneral.gov/library/reports/50-years-of-progress/exec-summary.pdf</w:t>
        </w:r>
      </w:hyperlink>
      <w:r w:rsidRPr="00FE4FD3">
        <w:rPr>
          <w:rFonts w:eastAsia="Calibri" w:cstheme="minorHAnsi"/>
          <w:sz w:val="22"/>
          <w:szCs w:val="22"/>
        </w:rPr>
        <w:t>, accessed July 21, 2017.</w:t>
      </w:r>
    </w:p>
  </w:endnote>
  <w:endnote w:id="52">
    <w:p w14:paraId="70E87C58" w14:textId="1B31A3A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 xml:space="preserve">Benowitz, NL. </w:t>
      </w:r>
      <w:r w:rsidRPr="00FE4FD3">
        <w:rPr>
          <w:rFonts w:eastAsia="Calibri" w:cstheme="minorHAnsi"/>
          <w:i/>
          <w:sz w:val="22"/>
          <w:szCs w:val="22"/>
        </w:rPr>
        <w:t>Nicotine Addiction</w:t>
      </w:r>
      <w:r w:rsidRPr="00FE4FD3">
        <w:rPr>
          <w:rFonts w:eastAsia="Calibri" w:cstheme="minorHAnsi"/>
          <w:sz w:val="22"/>
          <w:szCs w:val="22"/>
        </w:rPr>
        <w:t xml:space="preserve">. N Engl J Med 2010; 362:2295-2303. June 17, 2010. Available at: </w:t>
      </w:r>
      <w:hyperlink r:id="rId19">
        <w:r w:rsidRPr="00FE4FD3">
          <w:rPr>
            <w:rFonts w:eastAsia="Calibri" w:cstheme="minorHAnsi"/>
            <w:sz w:val="22"/>
            <w:szCs w:val="22"/>
          </w:rPr>
          <w:t>http://www.nejm.org/doi/full/10.1056/NEJMra0809890</w:t>
        </w:r>
      </w:hyperlink>
      <w:r w:rsidRPr="00FE4FD3">
        <w:rPr>
          <w:rFonts w:eastAsia="Calibri" w:cstheme="minorHAnsi"/>
          <w:sz w:val="22"/>
          <w:szCs w:val="22"/>
        </w:rPr>
        <w:t xml:space="preserve">. </w:t>
      </w:r>
    </w:p>
  </w:endnote>
  <w:endnote w:id="53">
    <w:p w14:paraId="21F73714" w14:textId="3DD907BB"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"Best Practices for Comprehensive Tobacco Control - 2014," US Department of Health and Human Services, Centers for Disease Control and Prevention, National Center for Chronic Disease Prevention and Health Promotion, Office on Smoking and Health, Atlanta, 2014.</w:t>
      </w:r>
    </w:p>
  </w:endnote>
  <w:endnote w:id="54">
    <w:p w14:paraId="2408BE87" w14:textId="1753FDBF"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“The Toll of Tobacco in Massachusetts.” Campaign for Tobacco-free Kids. Updated March 1, 2017. Available at: </w:t>
      </w:r>
      <w:hyperlink r:id="rId20">
        <w:r w:rsidRPr="00FE4FD3">
          <w:rPr>
            <w:rFonts w:eastAsia="Calibri" w:cstheme="minorHAnsi"/>
          </w:rPr>
          <w:t>https://www.tobaccofreekids.org/facts_issues/toll_us/massachusetts</w:t>
        </w:r>
      </w:hyperlink>
      <w:r w:rsidRPr="00FE4FD3">
        <w:rPr>
          <w:rFonts w:eastAsia="Calibri" w:cstheme="minorHAnsi"/>
        </w:rPr>
        <w:t>. Accessed June 12, 2017.</w:t>
      </w:r>
    </w:p>
  </w:endnote>
  <w:endnote w:id="55">
    <w:p w14:paraId="7E8206B9" w14:textId="784887C2"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"Best Practices for Comprehensive Tobacco Control - 2014," US Department of Health and Human Services, Centers for Disease Control and Prevention, National Center for Chronic Disease Prevention and Health Promotion, Office on Smoking and Health, Atlanta, 2014.</w:t>
      </w:r>
    </w:p>
  </w:endnote>
  <w:endnote w:id="56">
    <w:p w14:paraId="5D48E490" w14:textId="05BA196C"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Massachusetts Behavioral Risk Factor Surveillance System, 2015.</w:t>
      </w:r>
    </w:p>
  </w:endnote>
  <w:endnote w:id="57">
    <w:p w14:paraId="50753DCE" w14:textId="4C2B9AD0"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Massachusetts Adults: Who Smokes Factsheet”. Massachusetts Tobacco Cessation and Prevention Program. Available at: </w:t>
      </w:r>
      <w:hyperlink r:id="rId21" w:history="1">
        <w:r w:rsidRPr="00FE4FD3">
          <w:rPr>
            <w:rStyle w:val="Hyperlink"/>
            <w:color w:val="auto"/>
            <w:sz w:val="22"/>
            <w:szCs w:val="22"/>
          </w:rPr>
          <w:t>http://www.mass.gov/eohhs/gov/departments/dph/programs/mtcp/data-about-tobacco-use-in-mass-reports-and-fact-sheets.html</w:t>
        </w:r>
      </w:hyperlink>
      <w:r w:rsidRPr="00FE4FD3">
        <w:rPr>
          <w:rFonts w:cstheme="minorHAnsi"/>
          <w:sz w:val="22"/>
          <w:szCs w:val="22"/>
        </w:rPr>
        <w:t>. Accessed July 17, 2017.</w:t>
      </w:r>
    </w:p>
  </w:endnote>
  <w:endnote w:id="58">
    <w:p w14:paraId="3CD0EB57" w14:textId="0147799C"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2007 Massachusetts Behavioral Risk Factor Surveillance System.</w:t>
      </w:r>
    </w:p>
  </w:endnote>
  <w:endnote w:id="59">
    <w:p w14:paraId="35E14AD6" w14:textId="6151CEBC"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"Best Practices for Comprehensive Tobacco Control - 2014," US Department of Health and Human Services, Centers for Disease Control and Prevention, National Center for Chronic Disease Prevention and Health Promotion, Office on Smoking and Health, Atlanta, 2014.</w:t>
      </w:r>
    </w:p>
  </w:endnote>
  <w:endnote w:id="60">
    <w:p w14:paraId="1F00D29B" w14:textId="754BBB80"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Campaign for Tobacco Free Kids, Electronic Cigarettes and Youth (2015)</w:t>
      </w:r>
      <w:r w:rsidRPr="00FE4FD3">
        <w:rPr>
          <w:rFonts w:eastAsia="Calibri" w:cstheme="minorHAnsi"/>
          <w:i/>
        </w:rPr>
        <w:t xml:space="preserve">. </w:t>
      </w:r>
      <w:r w:rsidRPr="00FE4FD3">
        <w:rPr>
          <w:rFonts w:eastAsia="Calibri" w:cstheme="minorHAnsi"/>
        </w:rPr>
        <w:t>Available at</w:t>
      </w:r>
      <w:r w:rsidRPr="00FE4FD3">
        <w:rPr>
          <w:rFonts w:cstheme="minorHAnsi"/>
        </w:rPr>
        <w:t xml:space="preserve"> </w:t>
      </w:r>
      <w:hyperlink r:id="rId22">
        <w:r w:rsidRPr="00FE4FD3">
          <w:rPr>
            <w:rFonts w:eastAsia="Calibri" w:cstheme="minorHAnsi"/>
          </w:rPr>
          <w:t>https://www.tobaccofreekids.org/research/factsheets/pdf/0382.pdf</w:t>
        </w:r>
      </w:hyperlink>
      <w:r w:rsidRPr="00FE4FD3">
        <w:rPr>
          <w:rFonts w:eastAsia="Calibri" w:cstheme="minorHAnsi"/>
        </w:rPr>
        <w:t>. Accessed July 17, 2017.</w:t>
      </w:r>
    </w:p>
  </w:endnote>
  <w:endnote w:id="61">
    <w:p w14:paraId="7D9C3622" w14:textId="7FBD3DEF"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Electronic Nicotine Delivery Produce Use Among High School Youth in Massachusetts”. Massachusetts Tobacco Cessation &amp; Prevention Program. Available at:</w:t>
      </w:r>
    </w:p>
    <w:p w14:paraId="6CD5AE89" w14:textId="77777777" w:rsidR="0079760B" w:rsidRPr="00FE4FD3" w:rsidRDefault="00543D07" w:rsidP="00FE4FD3">
      <w:pPr>
        <w:pStyle w:val="EndnoteText"/>
        <w:ind w:right="-360"/>
        <w:jc w:val="left"/>
        <w:rPr>
          <w:rFonts w:cstheme="minorHAnsi"/>
          <w:sz w:val="22"/>
          <w:szCs w:val="22"/>
        </w:rPr>
      </w:pPr>
      <w:hyperlink r:id="rId23" w:history="1">
        <w:r w:rsidR="0079760B" w:rsidRPr="00FE4FD3">
          <w:rPr>
            <w:rStyle w:val="Hyperlink"/>
            <w:color w:val="auto"/>
            <w:sz w:val="22"/>
            <w:szCs w:val="22"/>
          </w:rPr>
          <w:t>http://www.mass.gov/eohhs/docs/dph/tobacco-control/end-use-hgh-school.pdf</w:t>
        </w:r>
      </w:hyperlink>
      <w:r w:rsidR="0079760B" w:rsidRPr="00FE4FD3">
        <w:rPr>
          <w:rFonts w:cstheme="minorHAnsi"/>
          <w:sz w:val="22"/>
          <w:szCs w:val="22"/>
        </w:rPr>
        <w:t xml:space="preserve">  Accessed July 12, 2017.</w:t>
      </w:r>
    </w:p>
  </w:endnote>
  <w:endnote w:id="62">
    <w:p w14:paraId="3845339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Pampel FC, Krueger PM, Denney JT. Socioeconomic Disparities in Health Behaviors. </w:t>
      </w:r>
      <w:r w:rsidRPr="00FE4FD3">
        <w:rPr>
          <w:rFonts w:cstheme="minorHAnsi"/>
          <w:i/>
          <w:iCs/>
          <w:sz w:val="22"/>
          <w:szCs w:val="22"/>
          <w:shd w:val="clear" w:color="auto" w:fill="FFFFFF"/>
        </w:rPr>
        <w:t>Annual review of sociology</w:t>
      </w:r>
      <w:r w:rsidRPr="00FE4FD3">
        <w:rPr>
          <w:rFonts w:cstheme="minorHAnsi"/>
          <w:sz w:val="22"/>
          <w:szCs w:val="22"/>
          <w:shd w:val="clear" w:color="auto" w:fill="FFFFFF"/>
        </w:rPr>
        <w:t>. 2010;36:349-370. doi:10.1146/annurev.soc.012809.102529.</w:t>
      </w:r>
    </w:p>
  </w:endnote>
  <w:endnote w:id="63">
    <w:p w14:paraId="51D7DF0C" w14:textId="0C898EF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Style w:val="element-citation"/>
          <w:rFonts w:cstheme="minorHAnsi"/>
          <w:sz w:val="22"/>
          <w:szCs w:val="22"/>
        </w:rPr>
        <w:t>Link BG, Phelan J. Social conditions as fundamental causes of disease. </w:t>
      </w:r>
      <w:r w:rsidRPr="00FE4FD3">
        <w:rPr>
          <w:rStyle w:val="ref-journal"/>
          <w:rFonts w:cstheme="minorHAnsi"/>
          <w:sz w:val="22"/>
          <w:szCs w:val="22"/>
        </w:rPr>
        <w:t>J. Health Soc. Behav. </w:t>
      </w:r>
      <w:r w:rsidRPr="00FE4FD3">
        <w:rPr>
          <w:rStyle w:val="element-citation"/>
          <w:rFonts w:cstheme="minorHAnsi"/>
          <w:sz w:val="22"/>
          <w:szCs w:val="22"/>
        </w:rPr>
        <w:t>1995:80–94. Extra Issue.</w:t>
      </w:r>
    </w:p>
  </w:endnote>
  <w:endnote w:id="64">
    <w:p w14:paraId="6194B0FD" w14:textId="31FB2EE6"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Hiscock, R., Bauld, L., Amos, A., Fidler, J. A., &amp; Munafò, M. (2012). Socioeconomic status and smoking: a review. Annals of the New York Academy.</w:t>
      </w:r>
    </w:p>
  </w:endnote>
  <w:endnote w:id="65">
    <w:p w14:paraId="318F74D8" w14:textId="6BB50932"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“Secondhand Smoke Exposure”. Massachusetts Tobacco Cessation &amp; Prevention Program. Massachusetts Department of Public Health. Available at: </w:t>
      </w:r>
      <w:hyperlink r:id="rId24" w:history="1">
        <w:r w:rsidRPr="00FE4FD3">
          <w:rPr>
            <w:rStyle w:val="Hyperlink"/>
            <w:color w:val="auto"/>
            <w:sz w:val="22"/>
            <w:szCs w:val="22"/>
          </w:rPr>
          <w:t>http://www.mass.gov/eohhs/gov/departments/dph/programs/mtcp/secondhand-smoke/secondhand-smoke.html</w:t>
        </w:r>
      </w:hyperlink>
      <w:r w:rsidRPr="00FE4FD3">
        <w:rPr>
          <w:rFonts w:cstheme="minorHAnsi"/>
          <w:sz w:val="22"/>
          <w:szCs w:val="22"/>
        </w:rPr>
        <w:t>.  Accessed June 12, 2017.</w:t>
      </w:r>
    </w:p>
  </w:endnote>
  <w:endnote w:id="66">
    <w:p w14:paraId="6782442E" w14:textId="3205EFF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“Non-smoking adults exposed to secondhand smoke” Massachusetts Fact Sheet. Massachusetts Department of Public Health 2015. Available at: </w:t>
      </w:r>
      <w:hyperlink r:id="rId25" w:history="1">
        <w:r w:rsidRPr="00FE4FD3">
          <w:rPr>
            <w:rStyle w:val="Hyperlink"/>
            <w:color w:val="auto"/>
            <w:sz w:val="22"/>
            <w:szCs w:val="22"/>
          </w:rPr>
          <w:t>http://www.mass.gov/eohhs/docs/dph/tobacco-control/adults-exposed-to-secondhand-smoke.pdf</w:t>
        </w:r>
      </w:hyperlink>
      <w:r w:rsidRPr="00FE4FD3">
        <w:rPr>
          <w:rStyle w:val="Hyperlink"/>
          <w:color w:val="auto"/>
          <w:sz w:val="22"/>
          <w:szCs w:val="22"/>
        </w:rPr>
        <w:t>. Accessed June 12, 2017.</w:t>
      </w:r>
    </w:p>
  </w:endnote>
  <w:endnote w:id="67">
    <w:p w14:paraId="0B7E7E0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“Secondhand Smoke at Home” Factsheet. Massachusetts Tobacco Cessation &amp; Prevention Program. Available online at </w:t>
      </w:r>
      <w:hyperlink r:id="rId26" w:history="1">
        <w:r w:rsidRPr="00FE4FD3">
          <w:rPr>
            <w:rStyle w:val="Hyperlink"/>
            <w:color w:val="auto"/>
            <w:sz w:val="22"/>
            <w:szCs w:val="22"/>
          </w:rPr>
          <w:t>http://www.mass.gov/eohhs/docs/dph/tobacco-control/secondhand-smoke-at-home.pdf</w:t>
        </w:r>
      </w:hyperlink>
    </w:p>
  </w:endnote>
  <w:endnote w:id="68">
    <w:p w14:paraId="2F3F95AC" w14:textId="0F9B6252"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“Non-smoking adults exposed to secondhand smoke” Massachusetts Fact Sheet. Massachusetts Department of Public Health 2015. Available at: </w:t>
      </w:r>
      <w:hyperlink r:id="rId27" w:history="1">
        <w:r w:rsidRPr="00FE4FD3">
          <w:rPr>
            <w:rStyle w:val="Hyperlink"/>
            <w:color w:val="auto"/>
            <w:sz w:val="22"/>
            <w:szCs w:val="22"/>
          </w:rPr>
          <w:t>http://www.mass.gov/eohhs/docs/dph/tobacco-control/adults-exposed-to-secondhand-smoke.pdf</w:t>
        </w:r>
      </w:hyperlink>
      <w:r w:rsidRPr="00FE4FD3">
        <w:rPr>
          <w:rFonts w:cstheme="minorHAnsi"/>
          <w:sz w:val="22"/>
          <w:szCs w:val="22"/>
        </w:rPr>
        <w:t xml:space="preserve">. </w:t>
      </w:r>
      <w:r w:rsidRPr="00FE4FD3">
        <w:rPr>
          <w:rStyle w:val="Hyperlink"/>
          <w:color w:val="auto"/>
          <w:sz w:val="22"/>
          <w:szCs w:val="22"/>
        </w:rPr>
        <w:t>Accessed June 12, 2017.</w:t>
      </w:r>
    </w:p>
  </w:endnote>
  <w:endnote w:id="69">
    <w:p w14:paraId="355DA620" w14:textId="1E693EE5"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Adult Obesity Facts. Available at: </w:t>
      </w:r>
      <w:hyperlink r:id="rId28" w:history="1">
        <w:r w:rsidRPr="00FE4FD3">
          <w:rPr>
            <w:rStyle w:val="Hyperlink"/>
            <w:rFonts w:eastAsia="Calibri"/>
            <w:color w:val="auto"/>
          </w:rPr>
          <w:t>https://www.cdc.gov/obesity/data/adult.html</w:t>
        </w:r>
      </w:hyperlink>
      <w:r w:rsidRPr="00FE4FD3">
        <w:rPr>
          <w:rFonts w:eastAsia="Calibri" w:cstheme="minorHAnsi"/>
        </w:rPr>
        <w:t>.  Accessed July 20, 2017.</w:t>
      </w:r>
    </w:p>
  </w:endnote>
  <w:endnote w:id="70">
    <w:p w14:paraId="64BAEDC4"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[National Institutes for Health. Clinical Guidelines on the Identification, Evaluation, and Treatment of Overweight and Obesity in Adults (1998). Available at: </w:t>
      </w:r>
      <w:hyperlink r:id="rId29" w:history="1">
        <w:r w:rsidRPr="00FE4FD3">
          <w:rPr>
            <w:rStyle w:val="Hyperlink"/>
            <w:rFonts w:eastAsia="Calibri"/>
            <w:color w:val="auto"/>
          </w:rPr>
          <w:t>https://www.nhlbi.nih.gov/files/docs/guidelines/obesity_guidelines_archive.pdf</w:t>
        </w:r>
      </w:hyperlink>
      <w:r w:rsidRPr="00FE4FD3">
        <w:rPr>
          <w:rFonts w:eastAsia="Calibri" w:cstheme="minorHAnsi"/>
        </w:rPr>
        <w:t>.  Accessed July 20, 2017.</w:t>
      </w:r>
    </w:p>
  </w:endnote>
  <w:endnote w:id="71">
    <w:p w14:paraId="724077BA" w14:textId="690B0C5B"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Ibid</w:t>
      </w:r>
    </w:p>
  </w:endnote>
  <w:endnote w:id="72">
    <w:p w14:paraId="2E3E209E" w14:textId="604A3BA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May, Ashleigh et al. Centers for Disease Control and Prevention. Health Disparities and Inequalities Report: Obesity Supplement (2013). Available at: </w:t>
      </w:r>
      <w:hyperlink r:id="rId30" w:history="1">
        <w:r w:rsidRPr="00FE4FD3">
          <w:rPr>
            <w:rStyle w:val="Hyperlink"/>
            <w:rFonts w:eastAsia="Calibri"/>
            <w:color w:val="auto"/>
          </w:rPr>
          <w:t>https://www.cdc.gov/mmwr/preview/mmwrhtml/su6203a20.htm?s_cid=su6203a20_w</w:t>
        </w:r>
      </w:hyperlink>
      <w:r w:rsidRPr="00FE4FD3">
        <w:rPr>
          <w:rFonts w:eastAsia="Calibri" w:cstheme="minorHAnsi"/>
        </w:rPr>
        <w:t>. Accessed July 20, 2017.</w:t>
      </w:r>
    </w:p>
  </w:endnote>
  <w:endnote w:id="73">
    <w:p w14:paraId="20762597" w14:textId="2AF50E86"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Childhood Obesity Facts. Available at: </w:t>
      </w:r>
      <w:hyperlink r:id="rId31" w:history="1">
        <w:r w:rsidRPr="00FE4FD3">
          <w:rPr>
            <w:rStyle w:val="Hyperlink"/>
            <w:rFonts w:eastAsia="Calibri"/>
            <w:color w:val="auto"/>
            <w:shd w:val="clear" w:color="auto" w:fill="auto"/>
          </w:rPr>
          <w:t>https://www.cdc.gov/healthyschools/obesity/facts.htm. Accessed July 21</w:t>
        </w:r>
      </w:hyperlink>
      <w:r w:rsidRPr="00FE4FD3">
        <w:rPr>
          <w:rFonts w:eastAsia="Calibri" w:cstheme="minorHAnsi"/>
        </w:rPr>
        <w:t>, 2017.</w:t>
      </w:r>
    </w:p>
  </w:endnote>
  <w:endnote w:id="74">
    <w:p w14:paraId="6F8CE3AD"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May, Ashleigh et al. Centers for Disease Control and Prevention. Health Disparities and Inequalities Report: Obesity Supplement (2013). Available at: </w:t>
      </w:r>
      <w:hyperlink r:id="rId32" w:history="1">
        <w:r w:rsidRPr="00FE4FD3">
          <w:rPr>
            <w:rStyle w:val="Hyperlink"/>
            <w:rFonts w:eastAsia="Calibri"/>
            <w:color w:val="auto"/>
          </w:rPr>
          <w:t>https://www.cdc.gov/mmwr/preview/mmwrhtml/su6203a20.htm?s_cid=su6203a20_w</w:t>
        </w:r>
      </w:hyperlink>
      <w:r w:rsidRPr="00FE4FD3">
        <w:rPr>
          <w:rFonts w:eastAsia="Calibri" w:cstheme="minorHAnsi"/>
        </w:rPr>
        <w:t>.  Accessed July 20, 2017.</w:t>
      </w:r>
    </w:p>
  </w:endnote>
  <w:endnote w:id="75">
    <w:p w14:paraId="0B074B2D"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Pan L, Freedman DS, Sharma AJ, et al. Trends in Obesity Among Participants Aged 2–4 Years in the Special Supplemental Nutrition Program for Women, Infants, and Children — United States, 2000, 2004, 2010, 2014. MMWR Morb Mortal Wkly Rep 2016;65:1256–1260. DOI: </w:t>
      </w:r>
      <w:hyperlink r:id="rId33" w:history="1">
        <w:r w:rsidRPr="00FE4FD3">
          <w:rPr>
            <w:rStyle w:val="Hyperlink"/>
            <w:rFonts w:eastAsia="Calibri"/>
            <w:color w:val="auto"/>
          </w:rPr>
          <w:t>http://dx.doi.org/10.15585/mmwr.mm6545a2</w:t>
        </w:r>
      </w:hyperlink>
      <w:r w:rsidRPr="00FE4FD3">
        <w:rPr>
          <w:rFonts w:eastAsia="Calibri" w:cstheme="minorHAnsi"/>
        </w:rPr>
        <w:t xml:space="preserve">. </w:t>
      </w:r>
    </w:p>
  </w:endnote>
  <w:endnote w:id="76">
    <w:p w14:paraId="31DBC368" w14:textId="3F819C3E"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National Center for Chronic Disease Prevention and Health Promotion, Division of Nutrition, Physical Activity, and Obesity. Data, Trend and Maps [online], Years 2008, 2012. Available at: </w:t>
      </w:r>
      <w:hyperlink r:id="rId34" w:history="1">
        <w:r w:rsidRPr="00FE4FD3">
          <w:rPr>
            <w:rStyle w:val="Hyperlink"/>
            <w:rFonts w:eastAsia="Calibri"/>
            <w:color w:val="auto"/>
          </w:rPr>
          <w:t>https://www.cdc.gov/nccdphp/dnpao/data-trends-maps/index.html</w:t>
        </w:r>
      </w:hyperlink>
      <w:r w:rsidRPr="00FE4FD3">
        <w:rPr>
          <w:rFonts w:eastAsia="Calibri" w:cstheme="minorHAnsi"/>
        </w:rPr>
        <w:t xml:space="preserve">. </w:t>
      </w:r>
      <w:r w:rsidRPr="00FE4FD3">
        <w:rPr>
          <w:rStyle w:val="Hyperlink"/>
          <w:color w:val="auto"/>
        </w:rPr>
        <w:t>Accessed June 20, 2017.</w:t>
      </w:r>
    </w:p>
  </w:endnote>
  <w:endnote w:id="77">
    <w:p w14:paraId="56E44040"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Results from the Body Mass Index Screening in Massachusetts Public School Districts, 2015 (May, 2017).  </w:t>
      </w:r>
    </w:p>
  </w:endnote>
  <w:endnote w:id="78">
    <w:p w14:paraId="0D81BE6E" w14:textId="6451AAAB"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Li, W., Buszkiewicz, J. H., Leibowitz, R. B., Gapinski, M. A., Nasuti, L. J., &amp; Land, T. G. (2015). Declining Trends and Widening Disparities in Overweight and Obesity Prevalence Among Massachusetts Public School Districts, 2009–2014. American Journal of Public Health, e1–e7. https://doi.org/10.2105/AJPH.2015.302807.</w:t>
      </w:r>
    </w:p>
  </w:endnote>
  <w:endnote w:id="79">
    <w:p w14:paraId="45733A02" w14:textId="7794BE44"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Fast Stats: Heart Disease. Available at: https://www.cdc.gov/nchs/fastats/heart-disease.htm. Accessed June 20, 2017.</w:t>
      </w:r>
    </w:p>
  </w:endnote>
  <w:endnote w:id="80">
    <w:p w14:paraId="70853378" w14:textId="2D10444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Centers for Disease Control and Prevention. Heart Disease Facts. Available at: https://www.cdc.gov/heartdisease/facts.htm. Accessed June 29, 2017.</w:t>
      </w:r>
    </w:p>
  </w:endnote>
  <w:endnote w:id="81">
    <w:p w14:paraId="41146D24" w14:textId="383FFCF1"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Centers for Disease Control and Prevention. Stroke Facts. Available at: </w:t>
      </w:r>
      <w:hyperlink r:id="rId35" w:history="1">
        <w:r w:rsidRPr="00FE4FD3">
          <w:rPr>
            <w:rStyle w:val="Hyperlink"/>
            <w:rFonts w:eastAsia="Calibri"/>
            <w:color w:val="auto"/>
            <w:shd w:val="clear" w:color="auto" w:fill="auto"/>
          </w:rPr>
          <w:t>https://www.cdc.gov/stroke/facts.htm</w:t>
        </w:r>
      </w:hyperlink>
      <w:r w:rsidRPr="00FE4FD3">
        <w:rPr>
          <w:rFonts w:eastAsia="Calibri" w:cstheme="minorHAnsi"/>
        </w:rPr>
        <w:t>.  Accessed June 29, 2017.</w:t>
      </w:r>
    </w:p>
  </w:endnote>
  <w:endnote w:id="82">
    <w:p w14:paraId="47ABE34E" w14:textId="18C8DCEC"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Mendis, S. &amp; Banerjee, A. (2010) Cardiovascular disease: equity and social determinants.</w:t>
      </w:r>
    </w:p>
    <w:p w14:paraId="283C1063" w14:textId="77777777" w:rsidR="0079760B" w:rsidRPr="00FE4FD3" w:rsidRDefault="0079760B" w:rsidP="00FE4FD3">
      <w:pPr>
        <w:spacing w:before="0" w:after="0"/>
        <w:ind w:right="-360"/>
        <w:jc w:val="left"/>
        <w:rPr>
          <w:rFonts w:eastAsia="Calibri" w:cstheme="minorHAnsi"/>
        </w:rPr>
      </w:pPr>
      <w:r w:rsidRPr="00FE4FD3">
        <w:rPr>
          <w:rFonts w:eastAsia="Calibri" w:cstheme="minorHAnsi"/>
        </w:rPr>
        <w:t>World Health Organization: Equity, Social Determinants and Public Health Programmes, Chapter 3, pp. 31-40.</w:t>
      </w:r>
    </w:p>
  </w:endnote>
  <w:endnote w:id="83">
    <w:p w14:paraId="234D72C5" w14:textId="400AF073"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Ibid</w:t>
      </w:r>
    </w:p>
  </w:endnote>
  <w:endnote w:id="84">
    <w:p w14:paraId="6D38AA02"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Brownson, Ross C., et al. "Environmental and policy determinants of physical activity in the United States." American journal of public health 91.12 (2001): 1995-2003.</w:t>
      </w:r>
    </w:p>
  </w:endnote>
  <w:endnote w:id="85">
    <w:p w14:paraId="31DF02A4"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VanItallie, Theodore B. "Stress: a risk factor for serious illness." Metabolism 51.6 (2002): 40-45.</w:t>
      </w:r>
    </w:p>
  </w:endnote>
  <w:endnote w:id="86">
    <w:p w14:paraId="5375276B" w14:textId="1BA3043D"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American Medical Association. Health Threats From High Blood Pressure. Available at: http://www.heart.org/HEARTORG/Conditions/HighBloodPressure/LearnHowHBPHarmsYourHealth/Health-Threats-From-High-Blood-Pressure_UCM_002051_Article.jsp#.WVVP0esrKM8. Accessed June 29, 2017.</w:t>
      </w:r>
    </w:p>
  </w:endnote>
  <w:endnote w:id="87">
    <w:p w14:paraId="5076058B"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Center for Health Information and Analysis (2014). </w:t>
      </w:r>
      <w:r w:rsidRPr="00FE4FD3">
        <w:rPr>
          <w:rFonts w:eastAsia="Calibri" w:cstheme="minorHAnsi"/>
          <w:i/>
        </w:rPr>
        <w:t>Case Mix Hospitalization Data.</w:t>
      </w:r>
    </w:p>
  </w:endnote>
  <w:endnote w:id="88">
    <w:p w14:paraId="5ABF7EE2" w14:textId="7777777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Roux A, Merkin S, Arnett D, et al. Neighborhood of Residence and Incidence of Coronary Heart Disease. </w:t>
      </w:r>
      <w:r w:rsidRPr="00FE4FD3">
        <w:rPr>
          <w:rFonts w:eastAsia="Calibri" w:cstheme="minorHAnsi"/>
          <w:i/>
        </w:rPr>
        <w:t>New England Journal of Medicine.</w:t>
      </w:r>
      <w:r w:rsidRPr="00FE4FD3">
        <w:rPr>
          <w:rFonts w:eastAsia="Calibri" w:cstheme="minorHAnsi"/>
        </w:rPr>
        <w:t xml:space="preserve"> July 2001. 345:99-106.</w:t>
      </w:r>
    </w:p>
  </w:endnote>
  <w:endnote w:id="89">
    <w:p w14:paraId="7F7398B0" w14:textId="37192687"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Ostchega Y,  Hughes J,  Wright J,  McDowell M, Louis T. Are Demographic Characteristics, Health Care Access and Utilization, and Comorbid Conditions Associated With Hypertension Among US Adults? </w:t>
      </w:r>
      <w:r w:rsidRPr="00FE4FD3">
        <w:rPr>
          <w:rFonts w:eastAsia="Calibri" w:cstheme="minorHAnsi"/>
          <w:i/>
        </w:rPr>
        <w:t xml:space="preserve">American Journal of Hypertension. </w:t>
      </w:r>
      <w:r w:rsidRPr="00FE4FD3">
        <w:rPr>
          <w:rFonts w:eastAsia="Calibri" w:cstheme="minorHAnsi"/>
        </w:rPr>
        <w:t>February 2008. 21(2):159-165.</w:t>
      </w:r>
    </w:p>
  </w:endnote>
  <w:endnote w:id="90">
    <w:p w14:paraId="10B58A0E"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 for Health Information and Analysis (2014). </w:t>
      </w:r>
      <w:r w:rsidRPr="00FE4FD3">
        <w:rPr>
          <w:rFonts w:eastAsia="Calibri" w:cstheme="minorHAnsi"/>
          <w:i/>
        </w:rPr>
        <w:t>Case Mix Hospitalization Data.</w:t>
      </w:r>
    </w:p>
  </w:endnote>
  <w:endnote w:id="91">
    <w:p w14:paraId="1F7E0724"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Krumholz H, Parent E, Tu N. Readmission After Hospitalization for Congestive Heart Failure Among Medicare Beneficiaries. Archives of Internal Medicine. January 1997. 157(1):99-104.</w:t>
      </w:r>
    </w:p>
  </w:endnote>
  <w:endnote w:id="92">
    <w:p w14:paraId="40E4B191"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Heo S, Lennie T, Okoli C, Moser D. Quality of Life in Patients With Heart Failure: Ask the Patients. </w:t>
      </w:r>
      <w:r w:rsidRPr="00FE4FD3">
        <w:rPr>
          <w:rFonts w:eastAsia="Calibri" w:cstheme="minorHAnsi"/>
          <w:i/>
        </w:rPr>
        <w:t>Heart &amp; Lung: The Journal of Acute and Critical Care.</w:t>
      </w:r>
      <w:r w:rsidRPr="00FE4FD3">
        <w:rPr>
          <w:rFonts w:eastAsia="Calibri" w:cstheme="minorHAnsi"/>
        </w:rPr>
        <w:t xml:space="preserve"> September 2009. 38(2):100–108.</w:t>
      </w:r>
    </w:p>
  </w:endnote>
  <w:endnote w:id="93">
    <w:p w14:paraId="207CD813"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 for Health Information and Analysis (2014). </w:t>
      </w:r>
      <w:r w:rsidRPr="00FE4FD3">
        <w:rPr>
          <w:rFonts w:eastAsia="Calibri" w:cstheme="minorHAnsi"/>
          <w:i/>
        </w:rPr>
        <w:t>Case Mix Hospitalization Data.</w:t>
      </w:r>
    </w:p>
  </w:endnote>
  <w:endnote w:id="94">
    <w:p w14:paraId="707A26EB"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Telfair, J. &amp; Shelton, T.L. (Sept/Oct 2012) Educational Attainment as a Social Determinant of Health.</w:t>
      </w:r>
    </w:p>
    <w:p w14:paraId="1933F34B" w14:textId="77777777" w:rsidR="0079760B" w:rsidRPr="00FE4FD3" w:rsidRDefault="0079760B" w:rsidP="00FE4FD3">
      <w:pPr>
        <w:spacing w:before="0" w:after="0"/>
        <w:ind w:right="-360"/>
        <w:jc w:val="left"/>
        <w:rPr>
          <w:rFonts w:eastAsia="Calibri" w:cstheme="minorHAnsi"/>
        </w:rPr>
      </w:pPr>
      <w:r w:rsidRPr="00FE4FD3">
        <w:rPr>
          <w:rFonts w:eastAsia="Calibri" w:cstheme="minorHAnsi"/>
        </w:rPr>
        <w:t>North Carolina Medical Journal, Vol 73 (5), pp. 358-365.</w:t>
      </w:r>
    </w:p>
  </w:endnote>
  <w:endnote w:id="95">
    <w:p w14:paraId="790949B4"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 for Health Information and Analysis (2014). </w:t>
      </w:r>
      <w:r w:rsidRPr="00FE4FD3">
        <w:rPr>
          <w:rFonts w:eastAsia="Calibri" w:cstheme="minorHAnsi"/>
          <w:i/>
        </w:rPr>
        <w:t>Case Mix Hospitalization Data.</w:t>
      </w:r>
    </w:p>
  </w:endnote>
  <w:endnote w:id="96">
    <w:p w14:paraId="745D66D6" w14:textId="61048754"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Centers for Disease Control and Prevention. National Diabetes Statistics Report: Estimates of Diabetes and Its Burden in the United States, 2014. Atlanta, GA: US Department of Health and Human Services; 2014.</w:t>
      </w:r>
    </w:p>
  </w:endnote>
  <w:endnote w:id="97">
    <w:p w14:paraId="3E3F280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Ibid</w:t>
      </w:r>
    </w:p>
  </w:endnote>
  <w:endnote w:id="98">
    <w:p w14:paraId="17EFCAB2"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Calibri" w:cstheme="minorHAnsi"/>
          <w:sz w:val="22"/>
          <w:szCs w:val="22"/>
        </w:rPr>
        <w:t>Ibid</w:t>
      </w:r>
    </w:p>
  </w:endnote>
  <w:endnote w:id="99">
    <w:p w14:paraId="25F5DD8E" w14:textId="77777777" w:rsidR="0079760B" w:rsidRPr="00FE4FD3" w:rsidRDefault="0079760B" w:rsidP="00FE4FD3">
      <w:pPr>
        <w:spacing w:before="0" w:after="0" w:line="240" w:lineRule="auto"/>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Center for Health Information and Analysis (2014). </w:t>
      </w:r>
      <w:r w:rsidRPr="00FE4FD3">
        <w:rPr>
          <w:rFonts w:eastAsia="Calibri" w:cstheme="minorHAnsi"/>
          <w:i/>
        </w:rPr>
        <w:t>Case Mix Hospitalization Data.</w:t>
      </w:r>
    </w:p>
  </w:endnote>
  <w:endnote w:id="100">
    <w:p w14:paraId="5D4C2B1D" w14:textId="2AE7AD50"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Kochanek KD, Murphy SL, Xu JQ, Tejada-Vera B. Deaths: Final data for 2014. </w:t>
      </w:r>
      <w:r w:rsidRPr="00FE4FD3">
        <w:rPr>
          <w:rFonts w:eastAsia="Calibri" w:cstheme="minorHAnsi"/>
          <w:i/>
        </w:rPr>
        <w:t xml:space="preserve">National vital statistics reports. </w:t>
      </w:r>
      <w:r w:rsidRPr="00FE4FD3">
        <w:rPr>
          <w:rFonts w:eastAsia="Calibri" w:cstheme="minorHAnsi"/>
        </w:rPr>
        <w:t>2016;; vol 65( no 4). Hyattsville, MD: National Center for Health Statistics. 2016.</w:t>
      </w:r>
    </w:p>
  </w:endnote>
  <w:endnote w:id="101">
    <w:p w14:paraId="4E1EED52" w14:textId="5E4072CB"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National Heart, Lung, and Blood Institute; National Asthma Education and Prevention Program. Expert Panel Report 3: Guidelines for the Diagnosis and Management of Asthma - Full Report, 2007.  NIH Pub. No. 07-4051. Bethesda, MD: US 2007. Available at:  </w:t>
      </w:r>
      <w:hyperlink r:id="rId36">
        <w:r w:rsidRPr="00FE4FD3">
          <w:rPr>
            <w:rFonts w:eastAsia="Calibri" w:cstheme="minorHAnsi"/>
          </w:rPr>
          <w:t>http://www.nhlbi.nih.gov/guidelines/asthma/asthgdln.htm</w:t>
        </w:r>
      </w:hyperlink>
      <w:r w:rsidRPr="00FE4FD3">
        <w:rPr>
          <w:rFonts w:eastAsia="Calibri" w:cstheme="minorHAnsi"/>
        </w:rPr>
        <w:t>. Accessed July 20, 2017.</w:t>
      </w:r>
    </w:p>
  </w:endnote>
  <w:endnote w:id="102">
    <w:p w14:paraId="13835150" w14:textId="3D18B758"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Ibid</w:t>
      </w:r>
    </w:p>
  </w:endnote>
  <w:endnote w:id="103">
    <w:p w14:paraId="2FD31A78" w14:textId="53510AB1"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Massachusetts Health Policy Commission. 2014 Cost trends report. January 2015. Available at: </w:t>
      </w:r>
      <w:hyperlink r:id="rId37">
        <w:r w:rsidRPr="00FE4FD3">
          <w:rPr>
            <w:rFonts w:eastAsia="Calibri" w:cstheme="minorHAnsi"/>
          </w:rPr>
          <w:t>http://www.mass.gov/anf/budget-taxes-and-procurement/oversight-agencies/health-policy-commission/2014-cost-trends-report.pdf</w:t>
        </w:r>
      </w:hyperlink>
      <w:r w:rsidRPr="00FE4FD3">
        <w:rPr>
          <w:rFonts w:eastAsia="Calibri" w:cstheme="minorHAnsi"/>
        </w:rPr>
        <w:t xml:space="preserve">. Accessed July 20, 2017. 2014 </w:t>
      </w:r>
    </w:p>
  </w:endnote>
  <w:endnote w:id="104">
    <w:p w14:paraId="50AB2E1B" w14:textId="15544F6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Ibid</w:t>
      </w:r>
    </w:p>
  </w:endnote>
  <w:endnote w:id="105">
    <w:p w14:paraId="5214AAB5" w14:textId="38A77A72" w:rsidR="0079760B" w:rsidRPr="00FE4FD3" w:rsidRDefault="0079760B" w:rsidP="00FE4FD3">
      <w:pPr>
        <w:spacing w:before="0" w:after="0"/>
        <w:ind w:right="-360"/>
        <w:jc w:val="left"/>
        <w:rPr>
          <w:rFonts w:eastAsia="Calibri" w:cstheme="minorHAnsi"/>
        </w:rPr>
      </w:pPr>
      <w:r w:rsidRPr="00FE4FD3">
        <w:rPr>
          <w:rStyle w:val="EndnoteReference"/>
          <w:rFonts w:cstheme="minorHAnsi"/>
        </w:rPr>
        <w:endnoteRef/>
      </w:r>
      <w:r w:rsidRPr="00FE4FD3">
        <w:rPr>
          <w:rFonts w:cstheme="minorHAnsi"/>
        </w:rPr>
        <w:t xml:space="preserve"> </w:t>
      </w:r>
      <w:r w:rsidRPr="00FE4FD3">
        <w:rPr>
          <w:rFonts w:eastAsia="Calibri" w:cstheme="minorHAnsi"/>
        </w:rPr>
        <w:t xml:space="preserve">Wright RJ, Epidemiology of stress and asthma: from constricting communities and fragile families to epigenetics, </w:t>
      </w:r>
      <w:r w:rsidRPr="00FE4FD3">
        <w:rPr>
          <w:rFonts w:eastAsia="Calibri" w:cstheme="minorHAnsi"/>
          <w:i/>
        </w:rPr>
        <w:t>Imunol All Clin N Am.</w:t>
      </w:r>
      <w:r w:rsidRPr="00FE4FD3">
        <w:rPr>
          <w:rFonts w:eastAsia="Calibri" w:cstheme="minorHAnsi"/>
        </w:rPr>
        <w:t xml:space="preserve"> 2011</w:t>
      </w:r>
      <w:r w:rsidRPr="00FE4FD3">
        <w:rPr>
          <w:rFonts w:eastAsia="Calibri" w:cstheme="minorHAnsi"/>
          <w:highlight w:val="white"/>
        </w:rPr>
        <w:t>;31:19-39</w:t>
      </w:r>
      <w:r w:rsidRPr="00FE4FD3">
        <w:rPr>
          <w:rFonts w:eastAsia="Calibri" w:cstheme="minorHAnsi"/>
        </w:rPr>
        <w:t>.</w:t>
      </w:r>
    </w:p>
  </w:endnote>
  <w:endnote w:id="106">
    <w:p w14:paraId="7DE5C6F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Tarlo SM, Balmes J, Balkissoon R, et al. Diagnosis and management of work-related asthma: American College Of Chest Physicians Consensus Statement. </w:t>
      </w:r>
      <w:r w:rsidRPr="00FE4FD3">
        <w:rPr>
          <w:rFonts w:cstheme="minorHAnsi"/>
          <w:i/>
          <w:sz w:val="22"/>
          <w:szCs w:val="22"/>
        </w:rPr>
        <w:t>Chest</w:t>
      </w:r>
      <w:r w:rsidRPr="00FE4FD3">
        <w:rPr>
          <w:rFonts w:cstheme="minorHAnsi"/>
          <w:sz w:val="22"/>
          <w:szCs w:val="22"/>
        </w:rPr>
        <w:t>. 2008;134:1S–41S.</w:t>
      </w:r>
    </w:p>
  </w:endnote>
  <w:endnote w:id="107">
    <w:p w14:paraId="730F743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Shofer S, Haus BM, Kuschner WG. Quality of occupational history assessments in working age adults with newly diagnosed asthma. Chest. 2006;130:455-462.</w:t>
      </w:r>
    </w:p>
  </w:endnote>
  <w:endnote w:id="108">
    <w:p w14:paraId="32EAEEC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Department of Public Health (2012-2014). Behavioral Risk Factor Surveillance System Adult Asthma Call-back Survey.</w:t>
      </w:r>
    </w:p>
  </w:endnote>
  <w:endnote w:id="109">
    <w:p w14:paraId="79D60434" w14:textId="040B935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Asthma Prevalence Report 2017 (under MDPH review).</w:t>
      </w:r>
    </w:p>
  </w:endnote>
  <w:endnote w:id="110">
    <w:p w14:paraId="226C3188" w14:textId="2348BE5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Burden of Asthma in Massachusetts, 2009.</w:t>
      </w:r>
    </w:p>
  </w:endnote>
  <w:endnote w:id="111">
    <w:p w14:paraId="2BB504F3" w14:textId="24E3375B"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Pediatric Asthma Bulletin,  2016.</w:t>
      </w:r>
    </w:p>
  </w:endnote>
  <w:endnote w:id="112">
    <w:p w14:paraId="77F234B9" w14:textId="77777777" w:rsidR="0079760B" w:rsidRPr="00FE4FD3" w:rsidRDefault="0079760B" w:rsidP="00C521ED">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Centers for Disease Control and Prevention. Chronic Obstructive Pulmonary Disease (COPD). Available at: </w:t>
      </w:r>
      <w:hyperlink r:id="rId38">
        <w:r w:rsidRPr="00FE4FD3">
          <w:rPr>
            <w:rFonts w:eastAsia="Calibri" w:cstheme="minorHAnsi"/>
          </w:rPr>
          <w:t>https://www.cdc.gov/copd/index.html</w:t>
        </w:r>
      </w:hyperlink>
      <w:r w:rsidRPr="00FE4FD3">
        <w:rPr>
          <w:rFonts w:eastAsia="Calibri" w:cstheme="minorHAnsi"/>
        </w:rPr>
        <w:t xml:space="preserve">.https://www.cdc.gov/copd/index.html#1. Accessed July 12, 2017. </w:t>
      </w:r>
    </w:p>
  </w:endnote>
  <w:endnote w:id="113">
    <w:p w14:paraId="21DDA0EF" w14:textId="77777777" w:rsidR="0079760B" w:rsidRPr="00FE4FD3" w:rsidRDefault="0079760B" w:rsidP="00C521ED">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Ibid </w:t>
      </w:r>
    </w:p>
  </w:endnote>
  <w:endnote w:id="114">
    <w:p w14:paraId="04B9D2C2"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American Cancer Society. Colorectal Cancer Facts &amp; Figures 2017-2019. Available at: https://www.cancer.org/content/dam/cancer-org/research/cancer-facts-and-statistics/colorectal-cancer-facts-and-figures/colorectal-cancer-facts-and-figures-2017-2019.pdf. Accessed July 20, 2017.</w:t>
      </w:r>
    </w:p>
  </w:endnote>
  <w:endnote w:id="115">
    <w:p w14:paraId="112C5EE6"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National Cancer Institute. Obesity. Available at: </w:t>
      </w:r>
      <w:hyperlink r:id="rId39">
        <w:r w:rsidRPr="00FE4FD3">
          <w:rPr>
            <w:rFonts w:eastAsia="Calibri" w:cstheme="minorHAnsi"/>
          </w:rPr>
          <w:t>https://www.cancer.gov/about-cancer/causes-prevention/risk/obesity</w:t>
        </w:r>
      </w:hyperlink>
      <w:r w:rsidRPr="00FE4FD3">
        <w:rPr>
          <w:rFonts w:eastAsia="Calibri" w:cstheme="minorHAnsi"/>
        </w:rPr>
        <w:t>. Accessed July 20, 2017.</w:t>
      </w:r>
    </w:p>
  </w:endnote>
  <w:endnote w:id="116">
    <w:p w14:paraId="6E415B71"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Stewart B. W. and Kleihues P. (Eds): World Cancer Report. IARC Press. Lyon 2003.</w:t>
      </w:r>
    </w:p>
  </w:endnote>
  <w:endnote w:id="117">
    <w:p w14:paraId="5C5DFF9A" w14:textId="74A46838"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World Cancer Research Fund and American Institute for Cancer Research. Food, nutrition, physical activity and the prevention of cancer: a global perspective.Washington, DC:World Cancer Research Fund and American Institute for Cancer Research; 2007.</w:t>
      </w:r>
    </w:p>
  </w:endnote>
  <w:endnote w:id="118">
    <w:p w14:paraId="1D239309"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Zheng S; Ren ZJ; Heineke J; Geissler KH. Reductions in Diagnostic Imaging with High Deductible Health Plans. Medical Care. 2016; 54(2): 110–117. </w:t>
      </w:r>
    </w:p>
  </w:endnote>
  <w:endnote w:id="119">
    <w:p w14:paraId="78CC7CCF" w14:textId="2D8B50B6"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National Cancer Institute. Available at: </w:t>
      </w:r>
      <w:hyperlink r:id="rId40">
        <w:r w:rsidRPr="00FE4FD3">
          <w:rPr>
            <w:rFonts w:eastAsia="Calibri" w:cstheme="minorHAnsi"/>
          </w:rPr>
          <w:t>https://seer.cancer.gov/statfacts/html/lungb.html</w:t>
        </w:r>
      </w:hyperlink>
      <w:r w:rsidRPr="00FE4FD3">
        <w:rPr>
          <w:rFonts w:eastAsia="Calibri" w:cstheme="minorHAnsi"/>
        </w:rPr>
        <w:t>. Accessed July 20, 2017.</w:t>
      </w:r>
    </w:p>
  </w:endnote>
  <w:endnote w:id="120">
    <w:p w14:paraId="57DD0869" w14:textId="0077A58F"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National Cancer Institute. Available at: </w:t>
      </w:r>
      <w:hyperlink r:id="rId41">
        <w:r w:rsidRPr="00FE4FD3">
          <w:rPr>
            <w:rFonts w:eastAsia="Calibri" w:cstheme="minorHAnsi"/>
          </w:rPr>
          <w:t>https://www.cancer.gov/about-cancer/causes-prevention/risk</w:t>
        </w:r>
      </w:hyperlink>
      <w:r w:rsidRPr="00FE4FD3">
        <w:rPr>
          <w:rFonts w:eastAsia="Calibri" w:cstheme="minorHAnsi"/>
        </w:rPr>
        <w:t>. Accessed July 20, 2017.</w:t>
      </w:r>
    </w:p>
  </w:endnote>
  <w:endnote w:id="121">
    <w:p w14:paraId="55987DAF" w14:textId="77777777"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National Cancer Institute. Breast Cancer Treatment (PDQ®)–Patient Version. Available at: </w:t>
      </w:r>
      <w:hyperlink r:id="rId42">
        <w:r w:rsidRPr="00FE4FD3">
          <w:rPr>
            <w:rFonts w:eastAsia="Calibri" w:cstheme="minorHAnsi"/>
          </w:rPr>
          <w:t>https://www.cancer.gov/types/breast/patient/breast-treatment-pdq</w:t>
        </w:r>
      </w:hyperlink>
      <w:r w:rsidRPr="00FE4FD3">
        <w:rPr>
          <w:rFonts w:eastAsia="Calibri" w:cstheme="minorHAnsi"/>
        </w:rPr>
        <w:t>. Accessed July 20, 2017.</w:t>
      </w:r>
    </w:p>
  </w:endnote>
  <w:endnote w:id="122">
    <w:p w14:paraId="561A7EBC" w14:textId="010DF214" w:rsidR="0079760B" w:rsidRPr="00FE4FD3" w:rsidRDefault="0079760B" w:rsidP="00FE4FD3">
      <w:pPr>
        <w:spacing w:before="0" w:after="0"/>
        <w:ind w:right="-360"/>
        <w:jc w:val="left"/>
        <w:rPr>
          <w:rFonts w:cstheme="minorHAnsi"/>
        </w:rPr>
      </w:pPr>
      <w:r w:rsidRPr="00FE4FD3">
        <w:rPr>
          <w:rStyle w:val="EndnoteReference"/>
          <w:rFonts w:cstheme="minorHAnsi"/>
        </w:rPr>
        <w:endnoteRef/>
      </w:r>
      <w:r w:rsidRPr="00FE4FD3">
        <w:rPr>
          <w:rFonts w:cstheme="minorHAnsi"/>
        </w:rPr>
        <w:t xml:space="preserve"> American Cancer Society. What Is Colorectal Cancer? Available at: </w:t>
      </w:r>
      <w:hyperlink r:id="rId43" w:history="1">
        <w:r w:rsidRPr="00FE4FD3">
          <w:rPr>
            <w:rStyle w:val="Hyperlink"/>
            <w:color w:val="auto"/>
          </w:rPr>
          <w:t>https://www.cancer.org/cancer/colon-rectal-cancer/about/what-is-colorectal-cancer.html</w:t>
        </w:r>
      </w:hyperlink>
      <w:r w:rsidRPr="00FE4FD3">
        <w:rPr>
          <w:rFonts w:cstheme="minorHAnsi"/>
        </w:rPr>
        <w:t>. Accessed July 21, 2017.</w:t>
      </w:r>
    </w:p>
  </w:endnote>
  <w:endnote w:id="123">
    <w:p w14:paraId="517CDC2B" w14:textId="5343404A" w:rsidR="0079760B" w:rsidRPr="00FE4FD3" w:rsidRDefault="0079760B" w:rsidP="00FE4FD3">
      <w:pPr>
        <w:spacing w:before="0" w:after="0"/>
        <w:ind w:right="-360"/>
        <w:jc w:val="left"/>
        <w:rPr>
          <w:rFonts w:eastAsia="Calibri" w:cstheme="minorHAnsi"/>
        </w:rPr>
      </w:pPr>
      <w:r w:rsidRPr="00FE4FD3">
        <w:rPr>
          <w:rFonts w:cstheme="minorHAnsi"/>
          <w:vertAlign w:val="superscript"/>
        </w:rPr>
        <w:endnoteRef/>
      </w:r>
      <w:r w:rsidRPr="00FE4FD3">
        <w:rPr>
          <w:rFonts w:eastAsia="Calibri" w:cstheme="minorHAnsi"/>
        </w:rPr>
        <w:t xml:space="preserve"> American Cancer Society. Prostate cancer. Available at: </w:t>
      </w:r>
      <w:hyperlink r:id="rId44">
        <w:r w:rsidRPr="00FE4FD3">
          <w:rPr>
            <w:rFonts w:eastAsia="Calibri" w:cstheme="minorHAnsi"/>
          </w:rPr>
          <w:t>https://www.cancer.org/cancer/prostate-cancer.html</w:t>
        </w:r>
      </w:hyperlink>
      <w:r w:rsidRPr="00FE4FD3">
        <w:rPr>
          <w:rFonts w:eastAsia="Calibri" w:cstheme="minorHAnsi"/>
        </w:rPr>
        <w:t>. Accessed July 21, 2017.</w:t>
      </w:r>
    </w:p>
  </w:endnote>
  <w:endnote w:id="124">
    <w:p w14:paraId="3E1750B6" w14:textId="2DD97DC1" w:rsidR="0079760B" w:rsidRPr="009837D5" w:rsidRDefault="0079760B" w:rsidP="00FE4FD3">
      <w:pPr>
        <w:spacing w:before="0" w:after="0"/>
        <w:ind w:right="-360"/>
        <w:jc w:val="left"/>
        <w:rPr>
          <w:rFonts w:eastAsia="Calibri"/>
        </w:rPr>
      </w:pPr>
      <w:r w:rsidRPr="00FE4FD3">
        <w:rPr>
          <w:rFonts w:cstheme="minorHAnsi"/>
          <w:vertAlign w:val="superscript"/>
        </w:rPr>
        <w:endnoteRef/>
      </w:r>
      <w:r w:rsidRPr="00FE4FD3">
        <w:rPr>
          <w:rFonts w:eastAsia="Calibri" w:cstheme="minorHAnsi"/>
        </w:rPr>
        <w:t xml:space="preserve"> National Cancer Institute. Cancer Stat Facts: Prostate Cancer.  Available at: </w:t>
      </w:r>
      <w:hyperlink r:id="rId45" w:history="1">
        <w:r w:rsidRPr="00FE4FD3">
          <w:rPr>
            <w:rStyle w:val="Hyperlink"/>
            <w:rFonts w:eastAsia="Calibri"/>
            <w:color w:val="auto"/>
          </w:rPr>
          <w:t>https://seer.cancer.gov/statfacts/html/prost.html</w:t>
        </w:r>
      </w:hyperlink>
      <w:r w:rsidRPr="00FE4FD3">
        <w:rPr>
          <w:rFonts w:eastAsia="Calibri" w:cstheme="minorHAnsi"/>
        </w:rPr>
        <w:t>.  Accessed July 21,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79760B" w:rsidRPr="00195F02" w:rsidRDefault="0079760B"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FF7D27">
          <w:t>52</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6ED54" w14:textId="77777777" w:rsidR="00543D07" w:rsidRDefault="00543D07" w:rsidP="00E36D41">
      <w:r>
        <w:separator/>
      </w:r>
    </w:p>
    <w:p w14:paraId="072B74AE" w14:textId="77777777" w:rsidR="00543D07" w:rsidRDefault="00543D07"/>
    <w:p w14:paraId="2927DD6D" w14:textId="77777777" w:rsidR="00543D07" w:rsidRDefault="00543D07"/>
  </w:footnote>
  <w:footnote w:type="continuationSeparator" w:id="0">
    <w:p w14:paraId="69108A69" w14:textId="77777777" w:rsidR="00543D07" w:rsidRDefault="00543D07" w:rsidP="00E36D41">
      <w:r>
        <w:continuationSeparator/>
      </w:r>
    </w:p>
    <w:p w14:paraId="3A9ADD26" w14:textId="77777777" w:rsidR="00543D07" w:rsidRDefault="00543D07"/>
    <w:p w14:paraId="6222D012" w14:textId="77777777" w:rsidR="00543D07" w:rsidRDefault="00543D07"/>
  </w:footnote>
  <w:footnote w:type="continuationNotice" w:id="1">
    <w:p w14:paraId="337F1818" w14:textId="77777777" w:rsidR="00543D07" w:rsidRDefault="00543D07" w:rsidP="00E36D41"/>
    <w:p w14:paraId="2DCC2E75" w14:textId="77777777" w:rsidR="00543D07" w:rsidRDefault="00543D07"/>
    <w:p w14:paraId="0D1EFAE6" w14:textId="77777777" w:rsidR="00543D07" w:rsidRDefault="00543D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EE63E67"/>
    <w:multiLevelType w:val="hybridMultilevel"/>
    <w:tmpl w:val="573A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0BA3256"/>
    <w:multiLevelType w:val="hybridMultilevel"/>
    <w:tmpl w:val="A2E80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256035A"/>
    <w:multiLevelType w:val="hybridMultilevel"/>
    <w:tmpl w:val="AB5EA7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4">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4">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3"/>
  </w:num>
  <w:num w:numId="3">
    <w:abstractNumId w:val="53"/>
  </w:num>
  <w:num w:numId="4">
    <w:abstractNumId w:val="198"/>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8"/>
  </w:num>
  <w:num w:numId="15">
    <w:abstractNumId w:val="173"/>
  </w:num>
  <w:num w:numId="16">
    <w:abstractNumId w:val="195"/>
  </w:num>
  <w:num w:numId="17">
    <w:abstractNumId w:val="48"/>
  </w:num>
  <w:num w:numId="18">
    <w:abstractNumId w:val="92"/>
  </w:num>
  <w:num w:numId="19">
    <w:abstractNumId w:val="193"/>
  </w:num>
  <w:num w:numId="20">
    <w:abstractNumId w:val="188"/>
  </w:num>
  <w:num w:numId="21">
    <w:abstractNumId w:val="102"/>
  </w:num>
  <w:num w:numId="22">
    <w:abstractNumId w:val="163"/>
  </w:num>
  <w:num w:numId="23">
    <w:abstractNumId w:val="60"/>
  </w:num>
  <w:num w:numId="24">
    <w:abstractNumId w:val="150"/>
  </w:num>
  <w:num w:numId="25">
    <w:abstractNumId w:val="182"/>
  </w:num>
  <w:num w:numId="26">
    <w:abstractNumId w:val="118"/>
  </w:num>
  <w:num w:numId="27">
    <w:abstractNumId w:val="54"/>
  </w:num>
  <w:num w:numId="28">
    <w:abstractNumId w:val="123"/>
  </w:num>
  <w:num w:numId="29">
    <w:abstractNumId w:val="116"/>
  </w:num>
  <w:num w:numId="30">
    <w:abstractNumId w:val="190"/>
  </w:num>
  <w:num w:numId="31">
    <w:abstractNumId w:val="106"/>
  </w:num>
  <w:num w:numId="32">
    <w:abstractNumId w:val="140"/>
  </w:num>
  <w:num w:numId="33">
    <w:abstractNumId w:val="131"/>
  </w:num>
  <w:num w:numId="34">
    <w:abstractNumId w:val="70"/>
  </w:num>
  <w:num w:numId="35">
    <w:abstractNumId w:val="35"/>
  </w:num>
  <w:num w:numId="36">
    <w:abstractNumId w:val="189"/>
  </w:num>
  <w:num w:numId="37">
    <w:abstractNumId w:val="104"/>
  </w:num>
  <w:num w:numId="38">
    <w:abstractNumId w:val="29"/>
  </w:num>
  <w:num w:numId="39">
    <w:abstractNumId w:val="127"/>
  </w:num>
  <w:num w:numId="40">
    <w:abstractNumId w:val="87"/>
  </w:num>
  <w:num w:numId="41">
    <w:abstractNumId w:val="120"/>
  </w:num>
  <w:num w:numId="42">
    <w:abstractNumId w:val="191"/>
  </w:num>
  <w:num w:numId="43">
    <w:abstractNumId w:val="126"/>
  </w:num>
  <w:num w:numId="44">
    <w:abstractNumId w:val="156"/>
  </w:num>
  <w:num w:numId="45">
    <w:abstractNumId w:val="100"/>
  </w:num>
  <w:num w:numId="46">
    <w:abstractNumId w:val="115"/>
  </w:num>
  <w:num w:numId="47">
    <w:abstractNumId w:val="211"/>
  </w:num>
  <w:num w:numId="48">
    <w:abstractNumId w:val="179"/>
  </w:num>
  <w:num w:numId="49">
    <w:abstractNumId w:val="71"/>
  </w:num>
  <w:num w:numId="50">
    <w:abstractNumId w:val="51"/>
  </w:num>
  <w:num w:numId="51">
    <w:abstractNumId w:val="134"/>
  </w:num>
  <w:num w:numId="52">
    <w:abstractNumId w:val="199"/>
  </w:num>
  <w:num w:numId="53">
    <w:abstractNumId w:val="73"/>
  </w:num>
  <w:num w:numId="54">
    <w:abstractNumId w:val="169"/>
  </w:num>
  <w:num w:numId="55">
    <w:abstractNumId w:val="4"/>
  </w:num>
  <w:num w:numId="56">
    <w:abstractNumId w:val="178"/>
  </w:num>
  <w:num w:numId="57">
    <w:abstractNumId w:val="209"/>
  </w:num>
  <w:num w:numId="58">
    <w:abstractNumId w:val="162"/>
  </w:num>
  <w:num w:numId="59">
    <w:abstractNumId w:val="139"/>
  </w:num>
  <w:num w:numId="60">
    <w:abstractNumId w:val="170"/>
  </w:num>
  <w:num w:numId="61">
    <w:abstractNumId w:val="23"/>
  </w:num>
  <w:num w:numId="62">
    <w:abstractNumId w:val="154"/>
  </w:num>
  <w:num w:numId="63">
    <w:abstractNumId w:val="16"/>
  </w:num>
  <w:num w:numId="64">
    <w:abstractNumId w:val="21"/>
  </w:num>
  <w:num w:numId="65">
    <w:abstractNumId w:val="187"/>
  </w:num>
  <w:num w:numId="66">
    <w:abstractNumId w:val="90"/>
  </w:num>
  <w:num w:numId="67">
    <w:abstractNumId w:val="141"/>
  </w:num>
  <w:num w:numId="68">
    <w:abstractNumId w:val="192"/>
  </w:num>
  <w:num w:numId="69">
    <w:abstractNumId w:val="167"/>
  </w:num>
  <w:num w:numId="70">
    <w:abstractNumId w:val="176"/>
  </w:num>
  <w:num w:numId="71">
    <w:abstractNumId w:val="183"/>
  </w:num>
  <w:num w:numId="72">
    <w:abstractNumId w:val="55"/>
  </w:num>
  <w:num w:numId="73">
    <w:abstractNumId w:val="52"/>
  </w:num>
  <w:num w:numId="74">
    <w:abstractNumId w:val="202"/>
  </w:num>
  <w:num w:numId="75">
    <w:abstractNumId w:val="25"/>
  </w:num>
  <w:num w:numId="76">
    <w:abstractNumId w:val="63"/>
  </w:num>
  <w:num w:numId="77">
    <w:abstractNumId w:val="109"/>
  </w:num>
  <w:num w:numId="78">
    <w:abstractNumId w:val="128"/>
  </w:num>
  <w:num w:numId="79">
    <w:abstractNumId w:val="56"/>
  </w:num>
  <w:num w:numId="80">
    <w:abstractNumId w:val="148"/>
  </w:num>
  <w:num w:numId="81">
    <w:abstractNumId w:val="84"/>
  </w:num>
  <w:num w:numId="82">
    <w:abstractNumId w:val="72"/>
  </w:num>
  <w:num w:numId="83">
    <w:abstractNumId w:val="80"/>
  </w:num>
  <w:num w:numId="84">
    <w:abstractNumId w:val="204"/>
  </w:num>
  <w:num w:numId="85">
    <w:abstractNumId w:val="79"/>
  </w:num>
  <w:num w:numId="86">
    <w:abstractNumId w:val="218"/>
  </w:num>
  <w:num w:numId="87">
    <w:abstractNumId w:val="28"/>
  </w:num>
  <w:num w:numId="88">
    <w:abstractNumId w:val="185"/>
  </w:num>
  <w:num w:numId="89">
    <w:abstractNumId w:val="37"/>
  </w:num>
  <w:num w:numId="90">
    <w:abstractNumId w:val="201"/>
  </w:num>
  <w:num w:numId="91">
    <w:abstractNumId w:val="138"/>
  </w:num>
  <w:num w:numId="92">
    <w:abstractNumId w:val="137"/>
  </w:num>
  <w:num w:numId="93">
    <w:abstractNumId w:val="45"/>
  </w:num>
  <w:num w:numId="94">
    <w:abstractNumId w:val="7"/>
  </w:num>
  <w:num w:numId="95">
    <w:abstractNumId w:val="147"/>
  </w:num>
  <w:num w:numId="96">
    <w:abstractNumId w:val="112"/>
  </w:num>
  <w:num w:numId="97">
    <w:abstractNumId w:val="152"/>
  </w:num>
  <w:num w:numId="98">
    <w:abstractNumId w:val="88"/>
  </w:num>
  <w:num w:numId="99">
    <w:abstractNumId w:val="5"/>
  </w:num>
  <w:num w:numId="100">
    <w:abstractNumId w:val="41"/>
  </w:num>
  <w:num w:numId="101">
    <w:abstractNumId w:val="135"/>
  </w:num>
  <w:num w:numId="102">
    <w:abstractNumId w:val="94"/>
  </w:num>
  <w:num w:numId="103">
    <w:abstractNumId w:val="22"/>
  </w:num>
  <w:num w:numId="104">
    <w:abstractNumId w:val="207"/>
  </w:num>
  <w:num w:numId="105">
    <w:abstractNumId w:val="114"/>
  </w:num>
  <w:num w:numId="106">
    <w:abstractNumId w:val="184"/>
  </w:num>
  <w:num w:numId="107">
    <w:abstractNumId w:val="164"/>
  </w:num>
  <w:num w:numId="108">
    <w:abstractNumId w:val="171"/>
  </w:num>
  <w:num w:numId="109">
    <w:abstractNumId w:val="213"/>
  </w:num>
  <w:num w:numId="110">
    <w:abstractNumId w:val="10"/>
  </w:num>
  <w:num w:numId="111">
    <w:abstractNumId w:val="212"/>
  </w:num>
  <w:num w:numId="112">
    <w:abstractNumId w:val="43"/>
  </w:num>
  <w:num w:numId="113">
    <w:abstractNumId w:val="111"/>
  </w:num>
  <w:num w:numId="114">
    <w:abstractNumId w:val="181"/>
  </w:num>
  <w:num w:numId="115">
    <w:abstractNumId w:val="36"/>
  </w:num>
  <w:num w:numId="116">
    <w:abstractNumId w:val="89"/>
  </w:num>
  <w:num w:numId="117">
    <w:abstractNumId w:val="46"/>
  </w:num>
  <w:num w:numId="118">
    <w:abstractNumId w:val="83"/>
  </w:num>
  <w:num w:numId="119">
    <w:abstractNumId w:val="13"/>
  </w:num>
  <w:num w:numId="120">
    <w:abstractNumId w:val="166"/>
  </w:num>
  <w:num w:numId="121">
    <w:abstractNumId w:val="62"/>
  </w:num>
  <w:num w:numId="122">
    <w:abstractNumId w:val="47"/>
  </w:num>
  <w:num w:numId="123">
    <w:abstractNumId w:val="42"/>
  </w:num>
  <w:num w:numId="124">
    <w:abstractNumId w:val="6"/>
  </w:num>
  <w:num w:numId="125">
    <w:abstractNumId w:val="14"/>
  </w:num>
  <w:num w:numId="126">
    <w:abstractNumId w:val="129"/>
  </w:num>
  <w:num w:numId="127">
    <w:abstractNumId w:val="96"/>
  </w:num>
  <w:num w:numId="128">
    <w:abstractNumId w:val="91"/>
  </w:num>
  <w:num w:numId="129">
    <w:abstractNumId w:val="24"/>
  </w:num>
  <w:num w:numId="130">
    <w:abstractNumId w:val="2"/>
  </w:num>
  <w:num w:numId="131">
    <w:abstractNumId w:val="146"/>
  </w:num>
  <w:num w:numId="132">
    <w:abstractNumId w:val="59"/>
  </w:num>
  <w:num w:numId="133">
    <w:abstractNumId w:val="20"/>
  </w:num>
  <w:num w:numId="134">
    <w:abstractNumId w:val="17"/>
  </w:num>
  <w:num w:numId="135">
    <w:abstractNumId w:val="130"/>
  </w:num>
  <w:num w:numId="136">
    <w:abstractNumId w:val="50"/>
  </w:num>
  <w:num w:numId="137">
    <w:abstractNumId w:val="217"/>
  </w:num>
  <w:num w:numId="138">
    <w:abstractNumId w:val="11"/>
  </w:num>
  <w:num w:numId="139">
    <w:abstractNumId w:val="101"/>
  </w:num>
  <w:num w:numId="140">
    <w:abstractNumId w:val="175"/>
  </w:num>
  <w:num w:numId="141">
    <w:abstractNumId w:val="57"/>
  </w:num>
  <w:num w:numId="142">
    <w:abstractNumId w:val="76"/>
  </w:num>
  <w:num w:numId="143">
    <w:abstractNumId w:val="180"/>
  </w:num>
  <w:num w:numId="144">
    <w:abstractNumId w:val="210"/>
  </w:num>
  <w:num w:numId="145">
    <w:abstractNumId w:val="208"/>
  </w:num>
  <w:num w:numId="146">
    <w:abstractNumId w:val="12"/>
  </w:num>
  <w:num w:numId="147">
    <w:abstractNumId w:val="143"/>
  </w:num>
  <w:num w:numId="148">
    <w:abstractNumId w:val="132"/>
  </w:num>
  <w:num w:numId="149">
    <w:abstractNumId w:val="157"/>
  </w:num>
  <w:num w:numId="150">
    <w:abstractNumId w:val="161"/>
  </w:num>
  <w:num w:numId="151">
    <w:abstractNumId w:val="82"/>
  </w:num>
  <w:num w:numId="152">
    <w:abstractNumId w:val="206"/>
  </w:num>
  <w:num w:numId="153">
    <w:abstractNumId w:val="158"/>
  </w:num>
  <w:num w:numId="154">
    <w:abstractNumId w:val="31"/>
  </w:num>
  <w:num w:numId="155">
    <w:abstractNumId w:val="119"/>
  </w:num>
  <w:num w:numId="156">
    <w:abstractNumId w:val="18"/>
  </w:num>
  <w:num w:numId="157">
    <w:abstractNumId w:val="197"/>
  </w:num>
  <w:num w:numId="158">
    <w:abstractNumId w:val="122"/>
  </w:num>
  <w:num w:numId="159">
    <w:abstractNumId w:val="3"/>
  </w:num>
  <w:num w:numId="160">
    <w:abstractNumId w:val="172"/>
  </w:num>
  <w:num w:numId="161">
    <w:abstractNumId w:val="196"/>
  </w:num>
  <w:num w:numId="162">
    <w:abstractNumId w:val="219"/>
  </w:num>
  <w:num w:numId="163">
    <w:abstractNumId w:val="19"/>
  </w:num>
  <w:num w:numId="164">
    <w:abstractNumId w:val="78"/>
  </w:num>
  <w:num w:numId="165">
    <w:abstractNumId w:val="214"/>
  </w:num>
  <w:num w:numId="166">
    <w:abstractNumId w:val="32"/>
  </w:num>
  <w:num w:numId="167">
    <w:abstractNumId w:val="34"/>
  </w:num>
  <w:num w:numId="168">
    <w:abstractNumId w:val="81"/>
  </w:num>
  <w:num w:numId="169">
    <w:abstractNumId w:val="142"/>
  </w:num>
  <w:num w:numId="170">
    <w:abstractNumId w:val="65"/>
  </w:num>
  <w:num w:numId="171">
    <w:abstractNumId w:val="74"/>
  </w:num>
  <w:num w:numId="172">
    <w:abstractNumId w:val="75"/>
  </w:num>
  <w:num w:numId="173">
    <w:abstractNumId w:val="26"/>
  </w:num>
  <w:num w:numId="174">
    <w:abstractNumId w:val="0"/>
  </w:num>
  <w:num w:numId="175">
    <w:abstractNumId w:val="216"/>
  </w:num>
  <w:num w:numId="176">
    <w:abstractNumId w:val="33"/>
  </w:num>
  <w:num w:numId="177">
    <w:abstractNumId w:val="159"/>
  </w:num>
  <w:num w:numId="178">
    <w:abstractNumId w:val="220"/>
  </w:num>
  <w:num w:numId="179">
    <w:abstractNumId w:val="49"/>
  </w:num>
  <w:num w:numId="180">
    <w:abstractNumId w:val="133"/>
  </w:num>
  <w:num w:numId="181">
    <w:abstractNumId w:val="8"/>
  </w:num>
  <w:num w:numId="182">
    <w:abstractNumId w:val="105"/>
  </w:num>
  <w:num w:numId="183">
    <w:abstractNumId w:val="125"/>
  </w:num>
  <w:num w:numId="184">
    <w:abstractNumId w:val="174"/>
  </w:num>
  <w:num w:numId="185">
    <w:abstractNumId w:val="110"/>
  </w:num>
  <w:num w:numId="186">
    <w:abstractNumId w:val="95"/>
  </w:num>
  <w:num w:numId="187">
    <w:abstractNumId w:val="39"/>
  </w:num>
  <w:num w:numId="188">
    <w:abstractNumId w:val="186"/>
  </w:num>
  <w:num w:numId="189">
    <w:abstractNumId w:val="117"/>
  </w:num>
  <w:num w:numId="190">
    <w:abstractNumId w:val="151"/>
  </w:num>
  <w:num w:numId="191">
    <w:abstractNumId w:val="149"/>
  </w:num>
  <w:num w:numId="192">
    <w:abstractNumId w:val="107"/>
  </w:num>
  <w:num w:numId="193">
    <w:abstractNumId w:val="97"/>
  </w:num>
  <w:num w:numId="194">
    <w:abstractNumId w:val="93"/>
  </w:num>
  <w:num w:numId="195">
    <w:abstractNumId w:val="86"/>
  </w:num>
  <w:num w:numId="196">
    <w:abstractNumId w:val="136"/>
  </w:num>
  <w:num w:numId="197">
    <w:abstractNumId w:val="98"/>
  </w:num>
  <w:num w:numId="198">
    <w:abstractNumId w:val="64"/>
  </w:num>
  <w:num w:numId="199">
    <w:abstractNumId w:val="38"/>
  </w:num>
  <w:num w:numId="200">
    <w:abstractNumId w:val="44"/>
  </w:num>
  <w:num w:numId="201">
    <w:abstractNumId w:val="165"/>
  </w:num>
  <w:num w:numId="202">
    <w:abstractNumId w:val="200"/>
  </w:num>
  <w:num w:numId="203">
    <w:abstractNumId w:val="85"/>
  </w:num>
  <w:num w:numId="204">
    <w:abstractNumId w:val="30"/>
  </w:num>
  <w:num w:numId="205">
    <w:abstractNumId w:val="68"/>
  </w:num>
  <w:num w:numId="206">
    <w:abstractNumId w:val="160"/>
  </w:num>
  <w:num w:numId="207">
    <w:abstractNumId w:val="121"/>
  </w:num>
  <w:num w:numId="208">
    <w:abstractNumId w:val="194"/>
  </w:num>
  <w:num w:numId="209">
    <w:abstractNumId w:val="124"/>
  </w:num>
  <w:num w:numId="210">
    <w:abstractNumId w:val="58"/>
  </w:num>
  <w:num w:numId="211">
    <w:abstractNumId w:val="15"/>
  </w:num>
  <w:num w:numId="212">
    <w:abstractNumId w:val="177"/>
  </w:num>
  <w:num w:numId="213">
    <w:abstractNumId w:val="215"/>
  </w:num>
  <w:num w:numId="214">
    <w:abstractNumId w:val="77"/>
  </w:num>
  <w:num w:numId="215">
    <w:abstractNumId w:val="153"/>
  </w:num>
  <w:num w:numId="216">
    <w:abstractNumId w:val="205"/>
  </w:num>
  <w:num w:numId="217">
    <w:abstractNumId w:val="155"/>
  </w:num>
  <w:num w:numId="218">
    <w:abstractNumId w:val="66"/>
  </w:num>
  <w:num w:numId="219">
    <w:abstractNumId w:val="144"/>
  </w:num>
  <w:num w:numId="220">
    <w:abstractNumId w:val="113"/>
  </w:num>
  <w:num w:numId="221">
    <w:abstractNumId w:val="145"/>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58F0"/>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775"/>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1100"/>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07"/>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2878"/>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9760B"/>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CF1"/>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6C42"/>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5BDC"/>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6CF"/>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717"/>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552D2"/>
    <w:rsid w:val="00E5658D"/>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287"/>
    <w:rsid w:val="00ED5304"/>
    <w:rsid w:val="00ED79B0"/>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 w:val="00FF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www.massdot.state.ma.us/planning/Main/SustainableTransportation/HealthyTransportation/HealthyTransportationCompact.aspx"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hyperlink" Target="https://health.gov/dietaryguidelines/"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hyperlink" Target="http://www.KeepTryingM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hyperlink" Target="http://childrenshealthwatch.org/public-policy/hunger-vital-sign/" TargetMode="External"/><Relationship Id="rId40" Type="http://schemas.openxmlformats.org/officeDocument/2006/relationships/hyperlink" Target="http://www.mass.gov/eohhs/docs/dph/com-health/chronic-disease/healthy-comm-design-toolkit.pdf" TargetMode="Externa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10" Type="http://schemas.openxmlformats.org/officeDocument/2006/relationships/image" Target="media/image1.jpeg"/><Relationship Id="rId19" Type="http://schemas.openxmlformats.org/officeDocument/2006/relationships/chart" Target="charts/chart6.xml"/><Relationship Id="rId31" Type="http://schemas.openxmlformats.org/officeDocument/2006/relationships/chart" Target="charts/chart1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fns.usda.gov/ops/snap-community-characteristics-massachusetts" TargetMode="External"/><Relationship Id="rId13" Type="http://schemas.openxmlformats.org/officeDocument/2006/relationships/hyperlink" Target="https://www.gbfb.org/our-impact/our-results/gbfb-impact/?_ga=2.55944802.894750628.1497635496-115627245.1497635496" TargetMode="External"/><Relationship Id="rId18" Type="http://schemas.openxmlformats.org/officeDocument/2006/relationships/hyperlink" Target="https://www.surgeongeneral.gov/library/reports/50-years-of-progress/exec-summary.pdf" TargetMode="External"/><Relationship Id="rId26" Type="http://schemas.openxmlformats.org/officeDocument/2006/relationships/hyperlink" Target="http://www.mass.gov/eohhs/docs/dph/tobacco-control/secondhand-smoke-at-home.pdf" TargetMode="External"/><Relationship Id="rId39" Type="http://schemas.openxmlformats.org/officeDocument/2006/relationships/hyperlink" Target="https://www.cancer.gov/about-cancer/causes-prevention/risk/obesity" TargetMode="External"/><Relationship Id="rId3" Type="http://schemas.openxmlformats.org/officeDocument/2006/relationships/hyperlink" Target="https://www.cdc.gov/healthyplaces/healthtopics/healthyfood/transportation.htm" TargetMode="External"/><Relationship Id="rId21" Type="http://schemas.openxmlformats.org/officeDocument/2006/relationships/hyperlink" Target="http://www.mass.gov/eohhs/gov/departments/dph/programs/mtcp/data-about-tobacco-use-in-mass-reports-and-fact-sheets.html" TargetMode="External"/><Relationship Id="rId34" Type="http://schemas.openxmlformats.org/officeDocument/2006/relationships/hyperlink" Target="https://www.cdc.gov/nccdphp/dnpao/data-trends-maps/index.html" TargetMode="External"/><Relationship Id="rId42" Type="http://schemas.openxmlformats.org/officeDocument/2006/relationships/hyperlink" Target="https://www.cancer.gov/types/breast/patient/breast-treatment-pdq" TargetMode="External"/><Relationship Id="rId7" Type="http://schemas.openxmlformats.org/officeDocument/2006/relationships/hyperlink" Target="https://factfinder.census.gov/faces/tableservices/jsf/pages/productview.xhtml?pid=ACS_15_5YR_S2201&amp;prodType=table" TargetMode="External"/><Relationship Id="rId12" Type="http://schemas.openxmlformats.org/officeDocument/2006/relationships/hyperlink" Target="https://www.foodbankwma.org/learn/local-hunger-facts/" TargetMode="External"/><Relationship Id="rId17" Type="http://schemas.openxmlformats.org/officeDocument/2006/relationships/hyperlink" Target="http://www.mass.gov/eohhs/docs/dph/behavioral-risk/youth-health-risk-report-2015.pdf" TargetMode="External"/><Relationship Id="rId25" Type="http://schemas.openxmlformats.org/officeDocument/2006/relationships/hyperlink" Target="http://www.mass.gov/eohhs/docs/dph/tobacco-control/adults-exposed-to-secondhand-smoke.pdf" TargetMode="External"/><Relationship Id="rId33" Type="http://schemas.openxmlformats.org/officeDocument/2006/relationships/hyperlink" Target="http://dx.doi.org/10.15585/mmwr.mm6545a2" TargetMode="External"/><Relationship Id="rId38" Type="http://schemas.openxmlformats.org/officeDocument/2006/relationships/hyperlink" Target="https://www.cdc.gov/copd/index.html" TargetMode="External"/><Relationship Id="rId2" Type="http://schemas.openxmlformats.org/officeDocument/2006/relationships/hyperlink" Target="http://thefoodtrust.org/uploads/media_items/access-to-healthy-food.original.pdf" TargetMode="External"/><Relationship Id="rId16" Type="http://schemas.openxmlformats.org/officeDocument/2006/relationships/hyperlink" Target="http://www.ncceh.ca/sites/default/files/Active_Transportation_in_Urban_Areas_June_2010.pdf" TargetMode="External"/><Relationship Id="rId20" Type="http://schemas.openxmlformats.org/officeDocument/2006/relationships/hyperlink" Target="https://www.tobaccofreekids.org/facts_issues/toll_us/massachusetts" TargetMode="External"/><Relationship Id="rId29" Type="http://schemas.openxmlformats.org/officeDocument/2006/relationships/hyperlink" Target="https://www.nhlbi.nih.gov/files/docs/guidelines/obesity_guidelines_archive.pdf" TargetMode="External"/><Relationship Id="rId41" Type="http://schemas.openxmlformats.org/officeDocument/2006/relationships/hyperlink" Target="https://www.cancer.gov/about-cancer/causes-prevention/risk" TargetMode="External"/><Relationship Id="rId1" Type="http://schemas.openxmlformats.org/officeDocument/2006/relationships/hyperlink" Target="http://www.mass.gov/eohhs/docs/dph/research-epi/death-data/death-report-2014.pdf" TargetMode="External"/><Relationship Id="rId6" Type="http://schemas.openxmlformats.org/officeDocument/2006/relationships/hyperlink" Target="https://www.ers.usda.gov/data-products/food-access-research-atlas/go-to-the-atlas/" TargetMode="External"/><Relationship Id="rId11" Type="http://schemas.openxmlformats.org/officeDocument/2006/relationships/hyperlink" Target="https://foodbank.org/learn-more/hunger-in-worcester-county/" TargetMode="External"/><Relationship Id="rId24" Type="http://schemas.openxmlformats.org/officeDocument/2006/relationships/hyperlink" Target="http://www.mass.gov/eohhs/gov/departments/dph/programs/mtcp/secondhand-smoke/secondhand-smoke.html" TargetMode="External"/><Relationship Id="rId32" Type="http://schemas.openxmlformats.org/officeDocument/2006/relationships/hyperlink" Target="https://www.cdc.gov/mmwr/preview/mmwrhtml/su6203a20.htm?s_cid=su6203a20_w" TargetMode="External"/><Relationship Id="rId37" Type="http://schemas.openxmlformats.org/officeDocument/2006/relationships/hyperlink" Target="http://www.mass.gov/anf/budget-taxes-and-procurement/oversight-agencies/health-policy-commission/2014-cost-trends-report.pdf" TargetMode="External"/><Relationship Id="rId40" Type="http://schemas.openxmlformats.org/officeDocument/2006/relationships/hyperlink" Target="https://seer.cancer.gov/statfacts/html/lungb.html" TargetMode="External"/><Relationship Id="rId45" Type="http://schemas.openxmlformats.org/officeDocument/2006/relationships/hyperlink" Target="https://seer.cancer.gov/statfacts/html/prost.html" TargetMode="External"/><Relationship Id="rId5" Type="http://schemas.openxmlformats.org/officeDocument/2006/relationships/hyperlink" Target="http://www.mass.gov/eohhs/gov/departments/dph/programs/admin/dmoa/health-survey/brfss/statewide-reports-and-presentations.html" TargetMode="External"/><Relationship Id="rId15" Type="http://schemas.openxmlformats.org/officeDocument/2006/relationships/hyperlink" Target="https://www.cdc.gov/physicalactivity/basics/index.htm" TargetMode="External"/><Relationship Id="rId23" Type="http://schemas.openxmlformats.org/officeDocument/2006/relationships/hyperlink" Target="http://www.mass.gov/eohhs/docs/dph/tobacco-control/end-use-hgh-school.pdf" TargetMode="External"/><Relationship Id="rId28" Type="http://schemas.openxmlformats.org/officeDocument/2006/relationships/hyperlink" Target="https://www.cdc.gov/obesity/data/adult.html" TargetMode="External"/><Relationship Id="rId36" Type="http://schemas.openxmlformats.org/officeDocument/2006/relationships/hyperlink" Target="http://www.nhlbi.nih.gov/guidelines/asthma/asthgdln.htm" TargetMode="External"/><Relationship Id="rId10" Type="http://schemas.openxmlformats.org/officeDocument/2006/relationships/hyperlink" Target="http://www.projectbread.org/get-the-facts/reports-and-studies/" TargetMode="External"/><Relationship Id="rId19" Type="http://schemas.openxmlformats.org/officeDocument/2006/relationships/hyperlink" Target="http://www.nejm.org/doi/full/10.1056/NEJMra0809890" TargetMode="External"/><Relationship Id="rId31" Type="http://schemas.openxmlformats.org/officeDocument/2006/relationships/hyperlink" Target="https://www.cdc.gov/healthyschools/obesity/facts.htm.%20Accessed%20July%2021" TargetMode="External"/><Relationship Id="rId44" Type="http://schemas.openxmlformats.org/officeDocument/2006/relationships/hyperlink" Target="https://www.cancer.org/cancer/prostate-cancer.html" TargetMode="External"/><Relationship Id="rId4" Type="http://schemas.openxmlformats.org/officeDocument/2006/relationships/hyperlink" Target="http://haasinstitute.berkeley.edu/sites/default/files/Structural%20Racialization%20%20%26%20Food%20Insecurity%20in%20the%20US-%28Final%29.pdf" TargetMode="External"/><Relationship Id="rId9" Type="http://schemas.openxmlformats.org/officeDocument/2006/relationships/hyperlink" Target="https://public.tableau.com/profile/food.bank.of.western.ma" TargetMode="External"/><Relationship Id="rId14" Type="http://schemas.openxmlformats.org/officeDocument/2006/relationships/hyperlink" Target="http://gbfb.org/wp-content/uploads/2016/10/hunger-eastern-ma-2014.pdf" TargetMode="External"/><Relationship Id="rId22" Type="http://schemas.openxmlformats.org/officeDocument/2006/relationships/hyperlink" Target="https://www.tobaccofreekids.org/research/factsheets/pdf/0382.pdf" TargetMode="External"/><Relationship Id="rId27" Type="http://schemas.openxmlformats.org/officeDocument/2006/relationships/hyperlink" Target="http://www.mass.gov/eohhs/docs/dph/tobacco-control/adults-exposed-to-secondhand-smoke.pdf" TargetMode="External"/><Relationship Id="rId30" Type="http://schemas.openxmlformats.org/officeDocument/2006/relationships/hyperlink" Target="https://www.cdc.gov/mmwr/preview/mmwrhtml/su6203a20.htm?s_cid=su6203a20_w" TargetMode="External"/><Relationship Id="rId35" Type="http://schemas.openxmlformats.org/officeDocument/2006/relationships/hyperlink" Target="https://www.cdc.gov/stroke/facts.htm" TargetMode="External"/><Relationship Id="rId43" Type="http://schemas.openxmlformats.org/officeDocument/2006/relationships/hyperlink" Target="https://www.cancer.org/cancer/colon-rectal-cancer/about/what-is-colorectal-cancer.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embeddings/oleObject1.bin"/><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7.xml"/></Relationships>
</file>

<file path=word/charts/_rels/chart2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8.xml"/></Relationships>
</file>

<file path=word/charts/_rels/chart2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19.xml"/></Relationships>
</file>

<file path=word/charts/_rels/chart3.xml.rels><?xml version="1.0" encoding="UTF-8" standalone="yes"?>
<Relationships xmlns="http://schemas.openxmlformats.org/package/2006/relationships"><Relationship Id="rId1"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8\Chloe\Ch%208%20figures.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HRIA-FS\Berkeley\Common\Research&amp;Eval%20Dept\R&amp;E%20ACTIVE%20PROJECTS\MA%20SHA\SHA%20Report\Updated%20Public%20Comment%20Draft\Chapter%208%20Wellness%20and%20Chronic%20Disease%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1-28F8-464A-93DE-080C2AD04C0F}"/>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3-28F8-464A-93DE-080C2AD04C0F}"/>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5-28F8-464A-93DE-080C2AD04C0F}"/>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7-28F8-464A-93DE-080C2AD04C0F}"/>
              </c:ext>
            </c:extLst>
          </c:dPt>
          <c:dLbls>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'Fig 1'!$F$4:$F$7</c:f>
                <c:numCache>
                  <c:formatCode>General</c:formatCode>
                  <c:ptCount val="4"/>
                  <c:pt idx="0">
                    <c:v>4.5</c:v>
                  </c:pt>
                  <c:pt idx="1">
                    <c:v>2.5</c:v>
                  </c:pt>
                  <c:pt idx="2">
                    <c:v>2.5</c:v>
                  </c:pt>
                  <c:pt idx="3">
                    <c:v>1.6999999999999993</c:v>
                  </c:pt>
                </c:numCache>
              </c:numRef>
            </c:plus>
            <c:minus>
              <c:numRef>
                <c:f>'Fig 1'!$E$4:$E$7</c:f>
                <c:numCache>
                  <c:formatCode>General</c:formatCode>
                  <c:ptCount val="4"/>
                  <c:pt idx="0">
                    <c:v>4.3999999999999986</c:v>
                  </c:pt>
                  <c:pt idx="1">
                    <c:v>2.5999999999999996</c:v>
                  </c:pt>
                  <c:pt idx="2">
                    <c:v>2.5</c:v>
                  </c:pt>
                  <c:pt idx="3">
                    <c:v>1.7000000000000028</c:v>
                  </c:pt>
                </c:numCache>
              </c:numRef>
            </c:minus>
            <c:spPr>
              <a:ln>
                <a:solidFill>
                  <a:schemeClr val="bg1">
                    <a:lumMod val="50000"/>
                  </a:schemeClr>
                </a:solidFill>
              </a:ln>
            </c:spPr>
          </c:errBars>
          <c:cat>
            <c:strRef>
              <c:f>'Fig 1'!$A$4:$A$7</c:f>
              <c:strCache>
                <c:ptCount val="4"/>
                <c:pt idx="0">
                  <c:v>Less than HS</c:v>
                </c:pt>
                <c:pt idx="1">
                  <c:v>HS</c:v>
                </c:pt>
                <c:pt idx="2">
                  <c:v>College 1-3 yrs</c:v>
                </c:pt>
                <c:pt idx="3">
                  <c:v>College 4+ yrs</c:v>
                </c:pt>
              </c:strCache>
            </c:strRef>
          </c:cat>
          <c:val>
            <c:numRef>
              <c:f>'Fig 1'!$B$4:$B$7</c:f>
              <c:numCache>
                <c:formatCode>General</c:formatCode>
                <c:ptCount val="4"/>
                <c:pt idx="0">
                  <c:v>14.2</c:v>
                </c:pt>
                <c:pt idx="1">
                  <c:v>17.2</c:v>
                </c:pt>
                <c:pt idx="2">
                  <c:v>18.8</c:v>
                </c:pt>
                <c:pt idx="3">
                  <c:v>23.1</c:v>
                </c:pt>
              </c:numCache>
            </c:numRef>
          </c:val>
          <c:extLst xmlns:c16r2="http://schemas.microsoft.com/office/drawing/2015/06/chart">
            <c:ext xmlns:c16="http://schemas.microsoft.com/office/drawing/2014/chart" uri="{C3380CC4-5D6E-409C-BE32-E72D297353CC}">
              <c16:uniqueId val="{00000008-28F8-464A-93DE-080C2AD04C0F}"/>
            </c:ext>
          </c:extLst>
        </c:ser>
        <c:dLbls>
          <c:showLegendKey val="0"/>
          <c:showVal val="0"/>
          <c:showCatName val="0"/>
          <c:showSerName val="0"/>
          <c:showPercent val="0"/>
          <c:showBubbleSize val="0"/>
        </c:dLbls>
        <c:gapWidth val="150"/>
        <c:overlap val="100"/>
        <c:axId val="267093888"/>
        <c:axId val="267095424"/>
      </c:barChart>
      <c:catAx>
        <c:axId val="267093888"/>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267095424"/>
        <c:crosses val="autoZero"/>
        <c:auto val="0"/>
        <c:lblAlgn val="ctr"/>
        <c:lblOffset val="100"/>
        <c:noMultiLvlLbl val="0"/>
      </c:catAx>
      <c:valAx>
        <c:axId val="267095424"/>
        <c:scaling>
          <c:orientation val="minMax"/>
          <c:max val="50"/>
          <c:min val="0"/>
        </c:scaling>
        <c:delete val="0"/>
        <c:axPos val="l"/>
        <c:title>
          <c:tx>
            <c:rich>
              <a:bodyPr rot="-5400000" vert="horz"/>
              <a:lstStyle/>
              <a:p>
                <a:pPr>
                  <a:defRPr b="1"/>
                </a:pPr>
                <a:r>
                  <a:rPr lang="en-US" b="1"/>
                  <a:t>Percent</a:t>
                </a:r>
                <a:r>
                  <a:rPr lang="en-US" b="1" baseline="0"/>
                  <a:t> of Adults</a:t>
                </a:r>
                <a:endParaRPr lang="en-US" b="1"/>
              </a:p>
            </c:rich>
          </c:tx>
          <c:overlay val="0"/>
        </c:title>
        <c:numFmt formatCode="General" sourceLinked="1"/>
        <c:majorTickMark val="out"/>
        <c:minorTickMark val="none"/>
        <c:tickLblPos val="nextTo"/>
        <c:spPr>
          <a:ln>
            <a:noFill/>
          </a:ln>
        </c:spPr>
        <c:crossAx val="267093888"/>
        <c:crosses val="autoZero"/>
        <c:crossBetween val="between"/>
        <c:majorUnit val="10"/>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029659413140736"/>
          <c:y val="3.3033025222145324E-2"/>
          <c:w val="0.59065691256678021"/>
          <c:h val="0.87655295542969947"/>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1-24BD-4820-A134-48C09CAA2992}"/>
              </c:ext>
            </c:extLst>
          </c:dPt>
          <c:dPt>
            <c:idx val="1"/>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3-24BD-4820-A134-48C09CAA2992}"/>
              </c:ext>
            </c:extLst>
          </c:dPt>
          <c:dPt>
            <c:idx val="2"/>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05-24BD-4820-A134-48C09CAA2992}"/>
              </c:ext>
            </c:extLst>
          </c:dPt>
          <c:dPt>
            <c:idx val="5"/>
            <c:invertIfNegative val="0"/>
            <c:bubble3D val="0"/>
            <c:spPr>
              <a:pattFill prst="ltDn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7-24BD-4820-A134-48C09CAA2992}"/>
              </c:ext>
            </c:extLst>
          </c:dPt>
          <c:dPt>
            <c:idx val="6"/>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9-24BD-4820-A134-48C09CAA2992}"/>
              </c:ext>
            </c:extLst>
          </c:dPt>
          <c:dPt>
            <c:idx val="8"/>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B-24BD-4820-A134-48C09CAA2992}"/>
              </c:ext>
            </c:extLst>
          </c:dPt>
          <c:dPt>
            <c:idx val="9"/>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D-24BD-4820-A134-48C09CAA2992}"/>
              </c:ext>
            </c:extLst>
          </c:dPt>
          <c:dPt>
            <c:idx val="10"/>
            <c:invertIfNegative val="0"/>
            <c:bubble3D val="0"/>
            <c:spPr>
              <a:pattFill prst="ltDn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0F-24BD-4820-A134-48C09CAA2992}"/>
              </c:ext>
            </c:extLst>
          </c:dPt>
          <c:dPt>
            <c:idx val="11"/>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11-24BD-4820-A134-48C09CAA2992}"/>
              </c:ext>
            </c:extLst>
          </c:dPt>
          <c:dLbls>
            <c:dLbl>
              <c:idx val="0"/>
              <c:layout>
                <c:manualLayout>
                  <c:x val="2.3301410859145388E-2"/>
                  <c:y val="1.9883874198488066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BD-4820-A134-48C09CAA2992}"/>
                </c:ext>
              </c:extLst>
            </c:dLbl>
            <c:dLbl>
              <c:idx val="1"/>
              <c:layout>
                <c:manualLayout>
                  <c:x val="8.1554938007009123E-2"/>
                  <c:y val="2.3147876139159047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4BD-4820-A134-48C09CAA2992}"/>
                </c:ext>
              </c:extLst>
            </c:dLbl>
            <c:dLbl>
              <c:idx val="2"/>
              <c:layout>
                <c:manualLayout>
                  <c:x val="5.242817443307736E-2"/>
                  <c:y val="1.9883874200224158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4BD-4820-A134-48C09CAA2992}"/>
                </c:ext>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24BD-4820-A134-48C09CAA2992}"/>
                </c:ext>
              </c:extLst>
            </c:dLbl>
            <c:dLbl>
              <c:idx val="5"/>
              <c:layout>
                <c:manualLayout>
                  <c:x val="4.0777469003504721E-2"/>
                  <c:y val="1.9883874202538946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4BD-4820-A134-48C09CAA2992}"/>
                </c:ext>
              </c:extLst>
            </c:dLbl>
            <c:dLbl>
              <c:idx val="6"/>
              <c:layout>
                <c:manualLayout>
                  <c:x val="1.7476058144359014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4BD-4820-A134-48C09CAA2992}"/>
                </c:ext>
              </c:extLst>
            </c:dLbl>
            <c:dLbl>
              <c:idx val="8"/>
              <c:layout>
                <c:manualLayout>
                  <c:x val="6.6991556220043186E-2"/>
                  <c:y val="1.988387420716852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4BD-4820-A134-48C09CAA2992}"/>
                </c:ext>
              </c:extLst>
            </c:dLbl>
            <c:dLbl>
              <c:idx val="9"/>
              <c:layout>
                <c:manualLayout>
                  <c:x val="4.3690145360897693E-2"/>
                  <c:y val="1.988387419790937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4BD-4820-A134-48C09CAA2992}"/>
                </c:ext>
              </c:extLst>
            </c:dLbl>
            <c:dLbl>
              <c:idx val="10"/>
              <c:layout>
                <c:manualLayout>
                  <c:x val="2.621408721653868E-2"/>
                  <c:y val="9.2591504556636189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24BD-4820-A134-48C09CAA2992}"/>
                </c:ext>
              </c:extLst>
            </c:dLbl>
            <c:dLbl>
              <c:idx val="11"/>
              <c:layout>
                <c:manualLayout>
                  <c:x val="1.4563381786965828E-2"/>
                  <c:y val="5.9651622593728104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24BD-4820-A134-48C09CAA299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'8.12'!$F$6:$F$17</c:f>
                <c:numCache>
                  <c:formatCode>General</c:formatCode>
                  <c:ptCount val="12"/>
                  <c:pt idx="0">
                    <c:v>1.4000000000000021</c:v>
                  </c:pt>
                  <c:pt idx="1">
                    <c:v>6.8999999999999986</c:v>
                  </c:pt>
                  <c:pt idx="2">
                    <c:v>4.5</c:v>
                  </c:pt>
                  <c:pt idx="5">
                    <c:v>3.1000000000000014</c:v>
                  </c:pt>
                  <c:pt idx="6">
                    <c:v>1.5</c:v>
                  </c:pt>
                  <c:pt idx="8">
                    <c:v>5.8999999999999986</c:v>
                  </c:pt>
                  <c:pt idx="9">
                    <c:v>2.9000000000000021</c:v>
                  </c:pt>
                  <c:pt idx="10">
                    <c:v>2.6000000000000014</c:v>
                  </c:pt>
                  <c:pt idx="11">
                    <c:v>1.5</c:v>
                  </c:pt>
                </c:numCache>
              </c:numRef>
            </c:plus>
            <c:minus>
              <c:numRef>
                <c:f>'8.12'!$G$6:$G$17</c:f>
                <c:numCache>
                  <c:formatCode>General</c:formatCode>
                  <c:ptCount val="12"/>
                  <c:pt idx="0">
                    <c:v>1.3999999999999986</c:v>
                  </c:pt>
                  <c:pt idx="1">
                    <c:v>6.9000000000000021</c:v>
                  </c:pt>
                  <c:pt idx="2">
                    <c:v>4.5</c:v>
                  </c:pt>
                  <c:pt idx="5">
                    <c:v>3.0999999999999979</c:v>
                  </c:pt>
                  <c:pt idx="6">
                    <c:v>1.5</c:v>
                  </c:pt>
                  <c:pt idx="8">
                    <c:v>5.8999999999999986</c:v>
                  </c:pt>
                  <c:pt idx="9">
                    <c:v>2.8000000000000007</c:v>
                  </c:pt>
                  <c:pt idx="10">
                    <c:v>2.5999999999999979</c:v>
                  </c:pt>
                  <c:pt idx="11">
                    <c:v>1.6000000000000014</c:v>
                  </c:pt>
                </c:numCache>
              </c:numRef>
            </c:minus>
            <c:spPr>
              <a:noFill/>
              <a:ln w="9525" cap="flat" cmpd="sng" algn="ctr">
                <a:solidFill>
                  <a:schemeClr val="bg1">
                    <a:lumMod val="50000"/>
                  </a:schemeClr>
                </a:solidFill>
                <a:round/>
              </a:ln>
              <a:effectLst/>
            </c:spPr>
          </c:errBars>
          <c:cat>
            <c:strRef>
              <c:f>'8.12'!$B$6:$B$17</c:f>
              <c:strCache>
                <c:ptCount val="12"/>
                <c:pt idx="0">
                  <c:v>White non-Hispanic</c:v>
                </c:pt>
                <c:pt idx="1">
                  <c:v>Black non-Hispanic</c:v>
                </c:pt>
                <c:pt idx="2">
                  <c:v>Hispanic</c:v>
                </c:pt>
                <c:pt idx="3">
                  <c:v>Asian non-Hispanic</c:v>
                </c:pt>
                <c:pt idx="5">
                  <c:v>     Disability</c:v>
                </c:pt>
                <c:pt idx="6">
                  <c:v>No disability</c:v>
                </c:pt>
                <c:pt idx="8">
                  <c:v>     &lt; High school</c:v>
                </c:pt>
                <c:pt idx="9">
                  <c:v> High school</c:v>
                </c:pt>
                <c:pt idx="10">
                  <c:v>College 1–3 yrs</c:v>
                </c:pt>
                <c:pt idx="11">
                  <c:v>College 4+ yrs</c:v>
                </c:pt>
              </c:strCache>
            </c:strRef>
          </c:cat>
          <c:val>
            <c:numRef>
              <c:f>'8.12'!$C$6:$C$17</c:f>
              <c:numCache>
                <c:formatCode>0</c:formatCode>
                <c:ptCount val="12"/>
                <c:pt idx="0">
                  <c:v>22.7</c:v>
                </c:pt>
                <c:pt idx="1">
                  <c:v>35.6</c:v>
                </c:pt>
                <c:pt idx="2">
                  <c:v>28.9</c:v>
                </c:pt>
                <c:pt idx="3">
                  <c:v>0</c:v>
                </c:pt>
                <c:pt idx="5">
                  <c:v>34.299999999999997</c:v>
                </c:pt>
                <c:pt idx="6">
                  <c:v>20.7</c:v>
                </c:pt>
                <c:pt idx="8">
                  <c:v>32.5</c:v>
                </c:pt>
                <c:pt idx="9">
                  <c:v>27.7</c:v>
                </c:pt>
                <c:pt idx="10">
                  <c:v>23.7</c:v>
                </c:pt>
                <c:pt idx="11">
                  <c:v>18</c:v>
                </c:pt>
              </c:numCache>
            </c:numRef>
          </c:val>
          <c:extLst xmlns:c16r2="http://schemas.microsoft.com/office/drawing/2015/06/chart">
            <c:ext xmlns:c16="http://schemas.microsoft.com/office/drawing/2014/chart" uri="{C3380CC4-5D6E-409C-BE32-E72D297353CC}">
              <c16:uniqueId val="{00000013-24BD-4820-A134-48C09CAA2992}"/>
            </c:ext>
          </c:extLst>
        </c:ser>
        <c:dLbls>
          <c:dLblPos val="outEnd"/>
          <c:showLegendKey val="0"/>
          <c:showVal val="1"/>
          <c:showCatName val="0"/>
          <c:showSerName val="0"/>
          <c:showPercent val="0"/>
          <c:showBubbleSize val="0"/>
        </c:dLbls>
        <c:gapWidth val="37"/>
        <c:axId val="298818176"/>
        <c:axId val="299041152"/>
      </c:barChart>
      <c:catAx>
        <c:axId val="2988181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041152"/>
        <c:crosses val="autoZero"/>
        <c:auto val="1"/>
        <c:lblAlgn val="ctr"/>
        <c:lblOffset val="100"/>
        <c:noMultiLvlLbl val="0"/>
      </c:catAx>
      <c:valAx>
        <c:axId val="299041152"/>
        <c:scaling>
          <c:orientation val="minMax"/>
          <c:max val="5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818176"/>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'8.13'!$A$4</c:f>
              <c:strCache>
                <c:ptCount val="1"/>
                <c:pt idx="0">
                  <c:v>Alabama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'8.13'!$B$4:$G$4</c:f>
              <c:numCache>
                <c:formatCode>General</c:formatCode>
                <c:ptCount val="6"/>
                <c:pt idx="0">
                  <c:v>13.2</c:v>
                </c:pt>
                <c:pt idx="1">
                  <c:v>14.1</c:v>
                </c:pt>
                <c:pt idx="2">
                  <c:v>14.9</c:v>
                </c:pt>
                <c:pt idx="3">
                  <c:v>15.8</c:v>
                </c:pt>
                <c:pt idx="4">
                  <c:v>15.6</c:v>
                </c:pt>
                <c:pt idx="5">
                  <c:v>16.3</c:v>
                </c:pt>
              </c:numCache>
            </c:numRef>
          </c:val>
          <c:smooth val="0"/>
        </c:ser>
        <c:ser>
          <c:idx val="1"/>
          <c:order val="1"/>
          <c:tx>
            <c:strRef>
              <c:f>'8.13'!$A$5</c:f>
              <c:strCache>
                <c:ptCount val="1"/>
                <c:pt idx="0">
                  <c:v>Alaska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'8.13'!$B$5:$G$5</c:f>
              <c:numCache>
                <c:formatCode>General</c:formatCode>
                <c:ptCount val="6"/>
                <c:pt idx="0">
                  <c:v>18.8</c:v>
                </c:pt>
                <c:pt idx="1">
                  <c:v>20.6</c:v>
                </c:pt>
                <c:pt idx="2">
                  <c:v>20.6</c:v>
                </c:pt>
                <c:pt idx="3">
                  <c:v>21.2</c:v>
                </c:pt>
                <c:pt idx="4">
                  <c:v>20.6</c:v>
                </c:pt>
                <c:pt idx="5">
                  <c:v>19.100000000000001</c:v>
                </c:pt>
              </c:numCache>
            </c:numRef>
          </c:val>
          <c:smooth val="0"/>
        </c:ser>
        <c:ser>
          <c:idx val="2"/>
          <c:order val="2"/>
          <c:tx>
            <c:strRef>
              <c:f>'8.13'!$A$6</c:f>
              <c:strCache>
                <c:ptCount val="1"/>
                <c:pt idx="0">
                  <c:v>Arizona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'8.13'!$B$6:$G$6</c:f>
              <c:numCache>
                <c:formatCode>General</c:formatCode>
                <c:ptCount val="6"/>
                <c:pt idx="0">
                  <c:v>11.3</c:v>
                </c:pt>
                <c:pt idx="1">
                  <c:v>12.1</c:v>
                </c:pt>
                <c:pt idx="2">
                  <c:v>15.6</c:v>
                </c:pt>
                <c:pt idx="3">
                  <c:v>15</c:v>
                </c:pt>
                <c:pt idx="4">
                  <c:v>14.9</c:v>
                </c:pt>
                <c:pt idx="5">
                  <c:v>13.3</c:v>
                </c:pt>
              </c:numCache>
            </c:numRef>
          </c:val>
          <c:smooth val="0"/>
        </c:ser>
        <c:ser>
          <c:idx val="3"/>
          <c:order val="3"/>
          <c:tx>
            <c:strRef>
              <c:f>'8.13'!$A$7</c:f>
              <c:strCache>
                <c:ptCount val="1"/>
                <c:pt idx="0">
                  <c:v>Arkansas</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'8.13'!$B$7:$G$7</c:f>
              <c:numCache>
                <c:formatCode>General</c:formatCode>
                <c:ptCount val="6"/>
                <c:pt idx="0">
                  <c:v>11</c:v>
                </c:pt>
                <c:pt idx="1">
                  <c:v>12.5</c:v>
                </c:pt>
                <c:pt idx="2">
                  <c:v>13.7</c:v>
                </c:pt>
                <c:pt idx="3">
                  <c:v>14.8</c:v>
                </c:pt>
                <c:pt idx="4">
                  <c:v>14.6</c:v>
                </c:pt>
                <c:pt idx="5">
                  <c:v>14.4</c:v>
                </c:pt>
              </c:numCache>
            </c:numRef>
          </c:val>
          <c:smooth val="0"/>
        </c:ser>
        <c:ser>
          <c:idx val="4"/>
          <c:order val="4"/>
          <c:tx>
            <c:strRef>
              <c:f>'8.13'!$A$8</c:f>
              <c:strCache>
                <c:ptCount val="1"/>
                <c:pt idx="0">
                  <c:v>California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'8.13'!$B$8:$G$8</c:f>
              <c:numCache>
                <c:formatCode>General</c:formatCode>
                <c:ptCount val="6"/>
                <c:pt idx="0">
                  <c:v>16.399999999999999</c:v>
                </c:pt>
                <c:pt idx="1">
                  <c:v>16.399999999999999</c:v>
                </c:pt>
                <c:pt idx="2">
                  <c:v>18.5</c:v>
                </c:pt>
                <c:pt idx="3">
                  <c:v>18.399999999999999</c:v>
                </c:pt>
                <c:pt idx="4">
                  <c:v>17.600000000000001</c:v>
                </c:pt>
                <c:pt idx="5">
                  <c:v>16.600000000000001</c:v>
                </c:pt>
              </c:numCache>
            </c:numRef>
          </c:val>
          <c:smooth val="0"/>
        </c:ser>
        <c:ser>
          <c:idx val="5"/>
          <c:order val="5"/>
          <c:tx>
            <c:strRef>
              <c:f>'8.13'!$A$9</c:f>
              <c:strCache>
                <c:ptCount val="1"/>
                <c:pt idx="0">
                  <c:v>Colorado</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'8.13'!$B$9:$G$9</c:f>
              <c:numCache>
                <c:formatCode>General</c:formatCode>
                <c:ptCount val="6"/>
                <c:pt idx="0">
                  <c:v>8.4</c:v>
                </c:pt>
                <c:pt idx="1">
                  <c:v>9.8000000000000007</c:v>
                </c:pt>
                <c:pt idx="2">
                  <c:v>9.6</c:v>
                </c:pt>
                <c:pt idx="3">
                  <c:v>9.6</c:v>
                </c:pt>
                <c:pt idx="4">
                  <c:v>8.9</c:v>
                </c:pt>
                <c:pt idx="5">
                  <c:v>8.5</c:v>
                </c:pt>
              </c:numCache>
            </c:numRef>
          </c:val>
          <c:smooth val="0"/>
        </c:ser>
        <c:ser>
          <c:idx val="6"/>
          <c:order val="6"/>
          <c:tx>
            <c:strRef>
              <c:f>'8.13'!$A$10</c:f>
              <c:strCache>
                <c:ptCount val="1"/>
                <c:pt idx="0">
                  <c:v>Connecticut</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'8.13'!$B$10:$G$10</c:f>
              <c:numCache>
                <c:formatCode>General</c:formatCode>
                <c:ptCount val="6"/>
                <c:pt idx="0">
                  <c:v>16.899999999999999</c:v>
                </c:pt>
                <c:pt idx="1">
                  <c:v>17.8</c:v>
                </c:pt>
                <c:pt idx="2">
                  <c:v>16.8</c:v>
                </c:pt>
                <c:pt idx="3">
                  <c:v>17.100000000000001</c:v>
                </c:pt>
                <c:pt idx="4">
                  <c:v>16.600000000000001</c:v>
                </c:pt>
                <c:pt idx="5">
                  <c:v>15.3</c:v>
                </c:pt>
              </c:numCache>
            </c:numRef>
          </c:val>
          <c:smooth val="0"/>
        </c:ser>
        <c:ser>
          <c:idx val="7"/>
          <c:order val="7"/>
          <c:tx>
            <c:strRef>
              <c:f>'8.13'!$A$11</c:f>
              <c:strCache>
                <c:ptCount val="1"/>
                <c:pt idx="0">
                  <c:v>Delaware</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'8.13'!$B$11:$G$11</c:f>
              <c:numCache>
                <c:formatCode>General</c:formatCode>
                <c:ptCount val="6"/>
                <c:pt idx="0">
                  <c:v>14.9</c:v>
                </c:pt>
                <c:pt idx="1">
                  <c:v>15.5</c:v>
                </c:pt>
                <c:pt idx="2">
                  <c:v>17.3</c:v>
                </c:pt>
                <c:pt idx="3">
                  <c:v>18.399999999999999</c:v>
                </c:pt>
                <c:pt idx="4">
                  <c:v>16.899999999999999</c:v>
                </c:pt>
                <c:pt idx="5">
                  <c:v>17.2</c:v>
                </c:pt>
              </c:numCache>
            </c:numRef>
          </c:val>
          <c:smooth val="0"/>
        </c:ser>
        <c:ser>
          <c:idx val="8"/>
          <c:order val="8"/>
          <c:tx>
            <c:strRef>
              <c:f>'8.13'!$A$12</c:f>
              <c:strCache>
                <c:ptCount val="1"/>
                <c:pt idx="0">
                  <c:v>DC</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'8.13'!$B$12:$G$12</c:f>
              <c:numCache>
                <c:formatCode>General</c:formatCode>
                <c:ptCount val="6"/>
                <c:pt idx="0">
                  <c:v>13.4</c:v>
                </c:pt>
                <c:pt idx="1">
                  <c:v>14</c:v>
                </c:pt>
                <c:pt idx="2">
                  <c:v>14.5</c:v>
                </c:pt>
                <c:pt idx="3">
                  <c:v>14.4</c:v>
                </c:pt>
                <c:pt idx="4">
                  <c:v>14.4</c:v>
                </c:pt>
                <c:pt idx="5">
                  <c:v>13</c:v>
                </c:pt>
              </c:numCache>
            </c:numRef>
          </c:val>
          <c:smooth val="0"/>
        </c:ser>
        <c:ser>
          <c:idx val="9"/>
          <c:order val="9"/>
          <c:tx>
            <c:strRef>
              <c:f>'8.13'!$A$13</c:f>
              <c:strCache>
                <c:ptCount val="1"/>
                <c:pt idx="0">
                  <c:v>Florida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'8.13'!$B$13:$G$13</c:f>
              <c:numCache>
                <c:formatCode>General</c:formatCode>
                <c:ptCount val="6"/>
                <c:pt idx="0">
                  <c:v>13.2</c:v>
                </c:pt>
                <c:pt idx="1">
                  <c:v>14.5</c:v>
                </c:pt>
                <c:pt idx="2">
                  <c:v>15</c:v>
                </c:pt>
                <c:pt idx="3">
                  <c:v>14.6</c:v>
                </c:pt>
                <c:pt idx="4">
                  <c:v>13.7</c:v>
                </c:pt>
                <c:pt idx="5">
                  <c:v>12.7</c:v>
                </c:pt>
              </c:numCache>
            </c:numRef>
          </c:val>
          <c:smooth val="0"/>
        </c:ser>
        <c:ser>
          <c:idx val="10"/>
          <c:order val="10"/>
          <c:tx>
            <c:strRef>
              <c:f>'8.13'!$A$14</c:f>
              <c:strCache>
                <c:ptCount val="1"/>
                <c:pt idx="0">
                  <c:v>Georgia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'8.13'!$B$14:$G$14</c:f>
              <c:numCache>
                <c:formatCode>General</c:formatCode>
                <c:ptCount val="6"/>
                <c:pt idx="0">
                  <c:v>11.5</c:v>
                </c:pt>
                <c:pt idx="1">
                  <c:v>13.3</c:v>
                </c:pt>
                <c:pt idx="2">
                  <c:v>15.3</c:v>
                </c:pt>
                <c:pt idx="3">
                  <c:v>14.4</c:v>
                </c:pt>
                <c:pt idx="4">
                  <c:v>13.4</c:v>
                </c:pt>
                <c:pt idx="5">
                  <c:v>13</c:v>
                </c:pt>
              </c:numCache>
            </c:numRef>
          </c:val>
          <c:smooth val="0"/>
        </c:ser>
        <c:ser>
          <c:idx val="11"/>
          <c:order val="11"/>
          <c:tx>
            <c:strRef>
              <c:f>'8.13'!#REF!</c:f>
              <c:strCache>
                <c:ptCount val="1"/>
                <c:pt idx="0">
                  <c:v>#REF!</c:v>
                </c:pt>
              </c:strCache>
            </c:strRef>
          </c:tx>
          <c:spPr>
            <a:ln w="28575" cap="rnd">
              <a:solidFill>
                <a:schemeClr val="accent6">
                  <a:lumMod val="60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'8.13'!#REF!</c:f>
              <c:numCache>
                <c:formatCode>General</c:formatCode>
                <c:ptCount val="1"/>
                <c:pt idx="0">
                  <c:v>1</c:v>
                </c:pt>
              </c:numCache>
            </c:numRef>
          </c:val>
          <c:smooth val="0"/>
        </c:ser>
        <c:ser>
          <c:idx val="12"/>
          <c:order val="12"/>
          <c:tx>
            <c:strRef>
              <c:f>'8.13'!$A$15</c:f>
              <c:strCache>
                <c:ptCount val="1"/>
                <c:pt idx="0">
                  <c:v>Idaho</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'8.13'!$B$15:$G$15</c:f>
              <c:numCache>
                <c:formatCode>General</c:formatCode>
                <c:ptCount val="6"/>
                <c:pt idx="0">
                  <c:v>10.8</c:v>
                </c:pt>
                <c:pt idx="1">
                  <c:v>12.3</c:v>
                </c:pt>
                <c:pt idx="2">
                  <c:v>12.6</c:v>
                </c:pt>
                <c:pt idx="3">
                  <c:v>11.9</c:v>
                </c:pt>
                <c:pt idx="4">
                  <c:v>11.8</c:v>
                </c:pt>
                <c:pt idx="5">
                  <c:v>11.6</c:v>
                </c:pt>
              </c:numCache>
            </c:numRef>
          </c:val>
          <c:smooth val="0"/>
        </c:ser>
        <c:ser>
          <c:idx val="13"/>
          <c:order val="13"/>
          <c:tx>
            <c:strRef>
              <c:f>'8.13'!$A$16</c:f>
              <c:strCache>
                <c:ptCount val="1"/>
                <c:pt idx="0">
                  <c:v>Illinois</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'8.13'!$B$16:$G$16</c:f>
              <c:numCache>
                <c:formatCode>General</c:formatCode>
                <c:ptCount val="6"/>
                <c:pt idx="0">
                  <c:v>16.2</c:v>
                </c:pt>
                <c:pt idx="1">
                  <c:v>20.3</c:v>
                </c:pt>
                <c:pt idx="2">
                  <c:v>15.8</c:v>
                </c:pt>
                <c:pt idx="3">
                  <c:v>15.7</c:v>
                </c:pt>
                <c:pt idx="4">
                  <c:v>15.9</c:v>
                </c:pt>
                <c:pt idx="5">
                  <c:v>15.2</c:v>
                </c:pt>
              </c:numCache>
            </c:numRef>
          </c:val>
          <c:smooth val="0"/>
        </c:ser>
        <c:ser>
          <c:idx val="14"/>
          <c:order val="14"/>
          <c:tx>
            <c:strRef>
              <c:f>'8.13'!$A$17</c:f>
              <c:strCache>
                <c:ptCount val="1"/>
                <c:pt idx="0">
                  <c:v>Indiana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'8.13'!$B$17:$G$17</c:f>
              <c:numCache>
                <c:formatCode>General</c:formatCode>
                <c:ptCount val="6"/>
                <c:pt idx="0">
                  <c:v>12.5</c:v>
                </c:pt>
                <c:pt idx="1">
                  <c:v>14.6</c:v>
                </c:pt>
                <c:pt idx="2">
                  <c:v>15.2</c:v>
                </c:pt>
                <c:pt idx="3">
                  <c:v>15.1</c:v>
                </c:pt>
                <c:pt idx="4">
                  <c:v>14.7</c:v>
                </c:pt>
                <c:pt idx="5">
                  <c:v>14.3</c:v>
                </c:pt>
              </c:numCache>
            </c:numRef>
          </c:val>
          <c:smooth val="0"/>
        </c:ser>
        <c:ser>
          <c:idx val="15"/>
          <c:order val="15"/>
          <c:tx>
            <c:strRef>
              <c:f>'8.13'!$A$18</c:f>
              <c:strCache>
                <c:ptCount val="1"/>
                <c:pt idx="0">
                  <c:v>Iowa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'8.13'!$B$18:$G$18</c:f>
              <c:numCache>
                <c:formatCode>General</c:formatCode>
                <c:ptCount val="6"/>
                <c:pt idx="0">
                  <c:v>12.7</c:v>
                </c:pt>
                <c:pt idx="1">
                  <c:v>15</c:v>
                </c:pt>
                <c:pt idx="2">
                  <c:v>15.7</c:v>
                </c:pt>
                <c:pt idx="3">
                  <c:v>15.6</c:v>
                </c:pt>
                <c:pt idx="4">
                  <c:v>15.1</c:v>
                </c:pt>
                <c:pt idx="5">
                  <c:v>14.7</c:v>
                </c:pt>
              </c:numCache>
            </c:numRef>
          </c:val>
          <c:smooth val="0"/>
        </c:ser>
        <c:ser>
          <c:idx val="16"/>
          <c:order val="16"/>
          <c:tx>
            <c:strRef>
              <c:f>'8.13'!$A$19</c:f>
              <c:strCache>
                <c:ptCount val="1"/>
                <c:pt idx="0">
                  <c:v>Kansas</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'8.13'!$B$19:$G$19</c:f>
              <c:numCache>
                <c:formatCode>General</c:formatCode>
                <c:ptCount val="6"/>
                <c:pt idx="0">
                  <c:v>11.8</c:v>
                </c:pt>
                <c:pt idx="1">
                  <c:v>16.7</c:v>
                </c:pt>
                <c:pt idx="2">
                  <c:v>13.5</c:v>
                </c:pt>
                <c:pt idx="3">
                  <c:v>13.7</c:v>
                </c:pt>
                <c:pt idx="4">
                  <c:v>13.1</c:v>
                </c:pt>
                <c:pt idx="5">
                  <c:v>12.8</c:v>
                </c:pt>
              </c:numCache>
            </c:numRef>
          </c:val>
          <c:smooth val="0"/>
        </c:ser>
        <c:ser>
          <c:idx val="17"/>
          <c:order val="17"/>
          <c:tx>
            <c:strRef>
              <c:f>'8.13'!$A$20</c:f>
              <c:strCache>
                <c:ptCount val="1"/>
                <c:pt idx="0">
                  <c:v>Kentucky</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'8.13'!$B$20:$G$20</c:f>
              <c:numCache>
                <c:formatCode>General</c:formatCode>
                <c:ptCount val="6"/>
                <c:pt idx="0">
                  <c:v>14.6</c:v>
                </c:pt>
                <c:pt idx="1">
                  <c:v>16.7</c:v>
                </c:pt>
                <c:pt idx="2">
                  <c:v>16.899999999999999</c:v>
                </c:pt>
                <c:pt idx="3">
                  <c:v>18.2</c:v>
                </c:pt>
                <c:pt idx="4">
                  <c:v>13.5</c:v>
                </c:pt>
                <c:pt idx="5">
                  <c:v>13.3</c:v>
                </c:pt>
              </c:numCache>
            </c:numRef>
          </c:val>
          <c:smooth val="0"/>
        </c:ser>
        <c:ser>
          <c:idx val="18"/>
          <c:order val="18"/>
          <c:tx>
            <c:strRef>
              <c:f>'8.13'!$A$21</c:f>
              <c:strCache>
                <c:ptCount val="1"/>
                <c:pt idx="0">
                  <c:v>Louisiana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'8.13'!$B$21:$G$21</c:f>
              <c:numCache>
                <c:formatCode>General</c:formatCode>
                <c:ptCount val="6"/>
                <c:pt idx="0">
                  <c:v>12.4</c:v>
                </c:pt>
                <c:pt idx="1">
                  <c:v>14.8</c:v>
                </c:pt>
                <c:pt idx="2">
                  <c:v>15</c:v>
                </c:pt>
                <c:pt idx="3">
                  <c:v>13.8</c:v>
                </c:pt>
                <c:pt idx="4">
                  <c:v>13.8</c:v>
                </c:pt>
                <c:pt idx="5">
                  <c:v>13.2</c:v>
                </c:pt>
              </c:numCache>
            </c:numRef>
          </c:val>
          <c:smooth val="0"/>
        </c:ser>
        <c:ser>
          <c:idx val="19"/>
          <c:order val="19"/>
          <c:tx>
            <c:strRef>
              <c:f>'8.13'!$A$22</c:f>
              <c:strCache>
                <c:ptCount val="1"/>
                <c:pt idx="0">
                  <c:v>Maine</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'8.13'!$B$22:$G$22</c:f>
              <c:numCache>
                <c:formatCode>General</c:formatCode>
                <c:ptCount val="6"/>
                <c:pt idx="0">
                  <c:v>14.1</c:v>
                </c:pt>
                <c:pt idx="1">
                  <c:v>16.7</c:v>
                </c:pt>
                <c:pt idx="2">
                  <c:v>16.2</c:v>
                </c:pt>
                <c:pt idx="3">
                  <c:v>15.2</c:v>
                </c:pt>
                <c:pt idx="4">
                  <c:v>14.9</c:v>
                </c:pt>
                <c:pt idx="5">
                  <c:v>15.1</c:v>
                </c:pt>
              </c:numCache>
            </c:numRef>
          </c:val>
          <c:smooth val="0"/>
        </c:ser>
        <c:ser>
          <c:idx val="20"/>
          <c:order val="20"/>
          <c:tx>
            <c:strRef>
              <c:f>'8.13'!$A$23</c:f>
              <c:strCache>
                <c:ptCount val="1"/>
                <c:pt idx="0">
                  <c:v>Maryland</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'8.13'!$B$23:$G$23</c:f>
              <c:numCache>
                <c:formatCode>General</c:formatCode>
                <c:ptCount val="6"/>
                <c:pt idx="0">
                  <c:v>13.3</c:v>
                </c:pt>
                <c:pt idx="1">
                  <c:v>14.9</c:v>
                </c:pt>
                <c:pt idx="2">
                  <c:v>16.3</c:v>
                </c:pt>
                <c:pt idx="3">
                  <c:v>17.100000000000001</c:v>
                </c:pt>
                <c:pt idx="4">
                  <c:v>16.2</c:v>
                </c:pt>
                <c:pt idx="5">
                  <c:v>16.5</c:v>
                </c:pt>
              </c:numCache>
            </c:numRef>
          </c:val>
          <c:smooth val="0"/>
        </c:ser>
        <c:ser>
          <c:idx val="21"/>
          <c:order val="21"/>
          <c:tx>
            <c:strRef>
              <c:f>'8.13'!$A$24</c:f>
              <c:strCache>
                <c:ptCount val="1"/>
                <c:pt idx="0">
                  <c:v>Massachusetts</c:v>
                </c:pt>
              </c:strCache>
            </c:strRef>
          </c:tx>
          <c:spPr>
            <a:ln w="25400" cap="rnd">
              <a:solidFill>
                <a:srgbClr val="203864"/>
              </a:solidFill>
              <a:round/>
            </a:ln>
            <a:effectLst/>
          </c:spPr>
          <c:marker>
            <c:symbol val="circle"/>
            <c:size val="5"/>
            <c:spPr>
              <a:solidFill>
                <a:schemeClr val="bg1"/>
              </a:solidFill>
              <a:ln w="9525">
                <a:solidFill>
                  <a:srgbClr val="203864"/>
                </a:solidFill>
              </a:ln>
              <a:effectLst/>
            </c:spPr>
          </c:marker>
          <c:dLbls>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'8.13'!$B$3:$G$3</c:f>
              <c:numCache>
                <c:formatCode>General</c:formatCode>
                <c:ptCount val="6"/>
                <c:pt idx="0">
                  <c:v>2000</c:v>
                </c:pt>
                <c:pt idx="1">
                  <c:v>2004</c:v>
                </c:pt>
                <c:pt idx="2">
                  <c:v>2008</c:v>
                </c:pt>
                <c:pt idx="3">
                  <c:v>2010</c:v>
                </c:pt>
                <c:pt idx="4">
                  <c:v>2012</c:v>
                </c:pt>
                <c:pt idx="5">
                  <c:v>2014</c:v>
                </c:pt>
              </c:numCache>
            </c:numRef>
          </c:cat>
          <c:val>
            <c:numRef>
              <c:f>'8.13'!$B$24:$G$24</c:f>
              <c:numCache>
                <c:formatCode>General</c:formatCode>
                <c:ptCount val="6"/>
                <c:pt idx="0">
                  <c:v>16.3</c:v>
                </c:pt>
                <c:pt idx="1">
                  <c:v>18.100000000000001</c:v>
                </c:pt>
                <c:pt idx="2">
                  <c:v>17.8</c:v>
                </c:pt>
                <c:pt idx="3">
                  <c:v>17.100000000000001</c:v>
                </c:pt>
                <c:pt idx="4">
                  <c:v>16.899999999999999</c:v>
                </c:pt>
                <c:pt idx="5">
                  <c:v>16.600000000000001</c:v>
                </c:pt>
              </c:numCache>
            </c:numRef>
          </c:val>
          <c:smooth val="0"/>
        </c:ser>
        <c:ser>
          <c:idx val="22"/>
          <c:order val="22"/>
          <c:tx>
            <c:strRef>
              <c:f>'8.13'!$A$25</c:f>
              <c:strCache>
                <c:ptCount val="1"/>
                <c:pt idx="0">
                  <c:v>Michigan</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'8.13'!$B$25:$G$25</c:f>
              <c:numCache>
                <c:formatCode>General</c:formatCode>
                <c:ptCount val="6"/>
                <c:pt idx="0">
                  <c:v>12.3</c:v>
                </c:pt>
                <c:pt idx="1">
                  <c:v>13.9</c:v>
                </c:pt>
                <c:pt idx="2">
                  <c:v>14.4</c:v>
                </c:pt>
                <c:pt idx="3">
                  <c:v>14.4</c:v>
                </c:pt>
                <c:pt idx="4">
                  <c:v>13.9</c:v>
                </c:pt>
                <c:pt idx="5">
                  <c:v>13.4</c:v>
                </c:pt>
              </c:numCache>
            </c:numRef>
          </c:val>
          <c:smooth val="0"/>
        </c:ser>
        <c:ser>
          <c:idx val="23"/>
          <c:order val="23"/>
          <c:tx>
            <c:strRef>
              <c:f>'8.13'!$A$26</c:f>
              <c:strCache>
                <c:ptCount val="1"/>
                <c:pt idx="0">
                  <c:v>Minnesota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'8.13'!$B$26:$G$26</c:f>
              <c:numCache>
                <c:formatCode>General</c:formatCode>
                <c:ptCount val="6"/>
                <c:pt idx="0">
                  <c:v>12.6</c:v>
                </c:pt>
                <c:pt idx="1">
                  <c:v>13.9</c:v>
                </c:pt>
                <c:pt idx="2">
                  <c:v>13</c:v>
                </c:pt>
                <c:pt idx="3">
                  <c:v>12.7</c:v>
                </c:pt>
                <c:pt idx="4">
                  <c:v>12.2</c:v>
                </c:pt>
                <c:pt idx="5">
                  <c:v>12.3</c:v>
                </c:pt>
              </c:numCache>
            </c:numRef>
          </c:val>
          <c:smooth val="0"/>
        </c:ser>
        <c:ser>
          <c:idx val="24"/>
          <c:order val="24"/>
          <c:tx>
            <c:strRef>
              <c:f>'8.13'!$A$27</c:f>
              <c:strCache>
                <c:ptCount val="1"/>
                <c:pt idx="0">
                  <c:v>Mississippi</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'8.13'!$B$27:$G$27</c:f>
              <c:numCache>
                <c:formatCode>General</c:formatCode>
                <c:ptCount val="6"/>
                <c:pt idx="0">
                  <c:v>13.2</c:v>
                </c:pt>
                <c:pt idx="1">
                  <c:v>16.399999999999999</c:v>
                </c:pt>
                <c:pt idx="2">
                  <c:v>15.8</c:v>
                </c:pt>
                <c:pt idx="3">
                  <c:v>14.9</c:v>
                </c:pt>
                <c:pt idx="4">
                  <c:v>14.8</c:v>
                </c:pt>
                <c:pt idx="5">
                  <c:v>14.5</c:v>
                </c:pt>
              </c:numCache>
            </c:numRef>
          </c:val>
          <c:smooth val="0"/>
        </c:ser>
        <c:ser>
          <c:idx val="25"/>
          <c:order val="25"/>
          <c:tx>
            <c:strRef>
              <c:f>'8.13'!$A$28</c:f>
              <c:strCache>
                <c:ptCount val="1"/>
                <c:pt idx="0">
                  <c:v>Missouri</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'8.13'!$B$28:$G$28</c:f>
              <c:numCache>
                <c:formatCode>General</c:formatCode>
                <c:ptCount val="6"/>
                <c:pt idx="0">
                  <c:v>12</c:v>
                </c:pt>
                <c:pt idx="1">
                  <c:v>14.6</c:v>
                </c:pt>
                <c:pt idx="2">
                  <c:v>14.6</c:v>
                </c:pt>
                <c:pt idx="3">
                  <c:v>14.4</c:v>
                </c:pt>
                <c:pt idx="4">
                  <c:v>13.5</c:v>
                </c:pt>
                <c:pt idx="5">
                  <c:v>13</c:v>
                </c:pt>
              </c:numCache>
            </c:numRef>
          </c:val>
          <c:smooth val="0"/>
        </c:ser>
        <c:ser>
          <c:idx val="26"/>
          <c:order val="26"/>
          <c:tx>
            <c:strRef>
              <c:f>'8.13'!$A$29</c:f>
              <c:strCache>
                <c:ptCount val="1"/>
                <c:pt idx="0">
                  <c:v>Montana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'8.13'!$B$29:$G$29</c:f>
              <c:numCache>
                <c:formatCode>General</c:formatCode>
                <c:ptCount val="6"/>
                <c:pt idx="0">
                  <c:v>10.5</c:v>
                </c:pt>
                <c:pt idx="1">
                  <c:v>12.2</c:v>
                </c:pt>
                <c:pt idx="2">
                  <c:v>13.5</c:v>
                </c:pt>
                <c:pt idx="3">
                  <c:v>13.4</c:v>
                </c:pt>
                <c:pt idx="4">
                  <c:v>11.3</c:v>
                </c:pt>
                <c:pt idx="5">
                  <c:v>12.5</c:v>
                </c:pt>
              </c:numCache>
            </c:numRef>
          </c:val>
          <c:smooth val="0"/>
        </c:ser>
        <c:ser>
          <c:idx val="27"/>
          <c:order val="27"/>
          <c:tx>
            <c:strRef>
              <c:f>'8.13'!$A$30</c:f>
              <c:strCache>
                <c:ptCount val="1"/>
                <c:pt idx="0">
                  <c:v>Nebraska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'8.13'!$B$30:$G$30</c:f>
              <c:numCache>
                <c:formatCode>General</c:formatCode>
                <c:ptCount val="6"/>
                <c:pt idx="0">
                  <c:v>13.2</c:v>
                </c:pt>
                <c:pt idx="1">
                  <c:v>14.2</c:v>
                </c:pt>
                <c:pt idx="2">
                  <c:v>14.8</c:v>
                </c:pt>
                <c:pt idx="3">
                  <c:v>14.4</c:v>
                </c:pt>
                <c:pt idx="4">
                  <c:v>17.2</c:v>
                </c:pt>
                <c:pt idx="5">
                  <c:v>16.899999999999999</c:v>
                </c:pt>
              </c:numCache>
            </c:numRef>
          </c:val>
          <c:smooth val="0"/>
        </c:ser>
        <c:ser>
          <c:idx val="28"/>
          <c:order val="28"/>
          <c:tx>
            <c:strRef>
              <c:f>'8.13'!$A$31</c:f>
              <c:strCache>
                <c:ptCount val="1"/>
                <c:pt idx="0">
                  <c:v>Nevada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'8.13'!$B$31:$G$31</c:f>
              <c:numCache>
                <c:formatCode>General</c:formatCode>
                <c:ptCount val="6"/>
                <c:pt idx="0">
                  <c:v>11.8</c:v>
                </c:pt>
                <c:pt idx="1">
                  <c:v>15.7</c:v>
                </c:pt>
                <c:pt idx="2">
                  <c:v>13.8</c:v>
                </c:pt>
                <c:pt idx="3">
                  <c:v>15</c:v>
                </c:pt>
                <c:pt idx="4">
                  <c:v>12.9</c:v>
                </c:pt>
                <c:pt idx="5">
                  <c:v>12</c:v>
                </c:pt>
              </c:numCache>
            </c:numRef>
          </c:val>
          <c:smooth val="0"/>
        </c:ser>
        <c:ser>
          <c:idx val="29"/>
          <c:order val="29"/>
          <c:tx>
            <c:strRef>
              <c:f>'8.13'!$A$32</c:f>
              <c:strCache>
                <c:ptCount val="1"/>
                <c:pt idx="0">
                  <c:v>New Hampshire</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'8.13'!$B$32:$G$32</c:f>
              <c:numCache>
                <c:formatCode>General</c:formatCode>
                <c:ptCount val="6"/>
                <c:pt idx="0">
                  <c:v>14.2</c:v>
                </c:pt>
                <c:pt idx="1">
                  <c:v>14.8</c:v>
                </c:pt>
                <c:pt idx="2">
                  <c:v>17.2</c:v>
                </c:pt>
                <c:pt idx="3">
                  <c:v>15</c:v>
                </c:pt>
                <c:pt idx="4">
                  <c:v>14.8</c:v>
                </c:pt>
                <c:pt idx="5">
                  <c:v>15.1</c:v>
                </c:pt>
              </c:numCache>
            </c:numRef>
          </c:val>
          <c:smooth val="0"/>
        </c:ser>
        <c:ser>
          <c:idx val="30"/>
          <c:order val="30"/>
          <c:tx>
            <c:strRef>
              <c:f>'8.13'!$A$33</c:f>
              <c:strCache>
                <c:ptCount val="1"/>
                <c:pt idx="0">
                  <c:v>New Jersey</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'8.13'!$B$33:$G$33</c:f>
              <c:numCache>
                <c:formatCode>General</c:formatCode>
                <c:ptCount val="6"/>
                <c:pt idx="0">
                  <c:v>18.600000000000001</c:v>
                </c:pt>
                <c:pt idx="1">
                  <c:v>18.7</c:v>
                </c:pt>
                <c:pt idx="2">
                  <c:v>19.600000000000001</c:v>
                </c:pt>
                <c:pt idx="3">
                  <c:v>18.899999999999999</c:v>
                </c:pt>
                <c:pt idx="4">
                  <c:v>16.8</c:v>
                </c:pt>
                <c:pt idx="5">
                  <c:v>15.3</c:v>
                </c:pt>
              </c:numCache>
            </c:numRef>
          </c:val>
          <c:smooth val="0"/>
        </c:ser>
        <c:ser>
          <c:idx val="31"/>
          <c:order val="31"/>
          <c:tx>
            <c:strRef>
              <c:f>'8.13'!$A$34</c:f>
              <c:strCache>
                <c:ptCount val="1"/>
                <c:pt idx="0">
                  <c:v>New Mexico</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'8.13'!$B$34:$G$34</c:f>
              <c:numCache>
                <c:formatCode>General</c:formatCode>
                <c:ptCount val="6"/>
                <c:pt idx="0">
                  <c:v>8.1999999999999993</c:v>
                </c:pt>
                <c:pt idx="1">
                  <c:v>11</c:v>
                </c:pt>
                <c:pt idx="2">
                  <c:v>13.1</c:v>
                </c:pt>
                <c:pt idx="3">
                  <c:v>15.7</c:v>
                </c:pt>
                <c:pt idx="4">
                  <c:v>13.5</c:v>
                </c:pt>
                <c:pt idx="5">
                  <c:v>12.5</c:v>
                </c:pt>
              </c:numCache>
            </c:numRef>
          </c:val>
          <c:smooth val="0"/>
        </c:ser>
        <c:ser>
          <c:idx val="32"/>
          <c:order val="32"/>
          <c:tx>
            <c:strRef>
              <c:f>'8.13'!$A$35</c:f>
              <c:strCache>
                <c:ptCount val="1"/>
                <c:pt idx="0">
                  <c:v>New York</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'8.13'!$B$35:$G$35</c:f>
              <c:numCache>
                <c:formatCode>General</c:formatCode>
                <c:ptCount val="6"/>
                <c:pt idx="0">
                  <c:v>16.5</c:v>
                </c:pt>
                <c:pt idx="1">
                  <c:v>17.399999999999999</c:v>
                </c:pt>
                <c:pt idx="2">
                  <c:v>16.399999999999999</c:v>
                </c:pt>
                <c:pt idx="3">
                  <c:v>16.100000000000001</c:v>
                </c:pt>
                <c:pt idx="4">
                  <c:v>15.1</c:v>
                </c:pt>
                <c:pt idx="5">
                  <c:v>14.3</c:v>
                </c:pt>
              </c:numCache>
            </c:numRef>
          </c:val>
          <c:smooth val="0"/>
        </c:ser>
        <c:ser>
          <c:idx val="33"/>
          <c:order val="33"/>
          <c:tx>
            <c:strRef>
              <c:f>'8.13'!$A$36</c:f>
              <c:strCache>
                <c:ptCount val="1"/>
                <c:pt idx="0">
                  <c:v>North Carolina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'8.13'!$B$36:$G$36</c:f>
              <c:numCache>
                <c:formatCode>General</c:formatCode>
                <c:ptCount val="6"/>
                <c:pt idx="0">
                  <c:v>11.6</c:v>
                </c:pt>
                <c:pt idx="1">
                  <c:v>13.6</c:v>
                </c:pt>
                <c:pt idx="2">
                  <c:v>14.2</c:v>
                </c:pt>
                <c:pt idx="3">
                  <c:v>13.9</c:v>
                </c:pt>
                <c:pt idx="4">
                  <c:v>13.5</c:v>
                </c:pt>
                <c:pt idx="5">
                  <c:v>15</c:v>
                </c:pt>
              </c:numCache>
            </c:numRef>
          </c:val>
          <c:smooth val="0"/>
        </c:ser>
        <c:ser>
          <c:idx val="34"/>
          <c:order val="34"/>
          <c:tx>
            <c:strRef>
              <c:f>'8.13'!$A$37</c:f>
              <c:strCache>
                <c:ptCount val="1"/>
                <c:pt idx="0">
                  <c:v>North Dakota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'8.13'!$B$37:$G$37</c:f>
              <c:numCache>
                <c:formatCode>General</c:formatCode>
                <c:ptCount val="6"/>
                <c:pt idx="0">
                  <c:v>10.8</c:v>
                </c:pt>
                <c:pt idx="1">
                  <c:v>12.7</c:v>
                </c:pt>
                <c:pt idx="2">
                  <c:v>14.2</c:v>
                </c:pt>
                <c:pt idx="3">
                  <c:v>14.5</c:v>
                </c:pt>
                <c:pt idx="4">
                  <c:v>14</c:v>
                </c:pt>
                <c:pt idx="5">
                  <c:v>14.4</c:v>
                </c:pt>
              </c:numCache>
            </c:numRef>
          </c:val>
          <c:smooth val="0"/>
        </c:ser>
        <c:ser>
          <c:idx val="35"/>
          <c:order val="35"/>
          <c:tx>
            <c:strRef>
              <c:f>'8.13'!$A$38</c:f>
              <c:strCache>
                <c:ptCount val="1"/>
                <c:pt idx="0">
                  <c:v>Ohio</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'8.13'!$B$38:$G$38</c:f>
              <c:numCache>
                <c:formatCode>General</c:formatCode>
                <c:ptCount val="6"/>
                <c:pt idx="0">
                  <c:v>11.6</c:v>
                </c:pt>
                <c:pt idx="1">
                  <c:v>12.1</c:v>
                </c:pt>
                <c:pt idx="2">
                  <c:v>12.4</c:v>
                </c:pt>
                <c:pt idx="3">
                  <c:v>12.6</c:v>
                </c:pt>
                <c:pt idx="4">
                  <c:v>13</c:v>
                </c:pt>
                <c:pt idx="5">
                  <c:v>13.1</c:v>
                </c:pt>
              </c:numCache>
            </c:numRef>
          </c:val>
          <c:smooth val="0"/>
        </c:ser>
        <c:ser>
          <c:idx val="36"/>
          <c:order val="36"/>
          <c:tx>
            <c:strRef>
              <c:f>'8.13'!$A$39</c:f>
              <c:strCache>
                <c:ptCount val="1"/>
                <c:pt idx="0">
                  <c:v>Oklahoma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'8.13'!$B$39:$G$39</c:f>
              <c:numCache>
                <c:formatCode>General</c:formatCode>
                <c:ptCount val="6"/>
                <c:pt idx="0">
                  <c:v>11.1</c:v>
                </c:pt>
                <c:pt idx="1">
                  <c:v>13.7</c:v>
                </c:pt>
                <c:pt idx="2">
                  <c:v>14.9</c:v>
                </c:pt>
                <c:pt idx="3">
                  <c:v>15.4</c:v>
                </c:pt>
                <c:pt idx="4">
                  <c:v>15</c:v>
                </c:pt>
                <c:pt idx="5">
                  <c:v>13.8</c:v>
                </c:pt>
              </c:numCache>
            </c:numRef>
          </c:val>
          <c:smooth val="0"/>
        </c:ser>
        <c:ser>
          <c:idx val="37"/>
          <c:order val="37"/>
          <c:tx>
            <c:strRef>
              <c:f>'8.13'!$A$40</c:f>
              <c:strCache>
                <c:ptCount val="1"/>
                <c:pt idx="0">
                  <c:v>Oregon</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'8.13'!$B$40:$G$40</c:f>
              <c:numCache>
                <c:formatCode>General</c:formatCode>
                <c:ptCount val="6"/>
                <c:pt idx="0">
                  <c:v>14.7</c:v>
                </c:pt>
                <c:pt idx="1">
                  <c:v>14.8</c:v>
                </c:pt>
                <c:pt idx="2">
                  <c:v>15.3</c:v>
                </c:pt>
                <c:pt idx="3">
                  <c:v>15.8</c:v>
                </c:pt>
                <c:pt idx="4">
                  <c:v>15.9</c:v>
                </c:pt>
                <c:pt idx="5">
                  <c:v>15</c:v>
                </c:pt>
              </c:numCache>
            </c:numRef>
          </c:val>
          <c:smooth val="0"/>
        </c:ser>
        <c:ser>
          <c:idx val="38"/>
          <c:order val="38"/>
          <c:tx>
            <c:strRef>
              <c:f>'8.13'!$A$41</c:f>
              <c:strCache>
                <c:ptCount val="1"/>
                <c:pt idx="0">
                  <c:v>Pennsylvania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'8.13'!$B$41:$G$41</c:f>
              <c:numCache>
                <c:formatCode>General</c:formatCode>
                <c:ptCount val="6"/>
                <c:pt idx="0">
                  <c:v>12.1</c:v>
                </c:pt>
                <c:pt idx="1">
                  <c:v>12.6</c:v>
                </c:pt>
                <c:pt idx="2">
                  <c:v>11.6</c:v>
                </c:pt>
                <c:pt idx="3">
                  <c:v>12.8</c:v>
                </c:pt>
                <c:pt idx="4">
                  <c:v>13.1</c:v>
                </c:pt>
                <c:pt idx="5">
                  <c:v>12.9</c:v>
                </c:pt>
              </c:numCache>
            </c:numRef>
          </c:val>
          <c:smooth val="0"/>
        </c:ser>
        <c:ser>
          <c:idx val="39"/>
          <c:order val="39"/>
          <c:tx>
            <c:strRef>
              <c:f>'8.13'!$A$42</c:f>
              <c:strCache>
                <c:ptCount val="1"/>
                <c:pt idx="0">
                  <c:v>Rhode Island</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'8.13'!$B$42:$G$42</c:f>
              <c:numCache>
                <c:formatCode>General</c:formatCode>
                <c:ptCount val="6"/>
                <c:pt idx="0">
                  <c:v>17.3</c:v>
                </c:pt>
                <c:pt idx="1">
                  <c:v>18.3</c:v>
                </c:pt>
                <c:pt idx="2">
                  <c:v>17.3</c:v>
                </c:pt>
                <c:pt idx="3">
                  <c:v>16.399999999999999</c:v>
                </c:pt>
                <c:pt idx="4">
                  <c:v>16.7</c:v>
                </c:pt>
                <c:pt idx="5">
                  <c:v>16.3</c:v>
                </c:pt>
              </c:numCache>
            </c:numRef>
          </c:val>
          <c:smooth val="0"/>
        </c:ser>
        <c:ser>
          <c:idx val="40"/>
          <c:order val="40"/>
          <c:tx>
            <c:strRef>
              <c:f>'8.13'!$A$43</c:f>
              <c:strCache>
                <c:ptCount val="1"/>
                <c:pt idx="0">
                  <c:v>South Carolina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'8.13'!$B$43:$G$43</c:f>
              <c:numCache>
                <c:formatCode>General</c:formatCode>
                <c:ptCount val="6"/>
                <c:pt idx="0">
                  <c:v>12.3</c:v>
                </c:pt>
                <c:pt idx="1">
                  <c:v>15.6</c:v>
                </c:pt>
                <c:pt idx="2">
                  <c:v>14.2</c:v>
                </c:pt>
                <c:pt idx="3">
                  <c:v>13.3</c:v>
                </c:pt>
                <c:pt idx="4">
                  <c:v>12.6</c:v>
                </c:pt>
                <c:pt idx="5">
                  <c:v>12</c:v>
                </c:pt>
              </c:numCache>
            </c:numRef>
          </c:val>
          <c:smooth val="0"/>
        </c:ser>
        <c:ser>
          <c:idx val="41"/>
          <c:order val="41"/>
          <c:tx>
            <c:strRef>
              <c:f>'8.13'!$A$44</c:f>
              <c:strCache>
                <c:ptCount val="1"/>
                <c:pt idx="0">
                  <c:v>South Dakota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'8.13'!$B$44:$G$44</c:f>
              <c:numCache>
                <c:formatCode>General</c:formatCode>
                <c:ptCount val="6"/>
                <c:pt idx="0">
                  <c:v>12</c:v>
                </c:pt>
                <c:pt idx="1">
                  <c:v>14.9</c:v>
                </c:pt>
                <c:pt idx="2">
                  <c:v>16.100000000000001</c:v>
                </c:pt>
                <c:pt idx="3">
                  <c:v>17.3</c:v>
                </c:pt>
                <c:pt idx="4">
                  <c:v>14.8</c:v>
                </c:pt>
                <c:pt idx="5">
                  <c:v>17.100000000000001</c:v>
                </c:pt>
              </c:numCache>
            </c:numRef>
          </c:val>
          <c:smooth val="0"/>
        </c:ser>
        <c:ser>
          <c:idx val="42"/>
          <c:order val="42"/>
          <c:tx>
            <c:strRef>
              <c:f>'8.13'!$A$45</c:f>
              <c:strCache>
                <c:ptCount val="1"/>
                <c:pt idx="0">
                  <c:v>Tennessee</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'8.13'!$B$45:$G$45</c:f>
              <c:numCache>
                <c:formatCode>General</c:formatCode>
                <c:ptCount val="6"/>
                <c:pt idx="0">
                  <c:v>11.8</c:v>
                </c:pt>
                <c:pt idx="1">
                  <c:v>13.5</c:v>
                </c:pt>
                <c:pt idx="2">
                  <c:v>14.7</c:v>
                </c:pt>
                <c:pt idx="3">
                  <c:v>16</c:v>
                </c:pt>
                <c:pt idx="4">
                  <c:v>15.3</c:v>
                </c:pt>
                <c:pt idx="5">
                  <c:v>14.9</c:v>
                </c:pt>
              </c:numCache>
            </c:numRef>
          </c:val>
          <c:smooth val="0"/>
        </c:ser>
        <c:ser>
          <c:idx val="43"/>
          <c:order val="43"/>
          <c:tx>
            <c:strRef>
              <c:f>'8.13'!$A$46</c:f>
              <c:strCache>
                <c:ptCount val="1"/>
                <c:pt idx="0">
                  <c:v>Texas</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'8.13'!$B$46:$G$46</c:f>
              <c:numCache>
                <c:formatCode>General</c:formatCode>
                <c:ptCount val="6"/>
                <c:pt idx="0">
                  <c:v>12.5</c:v>
                </c:pt>
                <c:pt idx="1">
                  <c:v>15.9</c:v>
                </c:pt>
                <c:pt idx="2">
                  <c:v>16.899999999999999</c:v>
                </c:pt>
                <c:pt idx="3">
                  <c:v>16.899999999999999</c:v>
                </c:pt>
                <c:pt idx="4">
                  <c:v>15.9</c:v>
                </c:pt>
                <c:pt idx="5">
                  <c:v>14.9</c:v>
                </c:pt>
              </c:numCache>
            </c:numRef>
          </c:val>
          <c:smooth val="0"/>
        </c:ser>
        <c:ser>
          <c:idx val="44"/>
          <c:order val="44"/>
          <c:tx>
            <c:strRef>
              <c:f>'8.13'!$A$47</c:f>
              <c:strCache>
                <c:ptCount val="1"/>
                <c:pt idx="0">
                  <c:v>Utah</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'8.13'!$B$47:$G$47</c:f>
              <c:numCache>
                <c:formatCode>General</c:formatCode>
                <c:ptCount val="6"/>
                <c:pt idx="0">
                  <c:v>10.3</c:v>
                </c:pt>
                <c:pt idx="1">
                  <c:v>12.3</c:v>
                </c:pt>
                <c:pt idx="2">
                  <c:v>13.2</c:v>
                </c:pt>
                <c:pt idx="3">
                  <c:v>12.5</c:v>
                </c:pt>
                <c:pt idx="4">
                  <c:v>8.6999999999999993</c:v>
                </c:pt>
                <c:pt idx="5">
                  <c:v>8.1999999999999993</c:v>
                </c:pt>
              </c:numCache>
            </c:numRef>
          </c:val>
          <c:smooth val="0"/>
        </c:ser>
        <c:ser>
          <c:idx val="45"/>
          <c:order val="45"/>
          <c:tx>
            <c:strRef>
              <c:f>'8.13'!$A$48</c:f>
              <c:strCache>
                <c:ptCount val="1"/>
                <c:pt idx="0">
                  <c:v>Vermont</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'8.13'!$B$48:$G$48</c:f>
              <c:numCache>
                <c:formatCode>General</c:formatCode>
                <c:ptCount val="6"/>
                <c:pt idx="0">
                  <c:v>12.5</c:v>
                </c:pt>
                <c:pt idx="1">
                  <c:v>14.6</c:v>
                </c:pt>
                <c:pt idx="2">
                  <c:v>13.7</c:v>
                </c:pt>
                <c:pt idx="3">
                  <c:v>13.8</c:v>
                </c:pt>
                <c:pt idx="4">
                  <c:v>13.7</c:v>
                </c:pt>
                <c:pt idx="5">
                  <c:v>14.1</c:v>
                </c:pt>
              </c:numCache>
            </c:numRef>
          </c:val>
          <c:smooth val="0"/>
        </c:ser>
        <c:ser>
          <c:idx val="46"/>
          <c:order val="46"/>
          <c:tx>
            <c:strRef>
              <c:f>'8.13'!$A$49</c:f>
              <c:strCache>
                <c:ptCount val="1"/>
                <c:pt idx="0">
                  <c:v>Virginia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'8.13'!$B$49:$G$49</c:f>
              <c:numCache>
                <c:formatCode>General</c:formatCode>
                <c:ptCount val="6"/>
                <c:pt idx="0">
                  <c:v>14</c:v>
                </c:pt>
                <c:pt idx="1">
                  <c:v>18.3</c:v>
                </c:pt>
                <c:pt idx="2">
                  <c:v>20.2</c:v>
                </c:pt>
                <c:pt idx="3">
                  <c:v>21.5</c:v>
                </c:pt>
                <c:pt idx="4">
                  <c:v>20.100000000000001</c:v>
                </c:pt>
                <c:pt idx="5">
                  <c:v>20</c:v>
                </c:pt>
              </c:numCache>
            </c:numRef>
          </c:val>
          <c:smooth val="0"/>
        </c:ser>
        <c:ser>
          <c:idx val="47"/>
          <c:order val="47"/>
          <c:tx>
            <c:strRef>
              <c:f>'8.13'!$A$50</c:f>
              <c:strCache>
                <c:ptCount val="1"/>
                <c:pt idx="0">
                  <c:v>Washington</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'8.13'!$B$50:$G$50</c:f>
              <c:numCache>
                <c:formatCode>General</c:formatCode>
                <c:ptCount val="6"/>
                <c:pt idx="0">
                  <c:v>13.4</c:v>
                </c:pt>
                <c:pt idx="1">
                  <c:v>14.5</c:v>
                </c:pt>
                <c:pt idx="2">
                  <c:v>14.9</c:v>
                </c:pt>
                <c:pt idx="3">
                  <c:v>14.9</c:v>
                </c:pt>
                <c:pt idx="4">
                  <c:v>14.3</c:v>
                </c:pt>
                <c:pt idx="5">
                  <c:v>13.6</c:v>
                </c:pt>
              </c:numCache>
            </c:numRef>
          </c:val>
          <c:smooth val="0"/>
        </c:ser>
        <c:ser>
          <c:idx val="48"/>
          <c:order val="48"/>
          <c:tx>
            <c:strRef>
              <c:f>'8.13'!$A$51</c:f>
              <c:strCache>
                <c:ptCount val="1"/>
                <c:pt idx="0">
                  <c:v>West Virginia</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'8.13'!$B$51:$G$51</c:f>
              <c:numCache>
                <c:formatCode>General</c:formatCode>
                <c:ptCount val="6"/>
                <c:pt idx="0">
                  <c:v>11.9</c:v>
                </c:pt>
                <c:pt idx="1">
                  <c:v>13.7</c:v>
                </c:pt>
                <c:pt idx="2">
                  <c:v>14.3</c:v>
                </c:pt>
                <c:pt idx="3">
                  <c:v>14.4</c:v>
                </c:pt>
                <c:pt idx="4">
                  <c:v>14.1</c:v>
                </c:pt>
                <c:pt idx="5">
                  <c:v>16.399999999999999</c:v>
                </c:pt>
              </c:numCache>
            </c:numRef>
          </c:val>
          <c:smooth val="0"/>
        </c:ser>
        <c:ser>
          <c:idx val="49"/>
          <c:order val="49"/>
          <c:tx>
            <c:strRef>
              <c:f>'8.13'!$A$52</c:f>
              <c:strCache>
                <c:ptCount val="1"/>
                <c:pt idx="0">
                  <c:v>Wisconsin</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'8.13'!$B$52:$G$52</c:f>
              <c:numCache>
                <c:formatCode>General</c:formatCode>
                <c:ptCount val="6"/>
                <c:pt idx="0">
                  <c:v>11.6</c:v>
                </c:pt>
                <c:pt idx="1">
                  <c:v>14.4</c:v>
                </c:pt>
                <c:pt idx="2">
                  <c:v>14.1</c:v>
                </c:pt>
                <c:pt idx="3">
                  <c:v>15.2</c:v>
                </c:pt>
                <c:pt idx="4">
                  <c:v>15.2</c:v>
                </c:pt>
                <c:pt idx="5">
                  <c:v>14.7</c:v>
                </c:pt>
              </c:numCache>
            </c:numRef>
          </c:val>
          <c:smooth val="0"/>
        </c:ser>
        <c:ser>
          <c:idx val="50"/>
          <c:order val="50"/>
          <c:tx>
            <c:strRef>
              <c:f>'8.13'!$A$53</c:f>
              <c:strCache>
                <c:ptCount val="1"/>
                <c:pt idx="0">
                  <c:v>Wyoming</c:v>
                </c:pt>
              </c:strCache>
            </c:strRef>
          </c:tx>
          <c:spPr>
            <a:ln w="12700" cap="rnd">
              <a:solidFill>
                <a:schemeClr val="bg1">
                  <a:lumMod val="65000"/>
                </a:schemeClr>
              </a:solidFill>
              <a:round/>
            </a:ln>
            <a:effectLst/>
          </c:spPr>
          <c:marker>
            <c:symbol val="none"/>
          </c:marker>
          <c:cat>
            <c:numRef>
              <c:f>'8.13'!$B$3:$G$3</c:f>
              <c:numCache>
                <c:formatCode>General</c:formatCode>
                <c:ptCount val="6"/>
                <c:pt idx="0">
                  <c:v>2000</c:v>
                </c:pt>
                <c:pt idx="1">
                  <c:v>2004</c:v>
                </c:pt>
                <c:pt idx="2">
                  <c:v>2008</c:v>
                </c:pt>
                <c:pt idx="3">
                  <c:v>2010</c:v>
                </c:pt>
                <c:pt idx="4">
                  <c:v>2012</c:v>
                </c:pt>
                <c:pt idx="5">
                  <c:v>2014</c:v>
                </c:pt>
              </c:numCache>
            </c:numRef>
          </c:cat>
          <c:val>
            <c:numRef>
              <c:f>'8.13'!$B$53:$G$53</c:f>
              <c:numCache>
                <c:formatCode>General</c:formatCode>
                <c:ptCount val="6"/>
                <c:pt idx="0">
                  <c:v>8.1</c:v>
                </c:pt>
                <c:pt idx="1">
                  <c:v>10</c:v>
                </c:pt>
                <c:pt idx="2">
                  <c:v>10.5</c:v>
                </c:pt>
                <c:pt idx="3">
                  <c:v>11.8</c:v>
                </c:pt>
                <c:pt idx="4">
                  <c:v>10.6</c:v>
                </c:pt>
                <c:pt idx="5">
                  <c:v>9.9</c:v>
                </c:pt>
              </c:numCache>
            </c:numRef>
          </c:val>
          <c:smooth val="0"/>
        </c:ser>
        <c:dLbls>
          <c:showLegendKey val="0"/>
          <c:showVal val="0"/>
          <c:showCatName val="0"/>
          <c:showSerName val="0"/>
          <c:showPercent val="0"/>
          <c:showBubbleSize val="0"/>
        </c:dLbls>
        <c:marker val="1"/>
        <c:smooth val="0"/>
        <c:axId val="300598784"/>
        <c:axId val="300600320"/>
      </c:lineChart>
      <c:catAx>
        <c:axId val="30059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600320"/>
        <c:crosses val="autoZero"/>
        <c:auto val="1"/>
        <c:lblAlgn val="ctr"/>
        <c:lblOffset val="100"/>
        <c:noMultiLvlLbl val="0"/>
      </c:catAx>
      <c:valAx>
        <c:axId val="3006003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Children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598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680948589291507E-2"/>
          <c:y val="2.8832124330915327E-2"/>
          <c:w val="0.87977705034061748"/>
          <c:h val="0.77914233161799662"/>
        </c:manualLayout>
      </c:layout>
      <c:lineChart>
        <c:grouping val="standard"/>
        <c:varyColors val="0"/>
        <c:ser>
          <c:idx val="0"/>
          <c:order val="0"/>
          <c:tx>
            <c:strRef>
              <c:f>'8.14'!$A$4</c:f>
              <c:strCache>
                <c:ptCount val="1"/>
                <c:pt idx="0">
                  <c:v>Statewide</c:v>
                </c:pt>
              </c:strCache>
            </c:strRef>
          </c:tx>
          <c:spPr>
            <a:ln w="19050" cap="rnd">
              <a:solidFill>
                <a:srgbClr val="203864"/>
              </a:solidFill>
              <a:prstDash val="sysDash"/>
              <a:round/>
            </a:ln>
            <a:effectLst/>
          </c:spPr>
          <c:marker>
            <c:symbol val="circle"/>
            <c:size val="5"/>
            <c:spPr>
              <a:solidFill>
                <a:srgbClr val="203864"/>
              </a:solidFill>
              <a:ln w="9525">
                <a:noFill/>
              </a:ln>
              <a:effectLst/>
            </c:spPr>
          </c:marker>
          <c:dLbls>
            <c:dLbl>
              <c:idx val="0"/>
              <c:layout>
                <c:manualLayout>
                  <c:x val="-9.5184674949339201E-2"/>
                  <c:y val="2.93824301374092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2D3-442B-852A-886302192C1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2D3-442B-852A-886302192C1E}"/>
                </c:ext>
              </c:extLst>
            </c:dLbl>
            <c:dLbl>
              <c:idx val="2"/>
              <c:layout>
                <c:manualLayout>
                  <c:x val="1.3964602739264333E-2"/>
                  <c:y val="2.546086150995824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2D3-442B-852A-886302192C1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'8.14'!$C$12:$C$14</c:f>
                <c:numCache>
                  <c:formatCode>General</c:formatCode>
                  <c:ptCount val="3"/>
                  <c:pt idx="0">
                    <c:v>1</c:v>
                  </c:pt>
                  <c:pt idx="1">
                    <c:v>1.1000000000000014</c:v>
                  </c:pt>
                  <c:pt idx="2">
                    <c:v>1.2999999999999972</c:v>
                  </c:pt>
                </c:numCache>
              </c:numRef>
            </c:plus>
            <c:minus>
              <c:numRef>
                <c:f>'8.14'!$B$12:$B$14</c:f>
                <c:numCache>
                  <c:formatCode>General</c:formatCode>
                  <c:ptCount val="3"/>
                  <c:pt idx="0">
                    <c:v>0.89999999999999858</c:v>
                  </c:pt>
                  <c:pt idx="1">
                    <c:v>1.0999999999999979</c:v>
                  </c:pt>
                  <c:pt idx="2">
                    <c:v>1.2000000000000028</c:v>
                  </c:pt>
                </c:numCache>
              </c:numRef>
            </c:minus>
            <c:spPr>
              <a:noFill/>
              <a:ln w="9525" cap="flat" cmpd="sng" algn="ctr">
                <a:solidFill>
                  <a:schemeClr val="bg1">
                    <a:lumMod val="50000"/>
                  </a:schemeClr>
                </a:solidFill>
                <a:round/>
              </a:ln>
              <a:effectLst/>
            </c:spPr>
          </c:errBars>
          <c:cat>
            <c:numRef>
              <c:f>'8.14'!$B$3:$D$3</c:f>
              <c:numCache>
                <c:formatCode>General</c:formatCode>
                <c:ptCount val="3"/>
                <c:pt idx="0">
                  <c:v>2011</c:v>
                </c:pt>
                <c:pt idx="1">
                  <c:v>2013</c:v>
                </c:pt>
                <c:pt idx="2">
                  <c:v>2015</c:v>
                </c:pt>
              </c:numCache>
            </c:numRef>
          </c:cat>
          <c:val>
            <c:numRef>
              <c:f>'8.14'!$B$4:$D$4</c:f>
              <c:numCache>
                <c:formatCode>General</c:formatCode>
                <c:ptCount val="3"/>
                <c:pt idx="0">
                  <c:v>29.2</c:v>
                </c:pt>
                <c:pt idx="1">
                  <c:v>29.4</c:v>
                </c:pt>
                <c:pt idx="2">
                  <c:v>29.6</c:v>
                </c:pt>
              </c:numCache>
            </c:numRef>
          </c:val>
          <c:smooth val="0"/>
          <c:extLst xmlns:c16r2="http://schemas.microsoft.com/office/drawing/2015/06/chart">
            <c:ext xmlns:c16="http://schemas.microsoft.com/office/drawing/2014/chart" uri="{C3380CC4-5D6E-409C-BE32-E72D297353CC}">
              <c16:uniqueId val="{00000003-82D3-442B-852A-886302192C1E}"/>
            </c:ext>
          </c:extLst>
        </c:ser>
        <c:ser>
          <c:idx val="1"/>
          <c:order val="1"/>
          <c:tx>
            <c:strRef>
              <c:f>'8.14'!$A$5</c:f>
              <c:strCache>
                <c:ptCount val="1"/>
                <c:pt idx="0">
                  <c:v>White non-Hispanic</c:v>
                </c:pt>
              </c:strCache>
            </c:strRef>
          </c:tx>
          <c:spPr>
            <a:ln w="19050" cap="rnd">
              <a:solidFill>
                <a:srgbClr val="08519C"/>
              </a:solidFill>
              <a:round/>
            </a:ln>
            <a:effectLst/>
          </c:spPr>
          <c:marker>
            <c:symbol val="diamond"/>
            <c:size val="7"/>
            <c:spPr>
              <a:solidFill>
                <a:schemeClr val="bg1"/>
              </a:solidFill>
              <a:ln w="9525">
                <a:solidFill>
                  <a:srgbClr val="08519C"/>
                </a:solidFill>
              </a:ln>
              <a:effectLst/>
            </c:spPr>
          </c:marker>
          <c:dLbls>
            <c:dLbl>
              <c:idx val="0"/>
              <c:layout>
                <c:manualLayout>
                  <c:x val="-9.5184674949339201E-2"/>
                  <c:y val="-1.761772425505642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2D3-442B-852A-886302192C1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2D3-442B-852A-886302192C1E}"/>
                </c:ext>
              </c:extLst>
            </c:dLbl>
            <c:dLbl>
              <c:idx val="2"/>
              <c:layout>
                <c:manualLayout>
                  <c:x val="1.3964602739264333E-2"/>
                  <c:y val="-1.369615562760537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2D3-442B-852A-886302192C1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'8.14'!$E$12:$E$14</c:f>
                <c:numCache>
                  <c:formatCode>General</c:formatCode>
                  <c:ptCount val="3"/>
                  <c:pt idx="0">
                    <c:v>1.0999999999999979</c:v>
                  </c:pt>
                  <c:pt idx="1">
                    <c:v>1.1999999999999993</c:v>
                  </c:pt>
                  <c:pt idx="2">
                    <c:v>1.4000000000000021</c:v>
                  </c:pt>
                </c:numCache>
              </c:numRef>
            </c:plus>
            <c:minus>
              <c:numRef>
                <c:f>'8.14'!$D$12:$D$14</c:f>
                <c:numCache>
                  <c:formatCode>General</c:formatCode>
                  <c:ptCount val="3"/>
                  <c:pt idx="0">
                    <c:v>1.1000000000000014</c:v>
                  </c:pt>
                  <c:pt idx="1">
                    <c:v>1.3000000000000007</c:v>
                  </c:pt>
                  <c:pt idx="2">
                    <c:v>1.3999999999999986</c:v>
                  </c:pt>
                </c:numCache>
              </c:numRef>
            </c:minus>
            <c:spPr>
              <a:noFill/>
              <a:ln w="9525" cap="flat" cmpd="sng" algn="ctr">
                <a:solidFill>
                  <a:schemeClr val="bg1">
                    <a:lumMod val="50000"/>
                  </a:schemeClr>
                </a:solidFill>
                <a:round/>
              </a:ln>
              <a:effectLst/>
            </c:spPr>
          </c:errBars>
          <c:cat>
            <c:numRef>
              <c:f>'8.14'!$B$3:$D$3</c:f>
              <c:numCache>
                <c:formatCode>General</c:formatCode>
                <c:ptCount val="3"/>
                <c:pt idx="0">
                  <c:v>2011</c:v>
                </c:pt>
                <c:pt idx="1">
                  <c:v>2013</c:v>
                </c:pt>
                <c:pt idx="2">
                  <c:v>2015</c:v>
                </c:pt>
              </c:numCache>
            </c:numRef>
          </c:cat>
          <c:val>
            <c:numRef>
              <c:f>'8.14'!$B$5:$D$5</c:f>
              <c:numCache>
                <c:formatCode>General</c:formatCode>
                <c:ptCount val="3"/>
                <c:pt idx="0">
                  <c:v>30.1</c:v>
                </c:pt>
                <c:pt idx="1">
                  <c:v>30.3</c:v>
                </c:pt>
                <c:pt idx="2">
                  <c:v>30.7</c:v>
                </c:pt>
              </c:numCache>
            </c:numRef>
          </c:val>
          <c:smooth val="0"/>
          <c:extLst xmlns:c16r2="http://schemas.microsoft.com/office/drawing/2015/06/chart">
            <c:ext xmlns:c16="http://schemas.microsoft.com/office/drawing/2014/chart" uri="{C3380CC4-5D6E-409C-BE32-E72D297353CC}">
              <c16:uniqueId val="{00000007-82D3-442B-852A-886302192C1E}"/>
            </c:ext>
          </c:extLst>
        </c:ser>
        <c:ser>
          <c:idx val="2"/>
          <c:order val="2"/>
          <c:tx>
            <c:strRef>
              <c:f>'8.14'!$A$6</c:f>
              <c:strCache>
                <c:ptCount val="1"/>
                <c:pt idx="0">
                  <c:v>Black non-Hispanic</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9.304449303387638E-2"/>
                  <c:y val="-9.7745870001543916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2D3-442B-852A-886302192C1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2D3-442B-852A-886302192C1E}"/>
                </c:ext>
              </c:extLst>
            </c:dLbl>
            <c:dLbl>
              <c:idx val="2"/>
              <c:layout>
                <c:manualLayout>
                  <c:x val="1.3964602739264333E-2"/>
                  <c:y val="-5.8530183727034122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2D3-442B-852A-886302192C1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'8.14'!$G$12:$G$14</c:f>
                <c:numCache>
                  <c:formatCode>General</c:formatCode>
                  <c:ptCount val="3"/>
                  <c:pt idx="0">
                    <c:v>4.1000000000000014</c:v>
                  </c:pt>
                  <c:pt idx="1">
                    <c:v>5.3000000000000043</c:v>
                  </c:pt>
                  <c:pt idx="2">
                    <c:v>5.7000000000000028</c:v>
                  </c:pt>
                </c:numCache>
              </c:numRef>
            </c:plus>
            <c:minus>
              <c:numRef>
                <c:f>'8.14'!$F$12:$F$14</c:f>
                <c:numCache>
                  <c:formatCode>General</c:formatCode>
                  <c:ptCount val="3"/>
                  <c:pt idx="0">
                    <c:v>4.2000000000000028</c:v>
                  </c:pt>
                  <c:pt idx="1">
                    <c:v>5.3999999999999986</c:v>
                  </c:pt>
                  <c:pt idx="2">
                    <c:v>5.6999999999999957</c:v>
                  </c:pt>
                </c:numCache>
              </c:numRef>
            </c:minus>
            <c:spPr>
              <a:noFill/>
              <a:ln w="9525" cap="flat" cmpd="sng" algn="ctr">
                <a:solidFill>
                  <a:schemeClr val="bg1">
                    <a:lumMod val="50000"/>
                  </a:schemeClr>
                </a:solidFill>
                <a:round/>
              </a:ln>
              <a:effectLst/>
            </c:spPr>
          </c:errBars>
          <c:cat>
            <c:numRef>
              <c:f>'8.14'!$B$3:$D$3</c:f>
              <c:numCache>
                <c:formatCode>General</c:formatCode>
                <c:ptCount val="3"/>
                <c:pt idx="0">
                  <c:v>2011</c:v>
                </c:pt>
                <c:pt idx="1">
                  <c:v>2013</c:v>
                </c:pt>
                <c:pt idx="2">
                  <c:v>2015</c:v>
                </c:pt>
              </c:numCache>
            </c:numRef>
          </c:cat>
          <c:val>
            <c:numRef>
              <c:f>'8.14'!$B$6:$D$6</c:f>
              <c:numCache>
                <c:formatCode>General</c:formatCode>
                <c:ptCount val="3"/>
                <c:pt idx="0">
                  <c:v>34.6</c:v>
                </c:pt>
                <c:pt idx="1">
                  <c:v>36.4</c:v>
                </c:pt>
                <c:pt idx="2">
                  <c:v>39.4</c:v>
                </c:pt>
              </c:numCache>
            </c:numRef>
          </c:val>
          <c:smooth val="0"/>
          <c:extLst xmlns:c16r2="http://schemas.microsoft.com/office/drawing/2015/06/chart">
            <c:ext xmlns:c16="http://schemas.microsoft.com/office/drawing/2014/chart" uri="{C3380CC4-5D6E-409C-BE32-E72D297353CC}">
              <c16:uniqueId val="{0000000B-82D3-442B-852A-886302192C1E}"/>
            </c:ext>
          </c:extLst>
        </c:ser>
        <c:ser>
          <c:idx val="3"/>
          <c:order val="3"/>
          <c:tx>
            <c:strRef>
              <c:f>'8.14'!$A$7</c:f>
              <c:strCache>
                <c:ptCount val="1"/>
                <c:pt idx="0">
                  <c:v>Hispanic</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9.6254765907070605E-2"/>
                  <c:y val="7.8138026864289015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2D3-442B-852A-886302192C1E}"/>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2D3-442B-852A-886302192C1E}"/>
                </c:ext>
              </c:extLst>
            </c:dLbl>
            <c:dLbl>
              <c:idx val="2"/>
              <c:layout>
                <c:manualLayout>
                  <c:x val="1.7174875612458555E-2"/>
                  <c:y val="3.13432144511347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2D3-442B-852A-886302192C1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'8.14'!$I$12:$I$14</c:f>
                <c:numCache>
                  <c:formatCode>General</c:formatCode>
                  <c:ptCount val="3"/>
                  <c:pt idx="0">
                    <c:v>3.1000000000000014</c:v>
                  </c:pt>
                  <c:pt idx="1">
                    <c:v>3.3000000000000007</c:v>
                  </c:pt>
                  <c:pt idx="2">
                    <c:v>3.8000000000000007</c:v>
                  </c:pt>
                </c:numCache>
              </c:numRef>
            </c:plus>
            <c:minus>
              <c:numRef>
                <c:f>'8.14'!$H$12:$H$14</c:f>
                <c:numCache>
                  <c:formatCode>General</c:formatCode>
                  <c:ptCount val="3"/>
                  <c:pt idx="0">
                    <c:v>3.1999999999999993</c:v>
                  </c:pt>
                  <c:pt idx="1">
                    <c:v>3.3999999999999986</c:v>
                  </c:pt>
                  <c:pt idx="2">
                    <c:v>3.7999999999999972</c:v>
                  </c:pt>
                </c:numCache>
              </c:numRef>
            </c:minus>
            <c:spPr>
              <a:noFill/>
              <a:ln w="9525" cap="flat" cmpd="sng" algn="ctr">
                <a:solidFill>
                  <a:schemeClr val="bg1">
                    <a:lumMod val="50000"/>
                  </a:schemeClr>
                </a:solidFill>
                <a:round/>
              </a:ln>
              <a:effectLst/>
            </c:spPr>
          </c:errBars>
          <c:cat>
            <c:numRef>
              <c:f>'8.14'!$B$3:$D$3</c:f>
              <c:numCache>
                <c:formatCode>General</c:formatCode>
                <c:ptCount val="3"/>
                <c:pt idx="0">
                  <c:v>2011</c:v>
                </c:pt>
                <c:pt idx="1">
                  <c:v>2013</c:v>
                </c:pt>
                <c:pt idx="2">
                  <c:v>2015</c:v>
                </c:pt>
              </c:numCache>
            </c:numRef>
          </c:cat>
          <c:val>
            <c:numRef>
              <c:f>'8.14'!$B$7:$D$7</c:f>
              <c:numCache>
                <c:formatCode>General</c:formatCode>
                <c:ptCount val="3"/>
                <c:pt idx="0">
                  <c:v>23.2</c:v>
                </c:pt>
                <c:pt idx="1">
                  <c:v>26.5</c:v>
                </c:pt>
                <c:pt idx="2">
                  <c:v>24.9</c:v>
                </c:pt>
              </c:numCache>
            </c:numRef>
          </c:val>
          <c:smooth val="0"/>
          <c:extLst xmlns:c16r2="http://schemas.microsoft.com/office/drawing/2015/06/chart">
            <c:ext xmlns:c16="http://schemas.microsoft.com/office/drawing/2014/chart" uri="{C3380CC4-5D6E-409C-BE32-E72D297353CC}">
              <c16:uniqueId val="{0000000F-82D3-442B-852A-886302192C1E}"/>
            </c:ext>
          </c:extLst>
        </c:ser>
        <c:dLbls>
          <c:dLblPos val="t"/>
          <c:showLegendKey val="0"/>
          <c:showVal val="1"/>
          <c:showCatName val="0"/>
          <c:showSerName val="0"/>
          <c:showPercent val="0"/>
          <c:showBubbleSize val="0"/>
        </c:dLbls>
        <c:marker val="1"/>
        <c:smooth val="0"/>
        <c:axId val="301297024"/>
        <c:axId val="301319296"/>
      </c:lineChart>
      <c:catAx>
        <c:axId val="30129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319296"/>
        <c:crosses val="autoZero"/>
        <c:auto val="1"/>
        <c:lblAlgn val="ctr"/>
        <c:lblOffset val="100"/>
        <c:noMultiLvlLbl val="0"/>
      </c:catAx>
      <c:valAx>
        <c:axId val="301319296"/>
        <c:scaling>
          <c:orientation val="minMax"/>
          <c:max val="40"/>
          <c:min val="2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29702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'8.15'!$A$7</c:f>
              <c:strCache>
                <c:ptCount val="1"/>
                <c:pt idx="0">
                  <c:v>White non-Hispanic</c:v>
                </c:pt>
              </c:strCache>
            </c:strRef>
          </c:tx>
          <c:spPr>
            <a:solidFill>
              <a:srgbClr val="203864"/>
            </a:solidFill>
            <a:ln>
              <a:noFill/>
            </a:ln>
            <a:effectLst/>
          </c:spPr>
          <c:invertIfNegative val="0"/>
          <c:dLbls>
            <c:dLbl>
              <c:idx val="1"/>
              <c:layout>
                <c:manualLayout>
                  <c:x val="0"/>
                  <c:y val="1.89933466456253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E9-4743-8E6E-A1280782AD4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'8.15'!$B$6:$E$6</c:f>
              <c:strCache>
                <c:ptCount val="4"/>
                <c:pt idx="0">
                  <c:v>Stroke</c:v>
                </c:pt>
                <c:pt idx="1">
                  <c:v>Myocardial Infarction</c:v>
                </c:pt>
                <c:pt idx="2">
                  <c:v>Congestive Heart Failure</c:v>
                </c:pt>
                <c:pt idx="3">
                  <c:v>Hypertension</c:v>
                </c:pt>
              </c:strCache>
            </c:strRef>
          </c:cat>
          <c:val>
            <c:numRef>
              <c:f>'8.15'!$B$7:$E$7</c:f>
              <c:numCache>
                <c:formatCode>0.0</c:formatCode>
                <c:ptCount val="4"/>
                <c:pt idx="0">
                  <c:v>201.548</c:v>
                </c:pt>
                <c:pt idx="1">
                  <c:v>145.57499999999999</c:v>
                </c:pt>
                <c:pt idx="2">
                  <c:v>248.357</c:v>
                </c:pt>
                <c:pt idx="3">
                  <c:v>13.1981</c:v>
                </c:pt>
              </c:numCache>
            </c:numRef>
          </c:val>
          <c:extLst xmlns:c16r2="http://schemas.microsoft.com/office/drawing/2015/06/chart">
            <c:ext xmlns:c16="http://schemas.microsoft.com/office/drawing/2014/chart" uri="{C3380CC4-5D6E-409C-BE32-E72D297353CC}">
              <c16:uniqueId val="{00000001-92E9-4743-8E6E-A1280782AD46}"/>
            </c:ext>
          </c:extLst>
        </c:ser>
        <c:ser>
          <c:idx val="2"/>
          <c:order val="1"/>
          <c:tx>
            <c:strRef>
              <c:f>'8.15'!$A$8</c:f>
              <c:strCache>
                <c:ptCount val="1"/>
                <c:pt idx="0">
                  <c:v>Black non-Hispanic</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'8.15'!$B$6:$E$6</c:f>
              <c:strCache>
                <c:ptCount val="4"/>
                <c:pt idx="0">
                  <c:v>Stroke</c:v>
                </c:pt>
                <c:pt idx="1">
                  <c:v>Myocardial Infarction</c:v>
                </c:pt>
                <c:pt idx="2">
                  <c:v>Congestive Heart Failure</c:v>
                </c:pt>
                <c:pt idx="3">
                  <c:v>Hypertension</c:v>
                </c:pt>
              </c:strCache>
            </c:strRef>
          </c:cat>
          <c:val>
            <c:numRef>
              <c:f>'8.15'!$B$8:$E$8</c:f>
              <c:numCache>
                <c:formatCode>0.0</c:formatCode>
                <c:ptCount val="4"/>
                <c:pt idx="0">
                  <c:v>368.11700000000002</c:v>
                </c:pt>
                <c:pt idx="1">
                  <c:v>159.047</c:v>
                </c:pt>
                <c:pt idx="2">
                  <c:v>520.47400000000005</c:v>
                </c:pt>
                <c:pt idx="3">
                  <c:v>67.058899999999994</c:v>
                </c:pt>
              </c:numCache>
            </c:numRef>
          </c:val>
          <c:extLst xmlns:c16r2="http://schemas.microsoft.com/office/drawing/2015/06/chart">
            <c:ext xmlns:c16="http://schemas.microsoft.com/office/drawing/2014/chart" uri="{C3380CC4-5D6E-409C-BE32-E72D297353CC}">
              <c16:uniqueId val="{00000002-92E9-4743-8E6E-A1280782AD46}"/>
            </c:ext>
          </c:extLst>
        </c:ser>
        <c:ser>
          <c:idx val="1"/>
          <c:order val="2"/>
          <c:tx>
            <c:strRef>
              <c:f>'8.15'!$A$9</c:f>
              <c:strCache>
                <c:ptCount val="1"/>
                <c:pt idx="0">
                  <c:v>Hispanic</c:v>
                </c:pt>
              </c:strCache>
            </c:strRef>
          </c:tx>
          <c:spPr>
            <a:solidFill>
              <a:srgbClr val="3182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'8.15'!$B$6:$E$6</c:f>
              <c:strCache>
                <c:ptCount val="4"/>
                <c:pt idx="0">
                  <c:v>Stroke</c:v>
                </c:pt>
                <c:pt idx="1">
                  <c:v>Myocardial Infarction</c:v>
                </c:pt>
                <c:pt idx="2">
                  <c:v>Congestive Heart Failure</c:v>
                </c:pt>
                <c:pt idx="3">
                  <c:v>Hypertension</c:v>
                </c:pt>
              </c:strCache>
            </c:strRef>
          </c:cat>
          <c:val>
            <c:numRef>
              <c:f>'8.15'!$B$9:$E$9</c:f>
              <c:numCache>
                <c:formatCode>0.0</c:formatCode>
                <c:ptCount val="4"/>
                <c:pt idx="0">
                  <c:v>264.94299999999998</c:v>
                </c:pt>
                <c:pt idx="1">
                  <c:v>182.51599999999999</c:v>
                </c:pt>
                <c:pt idx="2">
                  <c:v>400.70100000000002</c:v>
                </c:pt>
                <c:pt idx="3">
                  <c:v>40.649000000000001</c:v>
                </c:pt>
              </c:numCache>
            </c:numRef>
          </c:val>
          <c:extLst xmlns:c16r2="http://schemas.microsoft.com/office/drawing/2015/06/chart">
            <c:ext xmlns:c16="http://schemas.microsoft.com/office/drawing/2014/chart" uri="{C3380CC4-5D6E-409C-BE32-E72D297353CC}">
              <c16:uniqueId val="{00000003-92E9-4743-8E6E-A1280782AD46}"/>
            </c:ext>
          </c:extLst>
        </c:ser>
        <c:dLbls>
          <c:dLblPos val="outEnd"/>
          <c:showLegendKey val="0"/>
          <c:showVal val="1"/>
          <c:showCatName val="0"/>
          <c:showSerName val="0"/>
          <c:showPercent val="0"/>
          <c:showBubbleSize val="0"/>
        </c:dLbls>
        <c:gapWidth val="189"/>
        <c:overlap val="-25"/>
        <c:axId val="301377024"/>
        <c:axId val="301378560"/>
      </c:barChart>
      <c:catAx>
        <c:axId val="30137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01378560"/>
        <c:crosses val="autoZero"/>
        <c:auto val="1"/>
        <c:lblAlgn val="ctr"/>
        <c:lblOffset val="100"/>
        <c:noMultiLvlLbl val="0"/>
      </c:catAx>
      <c:valAx>
        <c:axId val="30137856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Age-Adjusted 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37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 15'!$A$4</c:f>
              <c:strCache>
                <c:ptCount val="1"/>
                <c:pt idx="0">
                  <c:v>Statewide</c:v>
                </c:pt>
              </c:strCache>
            </c:strRef>
          </c:tx>
          <c:spPr>
            <a:ln w="19050" cap="rnd">
              <a:solidFill>
                <a:srgbClr val="203864"/>
              </a:solidFill>
              <a:prstDash val="sysDash"/>
              <a:round/>
            </a:ln>
            <a:effectLst/>
          </c:spPr>
          <c:marker>
            <c:symbol val="circle"/>
            <c:size val="5"/>
            <c:spPr>
              <a:solidFill>
                <a:srgbClr val="203864"/>
              </a:solidFill>
              <a:ln w="9525">
                <a:noFill/>
              </a:ln>
              <a:effectLst/>
            </c:spPr>
          </c:marker>
          <c:dLbls>
            <c:dLbl>
              <c:idx val="0"/>
              <c:layout>
                <c:manualLayout>
                  <c:x val="-8.2472551291448926E-2"/>
                  <c:y val="-7.062507132260648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B1-474C-AF95-B9913626233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B1-474C-AF95-B9913626233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B1-474C-AF95-B9913626233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B1-474C-AF95-B9913626233A}"/>
                </c:ext>
              </c:extLst>
            </c:dLbl>
            <c:dLbl>
              <c:idx val="4"/>
              <c:layout>
                <c:manualLayout>
                  <c:x val="1.3623544804647166E-2"/>
                  <c:y val="-3.801637567043256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FB1-474C-AF95-B9913626233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'Fig 15'!$C$22:$C$26</c:f>
                <c:numCache>
                  <c:formatCode>General</c:formatCode>
                  <c:ptCount val="5"/>
                  <c:pt idx="0">
                    <c:v>0.5</c:v>
                  </c:pt>
                  <c:pt idx="1">
                    <c:v>0.5</c:v>
                  </c:pt>
                  <c:pt idx="2">
                    <c:v>0.59999999999999964</c:v>
                  </c:pt>
                  <c:pt idx="3">
                    <c:v>0.5</c:v>
                  </c:pt>
                  <c:pt idx="4">
                    <c:v>0.79999999999999982</c:v>
                  </c:pt>
                </c:numCache>
              </c:numRef>
            </c:plus>
            <c:minus>
              <c:numRef>
                <c:f>'Fig 15'!$B$22:$B$26</c:f>
                <c:numCache>
                  <c:formatCode>General</c:formatCode>
                  <c:ptCount val="5"/>
                  <c:pt idx="0">
                    <c:v>0.39999999999999947</c:v>
                  </c:pt>
                  <c:pt idx="1">
                    <c:v>0.70000000000000018</c:v>
                  </c:pt>
                  <c:pt idx="2">
                    <c:v>0.5</c:v>
                  </c:pt>
                  <c:pt idx="3">
                    <c:v>0.59999999999999964</c:v>
                  </c:pt>
                  <c:pt idx="4">
                    <c:v>0.70000000000000018</c:v>
                  </c:pt>
                </c:numCache>
              </c:numRef>
            </c:minus>
            <c:spPr>
              <a:noFill/>
              <a:ln w="9525" cap="flat" cmpd="sng" algn="ctr">
                <a:solidFill>
                  <a:schemeClr val="bg1">
                    <a:lumMod val="50000"/>
                  </a:schemeClr>
                </a:solidFill>
                <a:round/>
              </a:ln>
              <a:effectLst/>
            </c:spPr>
          </c:errBars>
          <c:cat>
            <c:numRef>
              <c:f>'Fig 15'!$B$3:$F$3</c:f>
              <c:numCache>
                <c:formatCode>General</c:formatCode>
                <c:ptCount val="5"/>
                <c:pt idx="0">
                  <c:v>2011</c:v>
                </c:pt>
                <c:pt idx="1">
                  <c:v>2012</c:v>
                </c:pt>
                <c:pt idx="2">
                  <c:v>2013</c:v>
                </c:pt>
                <c:pt idx="3">
                  <c:v>2014</c:v>
                </c:pt>
                <c:pt idx="4">
                  <c:v>2015</c:v>
                </c:pt>
              </c:numCache>
            </c:numRef>
          </c:cat>
          <c:val>
            <c:numRef>
              <c:f>'Fig 15'!$B$4:$F$4</c:f>
              <c:numCache>
                <c:formatCode>General</c:formatCode>
                <c:ptCount val="5"/>
                <c:pt idx="0">
                  <c:v>5.0999999999999996</c:v>
                </c:pt>
                <c:pt idx="1">
                  <c:v>5.4</c:v>
                </c:pt>
                <c:pt idx="2">
                  <c:v>5.2</c:v>
                </c:pt>
                <c:pt idx="3">
                  <c:v>5.6</c:v>
                </c:pt>
                <c:pt idx="4" formatCode="0.0">
                  <c:v>5.7</c:v>
                </c:pt>
              </c:numCache>
            </c:numRef>
          </c:val>
          <c:smooth val="0"/>
          <c:extLst xmlns:c16r2="http://schemas.microsoft.com/office/drawing/2015/06/chart">
            <c:ext xmlns:c16="http://schemas.microsoft.com/office/drawing/2014/chart" uri="{C3380CC4-5D6E-409C-BE32-E72D297353CC}">
              <c16:uniqueId val="{00000005-1FB1-474C-AF95-B9913626233A}"/>
            </c:ext>
          </c:extLst>
        </c:ser>
        <c:ser>
          <c:idx val="1"/>
          <c:order val="1"/>
          <c:tx>
            <c:strRef>
              <c:f>'Fig 15'!$A$5</c:f>
              <c:strCache>
                <c:ptCount val="1"/>
                <c:pt idx="0">
                  <c:v>Less than HS</c:v>
                </c:pt>
              </c:strCache>
            </c:strRef>
          </c:tx>
          <c:spPr>
            <a:ln w="19050" cap="rnd">
              <a:solidFill>
                <a:srgbClr val="08519C"/>
              </a:solidFill>
              <a:round/>
            </a:ln>
            <a:effectLst/>
          </c:spPr>
          <c:marker>
            <c:symbol val="diamond"/>
            <c:size val="7"/>
            <c:spPr>
              <a:solidFill>
                <a:schemeClr val="bg1"/>
              </a:solidFill>
              <a:ln w="9525">
                <a:solidFill>
                  <a:srgbClr val="08519C"/>
                </a:solidFill>
              </a:ln>
              <a:effectLst/>
            </c:spPr>
          </c:marker>
          <c:dLbls>
            <c:dLbl>
              <c:idx val="0"/>
              <c:layout>
                <c:manualLayout>
                  <c:x val="-8.2372451191348853E-2"/>
                  <c:y val="-5.22101449275362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FB1-474C-AF95-B9913626233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FB1-474C-AF95-B9913626233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FB1-474C-AF95-B9913626233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FB1-474C-AF95-B9913626233A}"/>
                </c:ext>
              </c:extLst>
            </c:dLbl>
            <c:dLbl>
              <c:idx val="4"/>
              <c:layout>
                <c:manualLayout>
                  <c:x val="6.3963175774199394E-3"/>
                  <c:y val="-2.32246376811594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FB1-474C-AF95-B9913626233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'Fig 15'!$E$22:$E$26</c:f>
                <c:numCache>
                  <c:formatCode>General</c:formatCode>
                  <c:ptCount val="5"/>
                  <c:pt idx="0">
                    <c:v>2.0999999999999996</c:v>
                  </c:pt>
                  <c:pt idx="1">
                    <c:v>2.1999999999999993</c:v>
                  </c:pt>
                  <c:pt idx="2">
                    <c:v>2.9000000000000004</c:v>
                  </c:pt>
                  <c:pt idx="3">
                    <c:v>3</c:v>
                  </c:pt>
                  <c:pt idx="4">
                    <c:v>4.4000000000000004</c:v>
                  </c:pt>
                </c:numCache>
              </c:numRef>
            </c:plus>
            <c:minus>
              <c:numRef>
                <c:f>'Fig 15'!$D$22:$D$26</c:f>
                <c:numCache>
                  <c:formatCode>General</c:formatCode>
                  <c:ptCount val="5"/>
                  <c:pt idx="0">
                    <c:v>2.0999999999999996</c:v>
                  </c:pt>
                  <c:pt idx="1">
                    <c:v>2.9000000000000004</c:v>
                  </c:pt>
                  <c:pt idx="2">
                    <c:v>3</c:v>
                  </c:pt>
                  <c:pt idx="3">
                    <c:v>3.0000000000000009</c:v>
                  </c:pt>
                  <c:pt idx="4">
                    <c:v>4.2999999999999989</c:v>
                  </c:pt>
                </c:numCache>
              </c:numRef>
            </c:minus>
            <c:spPr>
              <a:noFill/>
              <a:ln w="9525" cap="flat" cmpd="sng" algn="ctr">
                <a:solidFill>
                  <a:schemeClr val="bg1">
                    <a:lumMod val="50000"/>
                  </a:schemeClr>
                </a:solidFill>
                <a:round/>
              </a:ln>
              <a:effectLst/>
            </c:spPr>
          </c:errBars>
          <c:cat>
            <c:numRef>
              <c:f>'Fig 15'!$B$3:$F$3</c:f>
              <c:numCache>
                <c:formatCode>General</c:formatCode>
                <c:ptCount val="5"/>
                <c:pt idx="0">
                  <c:v>2011</c:v>
                </c:pt>
                <c:pt idx="1">
                  <c:v>2012</c:v>
                </c:pt>
                <c:pt idx="2">
                  <c:v>2013</c:v>
                </c:pt>
                <c:pt idx="3">
                  <c:v>2014</c:v>
                </c:pt>
                <c:pt idx="4">
                  <c:v>2015</c:v>
                </c:pt>
              </c:numCache>
            </c:numRef>
          </c:cat>
          <c:val>
            <c:numRef>
              <c:f>'Fig 15'!$B$5:$F$5</c:f>
              <c:numCache>
                <c:formatCode>General</c:formatCode>
                <c:ptCount val="5"/>
                <c:pt idx="0">
                  <c:v>9.1</c:v>
                </c:pt>
                <c:pt idx="1">
                  <c:v>9.9</c:v>
                </c:pt>
                <c:pt idx="2">
                  <c:v>10.4</c:v>
                </c:pt>
                <c:pt idx="3">
                  <c:v>9.8000000000000007</c:v>
                </c:pt>
                <c:pt idx="4" formatCode="0.0">
                  <c:v>14.1</c:v>
                </c:pt>
              </c:numCache>
            </c:numRef>
          </c:val>
          <c:smooth val="0"/>
          <c:extLst xmlns:c16r2="http://schemas.microsoft.com/office/drawing/2015/06/chart">
            <c:ext xmlns:c16="http://schemas.microsoft.com/office/drawing/2014/chart" uri="{C3380CC4-5D6E-409C-BE32-E72D297353CC}">
              <c16:uniqueId val="{0000000B-1FB1-474C-AF95-B9913626233A}"/>
            </c:ext>
          </c:extLst>
        </c:ser>
        <c:ser>
          <c:idx val="2"/>
          <c:order val="2"/>
          <c:tx>
            <c:strRef>
              <c:f>'Fig 15'!$A$6</c:f>
              <c:strCache>
                <c:ptCount val="1"/>
                <c:pt idx="0">
                  <c:v>HS</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8.2372451191348825E-2"/>
                  <c:y val="-9.93115942028986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FB1-474C-AF95-B9913626233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FB1-474C-AF95-B9913626233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FB1-474C-AF95-B9913626233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FB1-474C-AF95-B9913626233A}"/>
                </c:ext>
              </c:extLst>
            </c:dLbl>
            <c:dLbl>
              <c:idx val="4"/>
              <c:layout>
                <c:manualLayout>
                  <c:x val="1.1721642902745265E-2"/>
                  <c:y val="-4.858695652173906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FB1-474C-AF95-B9913626233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'Fig 15'!$G$22:$G$26</c:f>
                <c:numCache>
                  <c:formatCode>General</c:formatCode>
                  <c:ptCount val="5"/>
                  <c:pt idx="0">
                    <c:v>1</c:v>
                  </c:pt>
                  <c:pt idx="1">
                    <c:v>1.0999999999999996</c:v>
                  </c:pt>
                  <c:pt idx="2">
                    <c:v>1.4000000000000004</c:v>
                  </c:pt>
                  <c:pt idx="3">
                    <c:v>1.1999999999999993</c:v>
                  </c:pt>
                  <c:pt idx="4">
                    <c:v>1.5999999999999996</c:v>
                  </c:pt>
                </c:numCache>
              </c:numRef>
            </c:plus>
            <c:minus>
              <c:numRef>
                <c:f>'Fig 15'!$F$22:$F$26</c:f>
                <c:numCache>
                  <c:formatCode>General</c:formatCode>
                  <c:ptCount val="5"/>
                  <c:pt idx="0">
                    <c:v>1</c:v>
                  </c:pt>
                  <c:pt idx="1">
                    <c:v>2</c:v>
                  </c:pt>
                  <c:pt idx="2">
                    <c:v>1.2999999999999998</c:v>
                  </c:pt>
                  <c:pt idx="3">
                    <c:v>1.2000000000000002</c:v>
                  </c:pt>
                  <c:pt idx="4">
                    <c:v>1.7000000000000002</c:v>
                  </c:pt>
                </c:numCache>
              </c:numRef>
            </c:minus>
            <c:spPr>
              <a:noFill/>
              <a:ln w="9525" cap="flat" cmpd="sng" algn="ctr">
                <a:solidFill>
                  <a:schemeClr val="bg1">
                    <a:lumMod val="50000"/>
                  </a:schemeClr>
                </a:solidFill>
                <a:round/>
              </a:ln>
              <a:effectLst/>
            </c:spPr>
          </c:errBars>
          <c:cat>
            <c:numRef>
              <c:f>'Fig 15'!$B$3:$F$3</c:f>
              <c:numCache>
                <c:formatCode>General</c:formatCode>
                <c:ptCount val="5"/>
                <c:pt idx="0">
                  <c:v>2011</c:v>
                </c:pt>
                <c:pt idx="1">
                  <c:v>2012</c:v>
                </c:pt>
                <c:pt idx="2">
                  <c:v>2013</c:v>
                </c:pt>
                <c:pt idx="3">
                  <c:v>2014</c:v>
                </c:pt>
                <c:pt idx="4">
                  <c:v>2015</c:v>
                </c:pt>
              </c:numCache>
            </c:numRef>
          </c:cat>
          <c:val>
            <c:numRef>
              <c:f>'Fig 15'!$B$6:$F$6</c:f>
              <c:numCache>
                <c:formatCode>0.0</c:formatCode>
                <c:ptCount val="5"/>
                <c:pt idx="0" formatCode="General">
                  <c:v>6.1</c:v>
                </c:pt>
                <c:pt idx="1">
                  <c:v>7.1</c:v>
                </c:pt>
                <c:pt idx="2">
                  <c:v>7</c:v>
                </c:pt>
                <c:pt idx="3" formatCode="General">
                  <c:v>7.5</c:v>
                </c:pt>
                <c:pt idx="4">
                  <c:v>6.9</c:v>
                </c:pt>
              </c:numCache>
            </c:numRef>
          </c:val>
          <c:smooth val="0"/>
          <c:extLst xmlns:c16r2="http://schemas.microsoft.com/office/drawing/2015/06/chart">
            <c:ext xmlns:c16="http://schemas.microsoft.com/office/drawing/2014/chart" uri="{C3380CC4-5D6E-409C-BE32-E72D297353CC}">
              <c16:uniqueId val="{00000011-1FB1-474C-AF95-B9913626233A}"/>
            </c:ext>
          </c:extLst>
        </c:ser>
        <c:ser>
          <c:idx val="3"/>
          <c:order val="3"/>
          <c:tx>
            <c:strRef>
              <c:f>'Fig 15'!$A$7</c:f>
              <c:strCache>
                <c:ptCount val="1"/>
                <c:pt idx="0">
                  <c:v>College 1-3 yrs</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8.1371450190347847E-2"/>
                  <c:y val="3.2608695652160629E-4"/>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FB1-474C-AF95-B9913626233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FB1-474C-AF95-B9913626233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FB1-474C-AF95-B9913626233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FB1-474C-AF95-B9913626233A}"/>
                </c:ext>
              </c:extLst>
            </c:dLbl>
            <c:dLbl>
              <c:idx val="4"/>
              <c:layout>
                <c:manualLayout>
                  <c:x val="8.7186398997422618E-3"/>
                  <c:y val="1.84420289855071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FB1-474C-AF95-B9913626233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Ref>
                <c:f>'Fig 15'!$I$22:$I$26</c:f>
                <c:numCache>
                  <c:formatCode>General</c:formatCode>
                  <c:ptCount val="5"/>
                  <c:pt idx="0">
                    <c:v>0.90000000000000036</c:v>
                  </c:pt>
                  <c:pt idx="1">
                    <c:v>-1.0999999999999996</c:v>
                  </c:pt>
                  <c:pt idx="2">
                    <c:v>1.1000000000000005</c:v>
                  </c:pt>
                  <c:pt idx="3">
                    <c:v>1.0999999999999996</c:v>
                  </c:pt>
                  <c:pt idx="4">
                    <c:v>1.3999999999999995</c:v>
                  </c:pt>
                </c:numCache>
              </c:numRef>
            </c:plus>
            <c:minus>
              <c:numRef>
                <c:f>'Fig 15'!$H$22:$H$26</c:f>
                <c:numCache>
                  <c:formatCode>General</c:formatCode>
                  <c:ptCount val="5"/>
                  <c:pt idx="0">
                    <c:v>1</c:v>
                  </c:pt>
                  <c:pt idx="1">
                    <c:v>2.2000000000000002</c:v>
                  </c:pt>
                  <c:pt idx="2">
                    <c:v>1.0999999999999996</c:v>
                  </c:pt>
                  <c:pt idx="3">
                    <c:v>1.0999999999999996</c:v>
                  </c:pt>
                  <c:pt idx="4">
                    <c:v>1.4000000000000004</c:v>
                  </c:pt>
                </c:numCache>
              </c:numRef>
            </c:minus>
            <c:spPr>
              <a:noFill/>
              <a:ln w="9525" cap="flat" cmpd="sng" algn="ctr">
                <a:solidFill>
                  <a:schemeClr val="bg1">
                    <a:lumMod val="50000"/>
                  </a:schemeClr>
                </a:solidFill>
                <a:round/>
              </a:ln>
              <a:effectLst/>
            </c:spPr>
          </c:errBars>
          <c:cat>
            <c:numRef>
              <c:f>'Fig 15'!$B$3:$F$3</c:f>
              <c:numCache>
                <c:formatCode>General</c:formatCode>
                <c:ptCount val="5"/>
                <c:pt idx="0">
                  <c:v>2011</c:v>
                </c:pt>
                <c:pt idx="1">
                  <c:v>2012</c:v>
                </c:pt>
                <c:pt idx="2">
                  <c:v>2013</c:v>
                </c:pt>
                <c:pt idx="3">
                  <c:v>2014</c:v>
                </c:pt>
                <c:pt idx="4">
                  <c:v>2015</c:v>
                </c:pt>
              </c:numCache>
            </c:numRef>
          </c:cat>
          <c:val>
            <c:numRef>
              <c:f>'Fig 15'!$B$7:$F$7</c:f>
              <c:numCache>
                <c:formatCode>General</c:formatCode>
                <c:ptCount val="5"/>
                <c:pt idx="0">
                  <c:v>5.0999999999999996</c:v>
                </c:pt>
                <c:pt idx="1">
                  <c:v>6.3</c:v>
                </c:pt>
                <c:pt idx="2">
                  <c:v>5.3</c:v>
                </c:pt>
                <c:pt idx="3">
                  <c:v>5.5</c:v>
                </c:pt>
                <c:pt idx="4" formatCode="0.0">
                  <c:v>5.4</c:v>
                </c:pt>
              </c:numCache>
            </c:numRef>
          </c:val>
          <c:smooth val="0"/>
          <c:extLst xmlns:c16r2="http://schemas.microsoft.com/office/drawing/2015/06/chart">
            <c:ext xmlns:c16="http://schemas.microsoft.com/office/drawing/2014/chart" uri="{C3380CC4-5D6E-409C-BE32-E72D297353CC}">
              <c16:uniqueId val="{00000017-1FB1-474C-AF95-B9913626233A}"/>
            </c:ext>
          </c:extLst>
        </c:ser>
        <c:ser>
          <c:idx val="4"/>
          <c:order val="4"/>
          <c:tx>
            <c:strRef>
              <c:f>'Fig 15'!$A$8</c:f>
              <c:strCache>
                <c:ptCount val="1"/>
                <c:pt idx="0">
                  <c:v>College 4+ yrs</c:v>
                </c:pt>
              </c:strCache>
            </c:strRef>
          </c:tx>
          <c:spPr>
            <a:ln w="19050" cap="rnd">
              <a:solidFill>
                <a:srgbClr val="9ECAE1"/>
              </a:solidFill>
              <a:round/>
            </a:ln>
            <a:effectLst/>
          </c:spPr>
          <c:marker>
            <c:symbol val="triangle"/>
            <c:size val="7"/>
            <c:spPr>
              <a:solidFill>
                <a:sysClr val="window" lastClr="FFFFFF"/>
              </a:solidFill>
              <a:ln w="9525">
                <a:solidFill>
                  <a:srgbClr val="9ECAE1"/>
                </a:solidFill>
              </a:ln>
              <a:effectLst/>
            </c:spPr>
          </c:marker>
          <c:dLbls>
            <c:dLbl>
              <c:idx val="0"/>
              <c:layout>
                <c:manualLayout>
                  <c:x val="-8.637645519535285E-2"/>
                  <c:y val="1.59782608695652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FB1-474C-AF95-B9913626233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FB1-474C-AF95-B9913626233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1FB1-474C-AF95-B9913626233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1FB1-474C-AF95-B9913626233A}"/>
                </c:ext>
              </c:extLst>
            </c:dLbl>
            <c:dLbl>
              <c:idx val="4"/>
              <c:layout>
                <c:manualLayout>
                  <c:x val="1.1721642902745265E-2"/>
                  <c:y val="2.68478260869565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1FB1-474C-AF95-B9913626233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'Fig 15'!$K$22:$K$26</c:f>
                <c:numCache>
                  <c:formatCode>General</c:formatCode>
                  <c:ptCount val="5"/>
                  <c:pt idx="0">
                    <c:v>0.5</c:v>
                  </c:pt>
                  <c:pt idx="1">
                    <c:v>0.39999999999999991</c:v>
                  </c:pt>
                  <c:pt idx="2">
                    <c:v>0.5</c:v>
                  </c:pt>
                  <c:pt idx="3">
                    <c:v>0.5</c:v>
                  </c:pt>
                  <c:pt idx="4">
                    <c:v>0.70000000000000018</c:v>
                  </c:pt>
                </c:numCache>
              </c:numRef>
            </c:plus>
            <c:minus>
              <c:numRef>
                <c:f>'Fig 15'!$J$22:$J$26</c:f>
                <c:numCache>
                  <c:formatCode>General</c:formatCode>
                  <c:ptCount val="5"/>
                  <c:pt idx="0">
                    <c:v>0.5</c:v>
                  </c:pt>
                  <c:pt idx="1">
                    <c:v>0.39999999999999991</c:v>
                  </c:pt>
                  <c:pt idx="2">
                    <c:v>0.60000000000000009</c:v>
                  </c:pt>
                  <c:pt idx="3">
                    <c:v>0.5</c:v>
                  </c:pt>
                  <c:pt idx="4">
                    <c:v>0.69999999999999973</c:v>
                  </c:pt>
                </c:numCache>
              </c:numRef>
            </c:minus>
            <c:spPr>
              <a:noFill/>
              <a:ln w="9525" cap="flat" cmpd="sng" algn="ctr">
                <a:solidFill>
                  <a:sysClr val="window" lastClr="FFFFFF">
                    <a:lumMod val="50000"/>
                  </a:sysClr>
                </a:solidFill>
                <a:round/>
              </a:ln>
              <a:effectLst/>
            </c:spPr>
          </c:errBars>
          <c:cat>
            <c:numRef>
              <c:f>'Fig 15'!$B$3:$F$3</c:f>
              <c:numCache>
                <c:formatCode>General</c:formatCode>
                <c:ptCount val="5"/>
                <c:pt idx="0">
                  <c:v>2011</c:v>
                </c:pt>
                <c:pt idx="1">
                  <c:v>2012</c:v>
                </c:pt>
                <c:pt idx="2">
                  <c:v>2013</c:v>
                </c:pt>
                <c:pt idx="3">
                  <c:v>2014</c:v>
                </c:pt>
                <c:pt idx="4">
                  <c:v>2015</c:v>
                </c:pt>
              </c:numCache>
            </c:numRef>
          </c:cat>
          <c:val>
            <c:numRef>
              <c:f>'Fig 15'!$B$8:$F$8</c:f>
              <c:numCache>
                <c:formatCode>General</c:formatCode>
                <c:ptCount val="5"/>
                <c:pt idx="0">
                  <c:v>3.2</c:v>
                </c:pt>
                <c:pt idx="1">
                  <c:v>2.4</c:v>
                </c:pt>
                <c:pt idx="2">
                  <c:v>2.5</c:v>
                </c:pt>
                <c:pt idx="3" formatCode="0.0">
                  <c:v>3</c:v>
                </c:pt>
                <c:pt idx="4" formatCode="0.0">
                  <c:v>2.9</c:v>
                </c:pt>
              </c:numCache>
            </c:numRef>
          </c:val>
          <c:smooth val="0"/>
          <c:extLst xmlns:c16r2="http://schemas.microsoft.com/office/drawing/2015/06/chart">
            <c:ext xmlns:c16="http://schemas.microsoft.com/office/drawing/2014/chart" uri="{C3380CC4-5D6E-409C-BE32-E72D297353CC}">
              <c16:uniqueId val="{0000001D-1FB1-474C-AF95-B9913626233A}"/>
            </c:ext>
          </c:extLst>
        </c:ser>
        <c:dLbls>
          <c:dLblPos val="t"/>
          <c:showLegendKey val="0"/>
          <c:showVal val="1"/>
          <c:showCatName val="0"/>
          <c:showSerName val="0"/>
          <c:showPercent val="0"/>
          <c:showBubbleSize val="0"/>
        </c:dLbls>
        <c:marker val="1"/>
        <c:smooth val="0"/>
        <c:axId val="305965312"/>
        <c:axId val="305979392"/>
      </c:lineChart>
      <c:catAx>
        <c:axId val="30596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05979392"/>
        <c:crosses val="autoZero"/>
        <c:auto val="1"/>
        <c:lblAlgn val="ctr"/>
        <c:lblOffset val="100"/>
        <c:noMultiLvlLbl val="0"/>
      </c:catAx>
      <c:valAx>
        <c:axId val="305979392"/>
        <c:scaling>
          <c:orientation val="minMax"/>
          <c:max val="15"/>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965312"/>
        <c:crosses val="autoZero"/>
        <c:crossBetween val="between"/>
        <c:majorUnit val="5"/>
      </c:valAx>
      <c:spPr>
        <a:noFill/>
        <a:ln>
          <a:noFill/>
        </a:ln>
        <a:effectLst/>
      </c:spPr>
    </c:plotArea>
    <c:legend>
      <c:legendPos val="b"/>
      <c:layout>
        <c:manualLayout>
          <c:xMode val="edge"/>
          <c:yMode val="edge"/>
          <c:x val="0"/>
          <c:y val="0.88027730229373491"/>
          <c:w val="1"/>
          <c:h val="0.116217067461161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1-E7D8-45D0-88E9-EA6F45BB1B3A}"/>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3-E7D8-45D0-88E9-EA6F45BB1B3A}"/>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5-E7D8-45D0-88E9-EA6F45BB1B3A}"/>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7-E7D8-45D0-88E9-EA6F45BB1B3A}"/>
              </c:ext>
            </c:extLst>
          </c:dPt>
          <c:dLbls>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'8.19'!$A$7:$A$9</c:f>
              <c:strCache>
                <c:ptCount val="3"/>
                <c:pt idx="0">
                  <c:v>White non-Hispanic</c:v>
                </c:pt>
                <c:pt idx="1">
                  <c:v>Hispanic</c:v>
                </c:pt>
                <c:pt idx="2">
                  <c:v>Black non-Hispanic</c:v>
                </c:pt>
              </c:strCache>
            </c:strRef>
          </c:cat>
          <c:val>
            <c:numRef>
              <c:f>'8.19'!$B$7:$B$9</c:f>
              <c:numCache>
                <c:formatCode>0.0</c:formatCode>
                <c:ptCount val="3"/>
                <c:pt idx="0">
                  <c:v>99.29</c:v>
                </c:pt>
                <c:pt idx="1">
                  <c:v>376.51900000000001</c:v>
                </c:pt>
                <c:pt idx="2">
                  <c:v>419.06299999999999</c:v>
                </c:pt>
              </c:numCache>
            </c:numRef>
          </c:val>
          <c:extLst xmlns:c16r2="http://schemas.microsoft.com/office/drawing/2015/06/chart">
            <c:ext xmlns:c16="http://schemas.microsoft.com/office/drawing/2014/chart" uri="{C3380CC4-5D6E-409C-BE32-E72D297353CC}">
              <c16:uniqueId val="{00000008-E7D8-45D0-88E9-EA6F45BB1B3A}"/>
            </c:ext>
          </c:extLst>
        </c:ser>
        <c:dLbls>
          <c:showLegendKey val="0"/>
          <c:showVal val="0"/>
          <c:showCatName val="0"/>
          <c:showSerName val="0"/>
          <c:showPercent val="0"/>
          <c:showBubbleSize val="0"/>
        </c:dLbls>
        <c:gapWidth val="150"/>
        <c:overlap val="100"/>
        <c:axId val="306590080"/>
        <c:axId val="306591616"/>
      </c:barChart>
      <c:catAx>
        <c:axId val="306590080"/>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306591616"/>
        <c:crosses val="autoZero"/>
        <c:auto val="0"/>
        <c:lblAlgn val="ctr"/>
        <c:lblOffset val="100"/>
        <c:noMultiLvlLbl val="0"/>
      </c:catAx>
      <c:valAx>
        <c:axId val="306591616"/>
        <c:scaling>
          <c:orientation val="minMax"/>
          <c:max val="500"/>
          <c:min val="0"/>
        </c:scaling>
        <c:delete val="0"/>
        <c:axPos val="l"/>
        <c:title>
          <c:tx>
            <c:rich>
              <a:bodyPr rot="-5400000" vert="horz"/>
              <a:lstStyle/>
              <a:p>
                <a:pPr>
                  <a:defRPr b="1"/>
                </a:pPr>
                <a:r>
                  <a:rPr lang="en-US" b="1"/>
                  <a:t>Age-Adjusted Rate per 100,000 Population</a:t>
                </a:r>
              </a:p>
            </c:rich>
          </c:tx>
          <c:overlay val="0"/>
        </c:title>
        <c:numFmt formatCode="0" sourceLinked="0"/>
        <c:majorTickMark val="out"/>
        <c:minorTickMark val="none"/>
        <c:tickLblPos val="nextTo"/>
        <c:spPr>
          <a:ln>
            <a:noFill/>
          </a:ln>
        </c:spPr>
        <c:crossAx val="306590080"/>
        <c:crosses val="autoZero"/>
        <c:crossBetween val="between"/>
        <c:majorUnit val="100"/>
      </c:valAx>
    </c:plotArea>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8008347914844"/>
          <c:y val="1.963409192324855E-2"/>
          <c:w val="0.64597313356663755"/>
          <c:h val="0.90110967052813173"/>
        </c:manualLayout>
      </c:layout>
      <c:barChart>
        <c:barDir val="bar"/>
        <c:grouping val="clustered"/>
        <c:varyColors val="0"/>
        <c:ser>
          <c:idx val="0"/>
          <c:order val="0"/>
          <c:spPr>
            <a:solidFill>
              <a:srgbClr val="203864"/>
            </a:solidFill>
            <a:ln>
              <a:noFill/>
            </a:ln>
            <a:effectLst/>
          </c:spPr>
          <c:invertIfNegative val="0"/>
          <c:dPt>
            <c:idx val="2"/>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1-B3C3-49A2-8861-3F56B9EAFD1D}"/>
              </c:ext>
            </c:extLst>
          </c:dPt>
          <c:dPt>
            <c:idx val="3"/>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3-B3C3-49A2-8861-3F56B9EAFD1D}"/>
              </c:ext>
            </c:extLst>
          </c:dPt>
          <c:dPt>
            <c:idx val="5"/>
            <c:invertIfNegative val="0"/>
            <c:bubble3D val="0"/>
            <c:spPr>
              <a:pattFill prst="ltDn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5-B3C3-49A2-8861-3F56B9EAFD1D}"/>
              </c:ext>
            </c:extLst>
          </c:dPt>
          <c:dPt>
            <c:idx val="6"/>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7-B3C3-49A2-8861-3F56B9EAFD1D}"/>
              </c:ext>
            </c:extLst>
          </c:dPt>
          <c:dPt>
            <c:idx val="7"/>
            <c:invertIfNegative val="0"/>
            <c:bubble3D val="0"/>
            <c:spPr>
              <a:pattFill prst="ltUp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09-B3C3-49A2-8861-3F56B9EAFD1D}"/>
              </c:ext>
            </c:extLst>
          </c:dPt>
          <c:dPt>
            <c:idx val="10"/>
            <c:invertIfNegative val="0"/>
            <c:bubble3D val="0"/>
            <c:spPr>
              <a:pattFill prst="ltDn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B-B3C3-49A2-8861-3F56B9EAFD1D}"/>
              </c:ext>
            </c:extLst>
          </c:dPt>
          <c:dPt>
            <c:idx val="11"/>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0D-B3C3-49A2-8861-3F56B9EAFD1D}"/>
              </c:ext>
            </c:extLst>
          </c:dPt>
          <c:dPt>
            <c:idx val="13"/>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F-B3C3-49A2-8861-3F56B9EAFD1D}"/>
              </c:ext>
            </c:extLst>
          </c:dPt>
          <c:dPt>
            <c:idx val="14"/>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11-B3C3-49A2-8861-3F56B9EAFD1D}"/>
              </c:ext>
            </c:extLst>
          </c:dPt>
          <c:dPt>
            <c:idx val="15"/>
            <c:invertIfNegative val="0"/>
            <c:bubble3D val="0"/>
            <c:spPr>
              <a:pattFill prst="ltDn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13-B3C3-49A2-8861-3F56B9EAFD1D}"/>
              </c:ext>
            </c:extLst>
          </c:dPt>
          <c:dPt>
            <c:idx val="18"/>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15-B3C3-49A2-8861-3F56B9EAFD1D}"/>
              </c:ext>
            </c:extLst>
          </c:dPt>
          <c:dPt>
            <c:idx val="19"/>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7-B3C3-49A2-8861-3F56B9EAFD1D}"/>
              </c:ext>
            </c:extLst>
          </c:dPt>
          <c:dPt>
            <c:idx val="21"/>
            <c:invertIfNegative val="0"/>
            <c:bubble3D val="0"/>
            <c:spPr>
              <a:pattFill prst="ltDn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19-B3C3-49A2-8861-3F56B9EAFD1D}"/>
              </c:ext>
            </c:extLst>
          </c:dPt>
          <c:dPt>
            <c:idx val="22"/>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1B-B3C3-49A2-8861-3F56B9EAFD1D}"/>
              </c:ext>
            </c:extLst>
          </c:dPt>
          <c:dPt>
            <c:idx val="23"/>
            <c:invertIfNegative val="0"/>
            <c:bubble3D val="0"/>
            <c:spPr>
              <a:pattFill prst="ltUp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1D-B3C3-49A2-8861-3F56B9EAFD1D}"/>
              </c:ext>
            </c:extLst>
          </c:dPt>
          <c:dPt>
            <c:idx val="26"/>
            <c:invertIfNegative val="0"/>
            <c:bubble3D val="0"/>
            <c:spPr>
              <a:pattFill prst="ltDn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1F-B3C3-49A2-8861-3F56B9EAFD1D}"/>
              </c:ext>
            </c:extLst>
          </c:dPt>
          <c:dPt>
            <c:idx val="29"/>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21-B3C3-49A2-8861-3F56B9EAFD1D}"/>
              </c:ext>
            </c:extLst>
          </c:dPt>
          <c:dPt>
            <c:idx val="32"/>
            <c:invertIfNegative val="0"/>
            <c:bubble3D val="0"/>
            <c:spPr>
              <a:pattFill prst="ltDn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23-B3C3-49A2-8861-3F56B9EAFD1D}"/>
              </c:ext>
            </c:extLst>
          </c:dPt>
          <c:dLbls>
            <c:dLbl>
              <c:idx val="0"/>
              <c:layout>
                <c:manualLayout>
                  <c:x val="3.4972682754887428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B3C3-49A2-8861-3F56B9EAFD1D}"/>
                </c:ext>
              </c:extLst>
            </c:dLbl>
            <c:dLbl>
              <c:idx val="2"/>
              <c:layout>
                <c:manualLayout>
                  <c:x val="3.747073152309377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3C3-49A2-8861-3F56B9EAFD1D}"/>
                </c:ext>
              </c:extLst>
            </c:dLbl>
            <c:dLbl>
              <c:idx val="3"/>
              <c:layout>
                <c:manualLayout>
                  <c:x val="3.9968780291299931E-2"/>
                  <c:y val="2.8108936182174017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3C3-49A2-8861-3F56B9EAFD1D}"/>
                </c:ext>
              </c:extLst>
            </c:dLbl>
            <c:dLbl>
              <c:idx val="5"/>
              <c:layout>
                <c:manualLayout>
                  <c:x val="5.9953170436950039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3C3-49A2-8861-3F56B9EAFD1D}"/>
                </c:ext>
              </c:extLst>
            </c:dLbl>
            <c:dLbl>
              <c:idx val="6"/>
              <c:layout>
                <c:manualLayout>
                  <c:x val="3.747073152309377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3C3-49A2-8861-3F56B9EAFD1D}"/>
                </c:ext>
              </c:extLst>
            </c:dLbl>
            <c:dLbl>
              <c:idx val="7"/>
              <c:layout>
                <c:manualLayout>
                  <c:x val="4.246682905950627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3C3-49A2-8861-3F56B9EAFD1D}"/>
                </c:ext>
              </c:extLst>
            </c:dLbl>
            <c:dLbl>
              <c:idx val="9"/>
              <c:layout>
                <c:manualLayout>
                  <c:x val="2.997658521847511E-2"/>
                  <c:y val="2.8108936185446327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B3C3-49A2-8861-3F56B9EAFD1D}"/>
                </c:ext>
              </c:extLst>
            </c:dLbl>
            <c:dLbl>
              <c:idx val="10"/>
              <c:layout>
                <c:manualLayout>
                  <c:x val="0.12490243841031239"/>
                  <c:y val="3.2723108518605606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3C3-49A2-8861-3F56B9EAFD1D}"/>
                </c:ext>
              </c:extLst>
            </c:dLbl>
            <c:dLbl>
              <c:idx val="11"/>
              <c:layout>
                <c:manualLayout>
                  <c:x val="8.24356093508062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3C3-49A2-8861-3F56B9EAFD1D}"/>
                </c:ext>
              </c:extLst>
            </c:dLbl>
            <c:dLbl>
              <c:idx val="13"/>
              <c:layout>
                <c:manualLayout>
                  <c:x val="0.1124121945692813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3C3-49A2-8861-3F56B9EAFD1D}"/>
                </c:ext>
              </c:extLst>
            </c:dLbl>
            <c:dLbl>
              <c:idx val="14"/>
              <c:layout>
                <c:manualLayout>
                  <c:x val="5.2459024132331285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3C3-49A2-8861-3F56B9EAFD1D}"/>
                </c:ext>
              </c:extLst>
            </c:dLbl>
            <c:dLbl>
              <c:idx val="15"/>
              <c:layout>
                <c:manualLayout>
                  <c:x val="2.9976585218474926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3C3-49A2-8861-3F56B9EAFD1D}"/>
                </c:ext>
              </c:extLst>
            </c:dLbl>
            <c:dLbl>
              <c:idx val="17"/>
              <c:layout>
                <c:manualLayout>
                  <c:x val="5.9953170436949942E-2"/>
                  <c:y val="6.5446217037211212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B3C3-49A2-8861-3F56B9EAFD1D}"/>
                </c:ext>
              </c:extLst>
            </c:dLbl>
            <c:dLbl>
              <c:idx val="18"/>
              <c:layout>
                <c:manualLayout>
                  <c:x val="5.2459024132331188E-2"/>
                  <c:y val="6.5446217037211212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B3C3-49A2-8861-3F56B9EAFD1D}"/>
                </c:ext>
              </c:extLst>
            </c:dLbl>
            <c:dLbl>
              <c:idx val="19"/>
              <c:layout>
                <c:manualLayout>
                  <c:x val="5.1209999748228249E-2"/>
                  <c:y val="2.8108936175629396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5.0685409506904838E-2"/>
                      <c:h val="2.8237394020526552E-2"/>
                    </c:manualLayout>
                  </c15:layout>
                </c:ext>
                <c:ext xmlns:c16="http://schemas.microsoft.com/office/drawing/2014/chart" uri="{C3380CC4-5D6E-409C-BE32-E72D297353CC}">
                  <c16:uniqueId val="{00000017-B3C3-49A2-8861-3F56B9EAFD1D}"/>
                </c:ext>
              </c:extLst>
            </c:dLbl>
            <c:dLbl>
              <c:idx val="21"/>
              <c:layout>
                <c:manualLayout>
                  <c:x val="8.7431706887218796E-2"/>
                  <c:y val="1.3089243407442242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B3C3-49A2-8861-3F56B9EAFD1D}"/>
                </c:ext>
              </c:extLst>
            </c:dLbl>
            <c:dLbl>
              <c:idx val="22"/>
              <c:layout>
                <c:manualLayout>
                  <c:x val="5.2459024132331375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B3C3-49A2-8861-3F56B9EAFD1D}"/>
                </c:ext>
              </c:extLst>
            </c:dLbl>
            <c:dLbl>
              <c:idx val="23"/>
              <c:layout>
                <c:manualLayout>
                  <c:x val="3.747073152309368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B3C3-49A2-8861-3F56B9EAFD1D}"/>
                </c:ext>
              </c:extLst>
            </c:dLbl>
            <c:dLbl>
              <c:idx val="25"/>
              <c:layout>
                <c:manualLayout>
                  <c:x val="6.9945365509775037E-2"/>
                  <c:y val="1.3089243407442242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B3C3-49A2-8861-3F56B9EAFD1D}"/>
                </c:ext>
              </c:extLst>
            </c:dLbl>
            <c:dLbl>
              <c:idx val="26"/>
              <c:layout>
                <c:manualLayout>
                  <c:x val="3.4972682754887428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B3C3-49A2-8861-3F56B9EAFD1D}"/>
                </c:ext>
              </c:extLst>
            </c:dLbl>
            <c:dLbl>
              <c:idx val="28"/>
              <c:layout>
                <c:manualLayout>
                  <c:x val="4.4964877827712434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B3C3-49A2-8861-3F56B9EAFD1D}"/>
                </c:ext>
              </c:extLst>
            </c:dLbl>
            <c:dLbl>
              <c:idx val="29"/>
              <c:layout>
                <c:manualLayout>
                  <c:x val="4.9960975364125124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B3C3-49A2-8861-3F56B9EAFD1D}"/>
                </c:ext>
              </c:extLst>
            </c:dLbl>
            <c:dLbl>
              <c:idx val="31"/>
              <c:layout>
                <c:manualLayout>
                  <c:x val="5.9953170436949942E-2"/>
                  <c:y val="1.3089243407442242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B3C3-49A2-8861-3F56B9EAFD1D}"/>
                </c:ext>
              </c:extLst>
            </c:dLbl>
            <c:dLbl>
              <c:idx val="32"/>
              <c:layout>
                <c:manualLayout>
                  <c:x val="3.2474633986681177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B3C3-49A2-8861-3F56B9EAFD1D}"/>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'8.20'!$H$5:$H$37</c:f>
                <c:numCache>
                  <c:formatCode>General</c:formatCode>
                  <c:ptCount val="33"/>
                  <c:pt idx="0">
                    <c:v>0.80000000000000071</c:v>
                  </c:pt>
                  <c:pt idx="2">
                    <c:v>1.1000000000000005</c:v>
                  </c:pt>
                  <c:pt idx="3">
                    <c:v>1.2999999999999989</c:v>
                  </c:pt>
                  <c:pt idx="5">
                    <c:v>1.9000000000000004</c:v>
                  </c:pt>
                  <c:pt idx="6">
                    <c:v>1.2000000000000011</c:v>
                  </c:pt>
                  <c:pt idx="7">
                    <c:v>1.3999999999999995</c:v>
                  </c:pt>
                  <c:pt idx="9">
                    <c:v>1</c:v>
                  </c:pt>
                  <c:pt idx="10">
                    <c:v>4</c:v>
                  </c:pt>
                  <c:pt idx="11">
                    <c:v>2.5999999999999996</c:v>
                  </c:pt>
                  <c:pt idx="13">
                    <c:v>3.5999999999999996</c:v>
                  </c:pt>
                  <c:pt idx="14">
                    <c:v>1.8000000000000007</c:v>
                  </c:pt>
                  <c:pt idx="15">
                    <c:v>0.90000000000000036</c:v>
                  </c:pt>
                  <c:pt idx="17">
                    <c:v>2</c:v>
                  </c:pt>
                  <c:pt idx="18">
                    <c:v>1.5999999999999996</c:v>
                  </c:pt>
                  <c:pt idx="19">
                    <c:v>1.4000000000000004</c:v>
                  </c:pt>
                  <c:pt idx="21">
                    <c:v>2.7999999999999989</c:v>
                  </c:pt>
                  <c:pt idx="22">
                    <c:v>1.5</c:v>
                  </c:pt>
                  <c:pt idx="23">
                    <c:v>1.1999999999999993</c:v>
                  </c:pt>
                  <c:pt idx="25">
                    <c:v>2</c:v>
                  </c:pt>
                  <c:pt idx="26">
                    <c:v>1</c:v>
                  </c:pt>
                  <c:pt idx="28">
                    <c:v>1.1999999999999993</c:v>
                  </c:pt>
                  <c:pt idx="29">
                    <c:v>1.5999999999999996</c:v>
                  </c:pt>
                  <c:pt idx="31">
                    <c:v>1.8999999999999986</c:v>
                  </c:pt>
                  <c:pt idx="32">
                    <c:v>1.0999999999999996</c:v>
                  </c:pt>
                </c:numCache>
              </c:numRef>
            </c:plus>
            <c:minus>
              <c:numRef>
                <c:f>'8.20'!$I$5:$I$37</c:f>
                <c:numCache>
                  <c:formatCode>General</c:formatCode>
                  <c:ptCount val="33"/>
                  <c:pt idx="0">
                    <c:v>0.89999999999999858</c:v>
                  </c:pt>
                  <c:pt idx="2">
                    <c:v>1</c:v>
                  </c:pt>
                  <c:pt idx="3">
                    <c:v>1.3000000000000007</c:v>
                  </c:pt>
                  <c:pt idx="5">
                    <c:v>1.9000000000000004</c:v>
                  </c:pt>
                  <c:pt idx="6">
                    <c:v>1.1999999999999993</c:v>
                  </c:pt>
                  <c:pt idx="7">
                    <c:v>1.4000000000000004</c:v>
                  </c:pt>
                  <c:pt idx="9">
                    <c:v>1</c:v>
                  </c:pt>
                  <c:pt idx="10">
                    <c:v>4</c:v>
                  </c:pt>
                  <c:pt idx="11">
                    <c:v>2.5</c:v>
                  </c:pt>
                  <c:pt idx="13">
                    <c:v>3.5999999999999996</c:v>
                  </c:pt>
                  <c:pt idx="14">
                    <c:v>1.9000000000000004</c:v>
                  </c:pt>
                  <c:pt idx="15">
                    <c:v>1</c:v>
                  </c:pt>
                  <c:pt idx="17">
                    <c:v>2.0999999999999996</c:v>
                  </c:pt>
                  <c:pt idx="18">
                    <c:v>1.5</c:v>
                  </c:pt>
                  <c:pt idx="19">
                    <c:v>1.5</c:v>
                  </c:pt>
                  <c:pt idx="21">
                    <c:v>2.7000000000000011</c:v>
                  </c:pt>
                  <c:pt idx="22">
                    <c:v>1.5999999999999996</c:v>
                  </c:pt>
                  <c:pt idx="23">
                    <c:v>1.0999999999999996</c:v>
                  </c:pt>
                  <c:pt idx="25">
                    <c:v>2</c:v>
                  </c:pt>
                  <c:pt idx="26">
                    <c:v>0.90000000000000036</c:v>
                  </c:pt>
                  <c:pt idx="28">
                    <c:v>1.1999999999999993</c:v>
                  </c:pt>
                  <c:pt idx="29">
                    <c:v>1.4000000000000004</c:v>
                  </c:pt>
                  <c:pt idx="31">
                    <c:v>1.9000000000000004</c:v>
                  </c:pt>
                  <c:pt idx="32">
                    <c:v>1.1000000000000014</c:v>
                  </c:pt>
                </c:numCache>
              </c:numRef>
            </c:minus>
            <c:spPr>
              <a:noFill/>
              <a:ln w="9525" cap="flat" cmpd="sng" algn="ctr">
                <a:solidFill>
                  <a:schemeClr val="bg1">
                    <a:lumMod val="50000"/>
                  </a:schemeClr>
                </a:solidFill>
                <a:round/>
              </a:ln>
              <a:effectLst/>
            </c:spPr>
          </c:errBars>
          <c:cat>
            <c:strRef>
              <c:f>'8.20'!$B$5:$B$37</c:f>
              <c:strCache>
                <c:ptCount val="33"/>
                <c:pt idx="0">
                  <c:v>Total</c:v>
                </c:pt>
                <c:pt idx="2">
                  <c:v>Male</c:v>
                </c:pt>
                <c:pt idx="3">
                  <c:v>Female</c:v>
                </c:pt>
                <c:pt idx="5">
                  <c:v>18-34</c:v>
                </c:pt>
                <c:pt idx="6">
                  <c:v>35-64</c:v>
                </c:pt>
                <c:pt idx="7">
                  <c:v>65+</c:v>
                </c:pt>
                <c:pt idx="9">
                  <c:v>White non-Hispanic</c:v>
                </c:pt>
                <c:pt idx="10">
                  <c:v>Black non-Hispanic</c:v>
                </c:pt>
                <c:pt idx="11">
                  <c:v>Hispanic</c:v>
                </c:pt>
                <c:pt idx="13">
                  <c:v>Less than HS</c:v>
                </c:pt>
                <c:pt idx="14">
                  <c:v>HS</c:v>
                </c:pt>
                <c:pt idx="15">
                  <c:v>At least some college</c:v>
                </c:pt>
                <c:pt idx="17">
                  <c:v>&lt;$25,000</c:v>
                </c:pt>
                <c:pt idx="18">
                  <c:v>$25-75K</c:v>
                </c:pt>
                <c:pt idx="19">
                  <c:v>$75K+</c:v>
                </c:pt>
                <c:pt idx="21">
                  <c:v>Current smoker</c:v>
                </c:pt>
                <c:pt idx="22">
                  <c:v>Former smoker</c:v>
                </c:pt>
                <c:pt idx="23">
                  <c:v>Never smoker</c:v>
                </c:pt>
                <c:pt idx="25">
                  <c:v>Disability</c:v>
                </c:pt>
                <c:pt idx="26">
                  <c:v>No disability</c:v>
                </c:pt>
                <c:pt idx="28">
                  <c:v>Overweight</c:v>
                </c:pt>
                <c:pt idx="29">
                  <c:v>Not overweight</c:v>
                </c:pt>
                <c:pt idx="31">
                  <c:v>Rural</c:v>
                </c:pt>
                <c:pt idx="32">
                  <c:v>Urban</c:v>
                </c:pt>
              </c:strCache>
            </c:strRef>
          </c:cat>
          <c:val>
            <c:numRef>
              <c:f>'8.20'!$D$5:$D$37</c:f>
              <c:numCache>
                <c:formatCode>General</c:formatCode>
                <c:ptCount val="33"/>
                <c:pt idx="0" formatCode="0.0">
                  <c:v>10.199999999999999</c:v>
                </c:pt>
                <c:pt idx="2" formatCode="0.0">
                  <c:v>7.3</c:v>
                </c:pt>
                <c:pt idx="3" formatCode="0.0">
                  <c:v>12.8</c:v>
                </c:pt>
                <c:pt idx="5" formatCode="0.0">
                  <c:v>11.4</c:v>
                </c:pt>
                <c:pt idx="6" formatCode="0.0">
                  <c:v>10.6</c:v>
                </c:pt>
                <c:pt idx="7" formatCode="0.0">
                  <c:v>7.7</c:v>
                </c:pt>
                <c:pt idx="9" formatCode="0.0">
                  <c:v>10.4</c:v>
                </c:pt>
                <c:pt idx="10" formatCode="0.0">
                  <c:v>13.8</c:v>
                </c:pt>
                <c:pt idx="11" formatCode="0.0">
                  <c:v>9.5</c:v>
                </c:pt>
                <c:pt idx="13" formatCode="0.0">
                  <c:v>13.6</c:v>
                </c:pt>
                <c:pt idx="14" formatCode="0.0">
                  <c:v>11.5</c:v>
                </c:pt>
                <c:pt idx="15" formatCode="0.0">
                  <c:v>9.1999999999999993</c:v>
                </c:pt>
                <c:pt idx="17" formatCode="0.0">
                  <c:v>12.9</c:v>
                </c:pt>
                <c:pt idx="18" formatCode="0.0">
                  <c:v>9.5</c:v>
                </c:pt>
                <c:pt idx="19" formatCode="0.0">
                  <c:v>9.5</c:v>
                </c:pt>
                <c:pt idx="21" formatCode="0.0">
                  <c:v>13.4</c:v>
                </c:pt>
                <c:pt idx="22" formatCode="0.0">
                  <c:v>10.4</c:v>
                </c:pt>
                <c:pt idx="23" formatCode="0.0">
                  <c:v>10</c:v>
                </c:pt>
                <c:pt idx="25" formatCode="0.0">
                  <c:v>15.7</c:v>
                </c:pt>
                <c:pt idx="26" formatCode="0.0">
                  <c:v>8.4</c:v>
                </c:pt>
                <c:pt idx="28" formatCode="0.0">
                  <c:v>12</c:v>
                </c:pt>
                <c:pt idx="29" formatCode="0.0">
                  <c:v>8.8000000000000007</c:v>
                </c:pt>
                <c:pt idx="31" formatCode="0.0">
                  <c:v>9.3000000000000007</c:v>
                </c:pt>
                <c:pt idx="32" formatCode="0.0">
                  <c:v>10.8</c:v>
                </c:pt>
              </c:numCache>
            </c:numRef>
          </c:val>
          <c:extLst xmlns:c16r2="http://schemas.microsoft.com/office/drawing/2015/06/chart">
            <c:ext xmlns:c16="http://schemas.microsoft.com/office/drawing/2014/chart" uri="{C3380CC4-5D6E-409C-BE32-E72D297353CC}">
              <c16:uniqueId val="{0000002A-B3C3-49A2-8861-3F56B9EAFD1D}"/>
            </c:ext>
          </c:extLst>
        </c:ser>
        <c:dLbls>
          <c:dLblPos val="outEnd"/>
          <c:showLegendKey val="0"/>
          <c:showVal val="1"/>
          <c:showCatName val="0"/>
          <c:showSerName val="0"/>
          <c:showPercent val="0"/>
          <c:showBubbleSize val="0"/>
        </c:dLbls>
        <c:gapWidth val="29"/>
        <c:axId val="308742784"/>
        <c:axId val="308760960"/>
      </c:barChart>
      <c:catAx>
        <c:axId val="308742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760960"/>
        <c:crosses val="autoZero"/>
        <c:auto val="1"/>
        <c:lblAlgn val="ctr"/>
        <c:lblOffset val="100"/>
        <c:noMultiLvlLbl val="0"/>
      </c:catAx>
      <c:valAx>
        <c:axId val="308760960"/>
        <c:scaling>
          <c:orientation val="minMax"/>
          <c:max val="2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742784"/>
        <c:crosses val="max"/>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381977811497807"/>
          <c:y val="2.2357723577235773E-2"/>
          <c:w val="0.58401220920295127"/>
          <c:h val="0.88739165226297934"/>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1-4183-4FA2-8B79-992E1767E9F0}"/>
              </c:ext>
            </c:extLst>
          </c:dPt>
          <c:dPt>
            <c:idx val="2"/>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3-4183-4FA2-8B79-992E1767E9F0}"/>
              </c:ext>
            </c:extLst>
          </c:dPt>
          <c:dPt>
            <c:idx val="3"/>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5-4183-4FA2-8B79-992E1767E9F0}"/>
              </c:ext>
            </c:extLst>
          </c:dPt>
          <c:dPt>
            <c:idx val="5"/>
            <c:invertIfNegative val="0"/>
            <c:bubble3D val="0"/>
            <c:spPr>
              <a:pattFill prst="ltDn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7-4183-4FA2-8B79-992E1767E9F0}"/>
              </c:ext>
            </c:extLst>
          </c:dPt>
          <c:dPt>
            <c:idx val="6"/>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9-4183-4FA2-8B79-992E1767E9F0}"/>
              </c:ext>
            </c:extLst>
          </c:dPt>
          <c:dPt>
            <c:idx val="7"/>
            <c:invertIfNegative val="0"/>
            <c:bubble3D val="0"/>
            <c:spPr>
              <a:pattFill prst="ltUp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0B-4183-4FA2-8B79-992E1767E9F0}"/>
              </c:ext>
            </c:extLst>
          </c:dPt>
          <c:dPt>
            <c:idx val="9"/>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D-4183-4FA2-8B79-992E1767E9F0}"/>
              </c:ext>
            </c:extLst>
          </c:dPt>
          <c:dPt>
            <c:idx val="10"/>
            <c:invertIfNegative val="0"/>
            <c:bubble3D val="0"/>
            <c:spPr>
              <a:pattFill prst="ltDn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F-4183-4FA2-8B79-992E1767E9F0}"/>
              </c:ext>
            </c:extLst>
          </c:dPt>
          <c:dPt>
            <c:idx val="11"/>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1-4183-4FA2-8B79-992E1767E9F0}"/>
              </c:ext>
            </c:extLst>
          </c:dPt>
          <c:dPt>
            <c:idx val="13"/>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13-4183-4FA2-8B79-992E1767E9F0}"/>
              </c:ext>
            </c:extLst>
          </c:dPt>
          <c:dPt>
            <c:idx val="14"/>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15-4183-4FA2-8B79-992E1767E9F0}"/>
              </c:ext>
            </c:extLst>
          </c:dPt>
          <c:dPt>
            <c:idx val="15"/>
            <c:invertIfNegative val="0"/>
            <c:bubble3D val="0"/>
            <c:spPr>
              <a:pattFill prst="ltDn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17-4183-4FA2-8B79-992E1767E9F0}"/>
              </c:ext>
            </c:extLst>
          </c:dPt>
          <c:dPt>
            <c:idx val="17"/>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19-4183-4FA2-8B79-992E1767E9F0}"/>
              </c:ext>
            </c:extLst>
          </c:dPt>
          <c:dPt>
            <c:idx val="18"/>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1B-4183-4FA2-8B79-992E1767E9F0}"/>
              </c:ext>
            </c:extLst>
          </c:dPt>
          <c:dPt>
            <c:idx val="19"/>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D-4183-4FA2-8B79-992E1767E9F0}"/>
              </c:ext>
            </c:extLst>
          </c:dPt>
          <c:dPt>
            <c:idx val="21"/>
            <c:invertIfNegative val="0"/>
            <c:bubble3D val="0"/>
            <c:spPr>
              <a:pattFill prst="ltDn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1F-4183-4FA2-8B79-992E1767E9F0}"/>
              </c:ext>
            </c:extLst>
          </c:dPt>
          <c:dPt>
            <c:idx val="22"/>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21-4183-4FA2-8B79-992E1767E9F0}"/>
              </c:ext>
            </c:extLst>
          </c:dPt>
          <c:dPt>
            <c:idx val="23"/>
            <c:invertIfNegative val="0"/>
            <c:bubble3D val="0"/>
            <c:spPr>
              <a:pattFill prst="ltUp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23-4183-4FA2-8B79-992E1767E9F0}"/>
              </c:ext>
            </c:extLst>
          </c:dPt>
          <c:dLbls>
            <c:dLbl>
              <c:idx val="0"/>
              <c:layout>
                <c:manualLayout>
                  <c:x val="5.137528420879614E-2"/>
                  <c:y val="4.2885534353767204E-18"/>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83-4FA2-8B79-992E1767E9F0}"/>
                </c:ext>
              </c:extLst>
            </c:dLbl>
            <c:dLbl>
              <c:idx val="2"/>
              <c:layout>
                <c:manualLayout>
                  <c:x val="4.867132188201739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183-4FA2-8B79-992E1767E9F0}"/>
                </c:ext>
              </c:extLst>
            </c:dLbl>
            <c:dLbl>
              <c:idx val="3"/>
              <c:layout>
                <c:manualLayout>
                  <c:x val="5.4079246535574881E-2"/>
                  <c:y val="3.4308427483013763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183-4FA2-8B79-992E1767E9F0}"/>
                </c:ext>
              </c:extLst>
            </c:dLbl>
            <c:dLbl>
              <c:idx val="5"/>
              <c:layout>
                <c:manualLayout>
                  <c:x val="4.3263397228459906E-2"/>
                  <c:y val="1.473535740167317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183-4FA2-8B79-992E1767E9F0}"/>
                </c:ext>
              </c:extLst>
            </c:dLbl>
            <c:dLbl>
              <c:idx val="6"/>
              <c:layout>
                <c:manualLayout>
                  <c:x val="7.300698282302609E-2"/>
                  <c:y val="2.947071480334634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183-4FA2-8B79-992E1767E9F0}"/>
                </c:ext>
              </c:extLst>
            </c:dLbl>
            <c:dLbl>
              <c:idx val="7"/>
              <c:layout>
                <c:manualLayout>
                  <c:x val="7.0303020496247245E-2"/>
                  <c:y val="2.947071480334634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183-4FA2-8B79-992E1767E9F0}"/>
                </c:ext>
              </c:extLst>
            </c:dLbl>
            <c:dLbl>
              <c:idx val="9"/>
              <c:layout>
                <c:manualLayout>
                  <c:x val="4.0559434901681159E-2"/>
                  <c:y val="4.4206072205019512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183-4FA2-8B79-992E1767E9F0}"/>
                </c:ext>
              </c:extLst>
            </c:dLbl>
            <c:dLbl>
              <c:idx val="10"/>
              <c:layout>
                <c:manualLayout>
                  <c:x val="0.17846151356739701"/>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183-4FA2-8B79-992E1767E9F0}"/>
                </c:ext>
              </c:extLst>
            </c:dLbl>
            <c:dLbl>
              <c:idx val="11"/>
              <c:layout>
                <c:manualLayout>
                  <c:x val="0.16764566426028193"/>
                  <c:y val="6.8616854966027526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183-4FA2-8B79-992E1767E9F0}"/>
                </c:ext>
              </c:extLst>
            </c:dLbl>
            <c:dLbl>
              <c:idx val="13"/>
              <c:layout>
                <c:manualLayout>
                  <c:x val="0.13519811633893722"/>
                  <c:y val="2.947071480334634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4183-4FA2-8B79-992E1767E9F0}"/>
                </c:ext>
              </c:extLst>
            </c:dLbl>
            <c:dLbl>
              <c:idx val="14"/>
              <c:layout>
                <c:manualLayout>
                  <c:x val="0.13249415401215847"/>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4183-4FA2-8B79-992E1767E9F0}"/>
                </c:ext>
              </c:extLst>
            </c:dLbl>
            <c:dLbl>
              <c:idx val="15"/>
              <c:layout>
                <c:manualLayout>
                  <c:x val="4.8671321882017296E-2"/>
                  <c:y val="2.9470714810208028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4183-4FA2-8B79-992E1767E9F0}"/>
                </c:ext>
              </c:extLst>
            </c:dLbl>
            <c:dLbl>
              <c:idx val="17"/>
              <c:layout>
                <c:manualLayout>
                  <c:x val="0.15682981495316725"/>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4183-4FA2-8B79-992E1767E9F0}"/>
                </c:ext>
              </c:extLst>
            </c:dLbl>
            <c:dLbl>
              <c:idx val="18"/>
              <c:layout>
                <c:manualLayout>
                  <c:x val="8.111886980336222E-2"/>
                  <c:y val="1.473535740167317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4183-4FA2-8B79-992E1767E9F0}"/>
                </c:ext>
              </c:extLst>
            </c:dLbl>
            <c:dLbl>
              <c:idx val="19"/>
              <c:layout>
                <c:manualLayout>
                  <c:x val="4.0559434901681159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4183-4FA2-8B79-992E1767E9F0}"/>
                </c:ext>
              </c:extLst>
            </c:dLbl>
            <c:dLbl>
              <c:idx val="21"/>
              <c:layout>
                <c:manualLayout>
                  <c:x val="0.1541258526263885"/>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4183-4FA2-8B79-992E1767E9F0}"/>
                </c:ext>
              </c:extLst>
            </c:dLbl>
            <c:dLbl>
              <c:idx val="22"/>
              <c:layout>
                <c:manualLayout>
                  <c:x val="9.7342643764034884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4183-4FA2-8B79-992E1767E9F0}"/>
                </c:ext>
              </c:extLst>
            </c:dLbl>
            <c:dLbl>
              <c:idx val="23"/>
              <c:layout>
                <c:manualLayout>
                  <c:x val="3.7855472574902418E-2"/>
                  <c:y val="1.4735357401673171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4183-4FA2-8B79-992E1767E9F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'8.21'!$G$5:$G$28</c:f>
                <c:numCache>
                  <c:formatCode>General</c:formatCode>
                  <c:ptCount val="24"/>
                  <c:pt idx="0">
                    <c:v>2</c:v>
                  </c:pt>
                  <c:pt idx="2">
                    <c:v>2.6999999999999993</c:v>
                  </c:pt>
                  <c:pt idx="3">
                    <c:v>2.9000000000000004</c:v>
                  </c:pt>
                  <c:pt idx="5">
                    <c:v>2.4</c:v>
                  </c:pt>
                  <c:pt idx="6">
                    <c:v>4.1999999999999993</c:v>
                  </c:pt>
                  <c:pt idx="7">
                    <c:v>3.4000000000000021</c:v>
                  </c:pt>
                  <c:pt idx="9">
                    <c:v>2</c:v>
                  </c:pt>
                  <c:pt idx="10">
                    <c:v>8.9000000000000021</c:v>
                  </c:pt>
                  <c:pt idx="11">
                    <c:v>8.4000000000000021</c:v>
                  </c:pt>
                  <c:pt idx="13">
                    <c:v>6.7999999999999989</c:v>
                  </c:pt>
                  <c:pt idx="14">
                    <c:v>7</c:v>
                  </c:pt>
                  <c:pt idx="15">
                    <c:v>2</c:v>
                  </c:pt>
                  <c:pt idx="17">
                    <c:v>7.8999999999999986</c:v>
                  </c:pt>
                  <c:pt idx="18">
                    <c:v>4.2000000000000011</c:v>
                  </c:pt>
                  <c:pt idx="19">
                    <c:v>2.2200000000000006</c:v>
                  </c:pt>
                  <c:pt idx="21">
                    <c:v>7.9999999999999982</c:v>
                  </c:pt>
                  <c:pt idx="22">
                    <c:v>4.5999999999999996</c:v>
                  </c:pt>
                  <c:pt idx="23">
                    <c:v>2.1000000000000014</c:v>
                  </c:pt>
                </c:numCache>
              </c:numRef>
            </c:plus>
            <c:minus>
              <c:numRef>
                <c:f>'8.21'!$F$5:$F$28</c:f>
                <c:numCache>
                  <c:formatCode>General</c:formatCode>
                  <c:ptCount val="24"/>
                  <c:pt idx="0">
                    <c:v>2</c:v>
                  </c:pt>
                  <c:pt idx="2">
                    <c:v>2.8000000000000007</c:v>
                  </c:pt>
                  <c:pt idx="3">
                    <c:v>2.9999999999999991</c:v>
                  </c:pt>
                  <c:pt idx="5">
                    <c:v>2.4000000000000004</c:v>
                  </c:pt>
                  <c:pt idx="6">
                    <c:v>4.1999999999999993</c:v>
                  </c:pt>
                  <c:pt idx="7">
                    <c:v>3.5</c:v>
                  </c:pt>
                  <c:pt idx="9">
                    <c:v>2</c:v>
                  </c:pt>
                  <c:pt idx="10">
                    <c:v>8.8999999999999986</c:v>
                  </c:pt>
                  <c:pt idx="11">
                    <c:v>8.5</c:v>
                  </c:pt>
                  <c:pt idx="13">
                    <c:v>6.7</c:v>
                  </c:pt>
                  <c:pt idx="14">
                    <c:v>7</c:v>
                  </c:pt>
                  <c:pt idx="15">
                    <c:v>2.0999999999999996</c:v>
                  </c:pt>
                  <c:pt idx="17">
                    <c:v>7.9</c:v>
                  </c:pt>
                  <c:pt idx="18">
                    <c:v>4.3</c:v>
                  </c:pt>
                  <c:pt idx="19">
                    <c:v>2.2999999999999998</c:v>
                  </c:pt>
                  <c:pt idx="21">
                    <c:v>8</c:v>
                  </c:pt>
                  <c:pt idx="22">
                    <c:v>4.5999999999999996</c:v>
                  </c:pt>
                  <c:pt idx="23">
                    <c:v>2.1999999999999993</c:v>
                  </c:pt>
                </c:numCache>
              </c:numRef>
            </c:minus>
            <c:spPr>
              <a:noFill/>
              <a:ln w="9525" cap="flat" cmpd="sng" algn="ctr">
                <a:solidFill>
                  <a:schemeClr val="bg1">
                    <a:lumMod val="50000"/>
                  </a:schemeClr>
                </a:solidFill>
                <a:round/>
              </a:ln>
              <a:effectLst/>
            </c:spPr>
          </c:errBars>
          <c:cat>
            <c:strRef>
              <c:f>'8.21'!$A$5:$A$28</c:f>
              <c:strCache>
                <c:ptCount val="24"/>
                <c:pt idx="0">
                  <c:v>Total</c:v>
                </c:pt>
                <c:pt idx="2">
                  <c:v>Male</c:v>
                </c:pt>
                <c:pt idx="3">
                  <c:v>Female</c:v>
                </c:pt>
                <c:pt idx="5">
                  <c:v>0-4</c:v>
                </c:pt>
                <c:pt idx="6">
                  <c:v>5-11</c:v>
                </c:pt>
                <c:pt idx="7">
                  <c:v>12-17</c:v>
                </c:pt>
                <c:pt idx="9">
                  <c:v>White non-Hispanic</c:v>
                </c:pt>
                <c:pt idx="10">
                  <c:v>Black non-Hispanic</c:v>
                </c:pt>
                <c:pt idx="11">
                  <c:v>Hispanic</c:v>
                </c:pt>
                <c:pt idx="13">
                  <c:v>Less than HS</c:v>
                </c:pt>
                <c:pt idx="14">
                  <c:v>HS</c:v>
                </c:pt>
                <c:pt idx="15">
                  <c:v>At least some college</c:v>
                </c:pt>
                <c:pt idx="17">
                  <c:v>&lt;$25,000</c:v>
                </c:pt>
                <c:pt idx="18">
                  <c:v>$25-75K</c:v>
                </c:pt>
                <c:pt idx="19">
                  <c:v>$75K+</c:v>
                </c:pt>
                <c:pt idx="21">
                  <c:v>Current smoker</c:v>
                </c:pt>
                <c:pt idx="22">
                  <c:v>Former smoker</c:v>
                </c:pt>
                <c:pt idx="23">
                  <c:v>Never smoker</c:v>
                </c:pt>
              </c:strCache>
            </c:strRef>
          </c:cat>
          <c:val>
            <c:numRef>
              <c:f>'8.21'!$B$5:$B$28</c:f>
              <c:numCache>
                <c:formatCode>General</c:formatCode>
                <c:ptCount val="24"/>
                <c:pt idx="0" formatCode="0.0">
                  <c:v>9.9</c:v>
                </c:pt>
                <c:pt idx="2" formatCode="0.0">
                  <c:v>10.3</c:v>
                </c:pt>
                <c:pt idx="3" formatCode="0.0">
                  <c:v>9.6999999999999993</c:v>
                </c:pt>
                <c:pt idx="5" formatCode="0.0">
                  <c:v>3.6</c:v>
                </c:pt>
                <c:pt idx="6" formatCode="0.0">
                  <c:v>12.2</c:v>
                </c:pt>
                <c:pt idx="7" formatCode="0.0">
                  <c:v>12.7</c:v>
                </c:pt>
                <c:pt idx="9" formatCode="0.0">
                  <c:v>9</c:v>
                </c:pt>
                <c:pt idx="10" formatCode="0.0">
                  <c:v>13.2</c:v>
                </c:pt>
                <c:pt idx="11" formatCode="0.0">
                  <c:v>15.2</c:v>
                </c:pt>
                <c:pt idx="13" formatCode="0.0">
                  <c:v>10.9</c:v>
                </c:pt>
                <c:pt idx="14" formatCode="0.0">
                  <c:v>14</c:v>
                </c:pt>
                <c:pt idx="15" formatCode="0.0">
                  <c:v>9</c:v>
                </c:pt>
                <c:pt idx="17" formatCode="0.0">
                  <c:v>15.8</c:v>
                </c:pt>
                <c:pt idx="18" formatCode="0.0">
                  <c:v>10.6</c:v>
                </c:pt>
                <c:pt idx="19" formatCode="0.0">
                  <c:v>8.1</c:v>
                </c:pt>
                <c:pt idx="21" formatCode="0.0">
                  <c:v>15.9</c:v>
                </c:pt>
                <c:pt idx="22" formatCode="0.0">
                  <c:v>12.6</c:v>
                </c:pt>
                <c:pt idx="23" formatCode="0.0">
                  <c:v>8.1999999999999993</c:v>
                </c:pt>
              </c:numCache>
            </c:numRef>
          </c:val>
          <c:extLst xmlns:c16r2="http://schemas.microsoft.com/office/drawing/2015/06/chart">
            <c:ext xmlns:c16="http://schemas.microsoft.com/office/drawing/2014/chart" uri="{C3380CC4-5D6E-409C-BE32-E72D297353CC}">
              <c16:uniqueId val="{00000024-4183-4FA2-8B79-992E1767E9F0}"/>
            </c:ext>
          </c:extLst>
        </c:ser>
        <c:dLbls>
          <c:dLblPos val="outEnd"/>
          <c:showLegendKey val="0"/>
          <c:showVal val="1"/>
          <c:showCatName val="0"/>
          <c:showSerName val="0"/>
          <c:showPercent val="0"/>
          <c:showBubbleSize val="0"/>
        </c:dLbls>
        <c:gapWidth val="26"/>
        <c:axId val="310541696"/>
        <c:axId val="310543488"/>
      </c:barChart>
      <c:catAx>
        <c:axId val="310541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543488"/>
        <c:crosses val="autoZero"/>
        <c:auto val="1"/>
        <c:lblAlgn val="ctr"/>
        <c:lblOffset val="100"/>
        <c:noMultiLvlLbl val="0"/>
      </c:catAx>
      <c:valAx>
        <c:axId val="310543488"/>
        <c:scaling>
          <c:orientation val="minMax"/>
          <c:max val="3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Children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541696"/>
        <c:crosses val="max"/>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612484137381298"/>
          <c:y val="2.0982358897766798E-2"/>
          <c:w val="0.56127652664199656"/>
          <c:h val="0.89431890241686129"/>
        </c:manualLayout>
      </c:layout>
      <c:barChart>
        <c:barDir val="bar"/>
        <c:grouping val="clustered"/>
        <c:varyColors val="0"/>
        <c:ser>
          <c:idx val="0"/>
          <c:order val="0"/>
          <c:spPr>
            <a:solidFill>
              <a:srgbClr val="203864"/>
            </a:solidFill>
            <a:ln>
              <a:noFill/>
            </a:ln>
            <a:effectLst/>
          </c:spPr>
          <c:invertIfNegative val="0"/>
          <c:dPt>
            <c:idx val="2"/>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1-19E4-461F-92ED-798A2D742EA1}"/>
              </c:ext>
            </c:extLst>
          </c:dPt>
          <c:dPt>
            <c:idx val="3"/>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3-19E4-461F-92ED-798A2D742EA1}"/>
              </c:ext>
            </c:extLst>
          </c:dPt>
          <c:dPt>
            <c:idx val="5"/>
            <c:invertIfNegative val="0"/>
            <c:bubble3D val="0"/>
            <c:spPr>
              <a:pattFill prst="ltDn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05-19E4-461F-92ED-798A2D742EA1}"/>
              </c:ext>
            </c:extLst>
          </c:dPt>
          <c:dPt>
            <c:idx val="6"/>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7-19E4-461F-92ED-798A2D742EA1}"/>
              </c:ext>
            </c:extLst>
          </c:dPt>
          <c:dPt>
            <c:idx val="7"/>
            <c:invertIfNegative val="0"/>
            <c:bubble3D val="0"/>
            <c:spPr>
              <a:pattFill prst="ltUp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09-19E4-461F-92ED-798A2D742EA1}"/>
              </c:ext>
            </c:extLst>
          </c:dPt>
          <c:dPt>
            <c:idx val="8"/>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0B-19E4-461F-92ED-798A2D742EA1}"/>
              </c:ext>
            </c:extLst>
          </c:dPt>
          <c:dPt>
            <c:idx val="9"/>
            <c:invertIfNegative val="0"/>
            <c:bubble3D val="0"/>
            <c:spPr>
              <a:pattFill prst="ltDnDiag">
                <a:fgClr>
                  <a:srgbClr val="EFF3FF"/>
                </a:fgClr>
                <a:bgClr>
                  <a:srgbClr val="9ECAE1"/>
                </a:bgClr>
              </a:pattFill>
              <a:ln>
                <a:noFill/>
              </a:ln>
              <a:effectLst/>
            </c:spPr>
            <c:extLst xmlns:c16r2="http://schemas.microsoft.com/office/drawing/2015/06/chart">
              <c:ext xmlns:c16="http://schemas.microsoft.com/office/drawing/2014/chart" uri="{C3380CC4-5D6E-409C-BE32-E72D297353CC}">
                <c16:uniqueId val="{0000000D-19E4-461F-92ED-798A2D742EA1}"/>
              </c:ext>
            </c:extLst>
          </c:dPt>
          <c:dPt>
            <c:idx val="10"/>
            <c:invertIfNegative val="0"/>
            <c:bubble3D val="0"/>
            <c:spPr>
              <a:solidFill>
                <a:srgbClr val="C6DBEF"/>
              </a:solidFill>
              <a:ln>
                <a:noFill/>
              </a:ln>
              <a:effectLst/>
            </c:spPr>
            <c:extLst xmlns:c16r2="http://schemas.microsoft.com/office/drawing/2015/06/chart">
              <c:ext xmlns:c16="http://schemas.microsoft.com/office/drawing/2014/chart" uri="{C3380CC4-5D6E-409C-BE32-E72D297353CC}">
                <c16:uniqueId val="{0000000F-19E4-461F-92ED-798A2D742EA1}"/>
              </c:ext>
            </c:extLst>
          </c:dPt>
          <c:dPt>
            <c:idx val="12"/>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11-19E4-461F-92ED-798A2D742EA1}"/>
              </c:ext>
            </c:extLst>
          </c:dPt>
          <c:dPt>
            <c:idx val="13"/>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13-19E4-461F-92ED-798A2D742EA1}"/>
              </c:ext>
            </c:extLst>
          </c:dPt>
          <c:dPt>
            <c:idx val="14"/>
            <c:invertIfNegative val="0"/>
            <c:bubble3D val="0"/>
            <c:spPr>
              <a:pattFill prst="ltDn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15-19E4-461F-92ED-798A2D742EA1}"/>
              </c:ext>
            </c:extLst>
          </c:dPt>
          <c:dPt>
            <c:idx val="17"/>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17-19E4-461F-92ED-798A2D742EA1}"/>
              </c:ext>
            </c:extLst>
          </c:dPt>
          <c:dPt>
            <c:idx val="18"/>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9-19E4-461F-92ED-798A2D742EA1}"/>
              </c:ext>
            </c:extLst>
          </c:dPt>
          <c:dPt>
            <c:idx val="19"/>
            <c:invertIfNegative val="0"/>
            <c:bubble3D val="0"/>
            <c:spPr>
              <a:pattFill prst="ltDnDiag">
                <a:fgClr>
                  <a:srgbClr val="EFF3FF"/>
                </a:fgClr>
                <a:bgClr>
                  <a:srgbClr val="6BAED6"/>
                </a:bgClr>
              </a:pattFill>
              <a:ln>
                <a:noFill/>
              </a:ln>
              <a:effectLst/>
            </c:spPr>
            <c:extLst xmlns:c16r2="http://schemas.microsoft.com/office/drawing/2015/06/chart">
              <c:ext xmlns:c16="http://schemas.microsoft.com/office/drawing/2014/chart" uri="{C3380CC4-5D6E-409C-BE32-E72D297353CC}">
                <c16:uniqueId val="{0000001B-19E4-461F-92ED-798A2D742EA1}"/>
              </c:ext>
            </c:extLst>
          </c:dPt>
          <c:dPt>
            <c:idx val="23"/>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1D-19E4-461F-92ED-798A2D742EA1}"/>
              </c:ext>
            </c:extLst>
          </c:dPt>
          <c:dPt>
            <c:idx val="24"/>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F-19E4-461F-92ED-798A2D742EA1}"/>
              </c:ext>
            </c:extLst>
          </c:dPt>
          <c:dPt>
            <c:idx val="25"/>
            <c:invertIfNegative val="0"/>
            <c:bubble3D val="0"/>
            <c:spPr>
              <a:pattFill prst="ltDnDiag">
                <a:fgClr>
                  <a:srgbClr val="EFF3FF"/>
                </a:fgClr>
                <a:bgClr>
                  <a:srgbClr val="6BAED6"/>
                </a:bgClr>
              </a:pattFill>
              <a:ln>
                <a:noFill/>
              </a:ln>
              <a:effectLst/>
            </c:spPr>
            <c:extLst xmlns:c16r2="http://schemas.microsoft.com/office/drawing/2015/06/chart">
              <c:ext xmlns:c16="http://schemas.microsoft.com/office/drawing/2014/chart" uri="{C3380CC4-5D6E-409C-BE32-E72D297353CC}">
                <c16:uniqueId val="{00000021-19E4-461F-92ED-798A2D742EA1}"/>
              </c:ext>
            </c:extLst>
          </c:dPt>
          <c:dPt>
            <c:idx val="26"/>
            <c:invertIfNegative val="0"/>
            <c:bubble3D val="0"/>
            <c:spPr>
              <a:solidFill>
                <a:srgbClr val="9ECAE1"/>
              </a:solidFill>
              <a:ln>
                <a:noFill/>
              </a:ln>
              <a:effectLst/>
            </c:spPr>
            <c:extLst xmlns:c16r2="http://schemas.microsoft.com/office/drawing/2015/06/chart">
              <c:ext xmlns:c16="http://schemas.microsoft.com/office/drawing/2014/chart" uri="{C3380CC4-5D6E-409C-BE32-E72D297353CC}">
                <c16:uniqueId val="{00000023-19E4-461F-92ED-798A2D742EA1}"/>
              </c:ext>
            </c:extLst>
          </c:dPt>
          <c:dPt>
            <c:idx val="28"/>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25-19E4-461F-92ED-798A2D742EA1}"/>
              </c:ext>
            </c:extLst>
          </c:dPt>
          <c:dPt>
            <c:idx val="29"/>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27-19E4-461F-92ED-798A2D742EA1}"/>
              </c:ext>
            </c:extLst>
          </c:dPt>
          <c:dLbls>
            <c:dLbl>
              <c:idx val="0"/>
              <c:layout>
                <c:manualLayout>
                  <c:x val="2.4898044359906786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19E4-461F-92ED-798A2D742EA1}"/>
                </c:ext>
              </c:extLst>
            </c:dLbl>
            <c:dLbl>
              <c:idx val="2"/>
              <c:layout>
                <c:manualLayout>
                  <c:x val="2.7664493733229763E-2"/>
                  <c:y val="1.9082022649328822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9E4-461F-92ED-798A2D742EA1}"/>
                </c:ext>
              </c:extLst>
            </c:dLbl>
            <c:dLbl>
              <c:idx val="3"/>
              <c:layout>
                <c:manualLayout>
                  <c:x val="3.319739247987561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9E4-461F-92ED-798A2D742EA1}"/>
                </c:ext>
              </c:extLst>
            </c:dLbl>
            <c:dLbl>
              <c:idx val="5"/>
              <c:layout>
                <c:manualLayout>
                  <c:x val="3.5963841853198689E-2"/>
                  <c:y val="3.4980549686331213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9E4-461F-92ED-798A2D742EA1}"/>
                </c:ext>
              </c:extLst>
            </c:dLbl>
            <c:dLbl>
              <c:idx val="6"/>
              <c:layout>
                <c:manualLayout>
                  <c:x val="2.766449373322976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9E4-461F-92ED-798A2D742EA1}"/>
                </c:ext>
              </c:extLst>
            </c:dLbl>
            <c:dLbl>
              <c:idx val="7"/>
              <c:layout>
                <c:manualLayout>
                  <c:x val="4.149674059984464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9E4-461F-92ED-798A2D742EA1}"/>
                </c:ext>
              </c:extLst>
            </c:dLbl>
            <c:dLbl>
              <c:idx val="8"/>
              <c:layout>
                <c:manualLayout>
                  <c:x val="4.149674059984464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9E4-461F-92ED-798A2D742EA1}"/>
                </c:ext>
              </c:extLst>
            </c:dLbl>
            <c:dLbl>
              <c:idx val="9"/>
              <c:layout>
                <c:manualLayout>
                  <c:x val="5.2562538093136546E-2"/>
                  <c:y val="1.9083525052497722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9E4-461F-92ED-798A2D742EA1}"/>
                </c:ext>
              </c:extLst>
            </c:dLbl>
            <c:dLbl>
              <c:idx val="10"/>
              <c:layout>
                <c:manualLayout>
                  <c:x val="9.1292829319658209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9E4-461F-92ED-798A2D742EA1}"/>
                </c:ext>
              </c:extLst>
            </c:dLbl>
            <c:dLbl>
              <c:idx val="12"/>
              <c:layout>
                <c:manualLayout>
                  <c:x val="2.4898044359906786E-2"/>
                  <c:y val="1.5024031696885673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9E4-461F-92ED-798A2D742EA1}"/>
                </c:ext>
              </c:extLst>
            </c:dLbl>
            <c:dLbl>
              <c:idx val="13"/>
              <c:layout>
                <c:manualLayout>
                  <c:x val="6.6394784959751429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9E4-461F-92ED-798A2D742EA1}"/>
                </c:ext>
              </c:extLst>
            </c:dLbl>
            <c:dLbl>
              <c:idx val="14"/>
              <c:layout>
                <c:manualLayout>
                  <c:x val="4.1496740599844643E-2"/>
                  <c:y val="6.9961099372662426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9E4-461F-92ED-798A2D742EA1}"/>
                </c:ext>
              </c:extLst>
            </c:dLbl>
            <c:dLbl>
              <c:idx val="16"/>
              <c:layout>
                <c:manualLayout>
                  <c:x val="8.575993057301226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19E4-461F-92ED-798A2D742EA1}"/>
                </c:ext>
              </c:extLst>
            </c:dLbl>
            <c:dLbl>
              <c:idx val="17"/>
              <c:layout>
                <c:manualLayout>
                  <c:x val="4.149674059984464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9E4-461F-92ED-798A2D742EA1}"/>
                </c:ext>
              </c:extLst>
            </c:dLbl>
            <c:dLbl>
              <c:idx val="18"/>
              <c:layout>
                <c:manualLayout>
                  <c:x val="3.3197392479875715E-2"/>
                  <c:y val="1.5024031696885673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9E4-461F-92ED-798A2D742EA1}"/>
                </c:ext>
              </c:extLst>
            </c:dLbl>
            <c:dLbl>
              <c:idx val="19"/>
              <c:layout>
                <c:manualLayout>
                  <c:x val="8.2993481199689287E-3"/>
                  <c:y val="-6.9961099372662426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19E4-461F-92ED-798A2D742EA1}"/>
                </c:ext>
              </c:extLst>
            </c:dLbl>
            <c:dLbl>
              <c:idx val="22"/>
              <c:layout>
                <c:manualLayout>
                  <c:x val="6.9161234333074306E-2"/>
                  <c:y val="1.3992219874532485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A-19E4-461F-92ED-798A2D742EA1}"/>
                </c:ext>
              </c:extLst>
            </c:dLbl>
            <c:dLbl>
              <c:idx val="23"/>
              <c:layout>
                <c:manualLayout>
                  <c:x val="5.809543683978250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9E4-461F-92ED-798A2D742EA1}"/>
                </c:ext>
              </c:extLst>
            </c:dLbl>
            <c:dLbl>
              <c:idx val="24"/>
              <c:layout>
                <c:manualLayout>
                  <c:x val="6.3628335586428345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19E4-461F-92ED-798A2D742EA1}"/>
                </c:ext>
              </c:extLst>
            </c:dLbl>
            <c:dLbl>
              <c:idx val="25"/>
              <c:layout>
                <c:manualLayout>
                  <c:x val="4.979608871981357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19E4-461F-92ED-798A2D742EA1}"/>
                </c:ext>
              </c:extLst>
            </c:dLbl>
            <c:dLbl>
              <c:idx val="26"/>
              <c:layout>
                <c:manualLayout>
                  <c:x val="1.9365145613260731E-2"/>
                  <c:y val="1.3992219874532485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19E4-461F-92ED-798A2D742EA1}"/>
                </c:ext>
              </c:extLst>
            </c:dLbl>
            <c:dLbl>
              <c:idx val="28"/>
              <c:layout>
                <c:manualLayout>
                  <c:x val="4.9796088719813468E-2"/>
                  <c:y val="1.5024031689889562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19E4-461F-92ED-798A2D742EA1}"/>
                </c:ext>
              </c:extLst>
            </c:dLbl>
            <c:dLbl>
              <c:idx val="29"/>
              <c:layout>
                <c:manualLayout>
                  <c:x val="1.9365145613260835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19E4-461F-92ED-798A2D742EA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'8.22'!$F$4:$F$33</c:f>
                <c:numCache>
                  <c:formatCode>General</c:formatCode>
                  <c:ptCount val="30"/>
                  <c:pt idx="0">
                    <c:v>0.59999999999999964</c:v>
                  </c:pt>
                  <c:pt idx="2">
                    <c:v>0.90000000000000036</c:v>
                  </c:pt>
                  <c:pt idx="3">
                    <c:v>0.89999999999999947</c:v>
                  </c:pt>
                  <c:pt idx="5">
                    <c:v>1.4</c:v>
                  </c:pt>
                  <c:pt idx="6">
                    <c:v>1.2999999999999998</c:v>
                  </c:pt>
                  <c:pt idx="7">
                    <c:v>1.5999999999999996</c:v>
                  </c:pt>
                  <c:pt idx="8">
                    <c:v>1.5999999999999996</c:v>
                  </c:pt>
                  <c:pt idx="9">
                    <c:v>2</c:v>
                  </c:pt>
                  <c:pt idx="10">
                    <c:v>3.3000000000000007</c:v>
                  </c:pt>
                  <c:pt idx="12">
                    <c:v>0.70000000000000018</c:v>
                  </c:pt>
                  <c:pt idx="13">
                    <c:v>2.6000000000000005</c:v>
                  </c:pt>
                  <c:pt idx="14">
                    <c:v>1.7000000000000002</c:v>
                  </c:pt>
                  <c:pt idx="16">
                    <c:v>3.1999999999999993</c:v>
                  </c:pt>
                  <c:pt idx="17">
                    <c:v>1.4999999999999991</c:v>
                  </c:pt>
                  <c:pt idx="18">
                    <c:v>1.2000000000000002</c:v>
                  </c:pt>
                  <c:pt idx="19">
                    <c:v>0.5</c:v>
                  </c:pt>
                  <c:pt idx="22">
                    <c:v>2.0999999999999996</c:v>
                  </c:pt>
                  <c:pt idx="23">
                    <c:v>2.2999999999999998</c:v>
                  </c:pt>
                  <c:pt idx="24">
                    <c:v>2.4000000000000004</c:v>
                  </c:pt>
                  <c:pt idx="25">
                    <c:v>1.7000000000000002</c:v>
                  </c:pt>
                  <c:pt idx="26">
                    <c:v>0.69999999999999973</c:v>
                  </c:pt>
                  <c:pt idx="28">
                    <c:v>1.8000000000000007</c:v>
                  </c:pt>
                  <c:pt idx="29">
                    <c:v>0.5</c:v>
                  </c:pt>
                </c:numCache>
              </c:numRef>
            </c:plus>
            <c:minus>
              <c:numRef>
                <c:f>'8.22'!$E$4:$E$33</c:f>
                <c:numCache>
                  <c:formatCode>General</c:formatCode>
                  <c:ptCount val="30"/>
                  <c:pt idx="0">
                    <c:v>0.60000000000000053</c:v>
                  </c:pt>
                  <c:pt idx="2">
                    <c:v>0.89999999999999947</c:v>
                  </c:pt>
                  <c:pt idx="3">
                    <c:v>0.90000000000000036</c:v>
                  </c:pt>
                  <c:pt idx="5">
                    <c:v>1.3</c:v>
                  </c:pt>
                  <c:pt idx="6">
                    <c:v>1.2</c:v>
                  </c:pt>
                  <c:pt idx="7">
                    <c:v>1.6000000000000005</c:v>
                  </c:pt>
                  <c:pt idx="8">
                    <c:v>1.6000000000000005</c:v>
                  </c:pt>
                  <c:pt idx="9">
                    <c:v>1.9000000000000004</c:v>
                  </c:pt>
                  <c:pt idx="10">
                    <c:v>3.2999999999999989</c:v>
                  </c:pt>
                  <c:pt idx="12">
                    <c:v>0.79999999999999982</c:v>
                  </c:pt>
                  <c:pt idx="13">
                    <c:v>2.5999999999999996</c:v>
                  </c:pt>
                  <c:pt idx="14">
                    <c:v>1.7999999999999998</c:v>
                  </c:pt>
                  <c:pt idx="16">
                    <c:v>3.1999999999999993</c:v>
                  </c:pt>
                  <c:pt idx="17">
                    <c:v>1.4000000000000004</c:v>
                  </c:pt>
                  <c:pt idx="18">
                    <c:v>1.0999999999999996</c:v>
                  </c:pt>
                  <c:pt idx="19">
                    <c:v>0.60000000000000009</c:v>
                  </c:pt>
                  <c:pt idx="22">
                    <c:v>2</c:v>
                  </c:pt>
                  <c:pt idx="23">
                    <c:v>2.2999999999999998</c:v>
                  </c:pt>
                  <c:pt idx="24">
                    <c:v>2.2999999999999998</c:v>
                  </c:pt>
                  <c:pt idx="25">
                    <c:v>1.6</c:v>
                  </c:pt>
                  <c:pt idx="26">
                    <c:v>0.8</c:v>
                  </c:pt>
                  <c:pt idx="28">
                    <c:v>1.9000000000000004</c:v>
                  </c:pt>
                  <c:pt idx="29">
                    <c:v>0.50000000000000022</c:v>
                  </c:pt>
                </c:numCache>
              </c:numRef>
            </c:minus>
            <c:spPr>
              <a:noFill/>
              <a:ln w="9525" cap="flat" cmpd="sng" algn="ctr">
                <a:solidFill>
                  <a:schemeClr val="bg1">
                    <a:lumMod val="50000"/>
                  </a:schemeClr>
                </a:solidFill>
                <a:round/>
              </a:ln>
              <a:effectLst/>
            </c:spPr>
          </c:errBars>
          <c:cat>
            <c:strRef>
              <c:f>'8.22'!$A$4:$A$33</c:f>
              <c:strCache>
                <c:ptCount val="30"/>
                <c:pt idx="0">
                  <c:v>Total</c:v>
                </c:pt>
                <c:pt idx="2">
                  <c:v>Male</c:v>
                </c:pt>
                <c:pt idx="3">
                  <c:v>Female</c:v>
                </c:pt>
                <c:pt idx="5">
                  <c:v>25-34</c:v>
                </c:pt>
                <c:pt idx="6">
                  <c:v>35-44</c:v>
                </c:pt>
                <c:pt idx="7">
                  <c:v>45-54</c:v>
                </c:pt>
                <c:pt idx="8">
                  <c:v>55-64</c:v>
                </c:pt>
                <c:pt idx="9">
                  <c:v>65-74</c:v>
                </c:pt>
                <c:pt idx="10">
                  <c:v>75+</c:v>
                </c:pt>
                <c:pt idx="12">
                  <c:v>White non-Hispanic</c:v>
                </c:pt>
                <c:pt idx="13">
                  <c:v>Black non-Hispanic</c:v>
                </c:pt>
                <c:pt idx="14">
                  <c:v>Hispanic</c:v>
                </c:pt>
                <c:pt idx="16">
                  <c:v>Less than HS</c:v>
                </c:pt>
                <c:pt idx="17">
                  <c:v>HS</c:v>
                </c:pt>
                <c:pt idx="18">
                  <c:v>College 1-3 yrs</c:v>
                </c:pt>
                <c:pt idx="19">
                  <c:v>College 4+ yrs</c:v>
                </c:pt>
                <c:pt idx="22">
                  <c:v>&lt;$25,000</c:v>
                </c:pt>
                <c:pt idx="23">
                  <c:v>$25-35K</c:v>
                </c:pt>
                <c:pt idx="24">
                  <c:v>$35-50K</c:v>
                </c:pt>
                <c:pt idx="25">
                  <c:v>$50-75K</c:v>
                </c:pt>
                <c:pt idx="26">
                  <c:v>$75K+</c:v>
                </c:pt>
                <c:pt idx="28">
                  <c:v>Disability</c:v>
                </c:pt>
                <c:pt idx="29">
                  <c:v>No Disability</c:v>
                </c:pt>
              </c:strCache>
            </c:strRef>
          </c:cat>
          <c:val>
            <c:numRef>
              <c:f>'8.22'!$B$4:$B$33</c:f>
              <c:numCache>
                <c:formatCode>General</c:formatCode>
                <c:ptCount val="30"/>
                <c:pt idx="0" formatCode="0.0">
                  <c:v>5.7</c:v>
                </c:pt>
                <c:pt idx="2" formatCode="0.0">
                  <c:v>5.0999999999999996</c:v>
                </c:pt>
                <c:pt idx="3" formatCode="0.0">
                  <c:v>6.2</c:v>
                </c:pt>
                <c:pt idx="5" formatCode="0.0">
                  <c:v>3.1</c:v>
                </c:pt>
                <c:pt idx="6" formatCode="0.0">
                  <c:v>3</c:v>
                </c:pt>
                <c:pt idx="7" formatCode="0.0">
                  <c:v>6.4</c:v>
                </c:pt>
                <c:pt idx="8" formatCode="0.0">
                  <c:v>6.9</c:v>
                </c:pt>
                <c:pt idx="9" formatCode="0.0">
                  <c:v>8.8000000000000007</c:v>
                </c:pt>
                <c:pt idx="10" formatCode="0.0">
                  <c:v>14.2</c:v>
                </c:pt>
                <c:pt idx="12" formatCode="0.0">
                  <c:v>6.3</c:v>
                </c:pt>
                <c:pt idx="13" formatCode="0.0">
                  <c:v>4.5999999999999996</c:v>
                </c:pt>
                <c:pt idx="14" formatCode="0.0">
                  <c:v>4</c:v>
                </c:pt>
                <c:pt idx="16" formatCode="0.0">
                  <c:v>11.5</c:v>
                </c:pt>
                <c:pt idx="17" formatCode="0.0">
                  <c:v>7.7</c:v>
                </c:pt>
                <c:pt idx="18" formatCode="0.0">
                  <c:v>6</c:v>
                </c:pt>
                <c:pt idx="19" formatCode="0.0">
                  <c:v>2.2000000000000002</c:v>
                </c:pt>
                <c:pt idx="22" formatCode="0.0">
                  <c:v>11.5</c:v>
                </c:pt>
                <c:pt idx="23" formatCode="0.0">
                  <c:v>6.8</c:v>
                </c:pt>
                <c:pt idx="24" formatCode="0.0">
                  <c:v>7.1</c:v>
                </c:pt>
                <c:pt idx="25" formatCode="0.0">
                  <c:v>4</c:v>
                </c:pt>
                <c:pt idx="26" formatCode="0.0">
                  <c:v>2.6</c:v>
                </c:pt>
                <c:pt idx="28" formatCode="0.0">
                  <c:v>14.5</c:v>
                </c:pt>
                <c:pt idx="29" formatCode="0.0">
                  <c:v>2.2000000000000002</c:v>
                </c:pt>
              </c:numCache>
            </c:numRef>
          </c:val>
          <c:extLst xmlns:c16r2="http://schemas.microsoft.com/office/drawing/2015/06/chart">
            <c:ext xmlns:c16="http://schemas.microsoft.com/office/drawing/2014/chart" uri="{C3380CC4-5D6E-409C-BE32-E72D297353CC}">
              <c16:uniqueId val="{0000002B-19E4-461F-92ED-798A2D742EA1}"/>
            </c:ext>
          </c:extLst>
        </c:ser>
        <c:dLbls>
          <c:dLblPos val="outEnd"/>
          <c:showLegendKey val="0"/>
          <c:showVal val="1"/>
          <c:showCatName val="0"/>
          <c:showSerName val="0"/>
          <c:showPercent val="0"/>
          <c:showBubbleSize val="0"/>
        </c:dLbls>
        <c:gapWidth val="36"/>
        <c:axId val="310731520"/>
        <c:axId val="310733056"/>
      </c:barChart>
      <c:catAx>
        <c:axId val="310731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733056"/>
        <c:crosses val="autoZero"/>
        <c:auto val="1"/>
        <c:lblAlgn val="ctr"/>
        <c:lblOffset val="100"/>
        <c:noMultiLvlLbl val="0"/>
      </c:catAx>
      <c:valAx>
        <c:axId val="310733056"/>
        <c:scaling>
          <c:orientation val="minMax"/>
          <c:max val="2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731520"/>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'8.23'!$K$3</c:f>
              <c:strCache>
                <c:ptCount val="1"/>
                <c:pt idx="0">
                  <c:v>Male (incidence)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'8.23'!$J$4:$J$8</c:f>
              <c:strCache>
                <c:ptCount val="5"/>
                <c:pt idx="0">
                  <c:v>All Races</c:v>
                </c:pt>
                <c:pt idx="1">
                  <c:v>White non-Hispanic</c:v>
                </c:pt>
                <c:pt idx="2">
                  <c:v>Black non-Hispanic</c:v>
                </c:pt>
                <c:pt idx="3">
                  <c:v>Asian non-Hispanic</c:v>
                </c:pt>
                <c:pt idx="4">
                  <c:v>Hispanic</c:v>
                </c:pt>
              </c:strCache>
            </c:strRef>
          </c:cat>
          <c:val>
            <c:numRef>
              <c:f>'8.23'!$K$4:$K$8</c:f>
              <c:numCache>
                <c:formatCode>General</c:formatCode>
                <c:ptCount val="5"/>
                <c:pt idx="0">
                  <c:v>70.8</c:v>
                </c:pt>
                <c:pt idx="1">
                  <c:v>72.5</c:v>
                </c:pt>
                <c:pt idx="2">
                  <c:v>69.7</c:v>
                </c:pt>
                <c:pt idx="3">
                  <c:v>58.5</c:v>
                </c:pt>
                <c:pt idx="4">
                  <c:v>39.700000000000003</c:v>
                </c:pt>
              </c:numCache>
            </c:numRef>
          </c:val>
          <c:extLst xmlns:c16r2="http://schemas.microsoft.com/office/drawing/2015/06/chart">
            <c:ext xmlns:c16="http://schemas.microsoft.com/office/drawing/2014/chart" uri="{C3380CC4-5D6E-409C-BE32-E72D297353CC}">
              <c16:uniqueId val="{00000000-1E9D-4E3C-BD02-2E6026816074}"/>
            </c:ext>
          </c:extLst>
        </c:ser>
        <c:ser>
          <c:idx val="1"/>
          <c:order val="1"/>
          <c:tx>
            <c:strRef>
              <c:f>'8.23'!$L$3</c:f>
              <c:strCache>
                <c:ptCount val="1"/>
                <c:pt idx="0">
                  <c:v>Male (mortality)</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'8.23'!$J$4:$J$8</c:f>
              <c:strCache>
                <c:ptCount val="5"/>
                <c:pt idx="0">
                  <c:v>All Races</c:v>
                </c:pt>
                <c:pt idx="1">
                  <c:v>White non-Hispanic</c:v>
                </c:pt>
                <c:pt idx="2">
                  <c:v>Black non-Hispanic</c:v>
                </c:pt>
                <c:pt idx="3">
                  <c:v>Asian non-Hispanic</c:v>
                </c:pt>
                <c:pt idx="4">
                  <c:v>Hispanic</c:v>
                </c:pt>
              </c:strCache>
            </c:strRef>
          </c:cat>
          <c:val>
            <c:numRef>
              <c:f>'8.23'!$L$4:$L$8</c:f>
              <c:numCache>
                <c:formatCode>General</c:formatCode>
                <c:ptCount val="5"/>
                <c:pt idx="0">
                  <c:v>50.3</c:v>
                </c:pt>
                <c:pt idx="1">
                  <c:v>51.7</c:v>
                </c:pt>
                <c:pt idx="2">
                  <c:v>50.2</c:v>
                </c:pt>
                <c:pt idx="3">
                  <c:v>37.700000000000003</c:v>
                </c:pt>
                <c:pt idx="4">
                  <c:v>24.2</c:v>
                </c:pt>
              </c:numCache>
            </c:numRef>
          </c:val>
          <c:extLst xmlns:c16r2="http://schemas.microsoft.com/office/drawing/2015/06/chart">
            <c:ext xmlns:c16="http://schemas.microsoft.com/office/drawing/2014/chart" uri="{C3380CC4-5D6E-409C-BE32-E72D297353CC}">
              <c16:uniqueId val="{00000001-1E9D-4E3C-BD02-2E6026816074}"/>
            </c:ext>
          </c:extLst>
        </c:ser>
        <c:ser>
          <c:idx val="2"/>
          <c:order val="2"/>
          <c:tx>
            <c:strRef>
              <c:f>'8.23'!$M$3</c:f>
              <c:strCache>
                <c:ptCount val="1"/>
                <c:pt idx="0">
                  <c:v>Female (incidence)</c:v>
                </c:pt>
              </c:strCache>
            </c:strRef>
          </c:tx>
          <c:spPr>
            <a:solidFill>
              <a:srgbClr val="3182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'8.23'!$J$4:$J$8</c:f>
              <c:strCache>
                <c:ptCount val="5"/>
                <c:pt idx="0">
                  <c:v>All Races</c:v>
                </c:pt>
                <c:pt idx="1">
                  <c:v>White non-Hispanic</c:v>
                </c:pt>
                <c:pt idx="2">
                  <c:v>Black non-Hispanic</c:v>
                </c:pt>
                <c:pt idx="3">
                  <c:v>Asian non-Hispanic</c:v>
                </c:pt>
                <c:pt idx="4">
                  <c:v>Hispanic</c:v>
                </c:pt>
              </c:strCache>
            </c:strRef>
          </c:cat>
          <c:val>
            <c:numRef>
              <c:f>'8.23'!$M$4:$M$8</c:f>
              <c:numCache>
                <c:formatCode>General</c:formatCode>
                <c:ptCount val="5"/>
                <c:pt idx="0">
                  <c:v>60.7</c:v>
                </c:pt>
                <c:pt idx="1">
                  <c:v>64.099999999999994</c:v>
                </c:pt>
                <c:pt idx="2">
                  <c:v>46.8</c:v>
                </c:pt>
                <c:pt idx="3">
                  <c:v>33.700000000000003</c:v>
                </c:pt>
                <c:pt idx="4">
                  <c:v>28.4</c:v>
                </c:pt>
              </c:numCache>
            </c:numRef>
          </c:val>
          <c:extLst xmlns:c16r2="http://schemas.microsoft.com/office/drawing/2015/06/chart">
            <c:ext xmlns:c16="http://schemas.microsoft.com/office/drawing/2014/chart" uri="{C3380CC4-5D6E-409C-BE32-E72D297353CC}">
              <c16:uniqueId val="{00000002-1E9D-4E3C-BD02-2E6026816074}"/>
            </c:ext>
          </c:extLst>
        </c:ser>
        <c:ser>
          <c:idx val="3"/>
          <c:order val="3"/>
          <c:tx>
            <c:strRef>
              <c:f>'8.23'!$N$3</c:f>
              <c:strCache>
                <c:ptCount val="1"/>
                <c:pt idx="0">
                  <c:v>Female (mortality)</c:v>
                </c:pt>
              </c:strCache>
            </c:strRef>
          </c:tx>
          <c:spPr>
            <a:pattFill prst="ltDnDiag">
              <a:fgClr>
                <a:srgbClr val="EFF3FF"/>
              </a:fgClr>
              <a:bgClr>
                <a:srgbClr val="6BAED6"/>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'8.23'!$J$4:$J$8</c:f>
              <c:strCache>
                <c:ptCount val="5"/>
                <c:pt idx="0">
                  <c:v>All Races</c:v>
                </c:pt>
                <c:pt idx="1">
                  <c:v>White non-Hispanic</c:v>
                </c:pt>
                <c:pt idx="2">
                  <c:v>Black non-Hispanic</c:v>
                </c:pt>
                <c:pt idx="3">
                  <c:v>Asian non-Hispanic</c:v>
                </c:pt>
                <c:pt idx="4">
                  <c:v>Hispanic</c:v>
                </c:pt>
              </c:strCache>
            </c:strRef>
          </c:cat>
          <c:val>
            <c:numRef>
              <c:f>'8.23'!$N$4:$N$8</c:f>
              <c:numCache>
                <c:formatCode>General</c:formatCode>
                <c:ptCount val="5"/>
                <c:pt idx="0">
                  <c:v>36.9</c:v>
                </c:pt>
                <c:pt idx="1">
                  <c:v>39.200000000000003</c:v>
                </c:pt>
                <c:pt idx="2">
                  <c:v>27.9</c:v>
                </c:pt>
                <c:pt idx="3">
                  <c:v>17.5</c:v>
                </c:pt>
                <c:pt idx="4" formatCode="0.0">
                  <c:v>12</c:v>
                </c:pt>
              </c:numCache>
            </c:numRef>
          </c:val>
          <c:extLst xmlns:c16r2="http://schemas.microsoft.com/office/drawing/2015/06/chart">
            <c:ext xmlns:c16="http://schemas.microsoft.com/office/drawing/2014/chart" uri="{C3380CC4-5D6E-409C-BE32-E72D297353CC}">
              <c16:uniqueId val="{00000003-1E9D-4E3C-BD02-2E6026816074}"/>
            </c:ext>
          </c:extLst>
        </c:ser>
        <c:dLbls>
          <c:dLblPos val="outEnd"/>
          <c:showLegendKey val="0"/>
          <c:showVal val="1"/>
          <c:showCatName val="0"/>
          <c:showSerName val="0"/>
          <c:showPercent val="0"/>
          <c:showBubbleSize val="0"/>
        </c:dLbls>
        <c:gapWidth val="108"/>
        <c:overlap val="-16"/>
        <c:axId val="310969472"/>
        <c:axId val="310971008"/>
      </c:barChart>
      <c:catAx>
        <c:axId val="31096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971008"/>
        <c:crosses val="autoZero"/>
        <c:auto val="1"/>
        <c:lblAlgn val="ctr"/>
        <c:lblOffset val="100"/>
        <c:noMultiLvlLbl val="0"/>
      </c:catAx>
      <c:valAx>
        <c:axId val="31097100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Age-Adjusted Rate per 100,000 Population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96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1-E1C3-4FAD-A407-82D96FCC615F}"/>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3-E1C3-4FAD-A407-82D96FCC615F}"/>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5-E1C3-4FAD-A407-82D96FCC615F}"/>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7-E1C3-4FAD-A407-82D96FCC615F}"/>
              </c:ext>
            </c:extLst>
          </c:dPt>
          <c:dLbls>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'8.3'!$F$4:$F$7</c:f>
                <c:numCache>
                  <c:formatCode>General</c:formatCode>
                  <c:ptCount val="4"/>
                  <c:pt idx="0">
                    <c:v>3.6000000000000014</c:v>
                  </c:pt>
                  <c:pt idx="1">
                    <c:v>6</c:v>
                  </c:pt>
                  <c:pt idx="2">
                    <c:v>5.1999999999999886</c:v>
                  </c:pt>
                  <c:pt idx="3">
                    <c:v>8.8000000000000043</c:v>
                  </c:pt>
                </c:numCache>
              </c:numRef>
            </c:plus>
            <c:minus>
              <c:numRef>
                <c:f>'8.3'!$E$4:$E$7</c:f>
                <c:numCache>
                  <c:formatCode>General</c:formatCode>
                  <c:ptCount val="4"/>
                  <c:pt idx="0">
                    <c:v>3.6999999999999957</c:v>
                  </c:pt>
                  <c:pt idx="1">
                    <c:v>6.0000000000000071</c:v>
                  </c:pt>
                  <c:pt idx="2">
                    <c:v>5.3000000000000114</c:v>
                  </c:pt>
                  <c:pt idx="3">
                    <c:v>8.7999999999999972</c:v>
                  </c:pt>
                </c:numCache>
              </c:numRef>
            </c:minus>
            <c:spPr>
              <a:ln>
                <a:solidFill>
                  <a:sysClr val="window" lastClr="FFFFFF">
                    <a:lumMod val="50000"/>
                  </a:sysClr>
                </a:solidFill>
              </a:ln>
            </c:spPr>
          </c:errBars>
          <c:cat>
            <c:strRef>
              <c:f>'8.3'!$A$4:$A$7</c:f>
              <c:strCache>
                <c:ptCount val="4"/>
                <c:pt idx="0">
                  <c:v>White non-Hispanic</c:v>
                </c:pt>
                <c:pt idx="1">
                  <c:v>Black non-Hispanic</c:v>
                </c:pt>
                <c:pt idx="2">
                  <c:v>Hispanic</c:v>
                </c:pt>
                <c:pt idx="3">
                  <c:v>Asian non-Hispanic</c:v>
                </c:pt>
              </c:strCache>
            </c:strRef>
          </c:cat>
          <c:val>
            <c:numRef>
              <c:f>'8.3'!$B$4:$B$7</c:f>
              <c:numCache>
                <c:formatCode>General</c:formatCode>
                <c:ptCount val="4"/>
                <c:pt idx="0">
                  <c:v>58.3</c:v>
                </c:pt>
                <c:pt idx="1">
                  <c:v>68.900000000000006</c:v>
                </c:pt>
                <c:pt idx="2">
                  <c:v>71.400000000000006</c:v>
                </c:pt>
                <c:pt idx="3">
                  <c:v>56.9</c:v>
                </c:pt>
              </c:numCache>
            </c:numRef>
          </c:val>
          <c:extLst xmlns:c16r2="http://schemas.microsoft.com/office/drawing/2015/06/chart">
            <c:ext xmlns:c16="http://schemas.microsoft.com/office/drawing/2014/chart" uri="{C3380CC4-5D6E-409C-BE32-E72D297353CC}">
              <c16:uniqueId val="{00000008-E1C3-4FAD-A407-82D96FCC615F}"/>
            </c:ext>
          </c:extLst>
        </c:ser>
        <c:dLbls>
          <c:showLegendKey val="0"/>
          <c:showVal val="0"/>
          <c:showCatName val="0"/>
          <c:showSerName val="0"/>
          <c:showPercent val="0"/>
          <c:showBubbleSize val="0"/>
        </c:dLbls>
        <c:gapWidth val="150"/>
        <c:overlap val="100"/>
        <c:axId val="267218944"/>
        <c:axId val="267220480"/>
      </c:barChart>
      <c:catAx>
        <c:axId val="267218944"/>
        <c:scaling>
          <c:orientation val="minMax"/>
        </c:scaling>
        <c:delete val="0"/>
        <c:axPos val="b"/>
        <c:numFmt formatCode="General" sourceLinked="0"/>
        <c:majorTickMark val="none"/>
        <c:minorTickMark val="none"/>
        <c:tickLblPos val="nextTo"/>
        <c:spPr>
          <a:ln>
            <a:solidFill>
              <a:sysClr val="window" lastClr="FFFFFF">
                <a:lumMod val="85000"/>
              </a:sysClr>
            </a:solidFill>
          </a:ln>
        </c:spPr>
        <c:txPr>
          <a:bodyPr/>
          <a:lstStyle/>
          <a:p>
            <a:pPr>
              <a:defRPr sz="1000"/>
            </a:pPr>
            <a:endParaRPr lang="en-US"/>
          </a:p>
        </c:txPr>
        <c:crossAx val="267220480"/>
        <c:crosses val="autoZero"/>
        <c:auto val="0"/>
        <c:lblAlgn val="ctr"/>
        <c:lblOffset val="100"/>
        <c:noMultiLvlLbl val="0"/>
      </c:catAx>
      <c:valAx>
        <c:axId val="267220480"/>
        <c:scaling>
          <c:orientation val="minMax"/>
          <c:max val="100"/>
          <c:min val="0"/>
        </c:scaling>
        <c:delete val="0"/>
        <c:axPos val="l"/>
        <c:title>
          <c:tx>
            <c:rich>
              <a:bodyPr rot="-5400000" vert="horz"/>
              <a:lstStyle/>
              <a:p>
                <a:pPr>
                  <a:defRPr b="1"/>
                </a:pPr>
                <a:r>
                  <a:rPr lang="en-US" b="1"/>
                  <a:t>Percent of High School Students</a:t>
                </a:r>
              </a:p>
            </c:rich>
          </c:tx>
          <c:overlay val="0"/>
        </c:title>
        <c:numFmt formatCode="General" sourceLinked="1"/>
        <c:majorTickMark val="out"/>
        <c:minorTickMark val="none"/>
        <c:tickLblPos val="nextTo"/>
        <c:spPr>
          <a:ln>
            <a:noFill/>
          </a:ln>
        </c:spPr>
        <c:crossAx val="267218944"/>
        <c:crosses val="autoZero"/>
        <c:crossBetween val="between"/>
        <c:majorUnit val="20"/>
      </c:valAx>
    </c:plotArea>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'8.24'!$B$13</c:f>
              <c:strCache>
                <c:ptCount val="1"/>
                <c:pt idx="0">
                  <c:v>Incidence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'8.24'!$A$14:$A$18</c:f>
              <c:strCache>
                <c:ptCount val="5"/>
                <c:pt idx="0">
                  <c:v>All Races</c:v>
                </c:pt>
                <c:pt idx="1">
                  <c:v>White non-Hispanic</c:v>
                </c:pt>
                <c:pt idx="2">
                  <c:v>Black non-Hispanic</c:v>
                </c:pt>
                <c:pt idx="3">
                  <c:v>Asian non-Hispanic</c:v>
                </c:pt>
                <c:pt idx="4">
                  <c:v>Hispanic</c:v>
                </c:pt>
              </c:strCache>
            </c:strRef>
          </c:cat>
          <c:val>
            <c:numRef>
              <c:f>'8.24'!$B$14:$B$18</c:f>
              <c:numCache>
                <c:formatCode>General</c:formatCode>
                <c:ptCount val="5"/>
                <c:pt idx="0">
                  <c:v>136.30000000000001</c:v>
                </c:pt>
                <c:pt idx="1">
                  <c:v>142.30000000000001</c:v>
                </c:pt>
                <c:pt idx="2">
                  <c:v>116.4</c:v>
                </c:pt>
                <c:pt idx="3">
                  <c:v>90.2</c:v>
                </c:pt>
                <c:pt idx="4">
                  <c:v>88.4</c:v>
                </c:pt>
              </c:numCache>
            </c:numRef>
          </c:val>
          <c:extLst xmlns:c16r2="http://schemas.microsoft.com/office/drawing/2015/06/chart">
            <c:ext xmlns:c16="http://schemas.microsoft.com/office/drawing/2014/chart" uri="{C3380CC4-5D6E-409C-BE32-E72D297353CC}">
              <c16:uniqueId val="{00000000-4135-4733-ADDB-71C32DF1A92D}"/>
            </c:ext>
          </c:extLst>
        </c:ser>
        <c:ser>
          <c:idx val="1"/>
          <c:order val="1"/>
          <c:tx>
            <c:strRef>
              <c:f>'8.24'!$C$13</c:f>
              <c:strCache>
                <c:ptCount val="1"/>
                <c:pt idx="0">
                  <c:v>Mortality</c:v>
                </c:pt>
              </c:strCache>
            </c:strRef>
          </c:tx>
          <c:spPr>
            <a:pattFill prst="ltDnDiag">
              <a:fgClr>
                <a:srgbClr val="EFF3FF"/>
              </a:fgClr>
              <a:bgClr>
                <a:srgbClr val="6BAED6"/>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'8.24'!$A$14:$A$18</c:f>
              <c:strCache>
                <c:ptCount val="5"/>
                <c:pt idx="0">
                  <c:v>All Races</c:v>
                </c:pt>
                <c:pt idx="1">
                  <c:v>White non-Hispanic</c:v>
                </c:pt>
                <c:pt idx="2">
                  <c:v>Black non-Hispanic</c:v>
                </c:pt>
                <c:pt idx="3">
                  <c:v>Asian non-Hispanic</c:v>
                </c:pt>
                <c:pt idx="4">
                  <c:v>Hispanic</c:v>
                </c:pt>
              </c:strCache>
            </c:strRef>
          </c:cat>
          <c:val>
            <c:numRef>
              <c:f>'8.24'!$C$14:$C$18</c:f>
              <c:numCache>
                <c:formatCode>General</c:formatCode>
                <c:ptCount val="5"/>
                <c:pt idx="0">
                  <c:v>18.2</c:v>
                </c:pt>
                <c:pt idx="1">
                  <c:v>18.8</c:v>
                </c:pt>
                <c:pt idx="2">
                  <c:v>19.7</c:v>
                </c:pt>
                <c:pt idx="3">
                  <c:v>7.9</c:v>
                </c:pt>
                <c:pt idx="4">
                  <c:v>10.5</c:v>
                </c:pt>
              </c:numCache>
            </c:numRef>
          </c:val>
          <c:extLst xmlns:c16r2="http://schemas.microsoft.com/office/drawing/2015/06/chart">
            <c:ext xmlns:c16="http://schemas.microsoft.com/office/drawing/2014/chart" uri="{C3380CC4-5D6E-409C-BE32-E72D297353CC}">
              <c16:uniqueId val="{00000001-4135-4733-ADDB-71C32DF1A92D}"/>
            </c:ext>
          </c:extLst>
        </c:ser>
        <c:dLbls>
          <c:dLblPos val="outEnd"/>
          <c:showLegendKey val="0"/>
          <c:showVal val="1"/>
          <c:showCatName val="0"/>
          <c:showSerName val="0"/>
          <c:showPercent val="0"/>
          <c:showBubbleSize val="0"/>
        </c:dLbls>
        <c:gapWidth val="219"/>
        <c:overlap val="-27"/>
        <c:axId val="311014528"/>
        <c:axId val="311016064"/>
      </c:barChart>
      <c:catAx>
        <c:axId val="31101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016064"/>
        <c:crosses val="autoZero"/>
        <c:auto val="1"/>
        <c:lblAlgn val="ctr"/>
        <c:lblOffset val="100"/>
        <c:noMultiLvlLbl val="0"/>
      </c:catAx>
      <c:valAx>
        <c:axId val="311016064"/>
        <c:scaling>
          <c:orientation val="minMax"/>
          <c:max val="2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Age-Adjusted Rate per 100,000 Population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014528"/>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'8.25'!$L$4</c:f>
              <c:strCache>
                <c:ptCount val="1"/>
                <c:pt idx="0">
                  <c:v>Male (incidence)</c:v>
                </c:pt>
              </c:strCache>
            </c:strRef>
          </c:tx>
          <c:spPr>
            <a:solidFill>
              <a:srgbClr val="203864"/>
            </a:solidFill>
            <a:ln>
              <a:noFill/>
            </a:ln>
            <a:effectLst/>
          </c:spPr>
          <c:invertIfNegative val="0"/>
          <c:dLbls>
            <c:dLbl>
              <c:idx val="0"/>
              <c:tx>
                <c:rich>
                  <a:bodyPr/>
                  <a:lstStyle/>
                  <a:p>
                    <a:r>
                      <a:rPr lang="en-US"/>
                      <a:t>43.0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373-4CEB-AB90-E7CA4BDA6252}"/>
                </c:ext>
              </c:extLst>
            </c:dLbl>
            <c:dLbl>
              <c:idx val="1"/>
              <c:tx>
                <c:rich>
                  <a:bodyPr/>
                  <a:lstStyle/>
                  <a:p>
                    <a:r>
                      <a:rPr lang="en-US"/>
                      <a:t>43.0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D373-4CEB-AB90-E7CA4BDA625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'8.25'!$K$5:$K$9</c:f>
              <c:strCache>
                <c:ptCount val="5"/>
                <c:pt idx="0">
                  <c:v>All Races</c:v>
                </c:pt>
                <c:pt idx="1">
                  <c:v>White non-Hispanic</c:v>
                </c:pt>
                <c:pt idx="2">
                  <c:v>Black non-Hispanic</c:v>
                </c:pt>
                <c:pt idx="3">
                  <c:v>Asian non-Hispanic</c:v>
                </c:pt>
                <c:pt idx="4">
                  <c:v>Hispanic</c:v>
                </c:pt>
              </c:strCache>
            </c:strRef>
          </c:cat>
          <c:val>
            <c:numRef>
              <c:f>'8.25'!$L$5:$L$9</c:f>
              <c:numCache>
                <c:formatCode>General</c:formatCode>
                <c:ptCount val="5"/>
                <c:pt idx="0">
                  <c:v>43</c:v>
                </c:pt>
                <c:pt idx="1">
                  <c:v>43</c:v>
                </c:pt>
                <c:pt idx="2">
                  <c:v>46.8</c:v>
                </c:pt>
                <c:pt idx="3">
                  <c:v>34.5</c:v>
                </c:pt>
                <c:pt idx="4">
                  <c:v>36.200000000000003</c:v>
                </c:pt>
              </c:numCache>
            </c:numRef>
          </c:val>
          <c:extLst xmlns:c16r2="http://schemas.microsoft.com/office/drawing/2015/06/chart">
            <c:ext xmlns:c16="http://schemas.microsoft.com/office/drawing/2014/chart" uri="{C3380CC4-5D6E-409C-BE32-E72D297353CC}">
              <c16:uniqueId val="{00000000-DC40-4CDF-B495-CCBB91022640}"/>
            </c:ext>
          </c:extLst>
        </c:ser>
        <c:ser>
          <c:idx val="1"/>
          <c:order val="1"/>
          <c:tx>
            <c:strRef>
              <c:f>'8.25'!$M$4</c:f>
              <c:strCache>
                <c:ptCount val="1"/>
                <c:pt idx="0">
                  <c:v>Male (mortality)</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'8.25'!$K$5:$K$9</c:f>
              <c:strCache>
                <c:ptCount val="5"/>
                <c:pt idx="0">
                  <c:v>All Races</c:v>
                </c:pt>
                <c:pt idx="1">
                  <c:v>White non-Hispanic</c:v>
                </c:pt>
                <c:pt idx="2">
                  <c:v>Black non-Hispanic</c:v>
                </c:pt>
                <c:pt idx="3">
                  <c:v>Asian non-Hispanic</c:v>
                </c:pt>
                <c:pt idx="4">
                  <c:v>Hispanic</c:v>
                </c:pt>
              </c:strCache>
            </c:strRef>
          </c:cat>
          <c:val>
            <c:numRef>
              <c:f>'8.25'!$M$5:$M$9</c:f>
              <c:numCache>
                <c:formatCode>General</c:formatCode>
                <c:ptCount val="5"/>
                <c:pt idx="0">
                  <c:v>15.3</c:v>
                </c:pt>
                <c:pt idx="1">
                  <c:v>15.6</c:v>
                </c:pt>
                <c:pt idx="2">
                  <c:v>17.2</c:v>
                </c:pt>
                <c:pt idx="3">
                  <c:v>8.6999999999999993</c:v>
                </c:pt>
                <c:pt idx="4">
                  <c:v>10.4</c:v>
                </c:pt>
              </c:numCache>
            </c:numRef>
          </c:val>
          <c:extLst xmlns:c16r2="http://schemas.microsoft.com/office/drawing/2015/06/chart">
            <c:ext xmlns:c16="http://schemas.microsoft.com/office/drawing/2014/chart" uri="{C3380CC4-5D6E-409C-BE32-E72D297353CC}">
              <c16:uniqueId val="{00000001-DC40-4CDF-B495-CCBB91022640}"/>
            </c:ext>
          </c:extLst>
        </c:ser>
        <c:ser>
          <c:idx val="2"/>
          <c:order val="2"/>
          <c:tx>
            <c:strRef>
              <c:f>'8.25'!$N$4</c:f>
              <c:strCache>
                <c:ptCount val="1"/>
                <c:pt idx="0">
                  <c:v>Female (incidence)</c:v>
                </c:pt>
              </c:strCache>
            </c:strRef>
          </c:tx>
          <c:spPr>
            <a:solidFill>
              <a:srgbClr val="3182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'8.25'!$K$5:$K$9</c:f>
              <c:strCache>
                <c:ptCount val="5"/>
                <c:pt idx="0">
                  <c:v>All Races</c:v>
                </c:pt>
                <c:pt idx="1">
                  <c:v>White non-Hispanic</c:v>
                </c:pt>
                <c:pt idx="2">
                  <c:v>Black non-Hispanic</c:v>
                </c:pt>
                <c:pt idx="3">
                  <c:v>Asian non-Hispanic</c:v>
                </c:pt>
                <c:pt idx="4">
                  <c:v>Hispanic</c:v>
                </c:pt>
              </c:strCache>
            </c:strRef>
          </c:cat>
          <c:val>
            <c:numRef>
              <c:f>'8.25'!$N$5:$N$9</c:f>
              <c:numCache>
                <c:formatCode>General</c:formatCode>
                <c:ptCount val="5"/>
                <c:pt idx="0">
                  <c:v>33.700000000000003</c:v>
                </c:pt>
                <c:pt idx="1">
                  <c:v>33.700000000000003</c:v>
                </c:pt>
                <c:pt idx="2">
                  <c:v>37.200000000000003</c:v>
                </c:pt>
                <c:pt idx="3">
                  <c:v>28.5</c:v>
                </c:pt>
                <c:pt idx="4">
                  <c:v>27.2</c:v>
                </c:pt>
              </c:numCache>
            </c:numRef>
          </c:val>
          <c:extLst xmlns:c16r2="http://schemas.microsoft.com/office/drawing/2015/06/chart">
            <c:ext xmlns:c16="http://schemas.microsoft.com/office/drawing/2014/chart" uri="{C3380CC4-5D6E-409C-BE32-E72D297353CC}">
              <c16:uniqueId val="{00000002-DC40-4CDF-B495-CCBB91022640}"/>
            </c:ext>
          </c:extLst>
        </c:ser>
        <c:ser>
          <c:idx val="3"/>
          <c:order val="3"/>
          <c:tx>
            <c:strRef>
              <c:f>'8.25'!$O$4</c:f>
              <c:strCache>
                <c:ptCount val="1"/>
                <c:pt idx="0">
                  <c:v>Female (mortality)</c:v>
                </c:pt>
              </c:strCache>
            </c:strRef>
          </c:tx>
          <c:spPr>
            <a:pattFill prst="ltDnDiag">
              <a:fgClr>
                <a:srgbClr val="EFF3FF"/>
              </a:fgClr>
              <a:bgClr>
                <a:srgbClr val="6BAED6"/>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'8.25'!$K$5:$K$9</c:f>
              <c:strCache>
                <c:ptCount val="5"/>
                <c:pt idx="0">
                  <c:v>All Races</c:v>
                </c:pt>
                <c:pt idx="1">
                  <c:v>White non-Hispanic</c:v>
                </c:pt>
                <c:pt idx="2">
                  <c:v>Black non-Hispanic</c:v>
                </c:pt>
                <c:pt idx="3">
                  <c:v>Asian non-Hispanic</c:v>
                </c:pt>
                <c:pt idx="4">
                  <c:v>Hispanic</c:v>
                </c:pt>
              </c:strCache>
            </c:strRef>
          </c:cat>
          <c:val>
            <c:numRef>
              <c:f>'8.25'!$O$5:$O$9</c:f>
              <c:numCache>
                <c:formatCode>General</c:formatCode>
                <c:ptCount val="5"/>
                <c:pt idx="0">
                  <c:v>10.9</c:v>
                </c:pt>
                <c:pt idx="1">
                  <c:v>10.8</c:v>
                </c:pt>
                <c:pt idx="2">
                  <c:v>13.9</c:v>
                </c:pt>
                <c:pt idx="3">
                  <c:v>8.9</c:v>
                </c:pt>
                <c:pt idx="4">
                  <c:v>9.1999999999999993</c:v>
                </c:pt>
              </c:numCache>
            </c:numRef>
          </c:val>
          <c:extLst xmlns:c16r2="http://schemas.microsoft.com/office/drawing/2015/06/chart">
            <c:ext xmlns:c16="http://schemas.microsoft.com/office/drawing/2014/chart" uri="{C3380CC4-5D6E-409C-BE32-E72D297353CC}">
              <c16:uniqueId val="{00000003-DC40-4CDF-B495-CCBB91022640}"/>
            </c:ext>
          </c:extLst>
        </c:ser>
        <c:dLbls>
          <c:dLblPos val="outEnd"/>
          <c:showLegendKey val="0"/>
          <c:showVal val="1"/>
          <c:showCatName val="0"/>
          <c:showSerName val="0"/>
          <c:showPercent val="0"/>
          <c:showBubbleSize val="0"/>
        </c:dLbls>
        <c:gapWidth val="108"/>
        <c:overlap val="-16"/>
        <c:axId val="366970368"/>
        <c:axId val="366971904"/>
      </c:barChart>
      <c:catAx>
        <c:axId val="36697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971904"/>
        <c:crosses val="autoZero"/>
        <c:auto val="1"/>
        <c:lblAlgn val="ctr"/>
        <c:lblOffset val="100"/>
        <c:noMultiLvlLbl val="0"/>
      </c:catAx>
      <c:valAx>
        <c:axId val="366971904"/>
        <c:scaling>
          <c:orientation val="minMax"/>
          <c:max val="6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Age-Adjusted Rate per 100,000 Population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97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'8.26'!$B$13</c:f>
              <c:strCache>
                <c:ptCount val="1"/>
                <c:pt idx="0">
                  <c:v>Incidence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'8.26'!$A$14:$A$18</c:f>
              <c:strCache>
                <c:ptCount val="5"/>
                <c:pt idx="0">
                  <c:v>All Races</c:v>
                </c:pt>
                <c:pt idx="1">
                  <c:v>White non-Hispanic</c:v>
                </c:pt>
                <c:pt idx="2">
                  <c:v>Black non-Hispanic</c:v>
                </c:pt>
                <c:pt idx="3">
                  <c:v>Asian non-Hispanic</c:v>
                </c:pt>
                <c:pt idx="4">
                  <c:v>Hispanic</c:v>
                </c:pt>
              </c:strCache>
            </c:strRef>
          </c:cat>
          <c:val>
            <c:numRef>
              <c:f>'8.26'!$B$14:$B$18</c:f>
              <c:numCache>
                <c:formatCode>General</c:formatCode>
                <c:ptCount val="5"/>
                <c:pt idx="0">
                  <c:v>114.4</c:v>
                </c:pt>
                <c:pt idx="1">
                  <c:v>106.3</c:v>
                </c:pt>
                <c:pt idx="2">
                  <c:v>198.5</c:v>
                </c:pt>
                <c:pt idx="3">
                  <c:v>56.7</c:v>
                </c:pt>
                <c:pt idx="4">
                  <c:v>123.1</c:v>
                </c:pt>
              </c:numCache>
            </c:numRef>
          </c:val>
          <c:extLst xmlns:c16r2="http://schemas.microsoft.com/office/drawing/2015/06/chart">
            <c:ext xmlns:c16="http://schemas.microsoft.com/office/drawing/2014/chart" uri="{C3380CC4-5D6E-409C-BE32-E72D297353CC}">
              <c16:uniqueId val="{00000000-D4E7-4DC6-B9D2-7BC838556696}"/>
            </c:ext>
          </c:extLst>
        </c:ser>
        <c:ser>
          <c:idx val="1"/>
          <c:order val="1"/>
          <c:tx>
            <c:strRef>
              <c:f>'8.26'!$C$13</c:f>
              <c:strCache>
                <c:ptCount val="1"/>
                <c:pt idx="0">
                  <c:v>Mortality</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'8.26'!$A$14:$A$18</c:f>
              <c:strCache>
                <c:ptCount val="5"/>
                <c:pt idx="0">
                  <c:v>All Races</c:v>
                </c:pt>
                <c:pt idx="1">
                  <c:v>White non-Hispanic</c:v>
                </c:pt>
                <c:pt idx="2">
                  <c:v>Black non-Hispanic</c:v>
                </c:pt>
                <c:pt idx="3">
                  <c:v>Asian non-Hispanic</c:v>
                </c:pt>
                <c:pt idx="4">
                  <c:v>Hispanic</c:v>
                </c:pt>
              </c:strCache>
            </c:strRef>
          </c:cat>
          <c:val>
            <c:numRef>
              <c:f>'8.26'!$C$14:$C$18</c:f>
              <c:numCache>
                <c:formatCode>General</c:formatCode>
                <c:ptCount val="5"/>
                <c:pt idx="0">
                  <c:v>18.600000000000001</c:v>
                </c:pt>
                <c:pt idx="1">
                  <c:v>18.100000000000001</c:v>
                </c:pt>
                <c:pt idx="2">
                  <c:v>39.799999999999997</c:v>
                </c:pt>
                <c:pt idx="3">
                  <c:v>7.2</c:v>
                </c:pt>
                <c:pt idx="4">
                  <c:v>15.8</c:v>
                </c:pt>
              </c:numCache>
            </c:numRef>
          </c:val>
          <c:extLst xmlns:c16r2="http://schemas.microsoft.com/office/drawing/2015/06/chart">
            <c:ext xmlns:c16="http://schemas.microsoft.com/office/drawing/2014/chart" uri="{C3380CC4-5D6E-409C-BE32-E72D297353CC}">
              <c16:uniqueId val="{00000001-D4E7-4DC6-B9D2-7BC838556696}"/>
            </c:ext>
          </c:extLst>
        </c:ser>
        <c:dLbls>
          <c:dLblPos val="outEnd"/>
          <c:showLegendKey val="0"/>
          <c:showVal val="1"/>
          <c:showCatName val="0"/>
          <c:showSerName val="0"/>
          <c:showPercent val="0"/>
          <c:showBubbleSize val="0"/>
        </c:dLbls>
        <c:gapWidth val="219"/>
        <c:overlap val="-27"/>
        <c:axId val="367715840"/>
        <c:axId val="367717376"/>
      </c:barChart>
      <c:catAx>
        <c:axId val="36771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717376"/>
        <c:crosses val="autoZero"/>
        <c:auto val="1"/>
        <c:lblAlgn val="ctr"/>
        <c:lblOffset val="100"/>
        <c:noMultiLvlLbl val="0"/>
      </c:catAx>
      <c:valAx>
        <c:axId val="367717376"/>
        <c:scaling>
          <c:orientation val="minMax"/>
          <c:max val="25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Age-Adjusted Rate per 100,000 Population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715840"/>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'8.27'!$L$4</c:f>
              <c:strCache>
                <c:ptCount val="1"/>
                <c:pt idx="0">
                  <c:v>Male (incidence)</c:v>
                </c:pt>
              </c:strCache>
            </c:strRef>
          </c:tx>
          <c:spPr>
            <a:solidFill>
              <a:srgbClr val="203864"/>
            </a:solidFill>
            <a:ln>
              <a:noFill/>
            </a:ln>
            <a:effectLst/>
          </c:spPr>
          <c:invertIfNegative val="0"/>
          <c:dLbls>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0FE-4FD5-9934-AB6574C3FDFA}"/>
                </c:ext>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0FE-4FD5-9934-AB6574C3FDFA}"/>
                </c:ext>
              </c:extLst>
            </c:dLbl>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0FE-4FD5-9934-AB6574C3FDF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'8.27'!$K$5:$K$9</c:f>
              <c:strCache>
                <c:ptCount val="5"/>
                <c:pt idx="0">
                  <c:v>All Races</c:v>
                </c:pt>
                <c:pt idx="1">
                  <c:v>White non-Hispanic</c:v>
                </c:pt>
                <c:pt idx="2">
                  <c:v>Black non-Hispanic</c:v>
                </c:pt>
                <c:pt idx="3">
                  <c:v>Asian non-Hispanic</c:v>
                </c:pt>
                <c:pt idx="4">
                  <c:v>Hispanic</c:v>
                </c:pt>
              </c:strCache>
            </c:strRef>
          </c:cat>
          <c:val>
            <c:numRef>
              <c:f>'8.27'!$L$5:$L$9</c:f>
              <c:numCache>
                <c:formatCode>General</c:formatCode>
                <c:ptCount val="5"/>
                <c:pt idx="0">
                  <c:v>25.5</c:v>
                </c:pt>
                <c:pt idx="1">
                  <c:v>27.8</c:v>
                </c:pt>
                <c:pt idx="2">
                  <c:v>0</c:v>
                </c:pt>
                <c:pt idx="3">
                  <c:v>0</c:v>
                </c:pt>
                <c:pt idx="4">
                  <c:v>0</c:v>
                </c:pt>
              </c:numCache>
            </c:numRef>
          </c:val>
          <c:extLst xmlns:c16r2="http://schemas.microsoft.com/office/drawing/2015/06/chart">
            <c:ext xmlns:c16="http://schemas.microsoft.com/office/drawing/2014/chart" uri="{C3380CC4-5D6E-409C-BE32-E72D297353CC}">
              <c16:uniqueId val="{00000003-00FE-4FD5-9934-AB6574C3FDFA}"/>
            </c:ext>
          </c:extLst>
        </c:ser>
        <c:ser>
          <c:idx val="1"/>
          <c:order val="1"/>
          <c:tx>
            <c:strRef>
              <c:f>'8.27'!$M$4</c:f>
              <c:strCache>
                <c:ptCount val="1"/>
                <c:pt idx="0">
                  <c:v>Male (mortality)</c:v>
                </c:pt>
              </c:strCache>
            </c:strRef>
          </c:tx>
          <c:spPr>
            <a:pattFill prst="ltUpDiag">
              <a:fgClr>
                <a:srgbClr val="EFF3FF"/>
              </a:fgClr>
              <a:bgClr>
                <a:srgbClr val="08519C"/>
              </a:bgClr>
            </a:pattFill>
            <a:ln>
              <a:noFill/>
            </a:ln>
            <a:effectLst/>
          </c:spPr>
          <c:invertIfNegative val="0"/>
          <c:dLbls>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0FE-4FD5-9934-AB6574C3FDFA}"/>
                </c:ext>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0FE-4FD5-9934-AB6574C3FDFA}"/>
                </c:ext>
              </c:extLst>
            </c:dLbl>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0FE-4FD5-9934-AB6574C3FDF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'8.27'!$K$5:$K$9</c:f>
              <c:strCache>
                <c:ptCount val="5"/>
                <c:pt idx="0">
                  <c:v>All Races</c:v>
                </c:pt>
                <c:pt idx="1">
                  <c:v>White non-Hispanic</c:v>
                </c:pt>
                <c:pt idx="2">
                  <c:v>Black non-Hispanic</c:v>
                </c:pt>
                <c:pt idx="3">
                  <c:v>Asian non-Hispanic</c:v>
                </c:pt>
                <c:pt idx="4">
                  <c:v>Hispanic</c:v>
                </c:pt>
              </c:strCache>
            </c:strRef>
          </c:cat>
          <c:val>
            <c:numRef>
              <c:f>'8.27'!$M$5:$M$9</c:f>
              <c:numCache>
                <c:formatCode>General</c:formatCode>
                <c:ptCount val="5"/>
                <c:pt idx="0">
                  <c:v>4.0999999999999996</c:v>
                </c:pt>
                <c:pt idx="1">
                  <c:v>4.5</c:v>
                </c:pt>
                <c:pt idx="2">
                  <c:v>0</c:v>
                </c:pt>
                <c:pt idx="3">
                  <c:v>0</c:v>
                </c:pt>
                <c:pt idx="4">
                  <c:v>0</c:v>
                </c:pt>
              </c:numCache>
            </c:numRef>
          </c:val>
          <c:extLst xmlns:c16r2="http://schemas.microsoft.com/office/drawing/2015/06/chart">
            <c:ext xmlns:c16="http://schemas.microsoft.com/office/drawing/2014/chart" uri="{C3380CC4-5D6E-409C-BE32-E72D297353CC}">
              <c16:uniqueId val="{00000007-00FE-4FD5-9934-AB6574C3FDFA}"/>
            </c:ext>
          </c:extLst>
        </c:ser>
        <c:ser>
          <c:idx val="2"/>
          <c:order val="2"/>
          <c:tx>
            <c:strRef>
              <c:f>'8.27'!$N$4</c:f>
              <c:strCache>
                <c:ptCount val="1"/>
                <c:pt idx="0">
                  <c:v>Female (incidence)</c:v>
                </c:pt>
              </c:strCache>
            </c:strRef>
          </c:tx>
          <c:spPr>
            <a:solidFill>
              <a:srgbClr val="3182BD"/>
            </a:solidFill>
            <a:ln>
              <a:noFill/>
            </a:ln>
            <a:effectLst/>
          </c:spPr>
          <c:invertIfNegative val="0"/>
          <c:dLbls>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0FE-4FD5-9934-AB6574C3FDFA}"/>
                </c:ext>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0FE-4FD5-9934-AB6574C3FDFA}"/>
                </c:ext>
              </c:extLst>
            </c:dLbl>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0FE-4FD5-9934-AB6574C3FDF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'8.27'!$K$5:$K$9</c:f>
              <c:strCache>
                <c:ptCount val="5"/>
                <c:pt idx="0">
                  <c:v>All Races</c:v>
                </c:pt>
                <c:pt idx="1">
                  <c:v>White non-Hispanic</c:v>
                </c:pt>
                <c:pt idx="2">
                  <c:v>Black non-Hispanic</c:v>
                </c:pt>
                <c:pt idx="3">
                  <c:v>Asian non-Hispanic</c:v>
                </c:pt>
                <c:pt idx="4">
                  <c:v>Hispanic</c:v>
                </c:pt>
              </c:strCache>
            </c:strRef>
          </c:cat>
          <c:val>
            <c:numRef>
              <c:f>'8.27'!$N$5:$N$9</c:f>
              <c:numCache>
                <c:formatCode>General</c:formatCode>
                <c:ptCount val="5"/>
                <c:pt idx="0">
                  <c:v>17.3</c:v>
                </c:pt>
                <c:pt idx="1">
                  <c:v>19.3</c:v>
                </c:pt>
                <c:pt idx="2">
                  <c:v>0</c:v>
                </c:pt>
                <c:pt idx="3">
                  <c:v>0</c:v>
                </c:pt>
                <c:pt idx="4">
                  <c:v>0</c:v>
                </c:pt>
              </c:numCache>
            </c:numRef>
          </c:val>
          <c:extLst xmlns:c16r2="http://schemas.microsoft.com/office/drawing/2015/06/chart">
            <c:ext xmlns:c16="http://schemas.microsoft.com/office/drawing/2014/chart" uri="{C3380CC4-5D6E-409C-BE32-E72D297353CC}">
              <c16:uniqueId val="{0000000B-00FE-4FD5-9934-AB6574C3FDFA}"/>
            </c:ext>
          </c:extLst>
        </c:ser>
        <c:ser>
          <c:idx val="3"/>
          <c:order val="3"/>
          <c:tx>
            <c:strRef>
              <c:f>'8.27'!$O$4</c:f>
              <c:strCache>
                <c:ptCount val="1"/>
                <c:pt idx="0">
                  <c:v>Female (mortality)</c:v>
                </c:pt>
              </c:strCache>
            </c:strRef>
          </c:tx>
          <c:spPr>
            <a:pattFill prst="ltDnDiag">
              <a:fgClr>
                <a:srgbClr val="EFF3FF"/>
              </a:fgClr>
              <a:bgClr>
                <a:srgbClr val="6BAED6"/>
              </a:bgClr>
            </a:pattFill>
            <a:ln>
              <a:noFill/>
            </a:ln>
            <a:effectLst/>
          </c:spPr>
          <c:invertIfNegative val="0"/>
          <c:dLbls>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0FE-4FD5-9934-AB6574C3FDFA}"/>
                </c:ext>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0FE-4FD5-9934-AB6574C3FDFA}"/>
                </c:ext>
              </c:extLst>
            </c:dLbl>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0FE-4FD5-9934-AB6574C3FDF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'8.27'!$K$5:$K$9</c:f>
              <c:strCache>
                <c:ptCount val="5"/>
                <c:pt idx="0">
                  <c:v>All Races</c:v>
                </c:pt>
                <c:pt idx="1">
                  <c:v>White non-Hispanic</c:v>
                </c:pt>
                <c:pt idx="2">
                  <c:v>Black non-Hispanic</c:v>
                </c:pt>
                <c:pt idx="3">
                  <c:v>Asian non-Hispanic</c:v>
                </c:pt>
                <c:pt idx="4">
                  <c:v>Hispanic</c:v>
                </c:pt>
              </c:strCache>
            </c:strRef>
          </c:cat>
          <c:val>
            <c:numRef>
              <c:f>'8.27'!$O$5:$O$9</c:f>
              <c:numCache>
                <c:formatCode>General</c:formatCode>
                <c:ptCount val="5"/>
                <c:pt idx="0">
                  <c:v>1.9</c:v>
                </c:pt>
                <c:pt idx="1">
                  <c:v>2.1</c:v>
                </c:pt>
                <c:pt idx="2">
                  <c:v>0</c:v>
                </c:pt>
                <c:pt idx="3">
                  <c:v>0</c:v>
                </c:pt>
                <c:pt idx="4">
                  <c:v>0</c:v>
                </c:pt>
              </c:numCache>
            </c:numRef>
          </c:val>
          <c:extLst xmlns:c16r2="http://schemas.microsoft.com/office/drawing/2015/06/chart">
            <c:ext xmlns:c16="http://schemas.microsoft.com/office/drawing/2014/chart" uri="{C3380CC4-5D6E-409C-BE32-E72D297353CC}">
              <c16:uniqueId val="{0000000F-00FE-4FD5-9934-AB6574C3FDFA}"/>
            </c:ext>
          </c:extLst>
        </c:ser>
        <c:dLbls>
          <c:dLblPos val="outEnd"/>
          <c:showLegendKey val="0"/>
          <c:showVal val="1"/>
          <c:showCatName val="0"/>
          <c:showSerName val="0"/>
          <c:showPercent val="0"/>
          <c:showBubbleSize val="0"/>
        </c:dLbls>
        <c:gapWidth val="108"/>
        <c:overlap val="-16"/>
        <c:axId val="261248512"/>
        <c:axId val="261250048"/>
      </c:barChart>
      <c:catAx>
        <c:axId val="2612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250048"/>
        <c:crosses val="autoZero"/>
        <c:auto val="1"/>
        <c:lblAlgn val="ctr"/>
        <c:lblOffset val="100"/>
        <c:noMultiLvlLbl val="0"/>
      </c:catAx>
      <c:valAx>
        <c:axId val="261250048"/>
        <c:scaling>
          <c:orientation val="minMax"/>
          <c:max val="4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Age-Adjusted Rate per 100,000 Population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124851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 3'!$B$4</c:f>
              <c:strCache>
                <c:ptCount val="1"/>
                <c:pt idx="0">
                  <c:v>Did not meet either guideline</c:v>
                </c:pt>
              </c:strCache>
            </c:strRef>
          </c:tx>
          <c:spPr>
            <a:solidFill>
              <a:srgbClr val="203864"/>
            </a:solidFill>
            <a:ln>
              <a:noFill/>
            </a:ln>
            <a:effectLst/>
          </c:spPr>
          <c:invertIfNegative val="0"/>
          <c:dLbls>
            <c:dLbl>
              <c:idx val="0"/>
              <c:layout>
                <c:manualLayout>
                  <c:x val="-2.0973107300425408E-17"/>
                  <c:y val="-4.192870733135002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911-4565-8C4E-954E25AB4A6B}"/>
                </c:ext>
              </c:extLst>
            </c:dLbl>
            <c:dLbl>
              <c:idx val="1"/>
              <c:layout>
                <c:manualLayout>
                  <c:x val="4.1946214600850816E-17"/>
                  <c:y val="-3.354296586508002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911-4565-8C4E-954E25AB4A6B}"/>
                </c:ext>
              </c:extLst>
            </c:dLbl>
            <c:dLbl>
              <c:idx val="2"/>
              <c:layout>
                <c:manualLayout>
                  <c:x val="-8.3892429201701631E-17"/>
                  <c:y val="-2.515722439881001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911-4565-8C4E-954E25AB4A6B}"/>
                </c:ext>
              </c:extLst>
            </c:dLbl>
            <c:dLbl>
              <c:idx val="3"/>
              <c:layout>
                <c:manualLayout>
                  <c:x val="-1.6778485840340326E-16"/>
                  <c:y val="-3.773583659821503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911-4565-8C4E-954E25AB4A6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 3'!$F$5:$F$8</c:f>
                <c:numCache>
                  <c:formatCode>General</c:formatCode>
                  <c:ptCount val="4"/>
                  <c:pt idx="0">
                    <c:v>2.3000000000000007</c:v>
                  </c:pt>
                  <c:pt idx="1">
                    <c:v>1.5999999999999996</c:v>
                  </c:pt>
                  <c:pt idx="2">
                    <c:v>1.8999999999999986</c:v>
                  </c:pt>
                  <c:pt idx="3">
                    <c:v>2.5000000000000036</c:v>
                  </c:pt>
                </c:numCache>
              </c:numRef>
            </c:plus>
            <c:minus>
              <c:numRef>
                <c:f>'Fig 3'!$E$5:$E$8</c:f>
                <c:numCache>
                  <c:formatCode>General</c:formatCode>
                  <c:ptCount val="4"/>
                  <c:pt idx="0">
                    <c:v>2.1999999999999993</c:v>
                  </c:pt>
                  <c:pt idx="1">
                    <c:v>1.5999999999999996</c:v>
                  </c:pt>
                  <c:pt idx="2">
                    <c:v>1.8000000000000007</c:v>
                  </c:pt>
                  <c:pt idx="3">
                    <c:v>2.5</c:v>
                  </c:pt>
                </c:numCache>
              </c:numRef>
            </c:minus>
            <c:spPr>
              <a:noFill/>
              <a:ln w="9525" cap="flat" cmpd="sng" algn="ctr">
                <a:solidFill>
                  <a:schemeClr val="bg1">
                    <a:lumMod val="50000"/>
                  </a:schemeClr>
                </a:solidFill>
                <a:round/>
              </a:ln>
              <a:effectLst/>
            </c:spPr>
          </c:errBars>
          <c:cat>
            <c:strRef>
              <c:f>'Fig 3'!$A$5:$A$8</c:f>
              <c:strCache>
                <c:ptCount val="4"/>
                <c:pt idx="0">
                  <c:v>Depression</c:v>
                </c:pt>
                <c:pt idx="1">
                  <c:v>Diabetes</c:v>
                </c:pt>
                <c:pt idx="2">
                  <c:v>Mental Health</c:v>
                </c:pt>
                <c:pt idx="3">
                  <c:v>Obesity</c:v>
                </c:pt>
              </c:strCache>
            </c:strRef>
          </c:cat>
          <c:val>
            <c:numRef>
              <c:f>'Fig 3'!$B$5:$B$8</c:f>
              <c:numCache>
                <c:formatCode>0.0</c:formatCode>
                <c:ptCount val="4"/>
                <c:pt idx="0">
                  <c:v>26</c:v>
                </c:pt>
                <c:pt idx="1">
                  <c:v>11.9</c:v>
                </c:pt>
                <c:pt idx="2">
                  <c:v>14.3</c:v>
                </c:pt>
                <c:pt idx="3">
                  <c:v>31.7</c:v>
                </c:pt>
              </c:numCache>
            </c:numRef>
          </c:val>
          <c:extLst xmlns:c16r2="http://schemas.microsoft.com/office/drawing/2015/06/chart">
            <c:ext xmlns:c16="http://schemas.microsoft.com/office/drawing/2014/chart" uri="{C3380CC4-5D6E-409C-BE32-E72D297353CC}">
              <c16:uniqueId val="{00000004-3911-4565-8C4E-954E25AB4A6B}"/>
            </c:ext>
          </c:extLst>
        </c:ser>
        <c:ser>
          <c:idx val="1"/>
          <c:order val="1"/>
          <c:tx>
            <c:strRef>
              <c:f>'Fig 3'!$M$4</c:f>
              <c:strCache>
                <c:ptCount val="1"/>
                <c:pt idx="0">
                  <c:v>Met both guidelines</c:v>
                </c:pt>
              </c:strCache>
            </c:strRef>
          </c:tx>
          <c:spPr>
            <a:pattFill prst="ltUpDiag">
              <a:fgClr>
                <a:srgbClr val="EFF3FF"/>
              </a:fgClr>
              <a:bgClr>
                <a:srgbClr val="08519C"/>
              </a:bgClr>
            </a:pattFill>
            <a:ln>
              <a:noFill/>
            </a:ln>
            <a:effectLst/>
          </c:spPr>
          <c:invertIfNegative val="0"/>
          <c:dLbls>
            <c:dLbl>
              <c:idx val="0"/>
              <c:layout>
                <c:manualLayout>
                  <c:x val="0"/>
                  <c:y val="-4.612157806448510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911-4565-8C4E-954E25AB4A6B}"/>
                </c:ext>
              </c:extLst>
            </c:dLbl>
            <c:dLbl>
              <c:idx val="1"/>
              <c:layout>
                <c:manualLayout>
                  <c:x val="0"/>
                  <c:y val="-1.257861219940500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911-4565-8C4E-954E25AB4A6B}"/>
                </c:ext>
              </c:extLst>
            </c:dLbl>
            <c:dLbl>
              <c:idx val="2"/>
              <c:layout>
                <c:manualLayout>
                  <c:x val="-1.6778485840340326E-16"/>
                  <c:y val="-4.612157806448510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911-4565-8C4E-954E25AB4A6B}"/>
                </c:ext>
              </c:extLst>
            </c:dLbl>
            <c:dLbl>
              <c:idx val="3"/>
              <c:layout>
                <c:manualLayout>
                  <c:x val="0"/>
                  <c:y val="-2.935009513194502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911-4565-8C4E-954E25AB4A6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 3'!$Q$5:$Q$8</c:f>
                <c:numCache>
                  <c:formatCode>General</c:formatCode>
                  <c:ptCount val="4"/>
                  <c:pt idx="0">
                    <c:v>2.5</c:v>
                  </c:pt>
                  <c:pt idx="1">
                    <c:v>1.1000000000000005</c:v>
                  </c:pt>
                  <c:pt idx="2">
                    <c:v>2.0999999999999996</c:v>
                  </c:pt>
                  <c:pt idx="3">
                    <c:v>2.2000000000000011</c:v>
                  </c:pt>
                </c:numCache>
              </c:numRef>
            </c:plus>
            <c:minus>
              <c:numRef>
                <c:f>'Fig 3'!$P$5:$P$8</c:f>
                <c:numCache>
                  <c:formatCode>General</c:formatCode>
                  <c:ptCount val="4"/>
                  <c:pt idx="0">
                    <c:v>2.5000000000000018</c:v>
                  </c:pt>
                  <c:pt idx="1">
                    <c:v>1.5</c:v>
                  </c:pt>
                  <c:pt idx="2">
                    <c:v>2</c:v>
                  </c:pt>
                  <c:pt idx="3">
                    <c:v>2.1999999999999993</c:v>
                  </c:pt>
                </c:numCache>
              </c:numRef>
            </c:minus>
            <c:spPr>
              <a:noFill/>
              <a:ln w="9525" cap="flat" cmpd="sng" algn="ctr">
                <a:solidFill>
                  <a:schemeClr val="bg1">
                    <a:lumMod val="50000"/>
                  </a:schemeClr>
                </a:solidFill>
                <a:round/>
              </a:ln>
              <a:effectLst/>
            </c:spPr>
          </c:errBars>
          <c:cat>
            <c:strRef>
              <c:f>'Fig 3'!$A$5:$A$8</c:f>
              <c:strCache>
                <c:ptCount val="4"/>
                <c:pt idx="0">
                  <c:v>Depression</c:v>
                </c:pt>
                <c:pt idx="1">
                  <c:v>Diabetes</c:v>
                </c:pt>
                <c:pt idx="2">
                  <c:v>Mental Health</c:v>
                </c:pt>
                <c:pt idx="3">
                  <c:v>Obesity</c:v>
                </c:pt>
              </c:strCache>
            </c:strRef>
          </c:cat>
          <c:val>
            <c:numRef>
              <c:f>'Fig 3'!$M$5:$M$8</c:f>
              <c:numCache>
                <c:formatCode>0.0</c:formatCode>
                <c:ptCount val="4"/>
                <c:pt idx="0">
                  <c:v>17.100000000000001</c:v>
                </c:pt>
                <c:pt idx="1">
                  <c:v>4.8</c:v>
                </c:pt>
                <c:pt idx="2">
                  <c:v>9</c:v>
                </c:pt>
                <c:pt idx="3">
                  <c:v>14.6</c:v>
                </c:pt>
              </c:numCache>
            </c:numRef>
          </c:val>
          <c:extLst xmlns:c16r2="http://schemas.microsoft.com/office/drawing/2015/06/chart">
            <c:ext xmlns:c16="http://schemas.microsoft.com/office/drawing/2014/chart" uri="{C3380CC4-5D6E-409C-BE32-E72D297353CC}">
              <c16:uniqueId val="{00000009-3911-4565-8C4E-954E25AB4A6B}"/>
            </c:ext>
          </c:extLst>
        </c:ser>
        <c:dLbls>
          <c:dLblPos val="outEnd"/>
          <c:showLegendKey val="0"/>
          <c:showVal val="1"/>
          <c:showCatName val="0"/>
          <c:showSerName val="0"/>
          <c:showPercent val="0"/>
          <c:showBubbleSize val="0"/>
        </c:dLbls>
        <c:gapWidth val="219"/>
        <c:overlap val="-27"/>
        <c:axId val="267664768"/>
        <c:axId val="267666560"/>
      </c:barChart>
      <c:catAx>
        <c:axId val="26766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66560"/>
        <c:crosses val="autoZero"/>
        <c:auto val="1"/>
        <c:lblAlgn val="ctr"/>
        <c:lblOffset val="100"/>
        <c:noMultiLvlLbl val="0"/>
      </c:catAx>
      <c:valAx>
        <c:axId val="267666560"/>
        <c:scaling>
          <c:orientation val="minMax"/>
          <c:max val="4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6476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452675809491134"/>
          <c:y val="2.3542001070090957E-2"/>
          <c:w val="0.62549894042167897"/>
          <c:h val="0.89684693907643565"/>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1-9DD8-41CE-8CEF-E13891F9DEB7}"/>
              </c:ext>
            </c:extLst>
          </c:dPt>
          <c:dPt>
            <c:idx val="1"/>
            <c:invertIfNegative val="0"/>
            <c:bubble3D val="0"/>
            <c:spPr>
              <a:pattFill prst="ltDn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3-9DD8-41CE-8CEF-E13891F9DEB7}"/>
              </c:ext>
            </c:extLst>
          </c:dPt>
          <c:dPt>
            <c:idx val="2"/>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05-9DD8-41CE-8CEF-E13891F9DEB7}"/>
              </c:ext>
            </c:extLst>
          </c:dPt>
          <c:dPt>
            <c:idx val="3"/>
            <c:invertIfNegative val="0"/>
            <c:bubble3D val="0"/>
            <c:spPr>
              <a:pattFill prst="ltUpDiag">
                <a:fgClr>
                  <a:srgbClr val="EFF3FF"/>
                </a:fgClr>
                <a:bgClr>
                  <a:srgbClr val="6BAED6"/>
                </a:bgClr>
              </a:pattFill>
              <a:ln>
                <a:noFill/>
              </a:ln>
              <a:effectLst/>
            </c:spPr>
            <c:extLst xmlns:c16r2="http://schemas.microsoft.com/office/drawing/2015/06/chart">
              <c:ext xmlns:c16="http://schemas.microsoft.com/office/drawing/2014/chart" uri="{C3380CC4-5D6E-409C-BE32-E72D297353CC}">
                <c16:uniqueId val="{00000007-9DD8-41CE-8CEF-E13891F9DEB7}"/>
              </c:ext>
            </c:extLst>
          </c:dPt>
          <c:dPt>
            <c:idx val="4"/>
            <c:invertIfNegative val="0"/>
            <c:bubble3D val="0"/>
            <c:spPr>
              <a:solidFill>
                <a:srgbClr val="9ECAE1"/>
              </a:solidFill>
              <a:ln>
                <a:noFill/>
              </a:ln>
              <a:effectLst/>
            </c:spPr>
            <c:extLst xmlns:c16r2="http://schemas.microsoft.com/office/drawing/2015/06/chart">
              <c:ext xmlns:c16="http://schemas.microsoft.com/office/drawing/2014/chart" uri="{C3380CC4-5D6E-409C-BE32-E72D297353CC}">
                <c16:uniqueId val="{00000009-9DD8-41CE-8CEF-E13891F9DEB7}"/>
              </c:ext>
            </c:extLst>
          </c:dPt>
          <c:dPt>
            <c:idx val="5"/>
            <c:invertIfNegative val="0"/>
            <c:bubble3D val="0"/>
            <c:spPr>
              <a:pattFill prst="ltDnDiag">
                <a:fgClr>
                  <a:srgbClr val="EFF3FF"/>
                </a:fgClr>
                <a:bgClr>
                  <a:srgbClr val="C6DBEF"/>
                </a:bgClr>
              </a:pattFill>
              <a:ln>
                <a:noFill/>
              </a:ln>
              <a:effectLst/>
            </c:spPr>
            <c:extLst xmlns:c16r2="http://schemas.microsoft.com/office/drawing/2015/06/chart">
              <c:ext xmlns:c16="http://schemas.microsoft.com/office/drawing/2014/chart" uri="{C3380CC4-5D6E-409C-BE32-E72D297353CC}">
                <c16:uniqueId val="{0000000B-9DD8-41CE-8CEF-E13891F9DEB7}"/>
              </c:ext>
            </c:extLst>
          </c:dPt>
          <c:dPt>
            <c:idx val="7"/>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D-9DD8-41CE-8CEF-E13891F9DEB7}"/>
              </c:ext>
            </c:extLst>
          </c:dPt>
          <c:dPt>
            <c:idx val="8"/>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F-9DD8-41CE-8CEF-E13891F9DEB7}"/>
              </c:ext>
            </c:extLst>
          </c:dPt>
          <c:dPt>
            <c:idx val="9"/>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1-9DD8-41CE-8CEF-E13891F9DEB7}"/>
              </c:ext>
            </c:extLst>
          </c:dPt>
          <c:dPt>
            <c:idx val="10"/>
            <c:invertIfNegative val="0"/>
            <c:bubble3D val="0"/>
            <c:spPr>
              <a:pattFill prst="ltDnDiag">
                <a:fgClr>
                  <a:srgbClr val="EFF3FF"/>
                </a:fgClr>
                <a:bgClr>
                  <a:srgbClr val="6BAED6"/>
                </a:bgClr>
              </a:pattFill>
              <a:ln>
                <a:noFill/>
              </a:ln>
              <a:effectLst/>
            </c:spPr>
            <c:extLst xmlns:c16r2="http://schemas.microsoft.com/office/drawing/2015/06/chart">
              <c:ext xmlns:c16="http://schemas.microsoft.com/office/drawing/2014/chart" uri="{C3380CC4-5D6E-409C-BE32-E72D297353CC}">
                <c16:uniqueId val="{00000013-9DD8-41CE-8CEF-E13891F9DEB7}"/>
              </c:ext>
            </c:extLst>
          </c:dPt>
          <c:dPt>
            <c:idx val="12"/>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15-9DD8-41CE-8CEF-E13891F9DEB7}"/>
              </c:ext>
            </c:extLst>
          </c:dPt>
          <c:dPt>
            <c:idx val="13"/>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17-9DD8-41CE-8CEF-E13891F9DEB7}"/>
              </c:ext>
            </c:extLst>
          </c:dPt>
          <c:dPt>
            <c:idx val="14"/>
            <c:invertIfNegative val="0"/>
            <c:bubble3D val="0"/>
            <c:spPr>
              <a:solidFill>
                <a:srgbClr val="3182BD"/>
              </a:solidFill>
              <a:ln>
                <a:noFill/>
              </a:ln>
              <a:effectLst/>
            </c:spPr>
            <c:extLst xmlns:c16r2="http://schemas.microsoft.com/office/drawing/2015/06/chart">
              <c:ext xmlns:c16="http://schemas.microsoft.com/office/drawing/2014/chart" uri="{C3380CC4-5D6E-409C-BE32-E72D297353CC}">
                <c16:uniqueId val="{00000019-9DD8-41CE-8CEF-E13891F9DEB7}"/>
              </c:ext>
            </c:extLst>
          </c:dPt>
          <c:dPt>
            <c:idx val="15"/>
            <c:invertIfNegative val="0"/>
            <c:bubble3D val="0"/>
            <c:spPr>
              <a:pattFill prst="ltDnDiag">
                <a:fgClr>
                  <a:srgbClr val="EFF3FF"/>
                </a:fgClr>
                <a:bgClr>
                  <a:srgbClr val="6BAED6"/>
                </a:bgClr>
              </a:pattFill>
              <a:ln>
                <a:noFill/>
              </a:ln>
              <a:effectLst/>
            </c:spPr>
            <c:extLst xmlns:c16r2="http://schemas.microsoft.com/office/drawing/2015/06/chart">
              <c:ext xmlns:c16="http://schemas.microsoft.com/office/drawing/2014/chart" uri="{C3380CC4-5D6E-409C-BE32-E72D297353CC}">
                <c16:uniqueId val="{0000001B-9DD8-41CE-8CEF-E13891F9DEB7}"/>
              </c:ext>
            </c:extLst>
          </c:dPt>
          <c:dPt>
            <c:idx val="16"/>
            <c:invertIfNegative val="0"/>
            <c:bubble3D val="0"/>
            <c:spPr>
              <a:solidFill>
                <a:srgbClr val="9ECAE1"/>
              </a:solidFill>
              <a:ln>
                <a:noFill/>
              </a:ln>
              <a:effectLst/>
            </c:spPr>
            <c:extLst xmlns:c16r2="http://schemas.microsoft.com/office/drawing/2015/06/chart">
              <c:ext xmlns:c16="http://schemas.microsoft.com/office/drawing/2014/chart" uri="{C3380CC4-5D6E-409C-BE32-E72D297353CC}">
                <c16:uniqueId val="{0000001D-9DD8-41CE-8CEF-E13891F9DEB7}"/>
              </c:ext>
            </c:extLst>
          </c:dPt>
          <c:dPt>
            <c:idx val="18"/>
            <c:invertIfNegative val="0"/>
            <c:bubble3D val="0"/>
            <c:spPr>
              <a:pattFill prst="ltUpDiag">
                <a:fgClr>
                  <a:srgbClr val="EFF3FF"/>
                </a:fgClr>
                <a:bgClr>
                  <a:srgbClr val="203864"/>
                </a:bgClr>
              </a:pattFill>
              <a:ln>
                <a:noFill/>
              </a:ln>
              <a:effectLst/>
            </c:spPr>
            <c:extLst xmlns:c16r2="http://schemas.microsoft.com/office/drawing/2015/06/chart">
              <c:ext xmlns:c16="http://schemas.microsoft.com/office/drawing/2014/chart" uri="{C3380CC4-5D6E-409C-BE32-E72D297353CC}">
                <c16:uniqueId val="{0000001F-9DD8-41CE-8CEF-E13891F9DEB7}"/>
              </c:ext>
            </c:extLst>
          </c:dPt>
          <c:dPt>
            <c:idx val="19"/>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21-9DD8-41CE-8CEF-E13891F9DEB7}"/>
              </c:ext>
            </c:extLst>
          </c:dPt>
          <c:dPt>
            <c:idx val="20"/>
            <c:invertIfNegative val="0"/>
            <c:bubble3D val="0"/>
            <c:spPr>
              <a:pattFill prst="ltDnDiag">
                <a:fgClr>
                  <a:srgbClr val="EFF3FF"/>
                </a:fgClr>
                <a:bgClr>
                  <a:srgbClr val="3182BD"/>
                </a:bgClr>
              </a:pattFill>
              <a:ln>
                <a:noFill/>
              </a:ln>
              <a:effectLst/>
            </c:spPr>
            <c:extLst xmlns:c16r2="http://schemas.microsoft.com/office/drawing/2015/06/chart">
              <c:ext xmlns:c16="http://schemas.microsoft.com/office/drawing/2014/chart" uri="{C3380CC4-5D6E-409C-BE32-E72D297353CC}">
                <c16:uniqueId val="{00000023-9DD8-41CE-8CEF-E13891F9DEB7}"/>
              </c:ext>
            </c:extLst>
          </c:dPt>
          <c:dPt>
            <c:idx val="21"/>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25-9DD8-41CE-8CEF-E13891F9DEB7}"/>
              </c:ext>
            </c:extLst>
          </c:dPt>
          <c:dLbls>
            <c:dLbl>
              <c:idx val="0"/>
              <c:layout>
                <c:manualLayout>
                  <c:x val="5.3949892747532306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D8-41CE-8CEF-E13891F9DEB7}"/>
                </c:ext>
              </c:extLst>
            </c:dLbl>
            <c:dLbl>
              <c:idx val="1"/>
              <c:layout>
                <c:manualLayout>
                  <c:x val="3.8535637676808787E-2"/>
                  <c:y val="3.2962912603916942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DD8-41CE-8CEF-E13891F9DEB7}"/>
                </c:ext>
              </c:extLst>
            </c:dLbl>
            <c:dLbl>
              <c:idx val="2"/>
              <c:layout>
                <c:manualLayout>
                  <c:x val="3.8535637676808787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D8-41CE-8CEF-E13891F9DEB7}"/>
                </c:ext>
              </c:extLst>
            </c:dLbl>
            <c:dLbl>
              <c:idx val="3"/>
              <c:layout>
                <c:manualLayout>
                  <c:x val="3.082851014144703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DD8-41CE-8CEF-E13891F9DEB7}"/>
                </c:ext>
              </c:extLst>
            </c:dLbl>
            <c:dLbl>
              <c:idx val="4"/>
              <c:layout>
                <c:manualLayout>
                  <c:x val="3.339755265323428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DD8-41CE-8CEF-E13891F9DEB7}"/>
                </c:ext>
              </c:extLst>
            </c:dLbl>
            <c:dLbl>
              <c:idx val="5"/>
              <c:layout>
                <c:manualLayout>
                  <c:x val="3.339755265323428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DD8-41CE-8CEF-E13891F9DEB7}"/>
                </c:ext>
              </c:extLst>
            </c:dLbl>
            <c:dLbl>
              <c:idx val="7"/>
              <c:layout>
                <c:manualLayout>
                  <c:x val="6.4226062794681307E-2"/>
                  <c:y val="3.2962912606794986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DD8-41CE-8CEF-E13891F9DEB7}"/>
                </c:ext>
              </c:extLst>
            </c:dLbl>
            <c:dLbl>
              <c:idx val="8"/>
              <c:layout>
                <c:manualLayout>
                  <c:x val="3.3397552653234283E-2"/>
                  <c:y val="3.2962912602957598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DD8-41CE-8CEF-E13891F9DEB7}"/>
                </c:ext>
              </c:extLst>
            </c:dLbl>
            <c:dLbl>
              <c:idx val="9"/>
              <c:layout>
                <c:manualLayout>
                  <c:x val="2.8259467629659779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DD8-41CE-8CEF-E13891F9DEB7}"/>
                </c:ext>
              </c:extLst>
            </c:dLbl>
            <c:dLbl>
              <c:idx val="10"/>
              <c:layout>
                <c:manualLayout>
                  <c:x val="1.2845212558936262E-2"/>
                  <c:y val="1.6481456309153574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9DD8-41CE-8CEF-E13891F9DEB7}"/>
                </c:ext>
              </c:extLst>
            </c:dLbl>
            <c:dLbl>
              <c:idx val="12"/>
              <c:layout>
                <c:manualLayout>
                  <c:x val="5.1380850235744957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9DD8-41CE-8CEF-E13891F9DEB7}"/>
                </c:ext>
              </c:extLst>
            </c:dLbl>
            <c:dLbl>
              <c:idx val="13"/>
              <c:layout>
                <c:manualLayout>
                  <c:x val="4.6242765212170453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9DD8-41CE-8CEF-E13891F9DEB7}"/>
                </c:ext>
              </c:extLst>
            </c:dLbl>
            <c:dLbl>
              <c:idx val="14"/>
              <c:layout>
                <c:manualLayout>
                  <c:x val="6.1657020282894062E-2"/>
                  <c:y val="-7.6747761580528687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9DD8-41CE-8CEF-E13891F9DEB7}"/>
                </c:ext>
              </c:extLst>
            </c:dLbl>
            <c:dLbl>
              <c:idx val="15"/>
              <c:layout>
                <c:manualLayout>
                  <c:x val="5.1380850235745144E-2"/>
                  <c:y val="1.6481456293804022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9DD8-41CE-8CEF-E13891F9DEB7}"/>
                </c:ext>
              </c:extLst>
            </c:dLbl>
            <c:dLbl>
              <c:idx val="16"/>
              <c:layout>
                <c:manualLayout>
                  <c:x val="2.0552340094297926E-2"/>
                  <c:y val="1.6481456309153574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9DD8-41CE-8CEF-E13891F9DEB7}"/>
                </c:ext>
              </c:extLst>
            </c:dLbl>
            <c:dLbl>
              <c:idx val="18"/>
              <c:layout>
                <c:manualLayout>
                  <c:x val="1.7983297582510768E-2"/>
                  <c:y val="3.2962912602957598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9DD8-41CE-8CEF-E13891F9DEB7}"/>
                </c:ext>
              </c:extLst>
            </c:dLbl>
            <c:dLbl>
              <c:idx val="19"/>
              <c:layout>
                <c:manualLayout>
                  <c:x val="6.4226062794681404E-2"/>
                  <c:y val="1.5349552316105737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9DD8-41CE-8CEF-E13891F9DEB7}"/>
                </c:ext>
              </c:extLst>
            </c:dLbl>
            <c:dLbl>
              <c:idx val="20"/>
              <c:layout>
                <c:manualLayout>
                  <c:x val="6.9364147818255728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9DD8-41CE-8CEF-E13891F9DEB7}"/>
                </c:ext>
              </c:extLst>
            </c:dLbl>
            <c:dLbl>
              <c:idx val="21"/>
              <c:layout>
                <c:manualLayout>
                  <c:x val="5.3949892747532306E-2"/>
                  <c:y val="1.648145630147879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9DD8-41CE-8CEF-E13891F9DEB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'8.6'!$G$5:$G$26</c:f>
                <c:numCache>
                  <c:formatCode>General</c:formatCode>
                  <c:ptCount val="22"/>
                  <c:pt idx="0">
                    <c:v>4.5999999999999979</c:v>
                  </c:pt>
                  <c:pt idx="1">
                    <c:v>3.5</c:v>
                  </c:pt>
                  <c:pt idx="2">
                    <c:v>3.5</c:v>
                  </c:pt>
                  <c:pt idx="3">
                    <c:v>3</c:v>
                  </c:pt>
                  <c:pt idx="4">
                    <c:v>3</c:v>
                  </c:pt>
                  <c:pt idx="5">
                    <c:v>2.9000000000000057</c:v>
                  </c:pt>
                  <c:pt idx="7">
                    <c:v>5.9000000000000057</c:v>
                  </c:pt>
                  <c:pt idx="8">
                    <c:v>3</c:v>
                  </c:pt>
                  <c:pt idx="9">
                    <c:v>2.8999999999999986</c:v>
                  </c:pt>
                  <c:pt idx="10">
                    <c:v>1.5</c:v>
                  </c:pt>
                  <c:pt idx="12">
                    <c:v>5.3999999999999986</c:v>
                  </c:pt>
                  <c:pt idx="13">
                    <c:v>4.5</c:v>
                  </c:pt>
                  <c:pt idx="14">
                    <c:v>6</c:v>
                  </c:pt>
                  <c:pt idx="15">
                    <c:v>4.7000000000000028</c:v>
                  </c:pt>
                  <c:pt idx="16">
                    <c:v>1.7000000000000028</c:v>
                  </c:pt>
                  <c:pt idx="18">
                    <c:v>1.5</c:v>
                  </c:pt>
                  <c:pt idx="19">
                    <c:v>6.5</c:v>
                  </c:pt>
                  <c:pt idx="20">
                    <c:v>6.7999999999999972</c:v>
                  </c:pt>
                  <c:pt idx="21">
                    <c:v>4.8999999999999986</c:v>
                  </c:pt>
                </c:numCache>
              </c:numRef>
            </c:plus>
            <c:minus>
              <c:numRef>
                <c:f>'8.6'!$F$5:$F$26</c:f>
                <c:numCache>
                  <c:formatCode>General</c:formatCode>
                  <c:ptCount val="22"/>
                  <c:pt idx="0">
                    <c:v>4.7000000000000011</c:v>
                  </c:pt>
                  <c:pt idx="1">
                    <c:v>3.5</c:v>
                  </c:pt>
                  <c:pt idx="2">
                    <c:v>3.4000000000000021</c:v>
                  </c:pt>
                  <c:pt idx="3">
                    <c:v>3.0999999999999979</c:v>
                  </c:pt>
                  <c:pt idx="4">
                    <c:v>3.0999999999999979</c:v>
                  </c:pt>
                  <c:pt idx="5">
                    <c:v>2.8999999999999986</c:v>
                  </c:pt>
                  <c:pt idx="7">
                    <c:v>5.7999999999999972</c:v>
                  </c:pt>
                  <c:pt idx="8">
                    <c:v>3</c:v>
                  </c:pt>
                  <c:pt idx="9">
                    <c:v>2.8000000000000007</c:v>
                  </c:pt>
                  <c:pt idx="10">
                    <c:v>1.3999999999999986</c:v>
                  </c:pt>
                  <c:pt idx="12">
                    <c:v>5.5</c:v>
                  </c:pt>
                  <c:pt idx="13">
                    <c:v>4.5</c:v>
                  </c:pt>
                  <c:pt idx="14">
                    <c:v>6</c:v>
                  </c:pt>
                  <c:pt idx="15">
                    <c:v>4.6999999999999993</c:v>
                  </c:pt>
                  <c:pt idx="16">
                    <c:v>1.5999999999999979</c:v>
                  </c:pt>
                  <c:pt idx="18">
                    <c:v>1.5</c:v>
                  </c:pt>
                  <c:pt idx="19">
                    <c:v>6.4000000000000021</c:v>
                  </c:pt>
                  <c:pt idx="20">
                    <c:v>6.8000000000000007</c:v>
                  </c:pt>
                  <c:pt idx="21">
                    <c:v>4.8999999999999986</c:v>
                  </c:pt>
                </c:numCache>
              </c:numRef>
            </c:minus>
            <c:spPr>
              <a:noFill/>
              <a:ln w="9525" cap="flat" cmpd="sng" algn="ctr">
                <a:solidFill>
                  <a:schemeClr val="bg1">
                    <a:lumMod val="50000"/>
                  </a:schemeClr>
                </a:solidFill>
                <a:round/>
              </a:ln>
              <a:effectLst/>
            </c:spPr>
          </c:errBars>
          <c:cat>
            <c:strRef>
              <c:f>'8.6'!$B$5:$B$26</c:f>
              <c:strCache>
                <c:ptCount val="22"/>
                <c:pt idx="0">
                  <c:v>18-24</c:v>
                </c:pt>
                <c:pt idx="1">
                  <c:v>25-34</c:v>
                </c:pt>
                <c:pt idx="2">
                  <c:v>35-44</c:v>
                </c:pt>
                <c:pt idx="3">
                  <c:v>45-54</c:v>
                </c:pt>
                <c:pt idx="4">
                  <c:v>55-64</c:v>
                </c:pt>
                <c:pt idx="5">
                  <c:v>65+</c:v>
                </c:pt>
                <c:pt idx="7">
                  <c:v>Less than H.S.</c:v>
                </c:pt>
                <c:pt idx="8">
                  <c:v>H.S. or G.E.D.</c:v>
                </c:pt>
                <c:pt idx="9">
                  <c:v>Some post-H.S.</c:v>
                </c:pt>
                <c:pt idx="10">
                  <c:v>College graduate</c:v>
                </c:pt>
                <c:pt idx="12">
                  <c:v>&lt; $15,000</c:v>
                </c:pt>
                <c:pt idx="13">
                  <c:v>$15,000-$24,999</c:v>
                </c:pt>
                <c:pt idx="14">
                  <c:v>$25,000-$34,999</c:v>
                </c:pt>
                <c:pt idx="15">
                  <c:v>$35,000-$49,999</c:v>
                </c:pt>
                <c:pt idx="16">
                  <c:v>$50,000+</c:v>
                </c:pt>
                <c:pt idx="18">
                  <c:v>White non-Hispanic</c:v>
                </c:pt>
                <c:pt idx="19">
                  <c:v>Black non-Hispanic</c:v>
                </c:pt>
                <c:pt idx="20">
                  <c:v>Asian non-Hispanic</c:v>
                </c:pt>
                <c:pt idx="21">
                  <c:v>Hispanic</c:v>
                </c:pt>
              </c:strCache>
            </c:strRef>
          </c:cat>
          <c:val>
            <c:numRef>
              <c:f>'8.6'!$C$5:$C$26</c:f>
              <c:numCache>
                <c:formatCode>General</c:formatCode>
                <c:ptCount val="22"/>
                <c:pt idx="0">
                  <c:v>17.600000000000001</c:v>
                </c:pt>
                <c:pt idx="1">
                  <c:v>23.1</c:v>
                </c:pt>
                <c:pt idx="2">
                  <c:v>25.6</c:v>
                </c:pt>
                <c:pt idx="3">
                  <c:v>26.9</c:v>
                </c:pt>
                <c:pt idx="4">
                  <c:v>28.4</c:v>
                </c:pt>
                <c:pt idx="5">
                  <c:v>33.299999999999997</c:v>
                </c:pt>
                <c:pt idx="7">
                  <c:v>47.8</c:v>
                </c:pt>
                <c:pt idx="8" formatCode="0.0">
                  <c:v>33</c:v>
                </c:pt>
                <c:pt idx="9">
                  <c:v>26.5</c:v>
                </c:pt>
                <c:pt idx="10">
                  <c:v>15.2</c:v>
                </c:pt>
                <c:pt idx="12">
                  <c:v>38.6</c:v>
                </c:pt>
                <c:pt idx="13">
                  <c:v>39.799999999999997</c:v>
                </c:pt>
                <c:pt idx="14">
                  <c:v>42.3</c:v>
                </c:pt>
                <c:pt idx="15">
                  <c:v>27.9</c:v>
                </c:pt>
                <c:pt idx="16">
                  <c:v>16.899999999999999</c:v>
                </c:pt>
                <c:pt idx="18">
                  <c:v>23.8</c:v>
                </c:pt>
                <c:pt idx="19">
                  <c:v>34.6</c:v>
                </c:pt>
                <c:pt idx="20">
                  <c:v>26.5</c:v>
                </c:pt>
                <c:pt idx="21">
                  <c:v>43.1</c:v>
                </c:pt>
              </c:numCache>
            </c:numRef>
          </c:val>
          <c:extLst xmlns:c16r2="http://schemas.microsoft.com/office/drawing/2015/06/chart">
            <c:ext xmlns:c16="http://schemas.microsoft.com/office/drawing/2014/chart" uri="{C3380CC4-5D6E-409C-BE32-E72D297353CC}">
              <c16:uniqueId val="{00000026-9DD8-41CE-8CEF-E13891F9DEB7}"/>
            </c:ext>
          </c:extLst>
        </c:ser>
        <c:dLbls>
          <c:showLegendKey val="0"/>
          <c:showVal val="0"/>
          <c:showCatName val="0"/>
          <c:showSerName val="0"/>
          <c:showPercent val="0"/>
          <c:showBubbleSize val="0"/>
        </c:dLbls>
        <c:gapWidth val="23"/>
        <c:axId val="267889664"/>
        <c:axId val="267903744"/>
      </c:barChart>
      <c:catAx>
        <c:axId val="267889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67903744"/>
        <c:crosses val="autoZero"/>
        <c:auto val="1"/>
        <c:lblAlgn val="ctr"/>
        <c:lblOffset val="100"/>
        <c:noMultiLvlLbl val="0"/>
      </c:catAx>
      <c:valAx>
        <c:axId val="2679037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General" sourceLinked="1"/>
        <c:majorTickMark val="none"/>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889664"/>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1-5064-4DA7-8A11-6A2C0A872DB1}"/>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3-5064-4DA7-8A11-6A2C0A872DB1}"/>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5-5064-4DA7-8A11-6A2C0A872DB1}"/>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7-5064-4DA7-8A11-6A2C0A872DB1}"/>
              </c:ext>
            </c:extLst>
          </c:dPt>
          <c:dLbls>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'8.7'!$F$5:$F$8</c:f>
                <c:numCache>
                  <c:formatCode>General</c:formatCode>
                  <c:ptCount val="4"/>
                  <c:pt idx="0">
                    <c:v>3.6000000000000014</c:v>
                  </c:pt>
                  <c:pt idx="1">
                    <c:v>6.5</c:v>
                  </c:pt>
                  <c:pt idx="2">
                    <c:v>7.0999999999999979</c:v>
                  </c:pt>
                  <c:pt idx="3">
                    <c:v>10.5</c:v>
                  </c:pt>
                </c:numCache>
              </c:numRef>
            </c:plus>
            <c:minus>
              <c:numRef>
                <c:f>'8.7'!$E$5:$E$8</c:f>
                <c:numCache>
                  <c:formatCode>General</c:formatCode>
                  <c:ptCount val="4"/>
                  <c:pt idx="0">
                    <c:v>3.5999999999999943</c:v>
                  </c:pt>
                  <c:pt idx="1">
                    <c:v>5.8999999999999986</c:v>
                  </c:pt>
                  <c:pt idx="2">
                    <c:v>5</c:v>
                  </c:pt>
                  <c:pt idx="3">
                    <c:v>9.6999999999999993</c:v>
                  </c:pt>
                </c:numCache>
              </c:numRef>
            </c:minus>
            <c:spPr>
              <a:ln>
                <a:solidFill>
                  <a:sysClr val="window" lastClr="FFFFFF">
                    <a:lumMod val="50000"/>
                  </a:sysClr>
                </a:solidFill>
              </a:ln>
            </c:spPr>
          </c:errBars>
          <c:cat>
            <c:strRef>
              <c:f>'8.7'!$A$5:$A$8</c:f>
              <c:strCache>
                <c:ptCount val="4"/>
                <c:pt idx="0">
                  <c:v>White non-Hispanic</c:v>
                </c:pt>
                <c:pt idx="1">
                  <c:v>Black non-Hispanic</c:v>
                </c:pt>
                <c:pt idx="2">
                  <c:v>Hispanic</c:v>
                </c:pt>
                <c:pt idx="3">
                  <c:v>Asian non-Hispanic</c:v>
                </c:pt>
              </c:strCache>
            </c:strRef>
          </c:cat>
          <c:val>
            <c:numRef>
              <c:f>'8.7'!$B$5:$B$8</c:f>
              <c:numCache>
                <c:formatCode>General</c:formatCode>
                <c:ptCount val="4"/>
                <c:pt idx="0">
                  <c:v>50.8</c:v>
                </c:pt>
                <c:pt idx="1">
                  <c:v>32.4</c:v>
                </c:pt>
                <c:pt idx="2">
                  <c:v>31.8</c:v>
                </c:pt>
                <c:pt idx="3">
                  <c:v>40.4</c:v>
                </c:pt>
              </c:numCache>
            </c:numRef>
          </c:val>
          <c:extLst xmlns:c16r2="http://schemas.microsoft.com/office/drawing/2015/06/chart">
            <c:ext xmlns:c16="http://schemas.microsoft.com/office/drawing/2014/chart" uri="{C3380CC4-5D6E-409C-BE32-E72D297353CC}">
              <c16:uniqueId val="{00000008-5064-4DA7-8A11-6A2C0A872DB1}"/>
            </c:ext>
          </c:extLst>
        </c:ser>
        <c:dLbls>
          <c:showLegendKey val="0"/>
          <c:showVal val="0"/>
          <c:showCatName val="0"/>
          <c:showSerName val="0"/>
          <c:showPercent val="0"/>
          <c:showBubbleSize val="0"/>
        </c:dLbls>
        <c:gapWidth val="150"/>
        <c:overlap val="100"/>
        <c:axId val="291968128"/>
        <c:axId val="291969664"/>
      </c:barChart>
      <c:catAx>
        <c:axId val="291968128"/>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291969664"/>
        <c:crosses val="autoZero"/>
        <c:auto val="0"/>
        <c:lblAlgn val="ctr"/>
        <c:lblOffset val="100"/>
        <c:noMultiLvlLbl val="0"/>
      </c:catAx>
      <c:valAx>
        <c:axId val="291969664"/>
        <c:scaling>
          <c:orientation val="minMax"/>
          <c:max val="100"/>
          <c:min val="0"/>
        </c:scaling>
        <c:delete val="0"/>
        <c:axPos val="l"/>
        <c:title>
          <c:tx>
            <c:rich>
              <a:bodyPr rot="-5400000" vert="horz"/>
              <a:lstStyle/>
              <a:p>
                <a:pPr>
                  <a:defRPr b="1"/>
                </a:pPr>
                <a:r>
                  <a:rPr lang="en-US" b="1"/>
                  <a:t>Percent of High School Students</a:t>
                </a:r>
              </a:p>
            </c:rich>
          </c:tx>
          <c:overlay val="0"/>
        </c:title>
        <c:numFmt formatCode="General" sourceLinked="1"/>
        <c:majorTickMark val="out"/>
        <c:minorTickMark val="none"/>
        <c:tickLblPos val="nextTo"/>
        <c:spPr>
          <a:ln>
            <a:noFill/>
          </a:ln>
        </c:spPr>
        <c:crossAx val="291968128"/>
        <c:crosses val="autoZero"/>
        <c:crossBetween val="between"/>
        <c:majorUnit val="20"/>
      </c:val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 6'!$H$3</c:f>
              <c:strCache>
                <c:ptCount val="1"/>
                <c:pt idx="0">
                  <c:v>All adults</c:v>
                </c:pt>
              </c:strCache>
            </c:strRef>
          </c:tx>
          <c:spPr>
            <a:ln w="19050" cap="rnd">
              <a:solidFill>
                <a:srgbClr val="203864"/>
              </a:solidFill>
              <a:prstDash val="sysDash"/>
              <a:round/>
            </a:ln>
            <a:effectLst/>
          </c:spPr>
          <c:marker>
            <c:symbol val="circle"/>
            <c:size val="5"/>
            <c:spPr>
              <a:solidFill>
                <a:srgbClr val="203864"/>
              </a:solidFill>
              <a:ln w="9525">
                <a:noFill/>
              </a:ln>
              <a:effectLst/>
            </c:spPr>
          </c:marker>
          <c:dLbls>
            <c:dLbl>
              <c:idx val="0"/>
              <c:layout>
                <c:manualLayout>
                  <c:x val="-3.5567704221271701E-2"/>
                  <c:y val="8.137494977280725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8E3-476B-A38C-55D00F76BFE3}"/>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8E3-476B-A38C-55D00F76BFE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8E3-476B-A38C-55D00F76BFE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8E3-476B-A38C-55D00F76BFE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8E3-476B-A38C-55D00F76BFE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8E3-476B-A38C-55D00F76BFE3}"/>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8E3-476B-A38C-55D00F76BFE3}"/>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8E3-476B-A38C-55D00F76BFE3}"/>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8E3-476B-A38C-55D00F76BFE3}"/>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8E3-476B-A38C-55D00F76BFE3}"/>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8E3-476B-A38C-55D00F76BFE3}"/>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8E3-476B-A38C-55D00F76BFE3}"/>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8E3-476B-A38C-55D00F76BFE3}"/>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8E3-476B-A38C-55D00F76BFE3}"/>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8E3-476B-A38C-55D00F76BFE3}"/>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8E3-476B-A38C-55D00F76BFE3}"/>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8E3-476B-A38C-55D00F76BFE3}"/>
                </c:ext>
              </c:extLst>
            </c:dLbl>
            <c:dLbl>
              <c:idx val="1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8E3-476B-A38C-55D00F76BFE3}"/>
                </c:ext>
              </c:extLst>
            </c:dLbl>
            <c:dLbl>
              <c:idx val="1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8E3-476B-A38C-55D00F76BFE3}"/>
                </c:ext>
              </c:extLst>
            </c:dLbl>
            <c:dLbl>
              <c:idx val="19"/>
              <c:layout>
                <c:manualLayout>
                  <c:x val="-1.0161486859638693E-2"/>
                  <c:y val="4.656710162168145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8E3-476B-A38C-55D00F76BFE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'Fig 6'!$G$4:$G$23</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'Fig 6'!$H$4:$H$23</c:f>
              <c:numCache>
                <c:formatCode>0.0</c:formatCode>
                <c:ptCount val="20"/>
                <c:pt idx="0">
                  <c:v>22.7</c:v>
                </c:pt>
                <c:pt idx="1">
                  <c:v>20.599999999999998</c:v>
                </c:pt>
                <c:pt idx="2">
                  <c:v>21.099999999999998</c:v>
                </c:pt>
                <c:pt idx="3">
                  <c:v>20.200000000000003</c:v>
                </c:pt>
                <c:pt idx="4">
                  <c:v>19.900000000000002</c:v>
                </c:pt>
                <c:pt idx="5">
                  <c:v>19.5</c:v>
                </c:pt>
                <c:pt idx="6">
                  <c:v>18.899999999999999</c:v>
                </c:pt>
                <c:pt idx="7">
                  <c:v>19.100000000000001</c:v>
                </c:pt>
                <c:pt idx="8">
                  <c:v>18.5</c:v>
                </c:pt>
                <c:pt idx="9">
                  <c:v>18.099999999999998</c:v>
                </c:pt>
                <c:pt idx="10">
                  <c:v>17.8</c:v>
                </c:pt>
                <c:pt idx="11">
                  <c:v>16.400000000000002</c:v>
                </c:pt>
                <c:pt idx="12">
                  <c:v>16.100000000000001</c:v>
                </c:pt>
                <c:pt idx="13">
                  <c:v>15</c:v>
                </c:pt>
                <c:pt idx="14">
                  <c:v>14.099999999999998</c:v>
                </c:pt>
                <c:pt idx="15">
                  <c:v>18.2</c:v>
                </c:pt>
                <c:pt idx="16">
                  <c:v>16.400000000000002</c:v>
                </c:pt>
                <c:pt idx="17">
                  <c:v>16.600000000000001</c:v>
                </c:pt>
                <c:pt idx="18">
                  <c:v>14.7</c:v>
                </c:pt>
                <c:pt idx="19">
                  <c:v>14.000000000000002</c:v>
                </c:pt>
              </c:numCache>
            </c:numRef>
          </c:val>
          <c:smooth val="0"/>
          <c:extLst xmlns:c16r2="http://schemas.microsoft.com/office/drawing/2015/06/chart">
            <c:ext xmlns:c16="http://schemas.microsoft.com/office/drawing/2014/chart" uri="{C3380CC4-5D6E-409C-BE32-E72D297353CC}">
              <c16:uniqueId val="{00000014-88E3-476B-A38C-55D00F76BFE3}"/>
            </c:ext>
          </c:extLst>
        </c:ser>
        <c:ser>
          <c:idx val="1"/>
          <c:order val="1"/>
          <c:tx>
            <c:strRef>
              <c:f>'Fig 6'!$I$3</c:f>
              <c:strCache>
                <c:ptCount val="1"/>
                <c:pt idx="0">
                  <c:v>Poor mental health</c:v>
                </c:pt>
              </c:strCache>
            </c:strRef>
          </c:tx>
          <c:spPr>
            <a:ln w="19050" cap="rnd">
              <a:solidFill>
                <a:srgbClr val="08519C"/>
              </a:solidFill>
              <a:round/>
            </a:ln>
            <a:effectLst/>
          </c:spPr>
          <c:marker>
            <c:symbol val="diamond"/>
            <c:size val="7"/>
            <c:spPr>
              <a:solidFill>
                <a:schemeClr val="bg1"/>
              </a:solidFill>
              <a:ln w="9525">
                <a:solidFill>
                  <a:srgbClr val="08519C"/>
                </a:solidFill>
              </a:ln>
              <a:effectLst/>
            </c:spPr>
          </c:marker>
          <c:dLbls>
            <c:dLbl>
              <c:idx val="0"/>
              <c:layout>
                <c:manualLayout>
                  <c:x val="-2.9544596669183104E-2"/>
                  <c:y val="-6.60765320064255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8E3-476B-A38C-55D00F76BFE3}"/>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8E3-476B-A38C-55D00F76BFE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8E3-476B-A38C-55D00F76BFE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88E3-476B-A38C-55D00F76BFE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8E3-476B-A38C-55D00F76BFE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88E3-476B-A38C-55D00F76BFE3}"/>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88E3-476B-A38C-55D00F76BFE3}"/>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88E3-476B-A38C-55D00F76BFE3}"/>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88E3-476B-A38C-55D00F76BFE3}"/>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88E3-476B-A38C-55D00F76BFE3}"/>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88E3-476B-A38C-55D00F76BFE3}"/>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88E3-476B-A38C-55D00F76BFE3}"/>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88E3-476B-A38C-55D00F76BFE3}"/>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88E3-476B-A38C-55D00F76BFE3}"/>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88E3-476B-A38C-55D00F76BFE3}"/>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88E3-476B-A38C-55D00F76BFE3}"/>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88E3-476B-A38C-55D00F76BFE3}"/>
                </c:ext>
              </c:extLst>
            </c:dLbl>
            <c:dLbl>
              <c:idx val="1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88E3-476B-A38C-55D00F76BFE3}"/>
                </c:ext>
              </c:extLst>
            </c:dLbl>
            <c:dLbl>
              <c:idx val="1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88E3-476B-A38C-55D00F76BFE3}"/>
                </c:ext>
              </c:extLst>
            </c:dLbl>
            <c:dLbl>
              <c:idx val="19"/>
              <c:layout>
                <c:manualLayout>
                  <c:x val="-4.1290045549201198E-3"/>
                  <c:y val="-7.638789217201312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88E3-476B-A38C-55D00F76BFE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'Fig 6'!$G$4:$G$23</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'Fig 6'!$I$4:$I$23</c:f>
              <c:numCache>
                <c:formatCode>0.0</c:formatCode>
                <c:ptCount val="20"/>
                <c:pt idx="0">
                  <c:v>39.200000000000003</c:v>
                </c:pt>
                <c:pt idx="1">
                  <c:v>35.9</c:v>
                </c:pt>
                <c:pt idx="2">
                  <c:v>32.5</c:v>
                </c:pt>
                <c:pt idx="3">
                  <c:v>35.299999999999997</c:v>
                </c:pt>
                <c:pt idx="4">
                  <c:v>37.299999999999997</c:v>
                </c:pt>
                <c:pt idx="5">
                  <c:v>35.799999999999997</c:v>
                </c:pt>
                <c:pt idx="6">
                  <c:v>35.4</c:v>
                </c:pt>
                <c:pt idx="7">
                  <c:v>36.4</c:v>
                </c:pt>
                <c:pt idx="8">
                  <c:v>36.299999999999997</c:v>
                </c:pt>
                <c:pt idx="9">
                  <c:v>36.5</c:v>
                </c:pt>
                <c:pt idx="10">
                  <c:v>32.300000000000004</c:v>
                </c:pt>
                <c:pt idx="11">
                  <c:v>35.799999999999997</c:v>
                </c:pt>
                <c:pt idx="12">
                  <c:v>32.4</c:v>
                </c:pt>
                <c:pt idx="13">
                  <c:v>33.800000000000004</c:v>
                </c:pt>
                <c:pt idx="14">
                  <c:v>34.4</c:v>
                </c:pt>
                <c:pt idx="15">
                  <c:v>37.4</c:v>
                </c:pt>
                <c:pt idx="16">
                  <c:v>36.299999999999997</c:v>
                </c:pt>
                <c:pt idx="17">
                  <c:v>33.5</c:v>
                </c:pt>
                <c:pt idx="18">
                  <c:v>33.1</c:v>
                </c:pt>
                <c:pt idx="19">
                  <c:v>30.099999999999998</c:v>
                </c:pt>
              </c:numCache>
            </c:numRef>
          </c:val>
          <c:smooth val="0"/>
          <c:extLst xmlns:c16r2="http://schemas.microsoft.com/office/drawing/2015/06/chart">
            <c:ext xmlns:c16="http://schemas.microsoft.com/office/drawing/2014/chart" uri="{C3380CC4-5D6E-409C-BE32-E72D297353CC}">
              <c16:uniqueId val="{00000029-88E3-476B-A38C-55D00F76BFE3}"/>
            </c:ext>
          </c:extLst>
        </c:ser>
        <c:ser>
          <c:idx val="2"/>
          <c:order val="2"/>
          <c:tx>
            <c:strRef>
              <c:f>'Fig 6'!$J$3</c:f>
              <c:strCache>
                <c:ptCount val="1"/>
                <c:pt idx="0">
                  <c:v>Low SES</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2.9803312576949775E-2"/>
                  <c:y val="-6.19609106964182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A-88E3-476B-A38C-55D00F76BFE3}"/>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B-88E3-476B-A38C-55D00F76BFE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C-88E3-476B-A38C-55D00F76BFE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88E3-476B-A38C-55D00F76BFE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E-88E3-476B-A38C-55D00F76BFE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88E3-476B-A38C-55D00F76BFE3}"/>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0-88E3-476B-A38C-55D00F76BFE3}"/>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1-88E3-476B-A38C-55D00F76BFE3}"/>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2-88E3-476B-A38C-55D00F76BFE3}"/>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3-88E3-476B-A38C-55D00F76BFE3}"/>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4-88E3-476B-A38C-55D00F76BFE3}"/>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5-88E3-476B-A38C-55D00F76BFE3}"/>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6-88E3-476B-A38C-55D00F76BFE3}"/>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7-88E3-476B-A38C-55D00F76BFE3}"/>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8-88E3-476B-A38C-55D00F76BFE3}"/>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9-88E3-476B-A38C-55D00F76BFE3}"/>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A-88E3-476B-A38C-55D00F76BFE3}"/>
                </c:ext>
              </c:extLst>
            </c:dLbl>
            <c:dLbl>
              <c:idx val="1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B-88E3-476B-A38C-55D00F76BFE3}"/>
                </c:ext>
              </c:extLst>
            </c:dLbl>
            <c:dLbl>
              <c:idx val="1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C-88E3-476B-A38C-55D00F76BFE3}"/>
                </c:ext>
              </c:extLst>
            </c:dLbl>
            <c:dLbl>
              <c:idx val="19"/>
              <c:layout>
                <c:manualLayout>
                  <c:x val="-1.0734968510773781E-4"/>
                  <c:y val="-6.893269453443023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D-88E3-476B-A38C-55D00F76BFE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'Fig 6'!$G$4:$G$23</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'Fig 6'!$J$4:$J$23</c:f>
              <c:numCache>
                <c:formatCode>0.0</c:formatCode>
                <c:ptCount val="20"/>
                <c:pt idx="0">
                  <c:v>29.7</c:v>
                </c:pt>
                <c:pt idx="1">
                  <c:v>25.900000000000002</c:v>
                </c:pt>
                <c:pt idx="2">
                  <c:v>28.9</c:v>
                </c:pt>
                <c:pt idx="3">
                  <c:v>26.6</c:v>
                </c:pt>
                <c:pt idx="4">
                  <c:v>26.1</c:v>
                </c:pt>
                <c:pt idx="5">
                  <c:v>26.700000000000003</c:v>
                </c:pt>
                <c:pt idx="6">
                  <c:v>26.200000000000003</c:v>
                </c:pt>
                <c:pt idx="7">
                  <c:v>26.200000000000003</c:v>
                </c:pt>
                <c:pt idx="8">
                  <c:v>26.5</c:v>
                </c:pt>
                <c:pt idx="9">
                  <c:v>27.1</c:v>
                </c:pt>
                <c:pt idx="10">
                  <c:v>26.200000000000003</c:v>
                </c:pt>
                <c:pt idx="11">
                  <c:v>25.3</c:v>
                </c:pt>
                <c:pt idx="12">
                  <c:v>24.2</c:v>
                </c:pt>
                <c:pt idx="13">
                  <c:v>23</c:v>
                </c:pt>
                <c:pt idx="14">
                  <c:v>23.3</c:v>
                </c:pt>
                <c:pt idx="15">
                  <c:v>26.1</c:v>
                </c:pt>
                <c:pt idx="16">
                  <c:v>24.2</c:v>
                </c:pt>
                <c:pt idx="17">
                  <c:v>23.9</c:v>
                </c:pt>
                <c:pt idx="18">
                  <c:v>22.2</c:v>
                </c:pt>
                <c:pt idx="19">
                  <c:v>20.7</c:v>
                </c:pt>
              </c:numCache>
            </c:numRef>
          </c:val>
          <c:smooth val="0"/>
          <c:extLst xmlns:c16r2="http://schemas.microsoft.com/office/drawing/2015/06/chart">
            <c:ext xmlns:c16="http://schemas.microsoft.com/office/drawing/2014/chart" uri="{C3380CC4-5D6E-409C-BE32-E72D297353CC}">
              <c16:uniqueId val="{0000003E-88E3-476B-A38C-55D00F76BFE3}"/>
            </c:ext>
          </c:extLst>
        </c:ser>
        <c:ser>
          <c:idx val="3"/>
          <c:order val="3"/>
          <c:tx>
            <c:strRef>
              <c:f>'Fig 6'!$K$3</c:f>
              <c:strCache>
                <c:ptCount val="1"/>
                <c:pt idx="0">
                  <c:v>High SES</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3.0476132705638231E-2"/>
                  <c:y val="9.727624060799190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F-88E3-476B-A38C-55D00F76BFE3}"/>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0-88E3-476B-A38C-55D00F76BFE3}"/>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1-88E3-476B-A38C-55D00F76BFE3}"/>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2-88E3-476B-A38C-55D00F76BFE3}"/>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3-88E3-476B-A38C-55D00F76BFE3}"/>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4-88E3-476B-A38C-55D00F76BFE3}"/>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5-88E3-476B-A38C-55D00F76BFE3}"/>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6-88E3-476B-A38C-55D00F76BFE3}"/>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7-88E3-476B-A38C-55D00F76BFE3}"/>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8-88E3-476B-A38C-55D00F76BFE3}"/>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9-88E3-476B-A38C-55D00F76BFE3}"/>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A-88E3-476B-A38C-55D00F76BFE3}"/>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B-88E3-476B-A38C-55D00F76BFE3}"/>
                </c:ext>
              </c:extLst>
            </c:dLbl>
            <c:dLbl>
              <c:idx val="1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C-88E3-476B-A38C-55D00F76BFE3}"/>
                </c:ext>
              </c:extLst>
            </c:dLbl>
            <c:dLbl>
              <c:idx val="1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D-88E3-476B-A38C-55D00F76BFE3}"/>
                </c:ext>
              </c:extLst>
            </c:dLbl>
            <c:dLbl>
              <c:idx val="1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E-88E3-476B-A38C-55D00F76BFE3}"/>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F-88E3-476B-A38C-55D00F76BFE3}"/>
                </c:ext>
              </c:extLst>
            </c:dLbl>
            <c:dLbl>
              <c:idx val="1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50-88E3-476B-A38C-55D00F76BFE3}"/>
                </c:ext>
              </c:extLst>
            </c:dLbl>
            <c:dLbl>
              <c:idx val="1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51-88E3-476B-A38C-55D00F76BFE3}"/>
                </c:ext>
              </c:extLst>
            </c:dLbl>
            <c:dLbl>
              <c:idx val="19"/>
              <c:layout>
                <c:manualLayout>
                  <c:x val="-2.6811138020661807E-2"/>
                  <c:y val="6.70688951250345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52-88E3-476B-A38C-55D00F76BFE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bg1">
                          <a:lumMod val="85000"/>
                        </a:schemeClr>
                      </a:solidFill>
                      <a:round/>
                    </a:ln>
                    <a:effectLst/>
                  </c:spPr>
                </c15:leaderLines>
              </c:ext>
            </c:extLst>
          </c:dLbls>
          <c:errBars>
            <c:errDir val="y"/>
            <c:errBarType val="both"/>
            <c:errValType val="cust"/>
            <c:noEndCap val="0"/>
            <c:plus>
              <c:numLit>
                <c:ptCount val="0"/>
              </c:numLit>
            </c:plus>
            <c:minus>
              <c:numLit>
                <c:ptCount val="0"/>
              </c:numLit>
            </c:minus>
            <c:spPr>
              <a:noFill/>
              <a:ln w="9525" cap="flat" cmpd="sng" algn="ctr">
                <a:solidFill>
                  <a:schemeClr val="bg1">
                    <a:lumMod val="50000"/>
                  </a:schemeClr>
                </a:solidFill>
                <a:round/>
              </a:ln>
              <a:effectLst/>
            </c:spPr>
          </c:errBars>
          <c:cat>
            <c:numRef>
              <c:f>'Fig 6'!$G$4:$G$23</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'Fig 6'!$K$4:$K$23</c:f>
              <c:numCache>
                <c:formatCode>0.0</c:formatCode>
                <c:ptCount val="20"/>
                <c:pt idx="0">
                  <c:v>12.6</c:v>
                </c:pt>
                <c:pt idx="1">
                  <c:v>13.200000000000001</c:v>
                </c:pt>
                <c:pt idx="2">
                  <c:v>10.8</c:v>
                </c:pt>
                <c:pt idx="3">
                  <c:v>13.3</c:v>
                </c:pt>
                <c:pt idx="4">
                  <c:v>13.600000000000001</c:v>
                </c:pt>
                <c:pt idx="5">
                  <c:v>13.100000000000001</c:v>
                </c:pt>
                <c:pt idx="6">
                  <c:v>12</c:v>
                </c:pt>
                <c:pt idx="7">
                  <c:v>13</c:v>
                </c:pt>
                <c:pt idx="8">
                  <c:v>11.700000000000001</c:v>
                </c:pt>
                <c:pt idx="9">
                  <c:v>10.7</c:v>
                </c:pt>
                <c:pt idx="10">
                  <c:v>11.200000000000001</c:v>
                </c:pt>
                <c:pt idx="11">
                  <c:v>10.100000000000001</c:v>
                </c:pt>
                <c:pt idx="12">
                  <c:v>10.8</c:v>
                </c:pt>
                <c:pt idx="13">
                  <c:v>9.1</c:v>
                </c:pt>
                <c:pt idx="14">
                  <c:v>8.7999999999999989</c:v>
                </c:pt>
                <c:pt idx="15">
                  <c:v>9.9</c:v>
                </c:pt>
                <c:pt idx="16">
                  <c:v>8.6999999999999993</c:v>
                </c:pt>
                <c:pt idx="17">
                  <c:v>9</c:v>
                </c:pt>
                <c:pt idx="18">
                  <c:v>7.1</c:v>
                </c:pt>
                <c:pt idx="19">
                  <c:v>8.4</c:v>
                </c:pt>
              </c:numCache>
            </c:numRef>
          </c:val>
          <c:smooth val="0"/>
          <c:extLst xmlns:c16r2="http://schemas.microsoft.com/office/drawing/2015/06/chart">
            <c:ext xmlns:c16="http://schemas.microsoft.com/office/drawing/2014/chart" uri="{C3380CC4-5D6E-409C-BE32-E72D297353CC}">
              <c16:uniqueId val="{00000053-88E3-476B-A38C-55D00F76BFE3}"/>
            </c:ext>
          </c:extLst>
        </c:ser>
        <c:dLbls>
          <c:dLblPos val="t"/>
          <c:showLegendKey val="0"/>
          <c:showVal val="1"/>
          <c:showCatName val="0"/>
          <c:showSerName val="0"/>
          <c:showPercent val="0"/>
          <c:showBubbleSize val="0"/>
        </c:dLbls>
        <c:marker val="1"/>
        <c:smooth val="0"/>
        <c:axId val="293128064"/>
        <c:axId val="293129600"/>
      </c:lineChart>
      <c:catAx>
        <c:axId val="293128064"/>
        <c:scaling>
          <c:orientation val="minMax"/>
        </c:scaling>
        <c:delete val="0"/>
        <c:axPos val="b"/>
        <c:numFmt formatCode="General" sourceLinked="1"/>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93129600"/>
        <c:crosses val="autoZero"/>
        <c:auto val="1"/>
        <c:lblAlgn val="ctr"/>
        <c:lblOffset val="100"/>
        <c:tickMarkSkip val="2"/>
        <c:noMultiLvlLbl val="0"/>
      </c:catAx>
      <c:valAx>
        <c:axId val="293129600"/>
        <c:scaling>
          <c:orientation val="minMax"/>
          <c:max val="5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of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2806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'Fig 7'!$G$5</c:f>
              <c:strCache>
                <c:ptCount val="1"/>
                <c:pt idx="0">
                  <c:v>Used in last 30 days</c:v>
                </c:pt>
              </c:strCache>
            </c:strRef>
          </c:tx>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1-6A6B-4506-B457-B70EE87A61C7}"/>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3-6A6B-4506-B457-B70EE87A61C7}"/>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5-6A6B-4506-B457-B70EE87A61C7}"/>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7-6A6B-4506-B457-B70EE87A61C7}"/>
              </c:ext>
            </c:extLst>
          </c:dPt>
          <c:dPt>
            <c:idx val="4"/>
            <c:invertIfNegative val="0"/>
            <c:bubble3D val="0"/>
            <c:spPr>
              <a:solidFill>
                <a:srgbClr val="9ECAE1"/>
              </a:solidFill>
              <a:ln>
                <a:noFill/>
              </a:ln>
            </c:spPr>
            <c:extLst xmlns:c16r2="http://schemas.microsoft.com/office/drawing/2015/06/chart">
              <c:ext xmlns:c16="http://schemas.microsoft.com/office/drawing/2014/chart" uri="{C3380CC4-5D6E-409C-BE32-E72D297353CC}">
                <c16:uniqueId val="{00000009-6A6B-4506-B457-B70EE87A61C7}"/>
              </c:ext>
            </c:extLst>
          </c:dPt>
          <c:dLbls>
            <c:dLbl>
              <c:idx val="1"/>
              <c:layout>
                <c:manualLayout>
                  <c:x val="-4.3417694606391449E-17"/>
                  <c:y val="1.502102792901595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A6B-4506-B457-B70EE87A61C7}"/>
                </c:ext>
              </c:extLst>
            </c:dLbl>
            <c:dLbl>
              <c:idx val="3"/>
              <c:layout>
                <c:manualLayout>
                  <c:x val="0"/>
                  <c:y val="8.2375118694451872E-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A6B-4506-B457-B70EE87A61C7}"/>
                </c:ext>
              </c:extLst>
            </c:dLbl>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BarType val="both"/>
            <c:errValType val="cust"/>
            <c:noEndCap val="0"/>
            <c:plus>
              <c:numRef>
                <c:f>'Fig 7'!$H$17:$L$17</c:f>
                <c:numCache>
                  <c:formatCode>General</c:formatCode>
                  <c:ptCount val="5"/>
                  <c:pt idx="0">
                    <c:v>2.3999999999999995</c:v>
                  </c:pt>
                  <c:pt idx="1">
                    <c:v>1.7000000000000002</c:v>
                  </c:pt>
                  <c:pt idx="2">
                    <c:v>1.899999999999999</c:v>
                  </c:pt>
                  <c:pt idx="3">
                    <c:v>1.2999999999999998</c:v>
                  </c:pt>
                  <c:pt idx="4">
                    <c:v>2.6999999999999997</c:v>
                  </c:pt>
                </c:numCache>
              </c:numRef>
            </c:plus>
            <c:minus>
              <c:numRef>
                <c:f>'Fig 7'!$H$16:$L$16</c:f>
                <c:numCache>
                  <c:formatCode>General</c:formatCode>
                  <c:ptCount val="5"/>
                  <c:pt idx="0">
                    <c:v>2.3999999999999995</c:v>
                  </c:pt>
                  <c:pt idx="1">
                    <c:v>1.8000000000000003</c:v>
                  </c:pt>
                  <c:pt idx="2">
                    <c:v>1.9000000000000004</c:v>
                  </c:pt>
                  <c:pt idx="3">
                    <c:v>1.3000000000000005</c:v>
                  </c:pt>
                  <c:pt idx="4">
                    <c:v>2.7000000000000024</c:v>
                  </c:pt>
                </c:numCache>
              </c:numRef>
            </c:minus>
            <c:spPr>
              <a:ln>
                <a:solidFill>
                  <a:schemeClr val="bg1">
                    <a:lumMod val="50000"/>
                  </a:schemeClr>
                </a:solidFill>
              </a:ln>
            </c:spPr>
          </c:errBars>
          <c:cat>
            <c:strRef>
              <c:f>'Fig 7'!$H$4:$L$4</c:f>
              <c:strCache>
                <c:ptCount val="5"/>
                <c:pt idx="0">
                  <c:v>Any Tobacco (excluding E-NDPs)</c:v>
                </c:pt>
                <c:pt idx="1">
                  <c:v>Cigarettes</c:v>
                </c:pt>
                <c:pt idx="2">
                  <c:v>Cigars</c:v>
                </c:pt>
                <c:pt idx="3">
                  <c:v>Smokeless Tobacco</c:v>
                </c:pt>
                <c:pt idx="4">
                  <c:v>E-NDPs</c:v>
                </c:pt>
              </c:strCache>
            </c:strRef>
          </c:cat>
          <c:val>
            <c:numRef>
              <c:f>'Fig 7'!$H$5:$L$5</c:f>
              <c:numCache>
                <c:formatCode>General</c:formatCode>
                <c:ptCount val="5"/>
                <c:pt idx="0">
                  <c:v>15.9</c:v>
                </c:pt>
                <c:pt idx="1">
                  <c:v>7.7</c:v>
                </c:pt>
                <c:pt idx="2">
                  <c:v>10.4</c:v>
                </c:pt>
                <c:pt idx="3">
                  <c:v>5.5</c:v>
                </c:pt>
                <c:pt idx="4">
                  <c:v>23.7</c:v>
                </c:pt>
              </c:numCache>
            </c:numRef>
          </c:val>
          <c:extLst xmlns:c16r2="http://schemas.microsoft.com/office/drawing/2015/06/chart">
            <c:ext xmlns:c16="http://schemas.microsoft.com/office/drawing/2014/chart" uri="{C3380CC4-5D6E-409C-BE32-E72D297353CC}">
              <c16:uniqueId val="{0000000A-6A6B-4506-B457-B70EE87A61C7}"/>
            </c:ext>
          </c:extLst>
        </c:ser>
        <c:dLbls>
          <c:showLegendKey val="0"/>
          <c:showVal val="0"/>
          <c:showCatName val="0"/>
          <c:showSerName val="0"/>
          <c:showPercent val="0"/>
          <c:showBubbleSize val="0"/>
        </c:dLbls>
        <c:gapWidth val="150"/>
        <c:overlap val="100"/>
        <c:axId val="296725120"/>
        <c:axId val="296731008"/>
      </c:barChart>
      <c:catAx>
        <c:axId val="296725120"/>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296731008"/>
        <c:crosses val="autoZero"/>
        <c:auto val="0"/>
        <c:lblAlgn val="ctr"/>
        <c:lblOffset val="100"/>
        <c:noMultiLvlLbl val="0"/>
      </c:catAx>
      <c:valAx>
        <c:axId val="296731008"/>
        <c:scaling>
          <c:orientation val="minMax"/>
          <c:max val="50"/>
          <c:min val="0"/>
        </c:scaling>
        <c:delete val="0"/>
        <c:axPos val="l"/>
        <c:title>
          <c:tx>
            <c:rich>
              <a:bodyPr rot="-5400000" vert="horz"/>
              <a:lstStyle/>
              <a:p>
                <a:pPr>
                  <a:defRPr b="0"/>
                </a:pPr>
                <a:r>
                  <a:rPr lang="en-US"/>
                  <a:t>Percent of High School Students</a:t>
                </a:r>
              </a:p>
            </c:rich>
          </c:tx>
          <c:overlay val="0"/>
        </c:title>
        <c:numFmt formatCode="General" sourceLinked="1"/>
        <c:majorTickMark val="out"/>
        <c:minorTickMark val="none"/>
        <c:tickLblPos val="nextTo"/>
        <c:spPr>
          <a:ln>
            <a:noFill/>
          </a:ln>
        </c:spPr>
        <c:crossAx val="296725120"/>
        <c:crosses val="autoZero"/>
        <c:crossBetween val="between"/>
        <c:majorUnit val="10"/>
      </c:valAx>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323815273978278"/>
          <c:y val="2.8368788565408434E-2"/>
          <c:w val="0.45443683341764651"/>
          <c:h val="0.85711593594867708"/>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1-4E4D-4413-BE20-89172BF27329}"/>
              </c:ext>
            </c:extLst>
          </c:dPt>
          <c:dPt>
            <c:idx val="1"/>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3-4E4D-4413-BE20-89172BF27329}"/>
              </c:ext>
            </c:extLst>
          </c:dPt>
          <c:dPt>
            <c:idx val="2"/>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5-4E4D-4413-BE20-89172BF27329}"/>
              </c:ext>
            </c:extLst>
          </c:dPt>
          <c:dPt>
            <c:idx val="3"/>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7-4E4D-4413-BE20-89172BF27329}"/>
              </c:ext>
            </c:extLst>
          </c:dPt>
          <c:dPt>
            <c:idx val="4"/>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9-4E4D-4413-BE20-89172BF27329}"/>
              </c:ext>
            </c:extLst>
          </c:dPt>
          <c:dPt>
            <c:idx val="5"/>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B-4E4D-4413-BE20-89172BF27329}"/>
              </c:ext>
            </c:extLst>
          </c:dPt>
          <c:dPt>
            <c:idx val="6"/>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D-4E4D-4413-BE20-89172BF27329}"/>
              </c:ext>
            </c:extLst>
          </c:dPt>
          <c:dPt>
            <c:idx val="7"/>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0F-4E4D-4413-BE20-89172BF27329}"/>
              </c:ext>
            </c:extLst>
          </c:dPt>
          <c:dPt>
            <c:idx val="8"/>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11-4E4D-4413-BE20-89172BF27329}"/>
              </c:ext>
            </c:extLst>
          </c:dPt>
          <c:dPt>
            <c:idx val="9"/>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13-4E4D-4413-BE20-89172BF27329}"/>
              </c:ext>
            </c:extLst>
          </c:dPt>
          <c:dLbls>
            <c:dLbl>
              <c:idx val="0"/>
              <c:layout>
                <c:manualLayout>
                  <c:x val="1.8937995957408721E-2"/>
                  <c:y val="5.9100960105266488E-18"/>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E4D-4413-BE20-89172BF27329}"/>
                </c:ext>
              </c:extLst>
            </c:dLbl>
            <c:dLbl>
              <c:idx val="1"/>
              <c:layout>
                <c:manualLayout>
                  <c:x val="3.3141492925465393E-2"/>
                  <c:y val="2.0306935265145623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4D-4413-BE20-89172BF27329}"/>
                </c:ext>
              </c:extLst>
            </c:dLbl>
            <c:dLbl>
              <c:idx val="2"/>
              <c:layout>
                <c:manualLayout>
                  <c:x val="3.5508742420141674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E4D-4413-BE20-89172BF27329}"/>
                </c:ext>
              </c:extLst>
            </c:dLbl>
            <c:dLbl>
              <c:idx val="3"/>
              <c:layout>
                <c:manualLayout>
                  <c:x val="2.840699393611334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E4D-4413-BE20-89172BF27329}"/>
                </c:ext>
              </c:extLst>
            </c:dLbl>
            <c:dLbl>
              <c:idx val="4"/>
              <c:layout>
                <c:manualLayout>
                  <c:x val="2.603974444143723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E4D-4413-BE20-89172BF27329}"/>
                </c:ext>
              </c:extLst>
            </c:dLbl>
            <c:dLbl>
              <c:idx val="5"/>
              <c:layout>
                <c:manualLayout>
                  <c:x val="4.2610490904169837E-2"/>
                  <c:y val="2.0306935265145623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E4D-4413-BE20-89172BF27329}"/>
                </c:ext>
              </c:extLst>
            </c:dLbl>
            <c:dLbl>
              <c:idx val="6"/>
              <c:layout>
                <c:manualLayout>
                  <c:x val="4.2610490904169837E-2"/>
                  <c:y val="2.5791838480262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E4D-4413-BE20-89172BF27329}"/>
                </c:ext>
              </c:extLst>
            </c:dLbl>
            <c:dLbl>
              <c:idx val="7"/>
              <c:layout>
                <c:manualLayout>
                  <c:x val="2.603974444143723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E4D-4413-BE20-89172BF27329}"/>
                </c:ext>
              </c:extLst>
            </c:dLbl>
            <c:dLbl>
              <c:idx val="8"/>
              <c:layout>
                <c:manualLayout>
                  <c:x val="3.077424343078945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E4D-4413-BE20-89172BF27329}"/>
                </c:ext>
              </c:extLst>
            </c:dLbl>
            <c:dLbl>
              <c:idx val="9"/>
              <c:layout>
                <c:manualLayout>
                  <c:x val="3.0774243430789279E-2"/>
                  <c:y val="2.0306935274601777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4E4D-4413-BE20-89172BF27329}"/>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 8'!$L$27:$L$36</c:f>
                <c:numCache>
                  <c:formatCode>General</c:formatCode>
                  <c:ptCount val="10"/>
                  <c:pt idx="0">
                    <c:v>2.1000000000000019</c:v>
                  </c:pt>
                  <c:pt idx="1">
                    <c:v>6.1</c:v>
                  </c:pt>
                  <c:pt idx="2">
                    <c:v>6.2</c:v>
                  </c:pt>
                  <c:pt idx="3">
                    <c:v>4.5999999999999925</c:v>
                  </c:pt>
                  <c:pt idx="4">
                    <c:v>3.7000000000000033</c:v>
                  </c:pt>
                  <c:pt idx="5">
                    <c:v>10.000000000000009</c:v>
                  </c:pt>
                  <c:pt idx="6">
                    <c:v>4.1000000000000032</c:v>
                  </c:pt>
                  <c:pt idx="7">
                    <c:v>3.499999999999992</c:v>
                  </c:pt>
                  <c:pt idx="8">
                    <c:v>3.9000000000000035</c:v>
                  </c:pt>
                  <c:pt idx="9">
                    <c:v>2.6999999999999913</c:v>
                  </c:pt>
                </c:numCache>
              </c:numRef>
            </c:plus>
            <c:minus>
              <c:numRef>
                <c:f>'Fig 8'!$K$27:$K$36</c:f>
                <c:numCache>
                  <c:formatCode>General</c:formatCode>
                  <c:ptCount val="10"/>
                  <c:pt idx="0">
                    <c:v>2.200000000000002</c:v>
                  </c:pt>
                  <c:pt idx="1">
                    <c:v>6.2</c:v>
                  </c:pt>
                  <c:pt idx="2">
                    <c:v>6.1</c:v>
                  </c:pt>
                  <c:pt idx="3">
                    <c:v>4.5000000000000036</c:v>
                  </c:pt>
                  <c:pt idx="4">
                    <c:v>3.5999999999999921</c:v>
                  </c:pt>
                  <c:pt idx="5">
                    <c:v>9.9999999999999982</c:v>
                  </c:pt>
                  <c:pt idx="6">
                    <c:v>3.9999999999999925</c:v>
                  </c:pt>
                  <c:pt idx="7">
                    <c:v>3.400000000000003</c:v>
                  </c:pt>
                  <c:pt idx="8">
                    <c:v>4.0000000000000036</c:v>
                  </c:pt>
                  <c:pt idx="9">
                    <c:v>2.7000000000000024</c:v>
                  </c:pt>
                </c:numCache>
              </c:numRef>
            </c:minus>
            <c:spPr>
              <a:noFill/>
              <a:ln w="9525" cap="flat" cmpd="sng" algn="ctr">
                <a:solidFill>
                  <a:schemeClr val="bg1">
                    <a:lumMod val="50000"/>
                  </a:schemeClr>
                </a:solidFill>
                <a:round/>
              </a:ln>
              <a:effectLst/>
            </c:spPr>
          </c:errBars>
          <c:cat>
            <c:strRef>
              <c:f>'Fig 8'!$G$27:$G$36</c:f>
              <c:strCache>
                <c:ptCount val="10"/>
                <c:pt idx="0">
                  <c:v>All adults</c:v>
                </c:pt>
                <c:pt idx="1">
                  <c:v>Mass Health</c:v>
                </c:pt>
                <c:pt idx="2">
                  <c:v>15+ days of poor mental health in past month</c:v>
                </c:pt>
                <c:pt idx="3">
                  <c:v>&lt;25k household income</c:v>
                </c:pt>
                <c:pt idx="4">
                  <c:v>High school or less</c:v>
                </c:pt>
                <c:pt idx="5">
                  <c:v>LGBT</c:v>
                </c:pt>
                <c:pt idx="6">
                  <c:v>Have disability</c:v>
                </c:pt>
                <c:pt idx="7">
                  <c:v>Private health insurance</c:v>
                </c:pt>
                <c:pt idx="8">
                  <c:v>$75k+ household income</c:v>
                </c:pt>
                <c:pt idx="9">
                  <c:v>College degree</c:v>
                </c:pt>
              </c:strCache>
            </c:strRef>
          </c:cat>
          <c:val>
            <c:numRef>
              <c:f>'Fig 8'!$H$27:$H$36</c:f>
              <c:numCache>
                <c:formatCode>General</c:formatCode>
                <c:ptCount val="10"/>
                <c:pt idx="0">
                  <c:v>65.8</c:v>
                </c:pt>
                <c:pt idx="1">
                  <c:v>42.5</c:v>
                </c:pt>
                <c:pt idx="2">
                  <c:v>44.4</c:v>
                </c:pt>
                <c:pt idx="3">
                  <c:v>52.300000000000004</c:v>
                </c:pt>
                <c:pt idx="4">
                  <c:v>57.499999999999993</c:v>
                </c:pt>
                <c:pt idx="5">
                  <c:v>58.199999999999996</c:v>
                </c:pt>
                <c:pt idx="6">
                  <c:v>58.199999999999996</c:v>
                </c:pt>
                <c:pt idx="7">
                  <c:v>67.800000000000011</c:v>
                </c:pt>
                <c:pt idx="8">
                  <c:v>74.8</c:v>
                </c:pt>
                <c:pt idx="9">
                  <c:v>80.800000000000011</c:v>
                </c:pt>
              </c:numCache>
            </c:numRef>
          </c:val>
          <c:extLst xmlns:c16r2="http://schemas.microsoft.com/office/drawing/2015/06/chart">
            <c:ext xmlns:c16="http://schemas.microsoft.com/office/drawing/2014/chart" uri="{C3380CC4-5D6E-409C-BE32-E72D297353CC}">
              <c16:uniqueId val="{00000014-4E4D-4413-BE20-89172BF27329}"/>
            </c:ext>
          </c:extLst>
        </c:ser>
        <c:dLbls>
          <c:dLblPos val="outEnd"/>
          <c:showLegendKey val="0"/>
          <c:showVal val="1"/>
          <c:showCatName val="0"/>
          <c:showSerName val="0"/>
          <c:showPercent val="0"/>
          <c:showBubbleSize val="0"/>
        </c:dLbls>
        <c:gapWidth val="85"/>
        <c:axId val="297027456"/>
        <c:axId val="297028992"/>
      </c:barChart>
      <c:catAx>
        <c:axId val="297027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28992"/>
        <c:crosses val="autoZero"/>
        <c:auto val="1"/>
        <c:lblAlgn val="ctr"/>
        <c:lblOffset val="100"/>
        <c:noMultiLvlLbl val="0"/>
      </c:catAx>
      <c:valAx>
        <c:axId val="297028992"/>
        <c:scaling>
          <c:orientation val="minMax"/>
          <c:max val="10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27456"/>
        <c:crosses val="max"/>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9959859889528"/>
          <c:y val="2.8985507246376812E-2"/>
          <c:w val="0.498782336308846"/>
          <c:h val="0.85400973099706412"/>
        </c:manualLayout>
      </c:layout>
      <c:barChart>
        <c:barDir val="bar"/>
        <c:grouping val="clustered"/>
        <c:varyColors val="0"/>
        <c:ser>
          <c:idx val="0"/>
          <c:order val="0"/>
          <c:spPr>
            <a:solidFill>
              <a:srgbClr val="203864"/>
            </a:solidFill>
            <a:ln>
              <a:noFill/>
            </a:ln>
            <a:effectLst/>
          </c:spPr>
          <c:invertIfNegative val="0"/>
          <c:dPt>
            <c:idx val="1"/>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1-F33C-4D2C-BB0A-A3824E3E81EC}"/>
              </c:ext>
            </c:extLst>
          </c:dPt>
          <c:dPt>
            <c:idx val="2"/>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3-F33C-4D2C-BB0A-A3824E3E81EC}"/>
              </c:ext>
            </c:extLst>
          </c:dPt>
          <c:dPt>
            <c:idx val="3"/>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5-F33C-4D2C-BB0A-A3824E3E81EC}"/>
              </c:ext>
            </c:extLst>
          </c:dPt>
          <c:dPt>
            <c:idx val="4"/>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7-F33C-4D2C-BB0A-A3824E3E81EC}"/>
              </c:ext>
            </c:extLst>
          </c:dPt>
          <c:dPt>
            <c:idx val="5"/>
            <c:invertIfNegative val="0"/>
            <c:bubble3D val="0"/>
            <c:spPr>
              <a:solidFill>
                <a:srgbClr val="08519C"/>
              </a:solidFill>
              <a:ln>
                <a:noFill/>
              </a:ln>
              <a:effectLst/>
            </c:spPr>
            <c:extLst xmlns:c16r2="http://schemas.microsoft.com/office/drawing/2015/06/chart">
              <c:ext xmlns:c16="http://schemas.microsoft.com/office/drawing/2014/chart" uri="{C3380CC4-5D6E-409C-BE32-E72D297353CC}">
                <c16:uniqueId val="{00000009-F33C-4D2C-BB0A-A3824E3E81EC}"/>
              </c:ext>
            </c:extLst>
          </c:dPt>
          <c:dPt>
            <c:idx val="6"/>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0B-F33C-4D2C-BB0A-A3824E3E81EC}"/>
              </c:ext>
            </c:extLst>
          </c:dPt>
          <c:dPt>
            <c:idx val="7"/>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0D-F33C-4D2C-BB0A-A3824E3E81EC}"/>
              </c:ext>
            </c:extLst>
          </c:dPt>
          <c:dPt>
            <c:idx val="8"/>
            <c:invertIfNegative val="0"/>
            <c:bubble3D val="0"/>
            <c:spPr>
              <a:solidFill>
                <a:srgbClr val="6BAED6"/>
              </a:solidFill>
              <a:ln>
                <a:noFill/>
              </a:ln>
              <a:effectLst/>
            </c:spPr>
            <c:extLst xmlns:c16r2="http://schemas.microsoft.com/office/drawing/2015/06/chart">
              <c:ext xmlns:c16="http://schemas.microsoft.com/office/drawing/2014/chart" uri="{C3380CC4-5D6E-409C-BE32-E72D297353CC}">
                <c16:uniqueId val="{0000000F-F33C-4D2C-BB0A-A3824E3E81EC}"/>
              </c:ext>
            </c:extLst>
          </c:dPt>
          <c:dLbls>
            <c:dLbl>
              <c:idx val="0"/>
              <c:layout>
                <c:manualLayout>
                  <c:x val="5.4605448505853971E-2"/>
                  <c:y val="1.2077155169663234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F33C-4D2C-BB0A-A3824E3E81EC}"/>
                </c:ext>
              </c:extLst>
            </c:dLbl>
            <c:dLbl>
              <c:idx val="1"/>
              <c:layout>
                <c:manualLayout>
                  <c:x val="7.280726467447218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33C-4D2C-BB0A-A3824E3E81EC}"/>
                </c:ext>
              </c:extLst>
            </c:dLbl>
            <c:dLbl>
              <c:idx val="2"/>
              <c:layout>
                <c:manualLayout>
                  <c:x val="6.2406226863833118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33C-4D2C-BB0A-A3824E3E81EC}"/>
                </c:ext>
              </c:extLst>
            </c:dLbl>
            <c:dLbl>
              <c:idx val="3"/>
              <c:layout>
                <c:manualLayout>
                  <c:x val="5.7205707958513784E-2"/>
                  <c:y val="4.1496789185936738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33C-4D2C-BB0A-A3824E3E81EC}"/>
                </c:ext>
              </c:extLst>
            </c:dLbl>
            <c:dLbl>
              <c:idx val="4"/>
              <c:layout>
                <c:manualLayout>
                  <c:x val="9.8809859201069258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33C-4D2C-BB0A-A3824E3E81EC}"/>
                </c:ext>
              </c:extLst>
            </c:dLbl>
            <c:dLbl>
              <c:idx val="5"/>
              <c:layout>
                <c:manualLayout>
                  <c:x val="9.3609340295749729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33C-4D2C-BB0A-A3824E3E81EC}"/>
                </c:ext>
              </c:extLst>
            </c:dLbl>
            <c:dLbl>
              <c:idx val="6"/>
              <c:layout>
                <c:manualLayout>
                  <c:x val="3.3803372884576327E-2"/>
                  <c:y val="9.6617241357305873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33C-4D2C-BB0A-A3824E3E81EC}"/>
                </c:ext>
              </c:extLst>
            </c:dLbl>
            <c:dLbl>
              <c:idx val="7"/>
              <c:layout>
                <c:manualLayout>
                  <c:x val="3.9003891789895759E-2"/>
                  <c:y val="9.6617241357305873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33C-4D2C-BB0A-A3824E3E81EC}"/>
                </c:ext>
              </c:extLst>
            </c:dLbl>
            <c:dLbl>
              <c:idx val="8"/>
              <c:layout>
                <c:manualLayout>
                  <c:x val="2.3402335073937457E-2"/>
                  <c:y val="2.0748394592968369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33C-4D2C-BB0A-A3824E3E81E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 9'!$M$5:$M$13</c:f>
                <c:numCache>
                  <c:formatCode>General</c:formatCode>
                  <c:ptCount val="9"/>
                  <c:pt idx="0">
                    <c:v>1.4000000000000012</c:v>
                  </c:pt>
                  <c:pt idx="1">
                    <c:v>4.1000000000000005</c:v>
                  </c:pt>
                  <c:pt idx="2">
                    <c:v>3.1</c:v>
                  </c:pt>
                  <c:pt idx="3">
                    <c:v>3.4000000000000004</c:v>
                  </c:pt>
                  <c:pt idx="4">
                    <c:v>6</c:v>
                  </c:pt>
                  <c:pt idx="5">
                    <c:v>5.4000000000000021</c:v>
                  </c:pt>
                  <c:pt idx="6">
                    <c:v>1.5</c:v>
                  </c:pt>
                  <c:pt idx="7">
                    <c:v>1.6999999999999988</c:v>
                  </c:pt>
                  <c:pt idx="8">
                    <c:v>1.0999999999999996</c:v>
                  </c:pt>
                </c:numCache>
              </c:numRef>
            </c:plus>
            <c:minus>
              <c:numRef>
                <c:f>'Fig 9'!$L$5:$L$13</c:f>
                <c:numCache>
                  <c:formatCode>General</c:formatCode>
                  <c:ptCount val="9"/>
                  <c:pt idx="0">
                    <c:v>1.4</c:v>
                  </c:pt>
                  <c:pt idx="1">
                    <c:v>4.1000000000000005</c:v>
                  </c:pt>
                  <c:pt idx="2">
                    <c:v>3.2</c:v>
                  </c:pt>
                  <c:pt idx="3">
                    <c:v>3.2999999999999972</c:v>
                  </c:pt>
                  <c:pt idx="4">
                    <c:v>6</c:v>
                  </c:pt>
                  <c:pt idx="5">
                    <c:v>5.3999999999999995</c:v>
                  </c:pt>
                  <c:pt idx="6">
                    <c:v>1.6</c:v>
                  </c:pt>
                  <c:pt idx="7">
                    <c:v>1.6</c:v>
                  </c:pt>
                  <c:pt idx="8">
                    <c:v>1.100000000000001</c:v>
                  </c:pt>
                </c:numCache>
              </c:numRef>
            </c:minus>
            <c:spPr>
              <a:noFill/>
              <a:ln w="9525" cap="flat" cmpd="sng" algn="ctr">
                <a:solidFill>
                  <a:schemeClr val="bg1">
                    <a:lumMod val="50000"/>
                  </a:schemeClr>
                </a:solidFill>
                <a:round/>
              </a:ln>
              <a:effectLst/>
            </c:spPr>
          </c:errBars>
          <c:cat>
            <c:strRef>
              <c:f>'Fig 9'!$H$5:$H$13</c:f>
              <c:strCache>
                <c:ptCount val="9"/>
                <c:pt idx="0">
                  <c:v>All Adults</c:v>
                </c:pt>
                <c:pt idx="1">
                  <c:v>Mass Health</c:v>
                </c:pt>
                <c:pt idx="2">
                  <c:v>Have disability</c:v>
                </c:pt>
                <c:pt idx="3">
                  <c:v>&lt;$25K household income</c:v>
                </c:pt>
                <c:pt idx="4">
                  <c:v>LGBT</c:v>
                </c:pt>
                <c:pt idx="5">
                  <c:v>Unemployed</c:v>
                </c:pt>
                <c:pt idx="6">
                  <c:v>Private health insurance</c:v>
                </c:pt>
                <c:pt idx="7">
                  <c:v>$75k+ household income</c:v>
                </c:pt>
                <c:pt idx="8">
                  <c:v>College degree</c:v>
                </c:pt>
              </c:strCache>
            </c:strRef>
          </c:cat>
          <c:val>
            <c:numRef>
              <c:f>'Fig 9'!$I$5:$I$13</c:f>
              <c:numCache>
                <c:formatCode>0.0</c:formatCode>
                <c:ptCount val="9"/>
                <c:pt idx="0">
                  <c:v>12.6</c:v>
                </c:pt>
                <c:pt idx="1">
                  <c:v>19.3</c:v>
                </c:pt>
                <c:pt idx="2">
                  <c:v>18.099999999999998</c:v>
                </c:pt>
                <c:pt idx="3">
                  <c:v>17.299999999999997</c:v>
                </c:pt>
                <c:pt idx="4">
                  <c:v>15.9</c:v>
                </c:pt>
                <c:pt idx="5">
                  <c:v>14.399999999999999</c:v>
                </c:pt>
                <c:pt idx="6">
                  <c:v>10.7</c:v>
                </c:pt>
                <c:pt idx="7">
                  <c:v>8.5</c:v>
                </c:pt>
                <c:pt idx="8">
                  <c:v>7.0000000000000009</c:v>
                </c:pt>
              </c:numCache>
            </c:numRef>
          </c:val>
          <c:extLst xmlns:c16r2="http://schemas.microsoft.com/office/drawing/2015/06/chart">
            <c:ext xmlns:c16="http://schemas.microsoft.com/office/drawing/2014/chart" uri="{C3380CC4-5D6E-409C-BE32-E72D297353CC}">
              <c16:uniqueId val="{00000011-F33C-4D2C-BB0A-A3824E3E81EC}"/>
            </c:ext>
          </c:extLst>
        </c:ser>
        <c:dLbls>
          <c:dLblPos val="outEnd"/>
          <c:showLegendKey val="0"/>
          <c:showVal val="1"/>
          <c:showCatName val="0"/>
          <c:showSerName val="0"/>
          <c:showPercent val="0"/>
          <c:showBubbleSize val="0"/>
        </c:dLbls>
        <c:gapWidth val="83"/>
        <c:axId val="298732928"/>
        <c:axId val="298738816"/>
      </c:barChart>
      <c:catAx>
        <c:axId val="2987329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738816"/>
        <c:crosses val="autoZero"/>
        <c:auto val="1"/>
        <c:lblAlgn val="ctr"/>
        <c:lblOffset val="100"/>
        <c:noMultiLvlLbl val="0"/>
      </c:catAx>
      <c:valAx>
        <c:axId val="298738816"/>
        <c:scaling>
          <c:orientation val="minMax"/>
          <c:max val="3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732928"/>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0.05024</cdr:y>
    </cdr:from>
    <cdr:to>
      <cdr:x>0.07514</cdr:x>
      <cdr:y>0.2292</cdr:y>
    </cdr:to>
    <cdr:sp macro="" textlink="">
      <cdr:nvSpPr>
        <cdr:cNvPr id="2" name="TextBox 1"/>
        <cdr:cNvSpPr txBox="1"/>
      </cdr:nvSpPr>
      <cdr:spPr>
        <a:xfrm xmlns:a="http://schemas.openxmlformats.org/drawingml/2006/main">
          <a:off x="0" y="304800"/>
          <a:ext cx="371477" cy="1085850"/>
        </a:xfrm>
        <a:prstGeom xmlns:a="http://schemas.openxmlformats.org/drawingml/2006/main" prst="rect">
          <a:avLst/>
        </a:prstGeom>
      </cdr:spPr>
      <cdr:txBody>
        <a:bodyPr xmlns:a="http://schemas.openxmlformats.org/drawingml/2006/main" vertOverflow="clip" vert="vert270" wrap="square" rtlCol="0" anchor="b" anchorCtr="1"/>
        <a:lstStyle xmlns:a="http://schemas.openxmlformats.org/drawingml/2006/main"/>
        <a:p xmlns:a="http://schemas.openxmlformats.org/drawingml/2006/main">
          <a:r>
            <a:rPr lang="en-US" sz="1050" b="1"/>
            <a:t>Age</a:t>
          </a:r>
          <a:r>
            <a:rPr lang="en-US" sz="1050" b="1" baseline="0"/>
            <a:t> Group</a:t>
          </a:r>
          <a:endParaRPr lang="en-US" sz="1050" b="1"/>
        </a:p>
      </cdr:txBody>
    </cdr:sp>
  </cdr:relSizeAnchor>
  <cdr:relSizeAnchor xmlns:cdr="http://schemas.openxmlformats.org/drawingml/2006/chartDrawing">
    <cdr:from>
      <cdr:x>0</cdr:x>
      <cdr:y>0.30665</cdr:y>
    </cdr:from>
    <cdr:to>
      <cdr:x>0.07514</cdr:x>
      <cdr:y>0.48561</cdr:y>
    </cdr:to>
    <cdr:sp macro="" textlink="">
      <cdr:nvSpPr>
        <cdr:cNvPr id="3" name="TextBox 1"/>
        <cdr:cNvSpPr txBox="1"/>
      </cdr:nvSpPr>
      <cdr:spPr>
        <a:xfrm xmlns:a="http://schemas.openxmlformats.org/drawingml/2006/main">
          <a:off x="0" y="1860550"/>
          <a:ext cx="371477" cy="1085850"/>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Education</a:t>
          </a:r>
        </a:p>
      </cdr:txBody>
    </cdr:sp>
  </cdr:relSizeAnchor>
  <cdr:relSizeAnchor xmlns:cdr="http://schemas.openxmlformats.org/drawingml/2006/chartDrawing">
    <cdr:from>
      <cdr:x>0.02505</cdr:x>
      <cdr:y>0.52015</cdr:y>
    </cdr:from>
    <cdr:to>
      <cdr:x>0.10019</cdr:x>
      <cdr:y>0.69911</cdr:y>
    </cdr:to>
    <cdr:sp macro="" textlink="">
      <cdr:nvSpPr>
        <cdr:cNvPr id="4" name="TextBox 1"/>
        <cdr:cNvSpPr txBox="1"/>
      </cdr:nvSpPr>
      <cdr:spPr>
        <a:xfrm xmlns:a="http://schemas.openxmlformats.org/drawingml/2006/main">
          <a:off x="123825" y="3155971"/>
          <a:ext cx="371453" cy="1085826"/>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Household Income</a:t>
          </a:r>
        </a:p>
      </cdr:txBody>
    </cdr:sp>
  </cdr:relSizeAnchor>
  <cdr:relSizeAnchor xmlns:cdr="http://schemas.openxmlformats.org/drawingml/2006/chartDrawing">
    <cdr:from>
      <cdr:x>0</cdr:x>
      <cdr:y>0.75563</cdr:y>
    </cdr:from>
    <cdr:to>
      <cdr:x>0.07514</cdr:x>
      <cdr:y>0.93459</cdr:y>
    </cdr:to>
    <cdr:sp macro="" textlink="">
      <cdr:nvSpPr>
        <cdr:cNvPr id="5" name="TextBox 1"/>
        <cdr:cNvSpPr txBox="1"/>
      </cdr:nvSpPr>
      <cdr:spPr>
        <a:xfrm xmlns:a="http://schemas.openxmlformats.org/drawingml/2006/main">
          <a:off x="0" y="4584700"/>
          <a:ext cx="371477" cy="1085850"/>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Race/Ethnicity</a:t>
          </a:r>
        </a:p>
      </cdr:txBody>
    </cdr:sp>
  </cdr:relSizeAnchor>
</c:userShapes>
</file>

<file path=word/drawings/drawing2.xml><?xml version="1.0" encoding="utf-8"?>
<c:userShapes xmlns:c="http://schemas.openxmlformats.org/drawingml/2006/chart">
  <cdr:relSizeAnchor xmlns:cdr="http://schemas.openxmlformats.org/drawingml/2006/chartDrawing">
    <cdr:from>
      <cdr:x>0.77776</cdr:x>
      <cdr:y>0.00265</cdr:y>
    </cdr:from>
    <cdr:to>
      <cdr:x>0.77776</cdr:x>
      <cdr:y>0.83577</cdr:y>
    </cdr:to>
    <cdr:cxnSp macro="">
      <cdr:nvCxnSpPr>
        <cdr:cNvPr id="3" name="Straight Connector 2">
          <a:extLst xmlns:a="http://schemas.openxmlformats.org/drawingml/2006/main">
            <a:ext uri="{FF2B5EF4-FFF2-40B4-BE49-F238E27FC236}">
              <a16:creationId xmlns="" xmlns:a16="http://schemas.microsoft.com/office/drawing/2014/main" id="{6F0B0699-DDB3-4F7D-B9D8-CFF3A2FA9A70}"/>
            </a:ext>
          </a:extLst>
        </cdr:cNvPr>
        <cdr:cNvCxnSpPr/>
      </cdr:nvCxnSpPr>
      <cdr:spPr>
        <a:xfrm xmlns:a="http://schemas.openxmlformats.org/drawingml/2006/main">
          <a:off x="4916323" y="9042"/>
          <a:ext cx="0" cy="2838450"/>
        </a:xfrm>
        <a:prstGeom xmlns:a="http://schemas.openxmlformats.org/drawingml/2006/main" prst="line">
          <a:avLst/>
        </a:prstGeom>
        <a:ln xmlns:a="http://schemas.openxmlformats.org/drawingml/2006/main" w="12700">
          <a:solidFill>
            <a:schemeClr val="bg1">
              <a:lumMod val="75000"/>
            </a:schemeClr>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cdr:x>
      <cdr:y>0.2205</cdr:y>
    </cdr:from>
    <cdr:to>
      <cdr:x>0.06939</cdr:x>
      <cdr:y>0.52031</cdr:y>
    </cdr:to>
    <cdr:sp macro="" textlink="">
      <cdr:nvSpPr>
        <cdr:cNvPr id="2" name="TextBox 1"/>
        <cdr:cNvSpPr txBox="1"/>
      </cdr:nvSpPr>
      <cdr:spPr>
        <a:xfrm xmlns:a="http://schemas.openxmlformats.org/drawingml/2006/main">
          <a:off x="0" y="1085850"/>
          <a:ext cx="371475" cy="1476375"/>
        </a:xfrm>
        <a:prstGeom xmlns:a="http://schemas.openxmlformats.org/drawingml/2006/main" prst="rect">
          <a:avLst/>
        </a:prstGeom>
      </cdr:spPr>
      <cdr:txBody>
        <a:bodyPr xmlns:a="http://schemas.openxmlformats.org/drawingml/2006/main" vertOverflow="clip" vert="vert270" wrap="square" rtlCol="0" anchor="b" anchorCtr="1"/>
        <a:lstStyle xmlns:a="http://schemas.openxmlformats.org/drawingml/2006/main"/>
        <a:p xmlns:a="http://schemas.openxmlformats.org/drawingml/2006/main">
          <a:r>
            <a:rPr lang="en-US" sz="1050" b="1"/>
            <a:t>Less Likely to Quit</a:t>
          </a:r>
        </a:p>
      </cdr:txBody>
    </cdr:sp>
  </cdr:relSizeAnchor>
  <cdr:relSizeAnchor xmlns:cdr="http://schemas.openxmlformats.org/drawingml/2006/chartDrawing">
    <cdr:from>
      <cdr:x>0</cdr:x>
      <cdr:y>0.6196</cdr:y>
    </cdr:from>
    <cdr:to>
      <cdr:x>0.06939</cdr:x>
      <cdr:y>0.9194</cdr:y>
    </cdr:to>
    <cdr:sp macro="" textlink="">
      <cdr:nvSpPr>
        <cdr:cNvPr id="3" name="TextBox 1"/>
        <cdr:cNvSpPr txBox="1"/>
      </cdr:nvSpPr>
      <cdr:spPr>
        <a:xfrm xmlns:a="http://schemas.openxmlformats.org/drawingml/2006/main">
          <a:off x="0" y="3051189"/>
          <a:ext cx="371448" cy="1476343"/>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More Likely to Quit</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0.16798</cdr:y>
    </cdr:from>
    <cdr:to>
      <cdr:x>0.1109</cdr:x>
      <cdr:y>0.43347</cdr:y>
    </cdr:to>
    <cdr:sp macro="" textlink="">
      <cdr:nvSpPr>
        <cdr:cNvPr id="2" name="TextBox 1"/>
        <cdr:cNvSpPr txBox="1"/>
      </cdr:nvSpPr>
      <cdr:spPr>
        <a:xfrm xmlns:a="http://schemas.openxmlformats.org/drawingml/2006/main">
          <a:off x="0" y="809625"/>
          <a:ext cx="542926" cy="1279542"/>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More likey to be exposed to SHS</a:t>
          </a:r>
        </a:p>
      </cdr:txBody>
    </cdr:sp>
  </cdr:relSizeAnchor>
  <cdr:relSizeAnchor xmlns:cdr="http://schemas.openxmlformats.org/drawingml/2006/chartDrawing">
    <cdr:from>
      <cdr:x>0</cdr:x>
      <cdr:y>0.6581</cdr:y>
    </cdr:from>
    <cdr:to>
      <cdr:x>0.11284</cdr:x>
      <cdr:y>0.88274</cdr:y>
    </cdr:to>
    <cdr:sp macro="" textlink="">
      <cdr:nvSpPr>
        <cdr:cNvPr id="3" name="TextBox 1"/>
        <cdr:cNvSpPr txBox="1"/>
      </cdr:nvSpPr>
      <cdr:spPr>
        <a:xfrm xmlns:a="http://schemas.openxmlformats.org/drawingml/2006/main">
          <a:off x="0" y="3171825"/>
          <a:ext cx="552451" cy="1082692"/>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Less  likey to be exposed to SHS</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0.07649</cdr:y>
    </cdr:from>
    <cdr:to>
      <cdr:x>0.05881</cdr:x>
      <cdr:y>0.29647</cdr:y>
    </cdr:to>
    <cdr:sp macro="" textlink="">
      <cdr:nvSpPr>
        <cdr:cNvPr id="2" name="TextBox 1"/>
        <cdr:cNvSpPr txBox="1"/>
      </cdr:nvSpPr>
      <cdr:spPr>
        <a:xfrm xmlns:a="http://schemas.openxmlformats.org/drawingml/2006/main">
          <a:off x="0" y="384666"/>
          <a:ext cx="256442" cy="1106365"/>
        </a:xfrm>
        <a:prstGeom xmlns:a="http://schemas.openxmlformats.org/drawingml/2006/main" prst="rect">
          <a:avLst/>
        </a:prstGeom>
      </cdr:spPr>
      <cdr:txBody>
        <a:bodyPr xmlns:a="http://schemas.openxmlformats.org/drawingml/2006/main" vertOverflow="clip" vert="vert270" wrap="square" rtlCol="0" anchor="b" anchorCtr="1"/>
        <a:lstStyle xmlns:a="http://schemas.openxmlformats.org/drawingml/2006/main"/>
        <a:p xmlns:a="http://schemas.openxmlformats.org/drawingml/2006/main">
          <a:r>
            <a:rPr lang="en-US" sz="1050" b="1"/>
            <a:t>Race/Ethnicity</a:t>
          </a:r>
        </a:p>
      </cdr:txBody>
    </cdr:sp>
  </cdr:relSizeAnchor>
  <cdr:relSizeAnchor xmlns:cdr="http://schemas.openxmlformats.org/drawingml/2006/chartDrawing">
    <cdr:from>
      <cdr:x>0</cdr:x>
      <cdr:y>0.37286</cdr:y>
    </cdr:from>
    <cdr:to>
      <cdr:x>0.05881</cdr:x>
      <cdr:y>0.59285</cdr:y>
    </cdr:to>
    <cdr:sp macro="" textlink="">
      <cdr:nvSpPr>
        <cdr:cNvPr id="3" name="TextBox 1"/>
        <cdr:cNvSpPr txBox="1"/>
      </cdr:nvSpPr>
      <cdr:spPr>
        <a:xfrm xmlns:a="http://schemas.openxmlformats.org/drawingml/2006/main">
          <a:off x="0" y="1875203"/>
          <a:ext cx="256442" cy="1106365"/>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Disability</a:t>
          </a:r>
        </a:p>
      </cdr:txBody>
    </cdr:sp>
  </cdr:relSizeAnchor>
  <cdr:relSizeAnchor xmlns:cdr="http://schemas.openxmlformats.org/drawingml/2006/chartDrawing">
    <cdr:from>
      <cdr:x>0</cdr:x>
      <cdr:y>0.66278</cdr:y>
    </cdr:from>
    <cdr:to>
      <cdr:x>0.05881</cdr:x>
      <cdr:y>0.88277</cdr:y>
    </cdr:to>
    <cdr:sp macro="" textlink="">
      <cdr:nvSpPr>
        <cdr:cNvPr id="4" name="TextBox 1"/>
        <cdr:cNvSpPr txBox="1"/>
      </cdr:nvSpPr>
      <cdr:spPr>
        <a:xfrm xmlns:a="http://schemas.openxmlformats.org/drawingml/2006/main">
          <a:off x="0" y="3333263"/>
          <a:ext cx="256442" cy="1106365"/>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Education</a:t>
          </a:r>
        </a:p>
      </cdr:txBody>
    </cdr:sp>
  </cdr:relSizeAnchor>
</c:userShapes>
</file>

<file path=word/drawings/drawing6.xml><?xml version="1.0" encoding="utf-8"?>
<c:userShapes xmlns:c="http://schemas.openxmlformats.org/drawingml/2006/chart">
  <cdr:relSizeAnchor xmlns:cdr="http://schemas.openxmlformats.org/drawingml/2006/chartDrawing">
    <cdr:from>
      <cdr:x>0.9119</cdr:x>
      <cdr:y>0.28686</cdr:y>
    </cdr:from>
    <cdr:to>
      <cdr:x>1</cdr:x>
      <cdr:y>0.36461</cdr:y>
    </cdr:to>
    <cdr:sp macro="" textlink="">
      <cdr:nvSpPr>
        <cdr:cNvPr id="2" name="TextBox 1"/>
        <cdr:cNvSpPr txBox="1"/>
      </cdr:nvSpPr>
      <cdr:spPr>
        <a:xfrm xmlns:a="http://schemas.openxmlformats.org/drawingml/2006/main">
          <a:off x="5619751" y="1019175"/>
          <a:ext cx="5429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rgbClr val="203864"/>
              </a:solidFill>
            </a:rPr>
            <a:t>MA</a:t>
          </a:r>
        </a:p>
      </cdr:txBody>
    </cdr:sp>
  </cdr:relSizeAnchor>
  <cdr:relSizeAnchor xmlns:cdr="http://schemas.openxmlformats.org/drawingml/2006/chartDrawing">
    <cdr:from>
      <cdr:x>0.90663</cdr:x>
      <cdr:y>0.45666</cdr:y>
    </cdr:from>
    <cdr:to>
      <cdr:x>0.98645</cdr:x>
      <cdr:y>0.57909</cdr:y>
    </cdr:to>
    <cdr:sp macro="" textlink="">
      <cdr:nvSpPr>
        <cdr:cNvPr id="3" name="TextBox 1"/>
        <cdr:cNvSpPr txBox="1"/>
      </cdr:nvSpPr>
      <cdr:spPr>
        <a:xfrm xmlns:a="http://schemas.openxmlformats.org/drawingml/2006/main">
          <a:off x="5734050" y="1622425"/>
          <a:ext cx="504825" cy="4349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sz="1000" b="1">
              <a:solidFill>
                <a:schemeClr val="bg1">
                  <a:lumMod val="65000"/>
                </a:schemeClr>
              </a:solidFill>
            </a:rPr>
            <a:t>Other states</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0.0714</cdr:y>
    </cdr:from>
    <cdr:to>
      <cdr:x>0.05208</cdr:x>
      <cdr:y>0.13253</cdr:y>
    </cdr:to>
    <cdr:sp macro="" textlink="">
      <cdr:nvSpPr>
        <cdr:cNvPr id="2" name="TextBox 1"/>
        <cdr:cNvSpPr txBox="1"/>
      </cdr:nvSpPr>
      <cdr:spPr>
        <a:xfrm xmlns:a="http://schemas.openxmlformats.org/drawingml/2006/main">
          <a:off x="0" y="508000"/>
          <a:ext cx="285750" cy="434976"/>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Sex</a:t>
          </a:r>
        </a:p>
      </cdr:txBody>
    </cdr:sp>
  </cdr:relSizeAnchor>
  <cdr:relSizeAnchor xmlns:cdr="http://schemas.openxmlformats.org/drawingml/2006/chartDrawing">
    <cdr:from>
      <cdr:x>0</cdr:x>
      <cdr:y>0.14235</cdr:y>
    </cdr:from>
    <cdr:to>
      <cdr:x>0.05208</cdr:x>
      <cdr:y>0.25033</cdr:y>
    </cdr:to>
    <cdr:sp macro="" textlink="">
      <cdr:nvSpPr>
        <cdr:cNvPr id="3" name="TextBox 1"/>
        <cdr:cNvSpPr txBox="1"/>
      </cdr:nvSpPr>
      <cdr:spPr>
        <a:xfrm xmlns:a="http://schemas.openxmlformats.org/drawingml/2006/main">
          <a:off x="0" y="1012824"/>
          <a:ext cx="285750" cy="768351"/>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Age Group</a:t>
          </a:r>
        </a:p>
      </cdr:txBody>
    </cdr:sp>
  </cdr:relSizeAnchor>
  <cdr:relSizeAnchor xmlns:cdr="http://schemas.openxmlformats.org/drawingml/2006/chartDrawing">
    <cdr:from>
      <cdr:x>0</cdr:x>
      <cdr:y>0.24766</cdr:y>
    </cdr:from>
    <cdr:to>
      <cdr:x>0.07292</cdr:x>
      <cdr:y>0.35743</cdr:y>
    </cdr:to>
    <cdr:sp macro="" textlink="">
      <cdr:nvSpPr>
        <cdr:cNvPr id="4" name="TextBox 1"/>
        <cdr:cNvSpPr txBox="1"/>
      </cdr:nvSpPr>
      <cdr:spPr>
        <a:xfrm xmlns:a="http://schemas.openxmlformats.org/drawingml/2006/main">
          <a:off x="0" y="1762126"/>
          <a:ext cx="400050" cy="781050"/>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t>Race/ Ethnicity</a:t>
          </a:r>
        </a:p>
      </cdr:txBody>
    </cdr:sp>
  </cdr:relSizeAnchor>
  <cdr:relSizeAnchor xmlns:cdr="http://schemas.openxmlformats.org/drawingml/2006/chartDrawing">
    <cdr:from>
      <cdr:x>0</cdr:x>
      <cdr:y>0.36725</cdr:y>
    </cdr:from>
    <cdr:to>
      <cdr:x>0.05208</cdr:x>
      <cdr:y>0.46988</cdr:y>
    </cdr:to>
    <cdr:sp macro="" textlink="">
      <cdr:nvSpPr>
        <cdr:cNvPr id="5" name="TextBox 1"/>
        <cdr:cNvSpPr txBox="1"/>
      </cdr:nvSpPr>
      <cdr:spPr>
        <a:xfrm xmlns:a="http://schemas.openxmlformats.org/drawingml/2006/main">
          <a:off x="0" y="2613025"/>
          <a:ext cx="285750" cy="730251"/>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Education</a:t>
          </a:r>
        </a:p>
      </cdr:txBody>
    </cdr:sp>
  </cdr:relSizeAnchor>
  <cdr:relSizeAnchor xmlns:cdr="http://schemas.openxmlformats.org/drawingml/2006/chartDrawing">
    <cdr:from>
      <cdr:x>1.95871E-7</cdr:x>
      <cdr:y>0.47419</cdr:y>
    </cdr:from>
    <cdr:to>
      <cdr:x>0.07836</cdr:x>
      <cdr:y>0.58302</cdr:y>
    </cdr:to>
    <cdr:sp macro="" textlink="">
      <cdr:nvSpPr>
        <cdr:cNvPr id="6" name="TextBox 1"/>
        <cdr:cNvSpPr txBox="1"/>
      </cdr:nvSpPr>
      <cdr:spPr>
        <a:xfrm xmlns:a="http://schemas.openxmlformats.org/drawingml/2006/main">
          <a:off x="1" y="3191772"/>
          <a:ext cx="400050" cy="732528"/>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Household Income</a:t>
          </a:r>
        </a:p>
      </cdr:txBody>
    </cdr:sp>
  </cdr:relSizeAnchor>
  <cdr:relSizeAnchor xmlns:cdr="http://schemas.openxmlformats.org/drawingml/2006/chartDrawing">
    <cdr:from>
      <cdr:x>0</cdr:x>
      <cdr:y>0.58768</cdr:y>
    </cdr:from>
    <cdr:to>
      <cdr:x>0.07292</cdr:x>
      <cdr:y>0.68541</cdr:y>
    </cdr:to>
    <cdr:sp macro="" textlink="">
      <cdr:nvSpPr>
        <cdr:cNvPr id="7" name="TextBox 1"/>
        <cdr:cNvSpPr txBox="1"/>
      </cdr:nvSpPr>
      <cdr:spPr>
        <a:xfrm xmlns:a="http://schemas.openxmlformats.org/drawingml/2006/main">
          <a:off x="0" y="4181475"/>
          <a:ext cx="400050" cy="695325"/>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t>Smoking Status</a:t>
          </a:r>
        </a:p>
      </cdr:txBody>
    </cdr:sp>
  </cdr:relSizeAnchor>
  <cdr:relSizeAnchor xmlns:cdr="http://schemas.openxmlformats.org/drawingml/2006/chartDrawing">
    <cdr:from>
      <cdr:x>0</cdr:x>
      <cdr:y>0.68318</cdr:y>
    </cdr:from>
    <cdr:to>
      <cdr:x>0.05208</cdr:x>
      <cdr:y>0.77108</cdr:y>
    </cdr:to>
    <cdr:sp macro="" textlink="">
      <cdr:nvSpPr>
        <cdr:cNvPr id="8" name="TextBox 1"/>
        <cdr:cNvSpPr txBox="1"/>
      </cdr:nvSpPr>
      <cdr:spPr>
        <a:xfrm xmlns:a="http://schemas.openxmlformats.org/drawingml/2006/main">
          <a:off x="0" y="4860925"/>
          <a:ext cx="285750" cy="625476"/>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Disability</a:t>
          </a:r>
        </a:p>
      </cdr:txBody>
    </cdr:sp>
  </cdr:relSizeAnchor>
  <cdr:relSizeAnchor xmlns:cdr="http://schemas.openxmlformats.org/drawingml/2006/chartDrawing">
    <cdr:from>
      <cdr:x>0</cdr:x>
      <cdr:y>0.76751</cdr:y>
    </cdr:from>
    <cdr:to>
      <cdr:x>0.05208</cdr:x>
      <cdr:y>0.85542</cdr:y>
    </cdr:to>
    <cdr:sp macro="" textlink="">
      <cdr:nvSpPr>
        <cdr:cNvPr id="9" name="TextBox 1"/>
        <cdr:cNvSpPr txBox="1"/>
      </cdr:nvSpPr>
      <cdr:spPr>
        <a:xfrm xmlns:a="http://schemas.openxmlformats.org/drawingml/2006/main">
          <a:off x="0" y="5461000"/>
          <a:ext cx="285750" cy="625476"/>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Weight</a:t>
          </a:r>
        </a:p>
      </cdr:txBody>
    </cdr:sp>
  </cdr:relSizeAnchor>
  <cdr:relSizeAnchor xmlns:cdr="http://schemas.openxmlformats.org/drawingml/2006/chartDrawing">
    <cdr:from>
      <cdr:x>0</cdr:x>
      <cdr:y>0.83579</cdr:y>
    </cdr:from>
    <cdr:to>
      <cdr:x>0.05208</cdr:x>
      <cdr:y>0.95315</cdr:y>
    </cdr:to>
    <cdr:sp macro="" textlink="">
      <cdr:nvSpPr>
        <cdr:cNvPr id="10" name="TextBox 1"/>
        <cdr:cNvSpPr txBox="1"/>
      </cdr:nvSpPr>
      <cdr:spPr>
        <a:xfrm xmlns:a="http://schemas.openxmlformats.org/drawingml/2006/main">
          <a:off x="0" y="5946775"/>
          <a:ext cx="285750" cy="835026"/>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t>Community</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0.08976</cdr:y>
    </cdr:from>
    <cdr:to>
      <cdr:x>0.06098</cdr:x>
      <cdr:y>0.18093</cdr:y>
    </cdr:to>
    <cdr:sp macro="" textlink="">
      <cdr:nvSpPr>
        <cdr:cNvPr id="2" name="TextBox 1"/>
        <cdr:cNvSpPr txBox="1"/>
      </cdr:nvSpPr>
      <cdr:spPr>
        <a:xfrm xmlns:a="http://schemas.openxmlformats.org/drawingml/2006/main">
          <a:off x="0" y="609601"/>
          <a:ext cx="285750" cy="619125"/>
        </a:xfrm>
        <a:prstGeom xmlns:a="http://schemas.openxmlformats.org/drawingml/2006/main" prst="rect">
          <a:avLst/>
        </a:prstGeom>
      </cdr:spPr>
      <cdr:txBody>
        <a:bodyPr xmlns:a="http://schemas.openxmlformats.org/drawingml/2006/main" vertOverflow="clip" vert="vert270" wrap="square" rtlCol="0" anchor="b" anchorCtr="1"/>
        <a:lstStyle xmlns:a="http://schemas.openxmlformats.org/drawingml/2006/main"/>
        <a:p xmlns:a="http://schemas.openxmlformats.org/drawingml/2006/main">
          <a:r>
            <a:rPr lang="en-US" sz="1100" b="1"/>
            <a:t>Sex</a:t>
          </a:r>
        </a:p>
      </cdr:txBody>
    </cdr:sp>
  </cdr:relSizeAnchor>
  <cdr:relSizeAnchor xmlns:cdr="http://schemas.openxmlformats.org/drawingml/2006/chartDrawing">
    <cdr:from>
      <cdr:x>0</cdr:x>
      <cdr:y>0.20804</cdr:y>
    </cdr:from>
    <cdr:to>
      <cdr:x>0.06098</cdr:x>
      <cdr:y>0.32118</cdr:y>
    </cdr:to>
    <cdr:sp macro="" textlink="">
      <cdr:nvSpPr>
        <cdr:cNvPr id="3" name="TextBox 1"/>
        <cdr:cNvSpPr txBox="1"/>
      </cdr:nvSpPr>
      <cdr:spPr>
        <a:xfrm xmlns:a="http://schemas.openxmlformats.org/drawingml/2006/main">
          <a:off x="0" y="1412875"/>
          <a:ext cx="285750" cy="768351"/>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Age Group</a:t>
          </a:r>
        </a:p>
      </cdr:txBody>
    </cdr:sp>
  </cdr:relSizeAnchor>
  <cdr:relSizeAnchor xmlns:cdr="http://schemas.openxmlformats.org/drawingml/2006/chartDrawing">
    <cdr:from>
      <cdr:x>0</cdr:x>
      <cdr:y>0.33567</cdr:y>
    </cdr:from>
    <cdr:to>
      <cdr:x>0.06098</cdr:x>
      <cdr:y>0.48808</cdr:y>
    </cdr:to>
    <cdr:sp macro="" textlink="">
      <cdr:nvSpPr>
        <cdr:cNvPr id="4" name="TextBox 1"/>
        <cdr:cNvSpPr txBox="1"/>
      </cdr:nvSpPr>
      <cdr:spPr>
        <a:xfrm xmlns:a="http://schemas.openxmlformats.org/drawingml/2006/main">
          <a:off x="0" y="2279650"/>
          <a:ext cx="285750" cy="1035051"/>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Race/Ethnicity</a:t>
          </a:r>
        </a:p>
      </cdr:txBody>
    </cdr:sp>
  </cdr:relSizeAnchor>
  <cdr:relSizeAnchor xmlns:cdr="http://schemas.openxmlformats.org/drawingml/2006/chartDrawing">
    <cdr:from>
      <cdr:x>0</cdr:x>
      <cdr:y>0.48574</cdr:y>
    </cdr:from>
    <cdr:to>
      <cdr:x>0.06098</cdr:x>
      <cdr:y>0.63815</cdr:y>
    </cdr:to>
    <cdr:sp macro="" textlink="">
      <cdr:nvSpPr>
        <cdr:cNvPr id="5" name="TextBox 1"/>
        <cdr:cNvSpPr txBox="1"/>
      </cdr:nvSpPr>
      <cdr:spPr>
        <a:xfrm xmlns:a="http://schemas.openxmlformats.org/drawingml/2006/main">
          <a:off x="0" y="3298825"/>
          <a:ext cx="285750" cy="1035051"/>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Education</a:t>
          </a:r>
        </a:p>
      </cdr:txBody>
    </cdr:sp>
  </cdr:relSizeAnchor>
  <cdr:relSizeAnchor xmlns:cdr="http://schemas.openxmlformats.org/drawingml/2006/chartDrawing">
    <cdr:from>
      <cdr:x>0</cdr:x>
      <cdr:y>0.63721</cdr:y>
    </cdr:from>
    <cdr:to>
      <cdr:x>0.09756</cdr:x>
      <cdr:y>0.78962</cdr:y>
    </cdr:to>
    <cdr:sp macro="" textlink="">
      <cdr:nvSpPr>
        <cdr:cNvPr id="6" name="TextBox 1"/>
        <cdr:cNvSpPr txBox="1"/>
      </cdr:nvSpPr>
      <cdr:spPr>
        <a:xfrm xmlns:a="http://schemas.openxmlformats.org/drawingml/2006/main">
          <a:off x="0" y="4448889"/>
          <a:ext cx="457200" cy="1064100"/>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Househoold Income</a:t>
          </a:r>
        </a:p>
      </cdr:txBody>
    </cdr:sp>
  </cdr:relSizeAnchor>
  <cdr:relSizeAnchor xmlns:cdr="http://schemas.openxmlformats.org/drawingml/2006/chartDrawing">
    <cdr:from>
      <cdr:x>0</cdr:x>
      <cdr:y>0.78588</cdr:y>
    </cdr:from>
    <cdr:to>
      <cdr:x>0.12805</cdr:x>
      <cdr:y>0.93829</cdr:y>
    </cdr:to>
    <cdr:sp macro="" textlink="">
      <cdr:nvSpPr>
        <cdr:cNvPr id="7" name="TextBox 1"/>
        <cdr:cNvSpPr txBox="1"/>
      </cdr:nvSpPr>
      <cdr:spPr>
        <a:xfrm xmlns:a="http://schemas.openxmlformats.org/drawingml/2006/main">
          <a:off x="0" y="5337175"/>
          <a:ext cx="600076" cy="1035051"/>
        </a:xfrm>
        <a:prstGeom xmlns:a="http://schemas.openxmlformats.org/drawingml/2006/main" prst="rect">
          <a:avLst/>
        </a:prstGeom>
      </cdr:spPr>
      <cdr:txBody>
        <a:bodyPr xmlns:a="http://schemas.openxmlformats.org/drawingml/2006/main" vert="vert270" wrap="square"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1"/>
            <a:t>Adult</a:t>
          </a:r>
          <a:r>
            <a:rPr lang="en-US" sz="1100" b="1" baseline="0"/>
            <a:t> Respondent's Smoking Status</a:t>
          </a:r>
          <a:endParaRPr lang="en-US" sz="1100" b="1"/>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0.07058</cdr:y>
    </cdr:from>
    <cdr:to>
      <cdr:x>0.06237</cdr:x>
      <cdr:y>0.15594</cdr:y>
    </cdr:to>
    <cdr:sp macro="" textlink="">
      <cdr:nvSpPr>
        <cdr:cNvPr id="2" name="TextBox 1"/>
        <cdr:cNvSpPr txBox="1"/>
      </cdr:nvSpPr>
      <cdr:spPr>
        <a:xfrm xmlns:a="http://schemas.openxmlformats.org/drawingml/2006/main">
          <a:off x="0" y="469900"/>
          <a:ext cx="285750" cy="568324"/>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Sex</a:t>
          </a:r>
        </a:p>
      </cdr:txBody>
    </cdr:sp>
  </cdr:relSizeAnchor>
  <cdr:relSizeAnchor xmlns:cdr="http://schemas.openxmlformats.org/drawingml/2006/chartDrawing">
    <cdr:from>
      <cdr:x>0</cdr:x>
      <cdr:y>0.20505</cdr:y>
    </cdr:from>
    <cdr:to>
      <cdr:x>0.06237</cdr:x>
      <cdr:y>0.32046</cdr:y>
    </cdr:to>
    <cdr:sp macro="" textlink="">
      <cdr:nvSpPr>
        <cdr:cNvPr id="3" name="TextBox 1"/>
        <cdr:cNvSpPr txBox="1"/>
      </cdr:nvSpPr>
      <cdr:spPr>
        <a:xfrm xmlns:a="http://schemas.openxmlformats.org/drawingml/2006/main">
          <a:off x="0" y="1365249"/>
          <a:ext cx="285750" cy="768349"/>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Age Group</a:t>
          </a:r>
        </a:p>
      </cdr:txBody>
    </cdr:sp>
  </cdr:relSizeAnchor>
  <cdr:relSizeAnchor xmlns:cdr="http://schemas.openxmlformats.org/drawingml/2006/chartDrawing">
    <cdr:from>
      <cdr:x>0</cdr:x>
      <cdr:y>0.34669</cdr:y>
    </cdr:from>
    <cdr:to>
      <cdr:x>0.06237</cdr:x>
      <cdr:y>0.50072</cdr:y>
    </cdr:to>
    <cdr:sp macro="" textlink="">
      <cdr:nvSpPr>
        <cdr:cNvPr id="4" name="TextBox 1"/>
        <cdr:cNvSpPr txBox="1"/>
      </cdr:nvSpPr>
      <cdr:spPr>
        <a:xfrm xmlns:a="http://schemas.openxmlformats.org/drawingml/2006/main">
          <a:off x="0" y="2308225"/>
          <a:ext cx="285750" cy="1025524"/>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Race/Ethnicity</a:t>
          </a:r>
        </a:p>
      </cdr:txBody>
    </cdr:sp>
  </cdr:relSizeAnchor>
  <cdr:relSizeAnchor xmlns:cdr="http://schemas.openxmlformats.org/drawingml/2006/chartDrawing">
    <cdr:from>
      <cdr:x>0</cdr:x>
      <cdr:y>0.4969</cdr:y>
    </cdr:from>
    <cdr:to>
      <cdr:x>0.06237</cdr:x>
      <cdr:y>0.6309</cdr:y>
    </cdr:to>
    <cdr:sp macro="" textlink="">
      <cdr:nvSpPr>
        <cdr:cNvPr id="5" name="TextBox 1"/>
        <cdr:cNvSpPr txBox="1"/>
      </cdr:nvSpPr>
      <cdr:spPr>
        <a:xfrm xmlns:a="http://schemas.openxmlformats.org/drawingml/2006/main">
          <a:off x="0" y="3308350"/>
          <a:ext cx="285750" cy="892174"/>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Education</a:t>
          </a:r>
        </a:p>
      </cdr:txBody>
    </cdr:sp>
  </cdr:relSizeAnchor>
  <cdr:relSizeAnchor xmlns:cdr="http://schemas.openxmlformats.org/drawingml/2006/chartDrawing">
    <cdr:from>
      <cdr:x>0</cdr:x>
      <cdr:y>0.68574</cdr:y>
    </cdr:from>
    <cdr:to>
      <cdr:x>0.09355</cdr:x>
      <cdr:y>0.81974</cdr:y>
    </cdr:to>
    <cdr:sp macro="" textlink="">
      <cdr:nvSpPr>
        <cdr:cNvPr id="6" name="TextBox 1"/>
        <cdr:cNvSpPr txBox="1"/>
      </cdr:nvSpPr>
      <cdr:spPr>
        <a:xfrm xmlns:a="http://schemas.openxmlformats.org/drawingml/2006/main">
          <a:off x="0" y="4565204"/>
          <a:ext cx="428624" cy="892084"/>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Household Income</a:t>
          </a:r>
        </a:p>
      </cdr:txBody>
    </cdr:sp>
  </cdr:relSizeAnchor>
  <cdr:relSizeAnchor xmlns:cdr="http://schemas.openxmlformats.org/drawingml/2006/chartDrawing">
    <cdr:from>
      <cdr:x>0</cdr:x>
      <cdr:y>0.82594</cdr:y>
    </cdr:from>
    <cdr:to>
      <cdr:x>0.06237</cdr:x>
      <cdr:y>0.94707</cdr:y>
    </cdr:to>
    <cdr:sp macro="" textlink="">
      <cdr:nvSpPr>
        <cdr:cNvPr id="7" name="TextBox 1"/>
        <cdr:cNvSpPr txBox="1"/>
      </cdr:nvSpPr>
      <cdr:spPr>
        <a:xfrm xmlns:a="http://schemas.openxmlformats.org/drawingml/2006/main">
          <a:off x="0" y="5499100"/>
          <a:ext cx="285750" cy="806449"/>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Disability</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E43F2-02F7-42EC-927C-65D90D2E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61</Pages>
  <Words>9656</Words>
  <Characters>55042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5</cp:revision>
  <cp:lastPrinted>2017-11-02T16:19:00Z</cp:lastPrinted>
  <dcterms:created xsi:type="dcterms:W3CDTF">2017-11-03T15:04:00Z</dcterms:created>
  <dcterms:modified xsi:type="dcterms:W3CDTF">2017-11-03T16:36:00Z</dcterms:modified>
</cp:coreProperties>
</file>