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drawings/drawing1.xml" ContentType="application/vnd.openxmlformats-officedocument.drawingml.chartshapes+xml"/>
  <Override PartName="/word/charts/chart2.xml" ContentType="application/vnd.openxmlformats-officedocument.drawingml.chart+xml"/>
  <Override PartName="/word/theme/themeOverride2.xml" ContentType="application/vnd.openxmlformats-officedocument.themeOverride+xml"/>
  <Override PartName="/word/drawings/drawing2.xml" ContentType="application/vnd.openxmlformats-officedocument.drawingml.chartshapes+xml"/>
  <Override PartName="/word/charts/chart3.xml" ContentType="application/vnd.openxmlformats-officedocument.drawingml.chart+xml"/>
  <Override PartName="/word/theme/themeOverride3.xml" ContentType="application/vnd.openxmlformats-officedocument.themeOverride+xml"/>
  <Override PartName="/word/drawings/drawing3.xml" ContentType="application/vnd.openxmlformats-officedocument.drawingml.chartshapes+xml"/>
  <Override PartName="/word/charts/chart4.xml" ContentType="application/vnd.openxmlformats-officedocument.drawingml.chart+xml"/>
  <Override PartName="/word/theme/themeOverride4.xml" ContentType="application/vnd.openxmlformats-officedocument.themeOverride+xml"/>
  <Override PartName="/word/drawings/drawing4.xml" ContentType="application/vnd.openxmlformats-officedocument.drawingml.chartshapes+xml"/>
  <Override PartName="/word/charts/chart5.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5.xml" ContentType="application/vnd.openxmlformats-officedocument.themeOverride+xml"/>
  <Override PartName="/word/drawings/drawing5.xml" ContentType="application/vnd.openxmlformats-officedocument.drawingml.chartshapes+xml"/>
  <Override PartName="/word/charts/chart6.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6.xml" ContentType="application/vnd.openxmlformats-officedocument.themeOverride+xml"/>
  <Override PartName="/word/drawings/drawing6.xml" ContentType="application/vnd.openxmlformats-officedocument.drawingml.chartshapes+xml"/>
  <Override PartName="/word/charts/chart7.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7.xml" ContentType="application/vnd.openxmlformats-officedocument.themeOverride+xml"/>
  <Override PartName="/word/drawings/drawing7.xml" ContentType="application/vnd.openxmlformats-officedocument.drawingml.chartshapes+xml"/>
  <Override PartName="/word/charts/chart8.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8.xml" ContentType="application/vnd.openxmlformats-officedocument.themeOverride+xml"/>
  <Override PartName="/word/drawings/drawing8.xml" ContentType="application/vnd.openxmlformats-officedocument.drawingml.chartshapes+xml"/>
  <Override PartName="/word/charts/chart9.xml" ContentType="application/vnd.openxmlformats-officedocument.drawingml.chart+xml"/>
  <Override PartName="/word/charts/style6.xml" ContentType="application/vnd.ms-office.chartstyle+xml"/>
  <Override PartName="/word/charts/colors6.xml" ContentType="application/vnd.ms-office.chartcolorstyle+xml"/>
  <Override PartName="/word/theme/themeOverride9.xml" ContentType="application/vnd.openxmlformats-officedocument.themeOverride+xml"/>
  <Override PartName="/word/drawings/drawing9.xml" ContentType="application/vnd.openxmlformats-officedocument.drawingml.chartshapes+xml"/>
  <Override PartName="/word/charts/chart10.xml" ContentType="application/vnd.openxmlformats-officedocument.drawingml.chart+xml"/>
  <Override PartName="/word/charts/style7.xml" ContentType="application/vnd.ms-office.chartstyle+xml"/>
  <Override PartName="/word/charts/colors7.xml" ContentType="application/vnd.ms-office.chartcolorstyle+xml"/>
  <Override PartName="/word/theme/themeOverride10.xml" ContentType="application/vnd.openxmlformats-officedocument.themeOverride+xml"/>
  <Override PartName="/word/drawings/drawing10.xml" ContentType="application/vnd.openxmlformats-officedocument.drawingml.chartshapes+xml"/>
  <Override PartName="/word/charts/chart11.xml" ContentType="application/vnd.openxmlformats-officedocument.drawingml.chart+xml"/>
  <Override PartName="/word/theme/themeOverride11.xml" ContentType="application/vnd.openxmlformats-officedocument.themeOverride+xml"/>
  <Override PartName="/word/drawings/drawing11.xml" ContentType="application/vnd.openxmlformats-officedocument.drawingml.chartshapes+xml"/>
  <Override PartName="/word/charts/chart12.xml" ContentType="application/vnd.openxmlformats-officedocument.drawingml.chart+xml"/>
  <Override PartName="/word/charts/style8.xml" ContentType="application/vnd.ms-office.chartstyle+xml"/>
  <Override PartName="/word/charts/colors8.xml" ContentType="application/vnd.ms-office.chartcolorstyle+xml"/>
  <Override PartName="/word/theme/themeOverride12.xml" ContentType="application/vnd.openxmlformats-officedocument.themeOverride+xml"/>
  <Override PartName="/word/drawings/drawing12.xml" ContentType="application/vnd.openxmlformats-officedocument.drawingml.chartshapes+xml"/>
  <Override PartName="/word/charts/chart13.xml" ContentType="application/vnd.openxmlformats-officedocument.drawingml.chart+xml"/>
  <Override PartName="/word/charts/style9.xml" ContentType="application/vnd.ms-office.chartstyle+xml"/>
  <Override PartName="/word/charts/colors9.xml" ContentType="application/vnd.ms-office.chartcolorstyle+xml"/>
  <Override PartName="/word/theme/themeOverride13.xml" ContentType="application/vnd.openxmlformats-officedocument.themeOverride+xml"/>
  <Override PartName="/word/drawings/drawing13.xml" ContentType="application/vnd.openxmlformats-officedocument.drawingml.chartshapes+xml"/>
  <Override PartName="/word/charts/chart14.xml" ContentType="application/vnd.openxmlformats-officedocument.drawingml.chart+xml"/>
  <Override PartName="/word/theme/themeOverride14.xml" ContentType="application/vnd.openxmlformats-officedocument.themeOverride+xml"/>
  <Override PartName="/word/drawings/drawing14.xml" ContentType="application/vnd.openxmlformats-officedocument.drawingml.chartshapes+xml"/>
  <Override PartName="/word/charts/chart15.xml" ContentType="application/vnd.openxmlformats-officedocument.drawingml.chart+xml"/>
  <Override PartName="/word/charts/style10.xml" ContentType="application/vnd.ms-office.chartstyle+xml"/>
  <Override PartName="/word/charts/colors10.xml" ContentType="application/vnd.ms-office.chartcolorstyle+xml"/>
  <Override PartName="/word/theme/themeOverride15.xml" ContentType="application/vnd.openxmlformats-officedocument.themeOverride+xml"/>
  <Override PartName="/word/drawings/drawing15.xml" ContentType="application/vnd.openxmlformats-officedocument.drawingml.chartshap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W w:w="9911" w:type="dxa"/>
        <w:tblInd w:w="-105" w:type="dxa"/>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Look w:val="04A0" w:firstRow="1" w:lastRow="0" w:firstColumn="1" w:lastColumn="0" w:noHBand="0" w:noVBand="1"/>
        <w:tblCaption w:val="Header - Data Brief: Childhood Lead Exposure in Massachusetts June 2016"/>
      </w:tblPr>
      <w:tblGrid>
        <w:gridCol w:w="9911"/>
      </w:tblGrid>
      <w:tr w:rsidR="00121050" w:rsidRPr="00D54D10" w14:paraId="1498C50F" w14:textId="77777777" w:rsidTr="5B613D93">
        <w:trPr>
          <w:trHeight w:val="1805"/>
        </w:trPr>
        <w:tc>
          <w:tcPr>
            <w:tcW w:w="9911"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1F497D"/>
          </w:tcPr>
          <w:p w14:paraId="38F993B0" w14:textId="2BBB9A3C" w:rsidR="00D54D10" w:rsidRPr="00D54D10" w:rsidRDefault="00D54D10" w:rsidP="6395B5EC">
            <w:pPr>
              <w:keepNext/>
              <w:keepLines/>
              <w:spacing w:before="480" w:line="276" w:lineRule="auto"/>
              <w:outlineLvl w:val="0"/>
              <w:rPr>
                <w:rFonts w:ascii="Cambria" w:hAnsi="Cambria"/>
                <w:b/>
                <w:bCs/>
                <w:color w:val="365F91"/>
                <w:sz w:val="28"/>
                <w:szCs w:val="28"/>
              </w:rPr>
            </w:pPr>
            <w:r w:rsidRPr="00D54D10">
              <w:rPr>
                <w:rFonts w:ascii="Cambria" w:hAnsi="Cambria" w:cs="Arial"/>
                <w:b/>
                <w:bCs/>
                <w:noProof/>
                <w:color w:val="365F91"/>
                <w:sz w:val="20"/>
                <w:szCs w:val="28"/>
              </w:rPr>
              <mc:AlternateContent>
                <mc:Choice Requires="wps">
                  <w:drawing>
                    <wp:anchor distT="0" distB="0" distL="114300" distR="114300" simplePos="0" relativeHeight="251658240" behindDoc="0" locked="0" layoutInCell="1" allowOverlap="1" wp14:anchorId="09A34977" wp14:editId="02D0D322">
                      <wp:simplePos x="0" y="0"/>
                      <wp:positionH relativeFrom="column">
                        <wp:posOffset>1150620</wp:posOffset>
                      </wp:positionH>
                      <wp:positionV relativeFrom="paragraph">
                        <wp:posOffset>30480</wp:posOffset>
                      </wp:positionV>
                      <wp:extent cx="4965700" cy="1327785"/>
                      <wp:effectExtent l="0" t="0" r="0" b="5715"/>
                      <wp:wrapNone/>
                      <wp:docPr id="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965700" cy="1327785"/>
                              </a:xfrm>
                              <a:prstGeom prst="rect">
                                <a:avLst/>
                              </a:prstGeom>
                              <a:noFill/>
                              <a:ln>
                                <a:noFill/>
                              </a:ln>
                              <a:effectLst/>
                            </wps:spPr>
                            <wps:txbx>
                              <w:txbxContent>
                                <w:p w14:paraId="7458A4B7" w14:textId="6E36AB3B" w:rsidR="00D54D10" w:rsidRPr="00BA2E18" w:rsidRDefault="00D54D10" w:rsidP="00BA2E18">
                                  <w:pPr>
                                    <w:spacing w:after="0" w:line="240" w:lineRule="auto"/>
                                    <w:rPr>
                                      <w:b/>
                                      <w:bCs/>
                                      <w:color w:val="FFFFFF" w:themeColor="background1"/>
                                      <w:sz w:val="34"/>
                                      <w:szCs w:val="34"/>
                                    </w:rPr>
                                  </w:pPr>
                                  <w:r>
                                    <w:rPr>
                                      <w:rFonts w:cs="Arial"/>
                                      <w:b/>
                                      <w:color w:val="FFCC66"/>
                                      <w:sz w:val="56"/>
                                      <w:szCs w:val="52"/>
                                    </w:rPr>
                                    <w:t>Data Brief</w:t>
                                  </w:r>
                                  <w:r w:rsidRPr="00D54D10">
                                    <w:rPr>
                                      <w:rFonts w:cs="Arial"/>
                                      <w:b/>
                                      <w:color w:val="FFFFFF"/>
                                      <w:sz w:val="56"/>
                                      <w:szCs w:val="52"/>
                                    </w:rPr>
                                    <w:t xml:space="preserve"> </w:t>
                                  </w:r>
                                  <w:r w:rsidRPr="00D54D10">
                                    <w:rPr>
                                      <w:rFonts w:cs="Arial"/>
                                      <w:b/>
                                      <w:color w:val="FFFFFF"/>
                                      <w:sz w:val="36"/>
                                      <w:szCs w:val="36"/>
                                    </w:rPr>
                                    <w:br/>
                                  </w:r>
                                  <w:r w:rsidR="00EA32A9" w:rsidRPr="00E313E7">
                                    <w:rPr>
                                      <w:b/>
                                      <w:bCs/>
                                      <w:color w:val="FFFFFF" w:themeColor="background1"/>
                                      <w:sz w:val="34"/>
                                      <w:szCs w:val="34"/>
                                    </w:rPr>
                                    <w:t>Characteristics of non</w:t>
                                  </w:r>
                                  <w:r w:rsidR="00E13FBE">
                                    <w:rPr>
                                      <w:b/>
                                      <w:bCs/>
                                      <w:color w:val="FFFFFF" w:themeColor="background1"/>
                                      <w:sz w:val="34"/>
                                      <w:szCs w:val="34"/>
                                    </w:rPr>
                                    <w:t>-</w:t>
                                  </w:r>
                                  <w:r w:rsidR="00EA32A9" w:rsidRPr="00E313E7">
                                    <w:rPr>
                                      <w:b/>
                                      <w:bCs/>
                                      <w:color w:val="FFFFFF" w:themeColor="background1"/>
                                      <w:sz w:val="34"/>
                                      <w:szCs w:val="34"/>
                                    </w:rPr>
                                    <w:t>fatal opioid-related overdoses among</w:t>
                                  </w:r>
                                  <w:r w:rsidR="00BA2E18">
                                    <w:rPr>
                                      <w:b/>
                                      <w:bCs/>
                                      <w:color w:val="FFFFFF" w:themeColor="background1"/>
                                      <w:sz w:val="34"/>
                                      <w:szCs w:val="34"/>
                                    </w:rPr>
                                    <w:t xml:space="preserve"> </w:t>
                                  </w:r>
                                  <w:r w:rsidR="00EA32A9" w:rsidRPr="00E313E7">
                                    <w:rPr>
                                      <w:b/>
                                      <w:bCs/>
                                      <w:color w:val="FFFFFF" w:themeColor="background1"/>
                                      <w:sz w:val="34"/>
                                      <w:szCs w:val="34"/>
                                    </w:rPr>
                                    <w:t>Massachusetts residents, 2013-202</w:t>
                                  </w:r>
                                  <w:r w:rsidR="00BD1414">
                                    <w:rPr>
                                      <w:b/>
                                      <w:bCs/>
                                      <w:color w:val="FFFFFF" w:themeColor="background1"/>
                                      <w:sz w:val="34"/>
                                      <w:szCs w:val="34"/>
                                    </w:rPr>
                                    <w:t>1</w:t>
                                  </w:r>
                                  <w:r w:rsidR="00EA32A9" w:rsidRPr="00E313E7">
                                    <w:rPr>
                                      <w:b/>
                                      <w:bCs/>
                                      <w:color w:val="FFFFFF" w:themeColor="background1"/>
                                      <w:sz w:val="34"/>
                                      <w:szCs w:val="34"/>
                                    </w:rPr>
                                    <w:t>.</w:t>
                                  </w:r>
                                </w:p>
                                <w:p w14:paraId="07B4063B" w14:textId="77777777" w:rsidR="00D54D10" w:rsidRPr="00D54D10" w:rsidRDefault="00D54D10" w:rsidP="00D54D10">
                                  <w:pPr>
                                    <w:rPr>
                                      <w:rFonts w:cs="Arial"/>
                                      <w:b/>
                                      <w:i/>
                                      <w:color w:val="FFFFFF"/>
                                      <w:sz w:val="36"/>
                                      <w:szCs w:val="3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09A34977" id="_x0000_t202" coordsize="21600,21600" o:spt="202" path="m,l,21600r21600,l21600,xe">
                      <v:stroke joinstyle="miter"/>
                      <v:path gradientshapeok="t" o:connecttype="rect"/>
                    </v:shapetype>
                    <v:shape id="Text Box 16" o:spid="_x0000_s1026" type="#_x0000_t202" style="position:absolute;margin-left:90.6pt;margin-top:2.4pt;width:391pt;height:104.5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" filled="f" stroked="f">
                      <v:textbox>
                        <w:txbxContent>
                          <w:p w14:paraId="7458A4B7" w14:textId="6E36AB3B" w:rsidR="00D54D10" w:rsidRPr="00BA2E18" w:rsidRDefault="00D54D10" w:rsidP="00BA2E18">
                            <w:pPr>
                              <w:spacing w:after="0" w:line="240" w:lineRule="auto"/>
                              <w:rPr>
                                <w:b/>
                                <w:bCs/>
                                <w:color w:val="FFFFFF" w:themeColor="background1"/>
                                <w:sz w:val="34"/>
                                <w:szCs w:val="34"/>
                              </w:rPr>
                            </w:pPr>
                            <w:r>
                              <w:rPr>
                                <w:rFonts w:cs="Arial"/>
                                <w:b/>
                                <w:color w:val="FFCC66"/>
                                <w:sz w:val="56"/>
                                <w:szCs w:val="52"/>
                              </w:rPr>
                              <w:t>Data Brief</w:t>
                            </w:r>
                            <w:r w:rsidRPr="00D54D10">
                              <w:rPr>
                                <w:rFonts w:cs="Arial"/>
                                <w:b/>
                                <w:color w:val="FFFFFF"/>
                                <w:sz w:val="56"/>
                                <w:szCs w:val="52"/>
                              </w:rPr>
                              <w:t xml:space="preserve"> </w:t>
                            </w:r>
                            <w:r w:rsidRPr="00D54D10">
                              <w:rPr>
                                <w:rFonts w:cs="Arial"/>
                                <w:b/>
                                <w:color w:val="FFFFFF"/>
                                <w:sz w:val="36"/>
                                <w:szCs w:val="36"/>
                              </w:rPr>
                              <w:br/>
                            </w:r>
                            <w:r w:rsidR="00EA32A9" w:rsidRPr="00E313E7">
                              <w:rPr>
                                <w:b/>
                                <w:bCs/>
                                <w:color w:val="FFFFFF" w:themeColor="background1"/>
                                <w:sz w:val="34"/>
                                <w:szCs w:val="34"/>
                              </w:rPr>
                              <w:t>Characteristics of non</w:t>
                            </w:r>
                            <w:r w:rsidR="00E13FBE">
                              <w:rPr>
                                <w:b/>
                                <w:bCs/>
                                <w:color w:val="FFFFFF" w:themeColor="background1"/>
                                <w:sz w:val="34"/>
                                <w:szCs w:val="34"/>
                              </w:rPr>
                              <w:t>-</w:t>
                            </w:r>
                            <w:r w:rsidR="00EA32A9" w:rsidRPr="00E313E7">
                              <w:rPr>
                                <w:b/>
                                <w:bCs/>
                                <w:color w:val="FFFFFF" w:themeColor="background1"/>
                                <w:sz w:val="34"/>
                                <w:szCs w:val="34"/>
                              </w:rPr>
                              <w:t>fatal opioid-related overdoses among</w:t>
                            </w:r>
                            <w:r w:rsidR="00BA2E18">
                              <w:rPr>
                                <w:b/>
                                <w:bCs/>
                                <w:color w:val="FFFFFF" w:themeColor="background1"/>
                                <w:sz w:val="34"/>
                                <w:szCs w:val="34"/>
                              </w:rPr>
                              <w:t xml:space="preserve"> </w:t>
                            </w:r>
                            <w:r w:rsidR="00EA32A9" w:rsidRPr="00E313E7">
                              <w:rPr>
                                <w:b/>
                                <w:bCs/>
                                <w:color w:val="FFFFFF" w:themeColor="background1"/>
                                <w:sz w:val="34"/>
                                <w:szCs w:val="34"/>
                              </w:rPr>
                              <w:t>Massachusetts residents, 2013-202</w:t>
                            </w:r>
                            <w:r w:rsidR="00BD1414">
                              <w:rPr>
                                <w:b/>
                                <w:bCs/>
                                <w:color w:val="FFFFFF" w:themeColor="background1"/>
                                <w:sz w:val="34"/>
                                <w:szCs w:val="34"/>
                              </w:rPr>
                              <w:t>1</w:t>
                            </w:r>
                            <w:r w:rsidR="00EA32A9" w:rsidRPr="00E313E7">
                              <w:rPr>
                                <w:b/>
                                <w:bCs/>
                                <w:color w:val="FFFFFF" w:themeColor="background1"/>
                                <w:sz w:val="34"/>
                                <w:szCs w:val="34"/>
                              </w:rPr>
                              <w:t>.</w:t>
                            </w:r>
                          </w:p>
                          <w:p w14:paraId="07B4063B" w14:textId="77777777" w:rsidR="00D54D10" w:rsidRPr="00D54D10" w:rsidRDefault="00D54D10" w:rsidP="00D54D10">
                            <w:pPr>
                              <w:rPr>
                                <w:rFonts w:cs="Arial"/>
                                <w:b/>
                                <w:i/>
                                <w:color w:val="FFFFFF"/>
                                <w:sz w:val="36"/>
                                <w:szCs w:val="34"/>
                              </w:rPr>
                            </w:pPr>
                          </w:p>
                        </w:txbxContent>
                      </v:textbox>
                    </v:shape>
                  </w:pict>
                </mc:Fallback>
              </mc:AlternateContent>
            </w:r>
            <w:r w:rsidRPr="00D54D10">
              <w:rPr>
                <w:rFonts w:ascii="Cambria" w:hAnsi="Cambria"/>
                <w:b/>
                <w:bCs/>
                <w:noProof/>
                <w:color w:val="365F91"/>
                <w:sz w:val="28"/>
                <w:szCs w:val="28"/>
              </w:rPr>
              <w:drawing>
                <wp:anchor distT="0" distB="0" distL="114300" distR="114300" simplePos="0" relativeHeight="251658241" behindDoc="0" locked="0" layoutInCell="1" allowOverlap="1" wp14:anchorId="1406F93A" wp14:editId="6A93F471">
                  <wp:simplePos x="0" y="0"/>
                  <wp:positionH relativeFrom="column">
                    <wp:posOffset>45720</wp:posOffset>
                  </wp:positionH>
                  <wp:positionV relativeFrom="paragraph">
                    <wp:posOffset>152400</wp:posOffset>
                  </wp:positionV>
                  <wp:extent cx="1012190" cy="1012190"/>
                  <wp:effectExtent l="0" t="0" r="0" b="0"/>
                  <wp:wrapNone/>
                  <wp:docPr id="18" name="Picture 18"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Logo&#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1012190" cy="1012190"/>
                          </a:xfrm>
                          <a:prstGeom prst="rect">
                            <a:avLst/>
                          </a:prstGeom>
                          <a:noFill/>
                        </pic:spPr>
                      </pic:pic>
                    </a:graphicData>
                  </a:graphic>
                  <wp14:sizeRelH relativeFrom="page">
                    <wp14:pctWidth>0</wp14:pctWidth>
                  </wp14:sizeRelH>
                  <wp14:sizeRelV relativeFrom="page">
                    <wp14:pctHeight>0</wp14:pctHeight>
                  </wp14:sizeRelV>
                </wp:anchor>
              </w:drawing>
            </w:r>
            <w:r w:rsidR="4140D064" w:rsidRPr="03CB9D46">
              <w:rPr>
                <w:rFonts w:ascii="Cambria" w:hAnsi="Cambria"/>
                <w:b/>
                <w:bCs/>
                <w:color w:val="365F91"/>
                <w:sz w:val="28"/>
                <w:szCs w:val="28"/>
              </w:rPr>
              <w:t xml:space="preserve">     </w:t>
            </w:r>
          </w:p>
          <w:p w14:paraId="205FC1C1" w14:textId="77777777" w:rsidR="00D54D10" w:rsidRPr="00D54D10" w:rsidRDefault="00D54D10" w:rsidP="00D54D10">
            <w:pPr>
              <w:keepNext/>
              <w:keepLines/>
              <w:spacing w:before="480" w:line="276" w:lineRule="auto"/>
              <w:outlineLvl w:val="0"/>
              <w:rPr>
                <w:rFonts w:ascii="Cambria" w:hAnsi="Cambria"/>
                <w:b/>
                <w:bCs/>
                <w:color w:val="365F91"/>
                <w:sz w:val="28"/>
                <w:szCs w:val="28"/>
              </w:rPr>
            </w:pPr>
          </w:p>
        </w:tc>
      </w:tr>
      <w:tr w:rsidR="002D0DC4" w:rsidRPr="00D54D10" w14:paraId="19B9D814" w14:textId="77777777" w:rsidTr="5B613D93">
        <w:trPr>
          <w:trHeight w:val="318"/>
        </w:trPr>
        <w:tc>
          <w:tcPr>
            <w:tcW w:w="9911"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1F497D"/>
            <w:vAlign w:val="center"/>
          </w:tcPr>
          <w:p w14:paraId="43CC8FEA" w14:textId="636B7254" w:rsidR="00D54D10" w:rsidRPr="00D54D10" w:rsidRDefault="00D54D10" w:rsidP="00D54D10">
            <w:pPr>
              <w:keepNext/>
              <w:keepLines/>
              <w:spacing w:line="276" w:lineRule="auto"/>
              <w:jc w:val="center"/>
              <w:outlineLvl w:val="0"/>
              <w:rPr>
                <w:rFonts w:ascii="Calibri" w:hAnsi="Calibri"/>
                <w:b/>
                <w:bCs/>
                <w:color w:val="FFFFFF"/>
              </w:rPr>
            </w:pPr>
            <w:r w:rsidRPr="5B613D93">
              <w:rPr>
                <w:rFonts w:ascii="Calibri" w:hAnsi="Calibri"/>
                <w:b/>
                <w:bCs/>
                <w:color w:val="FFFFFF" w:themeColor="background1"/>
              </w:rPr>
              <w:t xml:space="preserve">Massachusetts Department of Public Health                                                                Released: </w:t>
            </w:r>
            <w:r w:rsidR="00BA2E18" w:rsidRPr="5B613D93">
              <w:rPr>
                <w:rFonts w:ascii="Calibri" w:hAnsi="Calibri"/>
                <w:b/>
                <w:bCs/>
                <w:color w:val="FFFFFF" w:themeColor="background1"/>
              </w:rPr>
              <w:t>December</w:t>
            </w:r>
            <w:r w:rsidRPr="5B613D93">
              <w:rPr>
                <w:rFonts w:ascii="Calibri" w:hAnsi="Calibri"/>
                <w:b/>
                <w:bCs/>
                <w:color w:val="FFFFFF" w:themeColor="background1"/>
              </w:rPr>
              <w:t xml:space="preserve"> 2023</w:t>
            </w:r>
          </w:p>
        </w:tc>
      </w:tr>
    </w:tbl>
    <w:p w14:paraId="43D198D4" w14:textId="080D8E48" w:rsidR="007648CD" w:rsidRDefault="007648CD">
      <w:pPr>
        <w:rPr>
          <w:rFonts w:ascii="Segoe UI" w:hAnsi="Segoe UI" w:cs="Segoe UI"/>
          <w:b/>
          <w:bCs/>
          <w:color w:val="333333"/>
          <w:sz w:val="20"/>
          <w:szCs w:val="20"/>
          <w:shd w:val="clear" w:color="auto" w:fill="FFFFFF"/>
        </w:rPr>
      </w:pPr>
    </w:p>
    <w:p w14:paraId="649118CD" w14:textId="3164DDC2" w:rsidR="0088711D" w:rsidRPr="00C603CA" w:rsidRDefault="007648CD" w:rsidP="00C603CA">
      <w:pPr>
        <w:pStyle w:val="Heading2"/>
      </w:pPr>
      <w:r w:rsidRPr="00C603CA">
        <w:t xml:space="preserve">Background </w:t>
      </w:r>
    </w:p>
    <w:p w14:paraId="56CD0D15" w14:textId="35D90D81" w:rsidR="00C81E16" w:rsidRPr="00515B3B" w:rsidRDefault="443C572C" w:rsidP="009F61F6">
      <w:pPr>
        <w:spacing w:after="120" w:line="276" w:lineRule="auto"/>
        <w:rPr>
          <w:color w:val="333333"/>
          <w:sz w:val="24"/>
          <w:szCs w:val="24"/>
          <w:shd w:val="clear" w:color="auto" w:fill="FFFFFF"/>
        </w:rPr>
      </w:pPr>
      <w:r w:rsidRPr="00515B3B">
        <w:rPr>
          <w:color w:val="333333"/>
          <w:sz w:val="24"/>
          <w:szCs w:val="24"/>
          <w:shd w:val="clear" w:color="auto" w:fill="FFFFFF"/>
        </w:rPr>
        <w:t xml:space="preserve">The </w:t>
      </w:r>
      <w:r w:rsidR="00E313E7">
        <w:rPr>
          <w:color w:val="333333"/>
          <w:sz w:val="24"/>
          <w:szCs w:val="24"/>
          <w:shd w:val="clear" w:color="auto" w:fill="FFFFFF"/>
        </w:rPr>
        <w:t xml:space="preserve">ongoing </w:t>
      </w:r>
      <w:r w:rsidRPr="00515B3B">
        <w:rPr>
          <w:color w:val="333333"/>
          <w:sz w:val="24"/>
          <w:szCs w:val="24"/>
          <w:shd w:val="clear" w:color="auto" w:fill="FFFFFF"/>
        </w:rPr>
        <w:t xml:space="preserve">opioid overdose </w:t>
      </w:r>
      <w:r w:rsidR="00E313E7">
        <w:rPr>
          <w:color w:val="333333"/>
          <w:sz w:val="24"/>
          <w:szCs w:val="24"/>
          <w:shd w:val="clear" w:color="auto" w:fill="FFFFFF"/>
        </w:rPr>
        <w:t>crisis</w:t>
      </w:r>
      <w:r w:rsidRPr="00515B3B">
        <w:rPr>
          <w:color w:val="333333"/>
          <w:sz w:val="24"/>
          <w:szCs w:val="24"/>
          <w:shd w:val="clear" w:color="auto" w:fill="FFFFFF"/>
        </w:rPr>
        <w:t xml:space="preserve"> has claimed the lives of over 2</w:t>
      </w:r>
      <w:r w:rsidR="00C952FC" w:rsidRPr="00515B3B">
        <w:rPr>
          <w:color w:val="333333"/>
          <w:sz w:val="24"/>
          <w:szCs w:val="24"/>
          <w:shd w:val="clear" w:color="auto" w:fill="FFFFFF"/>
        </w:rPr>
        <w:t>5</w:t>
      </w:r>
      <w:r w:rsidRPr="00515B3B">
        <w:rPr>
          <w:color w:val="333333"/>
          <w:sz w:val="24"/>
          <w:szCs w:val="24"/>
          <w:shd w:val="clear" w:color="auto" w:fill="FFFFFF"/>
        </w:rPr>
        <w:t xml:space="preserve">,000 </w:t>
      </w:r>
      <w:r w:rsidR="00B03562" w:rsidRPr="00515B3B">
        <w:rPr>
          <w:color w:val="333333"/>
          <w:sz w:val="24"/>
          <w:szCs w:val="24"/>
          <w:shd w:val="clear" w:color="auto" w:fill="FFFFFF"/>
        </w:rPr>
        <w:t>people</w:t>
      </w:r>
      <w:r w:rsidRPr="00515B3B">
        <w:rPr>
          <w:color w:val="333333"/>
          <w:sz w:val="24"/>
          <w:szCs w:val="24"/>
          <w:shd w:val="clear" w:color="auto" w:fill="FFFFFF"/>
        </w:rPr>
        <w:t xml:space="preserve"> in Massachusetts</w:t>
      </w:r>
      <w:r w:rsidR="00F47A5C" w:rsidRPr="00515B3B">
        <w:rPr>
          <w:color w:val="333333"/>
          <w:sz w:val="24"/>
          <w:szCs w:val="24"/>
          <w:shd w:val="clear" w:color="auto" w:fill="FFFFFF"/>
        </w:rPr>
        <w:t xml:space="preserve"> </w:t>
      </w:r>
      <w:r w:rsidR="00F41786" w:rsidRPr="00515B3B">
        <w:rPr>
          <w:color w:val="333333"/>
          <w:sz w:val="24"/>
          <w:szCs w:val="24"/>
          <w:shd w:val="clear" w:color="auto" w:fill="FFFFFF"/>
        </w:rPr>
        <w:t>since 2000</w:t>
      </w:r>
      <w:r w:rsidR="009822F8" w:rsidRPr="00515B3B">
        <w:rPr>
          <w:color w:val="333333"/>
          <w:sz w:val="24"/>
          <w:szCs w:val="24"/>
        </w:rPr>
        <w:t>.</w:t>
      </w:r>
      <w:r w:rsidR="008335AD" w:rsidRPr="00515B3B">
        <w:rPr>
          <w:color w:val="333333"/>
          <w:sz w:val="24"/>
          <w:szCs w:val="24"/>
          <w:shd w:val="clear" w:color="auto" w:fill="FFFFFF"/>
        </w:rPr>
        <w:t xml:space="preserve"> </w:t>
      </w:r>
      <w:r w:rsidR="002F7AAA" w:rsidRPr="00515B3B">
        <w:rPr>
          <w:color w:val="333333"/>
          <w:sz w:val="24"/>
          <w:szCs w:val="24"/>
          <w:shd w:val="clear" w:color="auto" w:fill="FFFFFF"/>
        </w:rPr>
        <w:t>T</w:t>
      </w:r>
      <w:r w:rsidR="24164CEC" w:rsidRPr="00515B3B">
        <w:rPr>
          <w:color w:val="333333"/>
          <w:sz w:val="24"/>
          <w:szCs w:val="24"/>
          <w:shd w:val="clear" w:color="auto" w:fill="FFFFFF"/>
        </w:rPr>
        <w:t xml:space="preserve">he </w:t>
      </w:r>
      <w:r w:rsidR="6ECF8E03" w:rsidRPr="00515B3B">
        <w:rPr>
          <w:color w:val="333333"/>
          <w:sz w:val="24"/>
          <w:szCs w:val="24"/>
          <w:shd w:val="clear" w:color="auto" w:fill="FFFFFF"/>
        </w:rPr>
        <w:t>opioid</w:t>
      </w:r>
      <w:r w:rsidR="00EA66C0">
        <w:rPr>
          <w:color w:val="333333"/>
          <w:sz w:val="24"/>
          <w:szCs w:val="24"/>
          <w:shd w:val="clear" w:color="auto" w:fill="FFFFFF"/>
        </w:rPr>
        <w:t xml:space="preserve"> overdose</w:t>
      </w:r>
      <w:r w:rsidR="6ECF8E03" w:rsidRPr="00515B3B">
        <w:rPr>
          <w:color w:val="333333"/>
          <w:sz w:val="24"/>
          <w:szCs w:val="24"/>
          <w:shd w:val="clear" w:color="auto" w:fill="FFFFFF"/>
        </w:rPr>
        <w:t xml:space="preserve"> </w:t>
      </w:r>
      <w:r w:rsidRPr="00515B3B">
        <w:rPr>
          <w:color w:val="333333"/>
          <w:sz w:val="24"/>
          <w:szCs w:val="24"/>
          <w:shd w:val="clear" w:color="auto" w:fill="FFFFFF"/>
        </w:rPr>
        <w:t>death rate</w:t>
      </w:r>
      <w:r w:rsidR="0056593C" w:rsidRPr="00515B3B">
        <w:rPr>
          <w:color w:val="333333"/>
          <w:sz w:val="24"/>
          <w:szCs w:val="24"/>
          <w:shd w:val="clear" w:color="auto" w:fill="FFFFFF"/>
        </w:rPr>
        <w:t xml:space="preserve"> </w:t>
      </w:r>
      <w:r w:rsidR="009D28A8" w:rsidRPr="00515B3B">
        <w:rPr>
          <w:color w:val="333333"/>
          <w:sz w:val="24"/>
          <w:szCs w:val="24"/>
          <w:shd w:val="clear" w:color="auto" w:fill="FFFFFF"/>
        </w:rPr>
        <w:t xml:space="preserve">more than doubled </w:t>
      </w:r>
      <w:r w:rsidR="00F41786" w:rsidRPr="00515B3B">
        <w:rPr>
          <w:color w:val="333333"/>
          <w:sz w:val="24"/>
          <w:szCs w:val="24"/>
          <w:shd w:val="clear" w:color="auto" w:fill="FFFFFF"/>
        </w:rPr>
        <w:t xml:space="preserve">between 2013 and </w:t>
      </w:r>
      <w:r w:rsidR="006D58AE" w:rsidRPr="00515B3B">
        <w:rPr>
          <w:color w:val="333333"/>
          <w:sz w:val="24"/>
          <w:szCs w:val="24"/>
        </w:rPr>
        <w:t>20</w:t>
      </w:r>
      <w:r w:rsidR="005C0AB4">
        <w:rPr>
          <w:color w:val="333333"/>
          <w:sz w:val="24"/>
          <w:szCs w:val="24"/>
        </w:rPr>
        <w:t>2</w:t>
      </w:r>
      <w:r w:rsidR="006B5544">
        <w:rPr>
          <w:color w:val="333333"/>
          <w:sz w:val="24"/>
          <w:szCs w:val="24"/>
        </w:rPr>
        <w:t>2</w:t>
      </w:r>
      <w:r w:rsidR="00F41786" w:rsidRPr="00515B3B">
        <w:rPr>
          <w:color w:val="333333"/>
          <w:sz w:val="24"/>
          <w:szCs w:val="24"/>
          <w:shd w:val="clear" w:color="auto" w:fill="FFFFFF"/>
        </w:rPr>
        <w:t xml:space="preserve">, </w:t>
      </w:r>
      <w:r w:rsidR="1B2F7465" w:rsidRPr="00515B3B">
        <w:rPr>
          <w:color w:val="333333"/>
          <w:sz w:val="24"/>
          <w:szCs w:val="24"/>
          <w:shd w:val="clear" w:color="auto" w:fill="FFFFFF"/>
        </w:rPr>
        <w:t xml:space="preserve">from 14.2 </w:t>
      </w:r>
      <w:r w:rsidR="24164CEC" w:rsidRPr="00515B3B">
        <w:rPr>
          <w:color w:val="333333"/>
          <w:sz w:val="24"/>
          <w:szCs w:val="24"/>
          <w:shd w:val="clear" w:color="auto" w:fill="FFFFFF"/>
        </w:rPr>
        <w:t xml:space="preserve">to </w:t>
      </w:r>
      <w:r w:rsidRPr="00515B3B">
        <w:rPr>
          <w:color w:val="333333"/>
          <w:sz w:val="24"/>
          <w:szCs w:val="24"/>
          <w:shd w:val="clear" w:color="auto" w:fill="FFFFFF"/>
        </w:rPr>
        <w:t>3</w:t>
      </w:r>
      <w:r w:rsidR="00FE71FC">
        <w:rPr>
          <w:color w:val="333333"/>
          <w:sz w:val="24"/>
          <w:szCs w:val="24"/>
          <w:shd w:val="clear" w:color="auto" w:fill="FFFFFF"/>
        </w:rPr>
        <w:t>0.7</w:t>
      </w:r>
      <w:r w:rsidR="7BA2EFCD" w:rsidRPr="00515B3B">
        <w:rPr>
          <w:color w:val="333333"/>
          <w:sz w:val="24"/>
          <w:szCs w:val="24"/>
          <w:shd w:val="clear" w:color="auto" w:fill="FFFFFF"/>
        </w:rPr>
        <w:t xml:space="preserve"> deaths per 100,000</w:t>
      </w:r>
      <w:r w:rsidR="00F41786" w:rsidRPr="00515B3B">
        <w:rPr>
          <w:color w:val="333333"/>
          <w:sz w:val="24"/>
          <w:szCs w:val="24"/>
          <w:shd w:val="clear" w:color="auto" w:fill="FFFFFF"/>
        </w:rPr>
        <w:t xml:space="preserve"> residents</w:t>
      </w:r>
      <w:r w:rsidR="005C0AB4">
        <w:rPr>
          <w:color w:val="333333"/>
          <w:sz w:val="24"/>
          <w:szCs w:val="24"/>
          <w:shd w:val="clear" w:color="auto" w:fill="FFFFFF"/>
        </w:rPr>
        <w:t xml:space="preserve"> </w:t>
      </w:r>
      <w:r w:rsidR="0020023C">
        <w:rPr>
          <w:color w:val="333333"/>
          <w:sz w:val="24"/>
          <w:szCs w:val="24"/>
        </w:rPr>
        <w:t>to 33.</w:t>
      </w:r>
      <w:r w:rsidR="69952EED">
        <w:rPr>
          <w:color w:val="333333"/>
          <w:sz w:val="24"/>
          <w:szCs w:val="24"/>
        </w:rPr>
        <w:t>5</w:t>
      </w:r>
      <w:r w:rsidR="0020023C">
        <w:rPr>
          <w:color w:val="333333"/>
          <w:sz w:val="24"/>
          <w:szCs w:val="24"/>
        </w:rPr>
        <w:t xml:space="preserve"> per 100,000</w:t>
      </w:r>
      <w:r w:rsidR="005C0AB4">
        <w:rPr>
          <w:color w:val="333333"/>
          <w:sz w:val="24"/>
          <w:szCs w:val="24"/>
        </w:rPr>
        <w:t xml:space="preserve"> residents</w:t>
      </w:r>
      <w:r w:rsidR="007D655A">
        <w:rPr>
          <w:color w:val="333333"/>
          <w:sz w:val="24"/>
          <w:szCs w:val="24"/>
        </w:rPr>
        <w:t>.</w:t>
      </w:r>
      <w:r w:rsidR="00E60323" w:rsidRPr="00515B3B">
        <w:rPr>
          <w:rStyle w:val="FootnoteReference"/>
          <w:color w:val="333333"/>
          <w:sz w:val="24"/>
          <w:szCs w:val="24"/>
        </w:rPr>
        <w:footnoteReference w:id="2"/>
      </w:r>
      <w:r w:rsidR="005B075D" w:rsidRPr="00515B3B">
        <w:rPr>
          <w:rFonts w:ascii="Cambria" w:hAnsi="Cambria"/>
          <w:color w:val="212121"/>
          <w:sz w:val="24"/>
          <w:szCs w:val="24"/>
          <w:shd w:val="clear" w:color="auto" w:fill="FFFFFF"/>
        </w:rPr>
        <w:t xml:space="preserve"> </w:t>
      </w:r>
      <w:r w:rsidR="00B03562" w:rsidRPr="00515B3B">
        <w:rPr>
          <w:color w:val="212121"/>
          <w:sz w:val="24"/>
          <w:szCs w:val="24"/>
          <w:shd w:val="clear" w:color="auto" w:fill="FFFFFF"/>
        </w:rPr>
        <w:t>People</w:t>
      </w:r>
      <w:r w:rsidR="00460C77" w:rsidRPr="00515B3B">
        <w:rPr>
          <w:color w:val="212121"/>
          <w:sz w:val="24"/>
          <w:szCs w:val="24"/>
          <w:shd w:val="clear" w:color="auto" w:fill="FFFFFF"/>
        </w:rPr>
        <w:t xml:space="preserve"> who survive </w:t>
      </w:r>
      <w:r w:rsidR="00974FF6" w:rsidRPr="7C1A0934">
        <w:rPr>
          <w:color w:val="212121"/>
          <w:sz w:val="24"/>
          <w:szCs w:val="24"/>
        </w:rPr>
        <w:t xml:space="preserve">one </w:t>
      </w:r>
      <w:r w:rsidR="00460C77" w:rsidRPr="00515B3B">
        <w:rPr>
          <w:color w:val="212121"/>
          <w:sz w:val="24"/>
          <w:szCs w:val="24"/>
          <w:shd w:val="clear" w:color="auto" w:fill="FFFFFF"/>
        </w:rPr>
        <w:t xml:space="preserve">opioid overdose are at risk </w:t>
      </w:r>
      <w:r w:rsidR="008A3B55" w:rsidRPr="00515B3B">
        <w:rPr>
          <w:color w:val="212121"/>
          <w:sz w:val="24"/>
          <w:szCs w:val="24"/>
          <w:shd w:val="clear" w:color="auto" w:fill="FFFFFF"/>
        </w:rPr>
        <w:t xml:space="preserve">for </w:t>
      </w:r>
      <w:r w:rsidR="00441066" w:rsidRPr="00515B3B">
        <w:rPr>
          <w:color w:val="212121"/>
          <w:sz w:val="24"/>
          <w:szCs w:val="24"/>
          <w:shd w:val="clear" w:color="auto" w:fill="FFFFFF"/>
        </w:rPr>
        <w:t>a</w:t>
      </w:r>
      <w:r w:rsidR="00EB5168" w:rsidRPr="00515B3B">
        <w:rPr>
          <w:color w:val="212121"/>
          <w:sz w:val="24"/>
          <w:szCs w:val="24"/>
          <w:shd w:val="clear" w:color="auto" w:fill="FFFFFF"/>
        </w:rPr>
        <w:t>nother</w:t>
      </w:r>
      <w:r w:rsidR="00460C77" w:rsidRPr="00515B3B">
        <w:rPr>
          <w:color w:val="212121"/>
          <w:sz w:val="24"/>
          <w:szCs w:val="24"/>
          <w:shd w:val="clear" w:color="auto" w:fill="FFFFFF"/>
        </w:rPr>
        <w:t xml:space="preserve"> </w:t>
      </w:r>
      <w:r w:rsidR="00974FF6" w:rsidRPr="7C1A0934">
        <w:rPr>
          <w:color w:val="212121"/>
          <w:sz w:val="24"/>
          <w:szCs w:val="24"/>
        </w:rPr>
        <w:t xml:space="preserve">opioid </w:t>
      </w:r>
      <w:r w:rsidR="00460C77" w:rsidRPr="00515B3B">
        <w:rPr>
          <w:color w:val="212121"/>
          <w:sz w:val="24"/>
          <w:szCs w:val="24"/>
          <w:shd w:val="clear" w:color="auto" w:fill="FFFFFF"/>
        </w:rPr>
        <w:t>overdose</w:t>
      </w:r>
      <w:r w:rsidR="007D655A">
        <w:rPr>
          <w:color w:val="212121"/>
          <w:sz w:val="24"/>
          <w:szCs w:val="24"/>
          <w:shd w:val="clear" w:color="auto" w:fill="FFFFFF"/>
        </w:rPr>
        <w:t>.</w:t>
      </w:r>
      <w:r w:rsidRPr="00515B3B">
        <w:rPr>
          <w:rStyle w:val="FootnoteReference"/>
          <w:color w:val="212121"/>
          <w:sz w:val="24"/>
          <w:szCs w:val="24"/>
        </w:rPr>
        <w:footnoteReference w:id="3"/>
      </w:r>
      <w:r w:rsidR="009F61F6" w:rsidRPr="00515B3B">
        <w:rPr>
          <w:color w:val="212121"/>
          <w:sz w:val="24"/>
          <w:szCs w:val="24"/>
          <w:shd w:val="clear" w:color="auto" w:fill="FFFFFF"/>
          <w:vertAlign w:val="superscript"/>
        </w:rPr>
        <w:t>,</w:t>
      </w:r>
      <w:r w:rsidR="00E24C7A" w:rsidRPr="00515B3B">
        <w:rPr>
          <w:rStyle w:val="FootnoteReference"/>
          <w:color w:val="212121"/>
          <w:sz w:val="24"/>
          <w:szCs w:val="24"/>
          <w:shd w:val="clear" w:color="auto" w:fill="FFFFFF"/>
        </w:rPr>
        <w:footnoteReference w:id="4"/>
      </w:r>
      <w:r w:rsidR="003E2C47" w:rsidRPr="00515B3B">
        <w:rPr>
          <w:color w:val="212121"/>
          <w:sz w:val="24"/>
          <w:szCs w:val="24"/>
          <w:shd w:val="clear" w:color="auto" w:fill="FFFFFF"/>
        </w:rPr>
        <w:t xml:space="preserve">  </w:t>
      </w:r>
      <w:r w:rsidR="009C0FD1">
        <w:rPr>
          <w:color w:val="212121"/>
          <w:sz w:val="24"/>
          <w:szCs w:val="24"/>
          <w:shd w:val="clear" w:color="auto" w:fill="FFFFFF"/>
        </w:rPr>
        <w:t xml:space="preserve">Public Health </w:t>
      </w:r>
      <w:r w:rsidR="00460C77" w:rsidRPr="00515B3B">
        <w:rPr>
          <w:color w:val="333333"/>
          <w:sz w:val="24"/>
          <w:szCs w:val="24"/>
          <w:shd w:val="clear" w:color="auto" w:fill="FFFFFF"/>
        </w:rPr>
        <w:t xml:space="preserve">surveillance of </w:t>
      </w:r>
      <w:r w:rsidR="00EA13DC" w:rsidRPr="00515B3B">
        <w:rPr>
          <w:color w:val="333333"/>
          <w:sz w:val="24"/>
          <w:szCs w:val="24"/>
          <w:shd w:val="clear" w:color="auto" w:fill="FFFFFF"/>
        </w:rPr>
        <w:t>non</w:t>
      </w:r>
      <w:r w:rsidR="6232739C" w:rsidRPr="00515B3B">
        <w:rPr>
          <w:color w:val="333333"/>
          <w:sz w:val="24"/>
          <w:szCs w:val="24"/>
          <w:shd w:val="clear" w:color="auto" w:fill="FFFFFF"/>
        </w:rPr>
        <w:t>-</w:t>
      </w:r>
      <w:r w:rsidR="00EA13DC" w:rsidRPr="00515B3B">
        <w:rPr>
          <w:color w:val="333333"/>
          <w:sz w:val="24"/>
          <w:szCs w:val="24"/>
          <w:shd w:val="clear" w:color="auto" w:fill="FFFFFF"/>
        </w:rPr>
        <w:t>fatal opioid</w:t>
      </w:r>
      <w:r w:rsidR="00A2348D" w:rsidRPr="00515B3B">
        <w:rPr>
          <w:color w:val="333333"/>
          <w:sz w:val="24"/>
          <w:szCs w:val="24"/>
          <w:shd w:val="clear" w:color="auto" w:fill="FFFFFF"/>
        </w:rPr>
        <w:t xml:space="preserve"> </w:t>
      </w:r>
      <w:r w:rsidR="00EA13DC" w:rsidRPr="00515B3B">
        <w:rPr>
          <w:color w:val="333333"/>
          <w:sz w:val="24"/>
          <w:szCs w:val="24"/>
          <w:shd w:val="clear" w:color="auto" w:fill="FFFFFF"/>
        </w:rPr>
        <w:t xml:space="preserve">overdose (NFO) </w:t>
      </w:r>
      <w:r w:rsidR="00460C77" w:rsidRPr="00515B3B">
        <w:rPr>
          <w:color w:val="333333"/>
          <w:sz w:val="24"/>
          <w:szCs w:val="24"/>
          <w:shd w:val="clear" w:color="auto" w:fill="FFFFFF"/>
        </w:rPr>
        <w:t xml:space="preserve">is </w:t>
      </w:r>
      <w:r w:rsidR="006A4D3E">
        <w:rPr>
          <w:color w:val="333333"/>
          <w:sz w:val="24"/>
          <w:szCs w:val="24"/>
          <w:shd w:val="clear" w:color="auto" w:fill="FFFFFF"/>
        </w:rPr>
        <w:t xml:space="preserve">complex </w:t>
      </w:r>
      <w:r w:rsidR="009C0FD1">
        <w:rPr>
          <w:color w:val="333333"/>
          <w:sz w:val="24"/>
          <w:szCs w:val="24"/>
          <w:shd w:val="clear" w:color="auto" w:fill="FFFFFF"/>
        </w:rPr>
        <w:t xml:space="preserve">and </w:t>
      </w:r>
      <w:r w:rsidR="00B5289F">
        <w:rPr>
          <w:color w:val="333333"/>
          <w:sz w:val="24"/>
          <w:szCs w:val="24"/>
          <w:shd w:val="clear" w:color="auto" w:fill="FFFFFF"/>
        </w:rPr>
        <w:t xml:space="preserve">is limited to </w:t>
      </w:r>
      <w:r w:rsidR="009C0FD1">
        <w:rPr>
          <w:color w:val="333333"/>
          <w:sz w:val="24"/>
          <w:szCs w:val="24"/>
          <w:shd w:val="clear" w:color="auto" w:fill="FFFFFF"/>
        </w:rPr>
        <w:t xml:space="preserve">events </w:t>
      </w:r>
      <w:r w:rsidR="00B5289F">
        <w:rPr>
          <w:color w:val="333333"/>
          <w:sz w:val="24"/>
          <w:szCs w:val="24"/>
          <w:shd w:val="clear" w:color="auto" w:fill="FFFFFF"/>
        </w:rPr>
        <w:t xml:space="preserve">only </w:t>
      </w:r>
      <w:r w:rsidR="00460C77" w:rsidRPr="00515B3B">
        <w:rPr>
          <w:color w:val="333333"/>
          <w:sz w:val="24"/>
          <w:szCs w:val="24"/>
          <w:shd w:val="clear" w:color="auto" w:fill="FFFFFF"/>
        </w:rPr>
        <w:t>whe</w:t>
      </w:r>
      <w:r w:rsidR="00B5289F">
        <w:rPr>
          <w:color w:val="333333"/>
          <w:sz w:val="24"/>
          <w:szCs w:val="24"/>
          <w:shd w:val="clear" w:color="auto" w:fill="FFFFFF"/>
        </w:rPr>
        <w:t>re</w:t>
      </w:r>
      <w:r w:rsidR="00460C77" w:rsidRPr="00515B3B">
        <w:rPr>
          <w:color w:val="333333"/>
          <w:sz w:val="24"/>
          <w:szCs w:val="24"/>
          <w:shd w:val="clear" w:color="auto" w:fill="FFFFFF"/>
        </w:rPr>
        <w:t xml:space="preserve"> a patient receives medical services</w:t>
      </w:r>
      <w:r w:rsidR="005A40D8" w:rsidRPr="00515B3B">
        <w:rPr>
          <w:color w:val="333333"/>
          <w:sz w:val="24"/>
          <w:szCs w:val="24"/>
          <w:shd w:val="clear" w:color="auto" w:fill="FFFFFF"/>
        </w:rPr>
        <w:t>,</w:t>
      </w:r>
      <w:r w:rsidR="00460C77" w:rsidRPr="00515B3B">
        <w:rPr>
          <w:color w:val="333333"/>
          <w:sz w:val="24"/>
          <w:szCs w:val="24"/>
          <w:shd w:val="clear" w:color="auto" w:fill="FFFFFF"/>
        </w:rPr>
        <w:t xml:space="preserve"> such as </w:t>
      </w:r>
      <w:r w:rsidR="00805026" w:rsidRPr="00515B3B">
        <w:rPr>
          <w:color w:val="333333"/>
          <w:sz w:val="24"/>
          <w:szCs w:val="24"/>
          <w:shd w:val="clear" w:color="auto" w:fill="FFFFFF"/>
        </w:rPr>
        <w:t xml:space="preserve">ambulance trips, </w:t>
      </w:r>
      <w:r w:rsidR="00460C77" w:rsidRPr="00515B3B">
        <w:rPr>
          <w:color w:val="333333"/>
          <w:sz w:val="24"/>
          <w:szCs w:val="24"/>
          <w:shd w:val="clear" w:color="auto" w:fill="FFFFFF"/>
        </w:rPr>
        <w:t>emergency department visits</w:t>
      </w:r>
      <w:r w:rsidR="00856DB2">
        <w:rPr>
          <w:color w:val="333333"/>
          <w:sz w:val="24"/>
          <w:szCs w:val="24"/>
          <w:shd w:val="clear" w:color="auto" w:fill="FFFFFF"/>
        </w:rPr>
        <w:t>,</w:t>
      </w:r>
      <w:r w:rsidR="00460C77" w:rsidRPr="00515B3B">
        <w:rPr>
          <w:color w:val="333333"/>
          <w:sz w:val="24"/>
          <w:szCs w:val="24"/>
          <w:shd w:val="clear" w:color="auto" w:fill="FFFFFF"/>
        </w:rPr>
        <w:t xml:space="preserve"> or hospitalization</w:t>
      </w:r>
      <w:r w:rsidR="009A4F48" w:rsidDel="00F22199">
        <w:rPr>
          <w:color w:val="333333"/>
          <w:sz w:val="24"/>
          <w:szCs w:val="24"/>
          <w:shd w:val="clear" w:color="auto" w:fill="FFFFFF"/>
        </w:rPr>
        <w:t>.</w:t>
      </w:r>
      <w:r w:rsidR="009A4F48" w:rsidRPr="7C1A0934">
        <w:rPr>
          <w:color w:val="333333"/>
          <w:sz w:val="24"/>
          <w:szCs w:val="24"/>
        </w:rPr>
        <w:t xml:space="preserve"> </w:t>
      </w:r>
      <w:r w:rsidR="00AF1506">
        <w:rPr>
          <w:color w:val="333333"/>
          <w:sz w:val="24"/>
          <w:szCs w:val="24"/>
          <w:shd w:val="clear" w:color="auto" w:fill="FFFFFF"/>
        </w:rPr>
        <w:t xml:space="preserve">NFOs where medical treatment is not sought, such as when </w:t>
      </w:r>
      <w:r w:rsidR="006754B7">
        <w:rPr>
          <w:color w:val="333333"/>
          <w:sz w:val="24"/>
          <w:szCs w:val="24"/>
          <w:shd w:val="clear" w:color="auto" w:fill="FFFFFF"/>
        </w:rPr>
        <w:t>naloxone</w:t>
      </w:r>
      <w:r w:rsidR="00AF1506">
        <w:rPr>
          <w:color w:val="333333"/>
          <w:sz w:val="24"/>
          <w:szCs w:val="24"/>
          <w:shd w:val="clear" w:color="auto" w:fill="FFFFFF"/>
        </w:rPr>
        <w:t xml:space="preserve"> is administered by non-medical personnel</w:t>
      </w:r>
      <w:r w:rsidR="00E06812">
        <w:rPr>
          <w:color w:val="333333"/>
          <w:sz w:val="24"/>
          <w:szCs w:val="24"/>
          <w:shd w:val="clear" w:color="auto" w:fill="FFFFFF"/>
        </w:rPr>
        <w:t>,</w:t>
      </w:r>
      <w:r w:rsidR="008868AE" w:rsidRPr="7C1A0934">
        <w:rPr>
          <w:color w:val="333333"/>
          <w:sz w:val="24"/>
          <w:szCs w:val="24"/>
        </w:rPr>
        <w:t xml:space="preserve"> </w:t>
      </w:r>
      <w:r w:rsidR="009A4F48" w:rsidRPr="7C1A0934">
        <w:rPr>
          <w:color w:val="333333"/>
          <w:sz w:val="24"/>
          <w:szCs w:val="24"/>
        </w:rPr>
        <w:t>are</w:t>
      </w:r>
      <w:r w:rsidR="000A6710" w:rsidRPr="7C1A0934">
        <w:rPr>
          <w:color w:val="333333"/>
          <w:sz w:val="24"/>
          <w:szCs w:val="24"/>
        </w:rPr>
        <w:t xml:space="preserve"> </w:t>
      </w:r>
      <w:r w:rsidR="006754B7">
        <w:rPr>
          <w:color w:val="333333"/>
          <w:sz w:val="24"/>
          <w:szCs w:val="24"/>
        </w:rPr>
        <w:t>not</w:t>
      </w:r>
      <w:r w:rsidR="006754B7" w:rsidRPr="7C1A0934">
        <w:rPr>
          <w:color w:val="333333"/>
          <w:sz w:val="24"/>
          <w:szCs w:val="24"/>
        </w:rPr>
        <w:t xml:space="preserve"> </w:t>
      </w:r>
      <w:r w:rsidR="006754B7">
        <w:rPr>
          <w:color w:val="333333"/>
          <w:sz w:val="24"/>
          <w:szCs w:val="24"/>
        </w:rPr>
        <w:t>captured in</w:t>
      </w:r>
      <w:r w:rsidR="0097732C">
        <w:rPr>
          <w:color w:val="333333"/>
          <w:sz w:val="24"/>
          <w:szCs w:val="24"/>
        </w:rPr>
        <w:t xml:space="preserve"> data systems</w:t>
      </w:r>
      <w:r w:rsidR="0097732C">
        <w:rPr>
          <w:color w:val="333333"/>
          <w:sz w:val="24"/>
          <w:szCs w:val="24"/>
          <w:shd w:val="clear" w:color="auto" w:fill="FFFFFF"/>
        </w:rPr>
        <w:t>.</w:t>
      </w:r>
      <w:r w:rsidR="006754B7">
        <w:rPr>
          <w:color w:val="333333"/>
          <w:sz w:val="24"/>
          <w:szCs w:val="24"/>
          <w:shd w:val="clear" w:color="auto" w:fill="FFFFFF"/>
        </w:rPr>
        <w:t xml:space="preserve"> </w:t>
      </w:r>
      <w:r w:rsidR="452B9D1B">
        <w:rPr>
          <w:color w:val="333333"/>
          <w:sz w:val="24"/>
          <w:szCs w:val="24"/>
          <w:shd w:val="clear" w:color="auto" w:fill="FFFFFF"/>
        </w:rPr>
        <w:t>Up to 50</w:t>
      </w:r>
      <w:r w:rsidR="00F4582E" w:rsidRPr="4875A565">
        <w:rPr>
          <w:color w:val="333333"/>
          <w:sz w:val="24"/>
          <w:szCs w:val="24"/>
          <w:shd w:val="clear" w:color="auto" w:fill="FFFFFF"/>
        </w:rPr>
        <w:t xml:space="preserve">% </w:t>
      </w:r>
      <w:r w:rsidR="00F4582E" w:rsidRPr="4875A565">
        <w:rPr>
          <w:color w:val="1F1F1F"/>
          <w:sz w:val="24"/>
          <w:szCs w:val="24"/>
        </w:rPr>
        <w:t xml:space="preserve">of patients </w:t>
      </w:r>
      <w:r w:rsidR="62541B78" w:rsidRPr="4875A565">
        <w:rPr>
          <w:color w:val="1F1F1F"/>
          <w:sz w:val="24"/>
          <w:szCs w:val="24"/>
        </w:rPr>
        <w:t xml:space="preserve">have been found to </w:t>
      </w:r>
      <w:r w:rsidR="00F4582E" w:rsidRPr="4875A565">
        <w:rPr>
          <w:color w:val="1F1F1F"/>
          <w:sz w:val="24"/>
          <w:szCs w:val="24"/>
        </w:rPr>
        <w:t>refuse</w:t>
      </w:r>
      <w:r w:rsidR="003414A5" w:rsidRPr="4875A565">
        <w:rPr>
          <w:color w:val="1F1F1F"/>
          <w:sz w:val="24"/>
          <w:szCs w:val="24"/>
        </w:rPr>
        <w:t xml:space="preserve"> emergency medical service transport after overdose reversals</w:t>
      </w:r>
      <w:r w:rsidR="003414A5" w:rsidRPr="4875A565">
        <w:rPr>
          <w:color w:val="1F1F1F"/>
        </w:rPr>
        <w:t>.</w:t>
      </w:r>
      <w:r w:rsidR="00EC4680">
        <w:rPr>
          <w:rStyle w:val="FootnoteReference"/>
          <w:color w:val="333333"/>
          <w:sz w:val="24"/>
          <w:szCs w:val="24"/>
          <w:shd w:val="clear" w:color="auto" w:fill="FFFFFF"/>
        </w:rPr>
        <w:footnoteReference w:id="5"/>
      </w:r>
      <w:r w:rsidR="00BC22CB">
        <w:rPr>
          <w:color w:val="333333"/>
          <w:sz w:val="24"/>
          <w:szCs w:val="24"/>
          <w:shd w:val="clear" w:color="auto" w:fill="FFFFFF"/>
        </w:rPr>
        <w:t xml:space="preserve"> </w:t>
      </w:r>
      <w:r w:rsidR="6EC4B740" w:rsidRPr="00515B3B">
        <w:rPr>
          <w:color w:val="333333"/>
          <w:sz w:val="24"/>
          <w:szCs w:val="24"/>
          <w:shd w:val="clear" w:color="auto" w:fill="FFFFFF"/>
        </w:rPr>
        <w:t xml:space="preserve">We </w:t>
      </w:r>
      <w:r w:rsidR="00460C77" w:rsidRPr="00515B3B">
        <w:rPr>
          <w:color w:val="333333"/>
          <w:sz w:val="24"/>
          <w:szCs w:val="24"/>
          <w:shd w:val="clear" w:color="auto" w:fill="FFFFFF"/>
        </w:rPr>
        <w:t xml:space="preserve">used the Public Health Data Warehouse (PHD) to </w:t>
      </w:r>
      <w:r w:rsidR="6EC4B740" w:rsidRPr="00515B3B">
        <w:rPr>
          <w:color w:val="333333"/>
          <w:sz w:val="24"/>
          <w:szCs w:val="24"/>
          <w:shd w:val="clear" w:color="auto" w:fill="FFFFFF"/>
        </w:rPr>
        <w:t>characteriz</w:t>
      </w:r>
      <w:r w:rsidR="007C6FD5" w:rsidRPr="00515B3B">
        <w:rPr>
          <w:color w:val="333333"/>
          <w:sz w:val="24"/>
          <w:szCs w:val="24"/>
          <w:shd w:val="clear" w:color="auto" w:fill="FFFFFF"/>
        </w:rPr>
        <w:t>e</w:t>
      </w:r>
      <w:r w:rsidR="6EC4B740" w:rsidRPr="00515B3B">
        <w:rPr>
          <w:color w:val="333333"/>
          <w:sz w:val="24"/>
          <w:szCs w:val="24"/>
          <w:shd w:val="clear" w:color="auto" w:fill="FFFFFF"/>
        </w:rPr>
        <w:t xml:space="preserve"> </w:t>
      </w:r>
      <w:r w:rsidR="005F03F0" w:rsidRPr="00515B3B">
        <w:rPr>
          <w:color w:val="333333"/>
          <w:sz w:val="24"/>
          <w:szCs w:val="24"/>
          <w:shd w:val="clear" w:color="auto" w:fill="FFFFFF"/>
        </w:rPr>
        <w:t xml:space="preserve">Massachusetts </w:t>
      </w:r>
      <w:r w:rsidR="000B61C9" w:rsidRPr="00515B3B">
        <w:rPr>
          <w:color w:val="333333"/>
          <w:sz w:val="24"/>
          <w:szCs w:val="24"/>
          <w:shd w:val="clear" w:color="auto" w:fill="FFFFFF"/>
        </w:rPr>
        <w:t xml:space="preserve">(MA) </w:t>
      </w:r>
      <w:r w:rsidR="00A30065" w:rsidRPr="00515B3B">
        <w:rPr>
          <w:color w:val="333333"/>
          <w:sz w:val="24"/>
          <w:szCs w:val="24"/>
          <w:shd w:val="clear" w:color="auto" w:fill="FFFFFF"/>
        </w:rPr>
        <w:t xml:space="preserve">residents </w:t>
      </w:r>
      <w:r w:rsidR="6EC4B740" w:rsidRPr="00515B3B">
        <w:rPr>
          <w:color w:val="333333"/>
          <w:sz w:val="24"/>
          <w:szCs w:val="24"/>
          <w:shd w:val="clear" w:color="auto" w:fill="FFFFFF"/>
        </w:rPr>
        <w:t xml:space="preserve">who </w:t>
      </w:r>
      <w:r w:rsidR="0021621F" w:rsidRPr="00515B3B">
        <w:rPr>
          <w:color w:val="333333"/>
          <w:sz w:val="24"/>
          <w:szCs w:val="24"/>
          <w:shd w:val="clear" w:color="auto" w:fill="FFFFFF"/>
        </w:rPr>
        <w:t xml:space="preserve">experienced </w:t>
      </w:r>
      <w:r w:rsidR="003021B3" w:rsidRPr="00515B3B">
        <w:rPr>
          <w:color w:val="333333"/>
          <w:sz w:val="24"/>
          <w:szCs w:val="24"/>
          <w:shd w:val="clear" w:color="auto" w:fill="FFFFFF"/>
        </w:rPr>
        <w:t>a</w:t>
      </w:r>
      <w:r w:rsidR="00C428DD" w:rsidRPr="00515B3B">
        <w:rPr>
          <w:color w:val="333333"/>
          <w:sz w:val="24"/>
          <w:szCs w:val="24"/>
          <w:shd w:val="clear" w:color="auto" w:fill="FFFFFF"/>
        </w:rPr>
        <w:t>t least one</w:t>
      </w:r>
      <w:r w:rsidR="003021B3" w:rsidRPr="00515B3B">
        <w:rPr>
          <w:color w:val="333333"/>
          <w:sz w:val="24"/>
          <w:szCs w:val="24"/>
          <w:shd w:val="clear" w:color="auto" w:fill="FFFFFF"/>
        </w:rPr>
        <w:t xml:space="preserve"> </w:t>
      </w:r>
      <w:r w:rsidR="2F5988B5" w:rsidRPr="00515B3B">
        <w:rPr>
          <w:color w:val="333333"/>
          <w:sz w:val="24"/>
          <w:szCs w:val="24"/>
          <w:shd w:val="clear" w:color="auto" w:fill="FFFFFF"/>
        </w:rPr>
        <w:t xml:space="preserve">documented </w:t>
      </w:r>
      <w:r w:rsidR="6EC4B740" w:rsidRPr="00515B3B">
        <w:rPr>
          <w:color w:val="333333"/>
          <w:sz w:val="24"/>
          <w:szCs w:val="24"/>
          <w:shd w:val="clear" w:color="auto" w:fill="FFFFFF"/>
        </w:rPr>
        <w:t xml:space="preserve">NFO </w:t>
      </w:r>
      <w:r w:rsidR="00C603CA">
        <w:rPr>
          <w:color w:val="333333"/>
          <w:sz w:val="24"/>
          <w:szCs w:val="24"/>
          <w:shd w:val="clear" w:color="auto" w:fill="FFFFFF"/>
        </w:rPr>
        <w:t>from</w:t>
      </w:r>
      <w:r w:rsidR="6EC4B740" w:rsidRPr="00515B3B">
        <w:rPr>
          <w:color w:val="333333"/>
          <w:sz w:val="24"/>
          <w:szCs w:val="24"/>
          <w:shd w:val="clear" w:color="auto" w:fill="FFFFFF"/>
        </w:rPr>
        <w:t xml:space="preserve"> 2013 </w:t>
      </w:r>
      <w:r w:rsidR="00C603CA">
        <w:rPr>
          <w:color w:val="333333"/>
          <w:sz w:val="24"/>
          <w:szCs w:val="24"/>
          <w:shd w:val="clear" w:color="auto" w:fill="FFFFFF"/>
        </w:rPr>
        <w:t>through</w:t>
      </w:r>
      <w:r w:rsidR="6EC4B740" w:rsidRPr="00515B3B">
        <w:rPr>
          <w:color w:val="333333"/>
          <w:sz w:val="24"/>
          <w:szCs w:val="24"/>
          <w:shd w:val="clear" w:color="auto" w:fill="FFFFFF"/>
        </w:rPr>
        <w:t xml:space="preserve"> </w:t>
      </w:r>
      <w:r w:rsidR="00893EF6">
        <w:rPr>
          <w:color w:val="333333"/>
          <w:sz w:val="24"/>
          <w:szCs w:val="24"/>
          <w:shd w:val="clear" w:color="auto" w:fill="FFFFFF"/>
        </w:rPr>
        <w:t>2021</w:t>
      </w:r>
      <w:r w:rsidR="6EC4B740" w:rsidRPr="00515B3B">
        <w:rPr>
          <w:color w:val="333333"/>
          <w:sz w:val="24"/>
          <w:szCs w:val="24"/>
          <w:shd w:val="clear" w:color="auto" w:fill="FFFFFF"/>
        </w:rPr>
        <w:t xml:space="preserve">. </w:t>
      </w:r>
    </w:p>
    <w:p w14:paraId="50AD3EBE" w14:textId="1C8FB858" w:rsidR="00845D66" w:rsidRPr="00A139B2" w:rsidRDefault="0021621F" w:rsidP="009F61F6">
      <w:pPr>
        <w:pStyle w:val="Heading2"/>
        <w:spacing w:line="276" w:lineRule="auto"/>
        <w:rPr>
          <w:shd w:val="clear" w:color="auto" w:fill="FFFFFF"/>
        </w:rPr>
      </w:pPr>
      <w:r w:rsidRPr="6305BB21">
        <w:rPr>
          <w:shd w:val="clear" w:color="auto" w:fill="FFFFFF"/>
        </w:rPr>
        <w:t>Results</w:t>
      </w:r>
    </w:p>
    <w:p w14:paraId="00E684F7" w14:textId="2B2336CB" w:rsidR="00380121" w:rsidRDefault="00E564A7" w:rsidP="009F61F6">
      <w:pPr>
        <w:spacing w:line="276" w:lineRule="auto"/>
        <w:rPr>
          <w:color w:val="333333"/>
          <w:sz w:val="24"/>
          <w:szCs w:val="24"/>
        </w:rPr>
      </w:pPr>
      <w:r>
        <w:rPr>
          <w:color w:val="333333"/>
          <w:sz w:val="24"/>
          <w:szCs w:val="24"/>
          <w:shd w:val="clear" w:color="auto" w:fill="FFFFFF"/>
        </w:rPr>
        <w:t>From</w:t>
      </w:r>
      <w:r w:rsidR="0076401F" w:rsidRPr="1A974639">
        <w:rPr>
          <w:color w:val="333333"/>
          <w:sz w:val="24"/>
          <w:szCs w:val="24"/>
        </w:rPr>
        <w:t xml:space="preserve"> </w:t>
      </w:r>
      <w:r w:rsidR="33359B25" w:rsidRPr="00515B3B">
        <w:rPr>
          <w:color w:val="333333"/>
          <w:sz w:val="24"/>
          <w:szCs w:val="24"/>
          <w:shd w:val="clear" w:color="auto" w:fill="FFFFFF"/>
        </w:rPr>
        <w:t xml:space="preserve">2013 </w:t>
      </w:r>
      <w:r w:rsidR="0076401F" w:rsidRPr="1A974639">
        <w:rPr>
          <w:color w:val="333333"/>
          <w:sz w:val="24"/>
          <w:szCs w:val="24"/>
        </w:rPr>
        <w:t>through</w:t>
      </w:r>
      <w:r w:rsidR="33359B25" w:rsidRPr="00515B3B">
        <w:rPr>
          <w:color w:val="333333"/>
          <w:sz w:val="24"/>
          <w:szCs w:val="24"/>
          <w:shd w:val="clear" w:color="auto" w:fill="FFFFFF"/>
        </w:rPr>
        <w:t xml:space="preserve"> </w:t>
      </w:r>
      <w:r w:rsidR="00893EF6">
        <w:rPr>
          <w:color w:val="333333"/>
          <w:sz w:val="24"/>
          <w:szCs w:val="24"/>
          <w:shd w:val="clear" w:color="auto" w:fill="FFFFFF"/>
        </w:rPr>
        <w:t>2021</w:t>
      </w:r>
      <w:r w:rsidR="0AA012C2" w:rsidRPr="00515B3B">
        <w:rPr>
          <w:color w:val="333333"/>
          <w:sz w:val="24"/>
          <w:szCs w:val="24"/>
          <w:shd w:val="clear" w:color="auto" w:fill="FFFFFF"/>
        </w:rPr>
        <w:t>,</w:t>
      </w:r>
      <w:r w:rsidR="33359B25" w:rsidRPr="00515B3B">
        <w:rPr>
          <w:color w:val="333333"/>
          <w:sz w:val="24"/>
          <w:szCs w:val="24"/>
          <w:shd w:val="clear" w:color="auto" w:fill="FFFFFF"/>
        </w:rPr>
        <w:t xml:space="preserve"> </w:t>
      </w:r>
      <w:r w:rsidR="005B1AF1">
        <w:rPr>
          <w:color w:val="333333"/>
          <w:sz w:val="24"/>
          <w:szCs w:val="24"/>
          <w:shd w:val="clear" w:color="auto" w:fill="FFFFFF"/>
        </w:rPr>
        <w:t>72,018</w:t>
      </w:r>
      <w:r w:rsidR="000D54A5" w:rsidRPr="00515B3B">
        <w:rPr>
          <w:color w:val="333333"/>
          <w:sz w:val="24"/>
          <w:szCs w:val="24"/>
          <w:shd w:val="clear" w:color="auto" w:fill="FFFFFF"/>
        </w:rPr>
        <w:t xml:space="preserve"> </w:t>
      </w:r>
      <w:r>
        <w:rPr>
          <w:color w:val="333333"/>
          <w:sz w:val="24"/>
          <w:szCs w:val="24"/>
          <w:shd w:val="clear" w:color="auto" w:fill="FFFFFF"/>
        </w:rPr>
        <w:t xml:space="preserve">Massachusetts </w:t>
      </w:r>
      <w:r w:rsidR="00A30065" w:rsidRPr="00515B3B">
        <w:rPr>
          <w:color w:val="333333"/>
          <w:sz w:val="24"/>
          <w:szCs w:val="24"/>
          <w:shd w:val="clear" w:color="auto" w:fill="FFFFFF"/>
        </w:rPr>
        <w:t xml:space="preserve">residents </w:t>
      </w:r>
      <w:r w:rsidR="13E8BAC8" w:rsidRPr="00515B3B">
        <w:rPr>
          <w:color w:val="333333"/>
          <w:sz w:val="24"/>
          <w:szCs w:val="24"/>
          <w:shd w:val="clear" w:color="auto" w:fill="FFFFFF"/>
        </w:rPr>
        <w:t xml:space="preserve">experienced one or more </w:t>
      </w:r>
      <w:r w:rsidR="1CBC98FE" w:rsidRPr="00515B3B">
        <w:rPr>
          <w:color w:val="333333"/>
          <w:sz w:val="24"/>
          <w:szCs w:val="24"/>
          <w:shd w:val="clear" w:color="auto" w:fill="FFFFFF"/>
        </w:rPr>
        <w:t xml:space="preserve">documented </w:t>
      </w:r>
      <w:r w:rsidR="0AA012C2" w:rsidRPr="00515B3B">
        <w:rPr>
          <w:color w:val="333333"/>
          <w:sz w:val="24"/>
          <w:szCs w:val="24"/>
          <w:shd w:val="clear" w:color="auto" w:fill="FFFFFF"/>
        </w:rPr>
        <w:t>NFO</w:t>
      </w:r>
      <w:r w:rsidR="009C0FD1">
        <w:rPr>
          <w:color w:val="333333"/>
          <w:sz w:val="24"/>
          <w:szCs w:val="24"/>
          <w:shd w:val="clear" w:color="auto" w:fill="FFFFFF"/>
        </w:rPr>
        <w:t>s</w:t>
      </w:r>
      <w:r w:rsidR="006A4D3E">
        <w:rPr>
          <w:color w:val="333333"/>
          <w:sz w:val="24"/>
          <w:szCs w:val="24"/>
          <w:shd w:val="clear" w:color="auto" w:fill="FFFFFF"/>
        </w:rPr>
        <w:t>,</w:t>
      </w:r>
      <w:r w:rsidR="00C8562E" w:rsidRPr="00515B3B">
        <w:rPr>
          <w:color w:val="333333"/>
          <w:sz w:val="24"/>
          <w:szCs w:val="24"/>
          <w:shd w:val="clear" w:color="auto" w:fill="FFFFFF"/>
        </w:rPr>
        <w:t xml:space="preserve"> </w:t>
      </w:r>
      <w:r w:rsidR="00D2519C" w:rsidRPr="00515B3B">
        <w:rPr>
          <w:color w:val="333333"/>
          <w:sz w:val="24"/>
          <w:szCs w:val="24"/>
          <w:shd w:val="clear" w:color="auto" w:fill="FFFFFF"/>
        </w:rPr>
        <w:t>totaling</w:t>
      </w:r>
      <w:r w:rsidR="00A24B86" w:rsidRPr="00515B3B">
        <w:rPr>
          <w:color w:val="333333"/>
          <w:sz w:val="24"/>
          <w:szCs w:val="24"/>
          <w:shd w:val="clear" w:color="auto" w:fill="FFFFFF"/>
        </w:rPr>
        <w:t xml:space="preserve"> 1</w:t>
      </w:r>
      <w:r w:rsidR="00DC414F">
        <w:rPr>
          <w:color w:val="333333"/>
          <w:sz w:val="24"/>
          <w:szCs w:val="24"/>
          <w:shd w:val="clear" w:color="auto" w:fill="FFFFFF"/>
        </w:rPr>
        <w:t>33,295</w:t>
      </w:r>
      <w:r w:rsidR="00A24B86" w:rsidRPr="00515B3B">
        <w:rPr>
          <w:color w:val="333333"/>
          <w:sz w:val="24"/>
          <w:szCs w:val="24"/>
          <w:shd w:val="clear" w:color="auto" w:fill="FFFFFF"/>
        </w:rPr>
        <w:t xml:space="preserve"> NFOs</w:t>
      </w:r>
      <w:r w:rsidR="310E1A0E" w:rsidRPr="235C2FAE">
        <w:rPr>
          <w:color w:val="333333"/>
          <w:sz w:val="24"/>
          <w:szCs w:val="24"/>
        </w:rPr>
        <w:t xml:space="preserve"> and averaging</w:t>
      </w:r>
      <w:r w:rsidR="004525E3" w:rsidRPr="7C1A0934">
        <w:rPr>
          <w:color w:val="333333"/>
          <w:sz w:val="24"/>
          <w:szCs w:val="24"/>
        </w:rPr>
        <w:t xml:space="preserve"> two NFOs </w:t>
      </w:r>
      <w:r w:rsidR="310E1A0E" w:rsidRPr="235C2FAE">
        <w:rPr>
          <w:color w:val="333333"/>
          <w:sz w:val="24"/>
          <w:szCs w:val="24"/>
        </w:rPr>
        <w:t xml:space="preserve">per person. </w:t>
      </w:r>
      <w:r w:rsidR="7D3BE695" w:rsidRPr="60F7B162">
        <w:rPr>
          <w:color w:val="333333"/>
          <w:sz w:val="24"/>
          <w:szCs w:val="24"/>
        </w:rPr>
        <w:t>F</w:t>
      </w:r>
      <w:r w:rsidR="47021AB4" w:rsidRPr="00515B3B">
        <w:rPr>
          <w:color w:val="333333"/>
          <w:sz w:val="24"/>
          <w:szCs w:val="24"/>
          <w:shd w:val="clear" w:color="auto" w:fill="FFFFFF"/>
        </w:rPr>
        <w:t>or</w:t>
      </w:r>
      <w:r w:rsidR="008D3B32" w:rsidRPr="00515B3B">
        <w:rPr>
          <w:color w:val="333333"/>
          <w:sz w:val="24"/>
          <w:szCs w:val="24"/>
          <w:shd w:val="clear" w:color="auto" w:fill="FFFFFF"/>
        </w:rPr>
        <w:t xml:space="preserve"> </w:t>
      </w:r>
      <w:r w:rsidR="00D931D7" w:rsidRPr="00515B3B">
        <w:rPr>
          <w:color w:val="333333"/>
          <w:sz w:val="24"/>
          <w:szCs w:val="24"/>
          <w:shd w:val="clear" w:color="auto" w:fill="FFFFFF"/>
        </w:rPr>
        <w:t xml:space="preserve">every </w:t>
      </w:r>
      <w:r w:rsidR="008E1F88" w:rsidRPr="00515B3B">
        <w:rPr>
          <w:color w:val="333333"/>
          <w:sz w:val="24"/>
          <w:szCs w:val="24"/>
          <w:shd w:val="clear" w:color="auto" w:fill="FFFFFF"/>
        </w:rPr>
        <w:t>fatal opioid overdose</w:t>
      </w:r>
      <w:r w:rsidR="00A34145" w:rsidRPr="7C1A0934">
        <w:rPr>
          <w:color w:val="333333"/>
          <w:sz w:val="24"/>
          <w:szCs w:val="24"/>
        </w:rPr>
        <w:t xml:space="preserve"> between 2013-2021</w:t>
      </w:r>
      <w:r w:rsidR="009C0FD1">
        <w:rPr>
          <w:color w:val="333333"/>
          <w:sz w:val="24"/>
          <w:szCs w:val="24"/>
          <w:shd w:val="clear" w:color="auto" w:fill="FFFFFF"/>
        </w:rPr>
        <w:t>,</w:t>
      </w:r>
      <w:r w:rsidR="00DD172E" w:rsidRPr="00515B3B">
        <w:rPr>
          <w:color w:val="333333"/>
          <w:sz w:val="24"/>
          <w:szCs w:val="24"/>
          <w:shd w:val="clear" w:color="auto" w:fill="FFFFFF"/>
        </w:rPr>
        <w:t xml:space="preserve"> </w:t>
      </w:r>
      <w:r w:rsidR="008D3B32" w:rsidRPr="00515B3B">
        <w:rPr>
          <w:color w:val="333333"/>
          <w:sz w:val="24"/>
          <w:szCs w:val="24"/>
          <w:shd w:val="clear" w:color="auto" w:fill="FFFFFF"/>
        </w:rPr>
        <w:t>there were</w:t>
      </w:r>
      <w:r w:rsidR="00A34145" w:rsidRPr="7C1A0934">
        <w:rPr>
          <w:color w:val="333333"/>
          <w:sz w:val="24"/>
          <w:szCs w:val="24"/>
        </w:rPr>
        <w:t xml:space="preserve"> an average of</w:t>
      </w:r>
      <w:r w:rsidR="008D3B32" w:rsidRPr="00515B3B">
        <w:rPr>
          <w:color w:val="333333"/>
          <w:sz w:val="24"/>
          <w:szCs w:val="24"/>
          <w:shd w:val="clear" w:color="auto" w:fill="FFFFFF"/>
        </w:rPr>
        <w:t xml:space="preserve"> </w:t>
      </w:r>
      <w:r>
        <w:rPr>
          <w:color w:val="333333"/>
          <w:sz w:val="24"/>
          <w:szCs w:val="24"/>
          <w:shd w:val="clear" w:color="auto" w:fill="FFFFFF"/>
        </w:rPr>
        <w:t>9</w:t>
      </w:r>
      <w:r w:rsidR="0002229B" w:rsidRPr="00515B3B">
        <w:rPr>
          <w:color w:val="333333"/>
          <w:sz w:val="24"/>
          <w:szCs w:val="24"/>
          <w:shd w:val="clear" w:color="auto" w:fill="FFFFFF"/>
        </w:rPr>
        <w:t xml:space="preserve"> NFOs.</w:t>
      </w:r>
      <w:r w:rsidR="00FA3B11" w:rsidRPr="00515B3B">
        <w:rPr>
          <w:color w:val="333333"/>
          <w:sz w:val="24"/>
          <w:szCs w:val="24"/>
          <w:shd w:val="clear" w:color="auto" w:fill="FFFFFF"/>
        </w:rPr>
        <w:t xml:space="preserve"> </w:t>
      </w:r>
      <w:r w:rsidR="006E1F90" w:rsidRPr="00515B3B">
        <w:rPr>
          <w:color w:val="333333"/>
          <w:sz w:val="24"/>
          <w:szCs w:val="24"/>
          <w:shd w:val="clear" w:color="auto" w:fill="FFFFFF"/>
        </w:rPr>
        <w:t xml:space="preserve">One </w:t>
      </w:r>
      <w:r w:rsidR="00171602" w:rsidRPr="00515B3B">
        <w:rPr>
          <w:color w:val="333333"/>
          <w:sz w:val="24"/>
          <w:szCs w:val="24"/>
          <w:shd w:val="clear" w:color="auto" w:fill="FFFFFF"/>
        </w:rPr>
        <w:t>of every</w:t>
      </w:r>
      <w:r w:rsidR="006E1F90" w:rsidRPr="00515B3B">
        <w:rPr>
          <w:color w:val="333333"/>
          <w:sz w:val="24"/>
          <w:szCs w:val="24"/>
          <w:shd w:val="clear" w:color="auto" w:fill="FFFFFF"/>
        </w:rPr>
        <w:t xml:space="preserve"> </w:t>
      </w:r>
      <w:r w:rsidR="001764F3">
        <w:rPr>
          <w:color w:val="333333"/>
          <w:sz w:val="24"/>
          <w:szCs w:val="24"/>
        </w:rPr>
        <w:t>eleven</w:t>
      </w:r>
      <w:r w:rsidR="006B79E0" w:rsidRPr="4CA4049F">
        <w:rPr>
          <w:color w:val="333333"/>
          <w:sz w:val="24"/>
          <w:szCs w:val="24"/>
        </w:rPr>
        <w:t xml:space="preserve"> </w:t>
      </w:r>
      <w:r w:rsidR="00A73086" w:rsidRPr="00515B3B">
        <w:rPr>
          <w:color w:val="333333"/>
          <w:sz w:val="24"/>
          <w:szCs w:val="24"/>
          <w:shd w:val="clear" w:color="auto" w:fill="FFFFFF"/>
        </w:rPr>
        <w:t>(</w:t>
      </w:r>
      <w:r w:rsidR="004C3CE8">
        <w:rPr>
          <w:color w:val="333333"/>
          <w:sz w:val="24"/>
          <w:szCs w:val="24"/>
          <w:shd w:val="clear" w:color="auto" w:fill="FFFFFF"/>
        </w:rPr>
        <w:t xml:space="preserve">6,404 </w:t>
      </w:r>
      <w:r w:rsidR="00A73086" w:rsidRPr="00515B3B">
        <w:rPr>
          <w:color w:val="333333"/>
          <w:sz w:val="24"/>
          <w:szCs w:val="24"/>
          <w:shd w:val="clear" w:color="auto" w:fill="FFFFFF"/>
        </w:rPr>
        <w:t>o</w:t>
      </w:r>
      <w:r w:rsidR="3C21134E" w:rsidRPr="00515B3B">
        <w:rPr>
          <w:color w:val="333333"/>
          <w:sz w:val="24"/>
          <w:szCs w:val="24"/>
          <w:shd w:val="clear" w:color="auto" w:fill="FFFFFF"/>
        </w:rPr>
        <w:t xml:space="preserve">f </w:t>
      </w:r>
      <w:r w:rsidR="4B32EA67" w:rsidRPr="00515B3B">
        <w:rPr>
          <w:color w:val="333333"/>
          <w:sz w:val="24"/>
          <w:szCs w:val="24"/>
          <w:shd w:val="clear" w:color="auto" w:fill="FFFFFF"/>
        </w:rPr>
        <w:t>72,</w:t>
      </w:r>
      <w:r w:rsidR="5E1E651A" w:rsidRPr="00515B3B">
        <w:rPr>
          <w:color w:val="333333"/>
          <w:sz w:val="24"/>
          <w:szCs w:val="24"/>
          <w:shd w:val="clear" w:color="auto" w:fill="FFFFFF"/>
        </w:rPr>
        <w:t>018</w:t>
      </w:r>
      <w:r w:rsidR="00F0058F" w:rsidRPr="00515B3B">
        <w:rPr>
          <w:color w:val="333333"/>
          <w:sz w:val="24"/>
          <w:szCs w:val="24"/>
          <w:shd w:val="clear" w:color="auto" w:fill="FFFFFF"/>
        </w:rPr>
        <w:t xml:space="preserve">) </w:t>
      </w:r>
      <w:r w:rsidR="00B03562" w:rsidRPr="00515B3B">
        <w:rPr>
          <w:color w:val="333333"/>
          <w:sz w:val="24"/>
          <w:szCs w:val="24"/>
          <w:shd w:val="clear" w:color="auto" w:fill="FFFFFF"/>
        </w:rPr>
        <w:t>people</w:t>
      </w:r>
      <w:r w:rsidR="3C21134E" w:rsidRPr="00515B3B">
        <w:rPr>
          <w:color w:val="333333"/>
          <w:sz w:val="24"/>
          <w:szCs w:val="24"/>
          <w:shd w:val="clear" w:color="auto" w:fill="FFFFFF"/>
        </w:rPr>
        <w:t xml:space="preserve"> </w:t>
      </w:r>
      <w:r w:rsidR="009C0FD1">
        <w:rPr>
          <w:color w:val="333333"/>
          <w:sz w:val="24"/>
          <w:szCs w:val="24"/>
          <w:shd w:val="clear" w:color="auto" w:fill="FFFFFF"/>
        </w:rPr>
        <w:t xml:space="preserve">with </w:t>
      </w:r>
      <w:r w:rsidR="00F625EB" w:rsidRPr="00515B3B">
        <w:rPr>
          <w:color w:val="333333"/>
          <w:sz w:val="24"/>
          <w:szCs w:val="24"/>
          <w:shd w:val="clear" w:color="auto" w:fill="FFFFFF"/>
        </w:rPr>
        <w:t xml:space="preserve">an NFO </w:t>
      </w:r>
      <w:r w:rsidR="3C21134E" w:rsidRPr="00515B3B">
        <w:rPr>
          <w:color w:val="333333"/>
          <w:sz w:val="24"/>
          <w:szCs w:val="24"/>
          <w:shd w:val="clear" w:color="auto" w:fill="FFFFFF"/>
        </w:rPr>
        <w:t xml:space="preserve">subsequently </w:t>
      </w:r>
      <w:r w:rsidR="3C23FE1C" w:rsidRPr="00515B3B">
        <w:rPr>
          <w:color w:val="333333"/>
          <w:sz w:val="24"/>
          <w:szCs w:val="24"/>
          <w:shd w:val="clear" w:color="auto" w:fill="FFFFFF"/>
        </w:rPr>
        <w:t xml:space="preserve">experienced </w:t>
      </w:r>
      <w:r w:rsidR="3C21134E" w:rsidRPr="00515B3B">
        <w:rPr>
          <w:color w:val="333333"/>
          <w:sz w:val="24"/>
          <w:szCs w:val="24"/>
          <w:shd w:val="clear" w:color="auto" w:fill="FFFFFF"/>
        </w:rPr>
        <w:t xml:space="preserve">a fatal </w:t>
      </w:r>
      <w:r w:rsidR="00CC03FF" w:rsidRPr="00515B3B">
        <w:rPr>
          <w:color w:val="333333"/>
          <w:sz w:val="24"/>
          <w:szCs w:val="24"/>
          <w:shd w:val="clear" w:color="auto" w:fill="FFFFFF"/>
        </w:rPr>
        <w:t xml:space="preserve">opioid </w:t>
      </w:r>
      <w:r w:rsidR="3C23FE1C" w:rsidRPr="00515B3B">
        <w:rPr>
          <w:color w:val="333333"/>
          <w:sz w:val="24"/>
          <w:szCs w:val="24"/>
          <w:shd w:val="clear" w:color="auto" w:fill="FFFFFF"/>
        </w:rPr>
        <w:t>overdose</w:t>
      </w:r>
      <w:r w:rsidR="52CAF112" w:rsidRPr="00515B3B">
        <w:rPr>
          <w:color w:val="333333"/>
          <w:sz w:val="24"/>
          <w:szCs w:val="24"/>
          <w:shd w:val="clear" w:color="auto" w:fill="FFFFFF"/>
        </w:rPr>
        <w:t xml:space="preserve">. </w:t>
      </w:r>
      <w:r w:rsidR="001D4291">
        <w:rPr>
          <w:color w:val="333333"/>
          <w:sz w:val="24"/>
          <w:szCs w:val="24"/>
          <w:shd w:val="clear" w:color="auto" w:fill="FFFFFF"/>
        </w:rPr>
        <w:t>From 2013 to 202</w:t>
      </w:r>
      <w:r w:rsidR="00186F2B">
        <w:rPr>
          <w:color w:val="333333"/>
          <w:sz w:val="24"/>
          <w:szCs w:val="24"/>
          <w:shd w:val="clear" w:color="auto" w:fill="FFFFFF"/>
        </w:rPr>
        <w:t>1</w:t>
      </w:r>
      <w:r w:rsidR="008622BB">
        <w:rPr>
          <w:color w:val="333333"/>
          <w:sz w:val="24"/>
          <w:szCs w:val="24"/>
          <w:shd w:val="clear" w:color="auto" w:fill="FFFFFF"/>
        </w:rPr>
        <w:t>,</w:t>
      </w:r>
      <w:r w:rsidR="001D4291">
        <w:rPr>
          <w:color w:val="333333"/>
          <w:sz w:val="24"/>
          <w:szCs w:val="24"/>
          <w:shd w:val="clear" w:color="auto" w:fill="FFFFFF"/>
        </w:rPr>
        <w:t xml:space="preserve"> 60% of the MA </w:t>
      </w:r>
      <w:r w:rsidR="00DF1DFA" w:rsidRPr="7C1A0934">
        <w:rPr>
          <w:color w:val="333333"/>
          <w:sz w:val="24"/>
          <w:szCs w:val="24"/>
        </w:rPr>
        <w:t>residents</w:t>
      </w:r>
      <w:r w:rsidR="00CC23A9" w:rsidRPr="7C1A0934">
        <w:rPr>
          <w:color w:val="333333"/>
          <w:sz w:val="24"/>
          <w:szCs w:val="24"/>
        </w:rPr>
        <w:t xml:space="preserve"> </w:t>
      </w:r>
      <w:r w:rsidR="00D931D7" w:rsidRPr="00515B3B">
        <w:rPr>
          <w:color w:val="333333"/>
          <w:sz w:val="24"/>
          <w:szCs w:val="24"/>
          <w:shd w:val="clear" w:color="auto" w:fill="FFFFFF"/>
        </w:rPr>
        <w:t xml:space="preserve">who experienced a fatal opioid overdose </w:t>
      </w:r>
      <w:r w:rsidR="001A4912">
        <w:rPr>
          <w:color w:val="333333"/>
          <w:sz w:val="24"/>
          <w:szCs w:val="24"/>
          <w:shd w:val="clear" w:color="auto" w:fill="FFFFFF"/>
        </w:rPr>
        <w:t xml:space="preserve">had </w:t>
      </w:r>
      <w:r w:rsidR="006260BC" w:rsidRPr="7C1A0934">
        <w:rPr>
          <w:color w:val="333333"/>
          <w:sz w:val="24"/>
          <w:szCs w:val="24"/>
        </w:rPr>
        <w:t xml:space="preserve">not </w:t>
      </w:r>
      <w:r w:rsidR="001A4912">
        <w:rPr>
          <w:color w:val="333333"/>
          <w:sz w:val="24"/>
          <w:szCs w:val="24"/>
        </w:rPr>
        <w:t xml:space="preserve">had </w:t>
      </w:r>
      <w:r w:rsidR="00D931D7" w:rsidRPr="7C1A0934" w:rsidDel="006260BC">
        <w:rPr>
          <w:color w:val="333333"/>
          <w:sz w:val="24"/>
          <w:szCs w:val="24"/>
        </w:rPr>
        <w:t>a</w:t>
      </w:r>
      <w:r w:rsidR="00D931D7" w:rsidRPr="00515B3B">
        <w:rPr>
          <w:color w:val="333333"/>
          <w:sz w:val="24"/>
          <w:szCs w:val="24"/>
          <w:shd w:val="clear" w:color="auto" w:fill="FFFFFF"/>
        </w:rPr>
        <w:t xml:space="preserve"> </w:t>
      </w:r>
      <w:r w:rsidR="009C0FD1">
        <w:rPr>
          <w:color w:val="333333"/>
          <w:sz w:val="24"/>
          <w:szCs w:val="24"/>
          <w:shd w:val="clear" w:color="auto" w:fill="FFFFFF"/>
        </w:rPr>
        <w:t xml:space="preserve">documented </w:t>
      </w:r>
      <w:r w:rsidR="00D931D7" w:rsidRPr="00515B3B">
        <w:rPr>
          <w:color w:val="333333"/>
          <w:sz w:val="24"/>
          <w:szCs w:val="24"/>
          <w:shd w:val="clear" w:color="auto" w:fill="FFFFFF"/>
        </w:rPr>
        <w:t>prior NFO</w:t>
      </w:r>
      <w:r w:rsidR="6D9B7499" w:rsidRPr="00515B3B">
        <w:rPr>
          <w:color w:val="333333"/>
          <w:sz w:val="24"/>
          <w:szCs w:val="24"/>
          <w:shd w:val="clear" w:color="auto" w:fill="FFFFFF"/>
        </w:rPr>
        <w:t>.</w:t>
      </w:r>
      <w:r w:rsidR="00D931D7" w:rsidRPr="00515B3B" w:rsidDel="006260BC">
        <w:rPr>
          <w:color w:val="333333"/>
          <w:sz w:val="24"/>
          <w:szCs w:val="24"/>
          <w:shd w:val="clear" w:color="auto" w:fill="FFFFFF"/>
        </w:rPr>
        <w:t xml:space="preserve"> </w:t>
      </w:r>
      <w:r w:rsidR="197D030D" w:rsidRPr="00515B3B">
        <w:rPr>
          <w:color w:val="333333"/>
          <w:sz w:val="24"/>
          <w:szCs w:val="24"/>
          <w:shd w:val="clear" w:color="auto" w:fill="FFFFFF"/>
        </w:rPr>
        <w:t xml:space="preserve">Figure 1 </w:t>
      </w:r>
      <w:r w:rsidR="00756A55" w:rsidRPr="00515B3B">
        <w:rPr>
          <w:color w:val="333333"/>
          <w:sz w:val="24"/>
          <w:szCs w:val="24"/>
          <w:shd w:val="clear" w:color="auto" w:fill="FFFFFF"/>
        </w:rPr>
        <w:t xml:space="preserve">shows </w:t>
      </w:r>
      <w:r w:rsidR="00C650AE" w:rsidRPr="00515B3B">
        <w:rPr>
          <w:color w:val="333333"/>
          <w:sz w:val="24"/>
          <w:szCs w:val="24"/>
          <w:shd w:val="clear" w:color="auto" w:fill="FFFFFF"/>
        </w:rPr>
        <w:t xml:space="preserve">the number </w:t>
      </w:r>
      <w:r w:rsidR="00DD1B62" w:rsidRPr="00515B3B">
        <w:rPr>
          <w:color w:val="333333"/>
          <w:sz w:val="24"/>
          <w:szCs w:val="24"/>
          <w:shd w:val="clear" w:color="auto" w:fill="FFFFFF"/>
        </w:rPr>
        <w:t xml:space="preserve">of </w:t>
      </w:r>
      <w:r w:rsidR="00A62C45" w:rsidRPr="1A974639">
        <w:rPr>
          <w:color w:val="333333"/>
          <w:sz w:val="24"/>
          <w:szCs w:val="24"/>
        </w:rPr>
        <w:t>NFOs</w:t>
      </w:r>
      <w:r w:rsidR="00DD1B62" w:rsidRPr="00515B3B">
        <w:rPr>
          <w:color w:val="333333"/>
          <w:sz w:val="24"/>
          <w:szCs w:val="24"/>
          <w:shd w:val="clear" w:color="auto" w:fill="FFFFFF"/>
        </w:rPr>
        <w:t xml:space="preserve"> </w:t>
      </w:r>
      <w:r w:rsidR="00D471F5" w:rsidRPr="00515B3B">
        <w:rPr>
          <w:color w:val="333333"/>
          <w:sz w:val="24"/>
          <w:szCs w:val="24"/>
          <w:shd w:val="clear" w:color="auto" w:fill="FFFFFF"/>
        </w:rPr>
        <w:t xml:space="preserve">from 2013 </w:t>
      </w:r>
      <w:r w:rsidR="00A62C45" w:rsidRPr="1A974639">
        <w:rPr>
          <w:color w:val="333333"/>
          <w:sz w:val="24"/>
          <w:szCs w:val="24"/>
        </w:rPr>
        <w:t>through</w:t>
      </w:r>
      <w:r w:rsidR="00D471F5" w:rsidRPr="00515B3B">
        <w:rPr>
          <w:color w:val="333333"/>
          <w:sz w:val="24"/>
          <w:szCs w:val="24"/>
          <w:shd w:val="clear" w:color="auto" w:fill="FFFFFF"/>
        </w:rPr>
        <w:t xml:space="preserve"> </w:t>
      </w:r>
      <w:r w:rsidR="00893EF6">
        <w:rPr>
          <w:color w:val="333333"/>
          <w:sz w:val="24"/>
          <w:szCs w:val="24"/>
          <w:shd w:val="clear" w:color="auto" w:fill="FFFFFF"/>
        </w:rPr>
        <w:t>2021</w:t>
      </w:r>
      <w:r w:rsidR="00C650AE" w:rsidRPr="00515B3B">
        <w:rPr>
          <w:color w:val="333333"/>
          <w:sz w:val="24"/>
          <w:szCs w:val="24"/>
          <w:shd w:val="clear" w:color="auto" w:fill="FFFFFF"/>
        </w:rPr>
        <w:t xml:space="preserve"> in MA</w:t>
      </w:r>
      <w:r w:rsidR="009C59B3">
        <w:rPr>
          <w:color w:val="333333"/>
          <w:sz w:val="24"/>
          <w:szCs w:val="24"/>
          <w:shd w:val="clear" w:color="auto" w:fill="FFFFFF"/>
        </w:rPr>
        <w:t xml:space="preserve">. </w:t>
      </w:r>
      <w:r w:rsidR="1AA07446" w:rsidRPr="00515B3B">
        <w:rPr>
          <w:color w:val="333333"/>
          <w:sz w:val="24"/>
          <w:szCs w:val="24"/>
          <w:shd w:val="clear" w:color="auto" w:fill="FFFFFF"/>
        </w:rPr>
        <w:t xml:space="preserve">The </w:t>
      </w:r>
      <w:r w:rsidR="00A706B4">
        <w:rPr>
          <w:color w:val="333333"/>
          <w:sz w:val="24"/>
          <w:szCs w:val="24"/>
          <w:shd w:val="clear" w:color="auto" w:fill="FFFFFF"/>
        </w:rPr>
        <w:t xml:space="preserve">number of NFOs </w:t>
      </w:r>
      <w:r w:rsidR="008536F3">
        <w:rPr>
          <w:color w:val="333333"/>
          <w:sz w:val="24"/>
          <w:szCs w:val="24"/>
          <w:shd w:val="clear" w:color="auto" w:fill="FFFFFF"/>
        </w:rPr>
        <w:t>increased</w:t>
      </w:r>
      <w:r w:rsidR="00F72225">
        <w:rPr>
          <w:color w:val="333333"/>
          <w:sz w:val="24"/>
          <w:szCs w:val="24"/>
          <w:shd w:val="clear" w:color="auto" w:fill="FFFFFF"/>
        </w:rPr>
        <w:t xml:space="preserve"> </w:t>
      </w:r>
      <w:r w:rsidR="00A235B3">
        <w:rPr>
          <w:color w:val="333333"/>
          <w:sz w:val="24"/>
          <w:szCs w:val="24"/>
          <w:shd w:val="clear" w:color="auto" w:fill="FFFFFF"/>
        </w:rPr>
        <w:t xml:space="preserve">by </w:t>
      </w:r>
      <w:r w:rsidR="00A13D6F" w:rsidRPr="00515B3B">
        <w:rPr>
          <w:color w:val="333333"/>
          <w:sz w:val="24"/>
          <w:szCs w:val="24"/>
          <w:shd w:val="clear" w:color="auto" w:fill="FFFFFF"/>
        </w:rPr>
        <w:t xml:space="preserve">130% </w:t>
      </w:r>
      <w:r w:rsidR="00BD5E97" w:rsidRPr="1A974639">
        <w:rPr>
          <w:color w:val="333333"/>
          <w:sz w:val="24"/>
          <w:szCs w:val="24"/>
        </w:rPr>
        <w:t xml:space="preserve">from </w:t>
      </w:r>
      <w:r w:rsidR="00E434DC" w:rsidRPr="00515B3B">
        <w:rPr>
          <w:color w:val="333333"/>
          <w:sz w:val="24"/>
          <w:szCs w:val="24"/>
          <w:shd w:val="clear" w:color="auto" w:fill="FFFFFF"/>
        </w:rPr>
        <w:t xml:space="preserve">2013 to 2017 </w:t>
      </w:r>
      <w:r w:rsidR="00A13D6F" w:rsidRPr="00515B3B">
        <w:rPr>
          <w:color w:val="333333"/>
          <w:sz w:val="24"/>
          <w:szCs w:val="24"/>
          <w:shd w:val="clear" w:color="auto" w:fill="FFFFFF"/>
        </w:rPr>
        <w:t xml:space="preserve">and then </w:t>
      </w:r>
      <w:r w:rsidR="002D766E">
        <w:rPr>
          <w:color w:val="333333"/>
          <w:sz w:val="24"/>
          <w:szCs w:val="24"/>
          <w:shd w:val="clear" w:color="auto" w:fill="FFFFFF"/>
        </w:rPr>
        <w:t xml:space="preserve">decreased </w:t>
      </w:r>
      <w:r w:rsidR="00F849C6" w:rsidRPr="00515B3B">
        <w:rPr>
          <w:color w:val="333333"/>
          <w:sz w:val="24"/>
          <w:szCs w:val="24"/>
          <w:shd w:val="clear" w:color="auto" w:fill="FFFFFF"/>
        </w:rPr>
        <w:t>18</w:t>
      </w:r>
      <w:r w:rsidR="008722F1" w:rsidRPr="00515B3B">
        <w:rPr>
          <w:color w:val="333333"/>
          <w:sz w:val="24"/>
          <w:szCs w:val="24"/>
          <w:shd w:val="clear" w:color="auto" w:fill="FFFFFF"/>
        </w:rPr>
        <w:t xml:space="preserve">% </w:t>
      </w:r>
      <w:r w:rsidR="007669D1" w:rsidRPr="00515B3B">
        <w:rPr>
          <w:color w:val="333333"/>
          <w:sz w:val="24"/>
          <w:szCs w:val="24"/>
          <w:shd w:val="clear" w:color="auto" w:fill="FFFFFF"/>
        </w:rPr>
        <w:t xml:space="preserve">from 2017 to </w:t>
      </w:r>
      <w:r w:rsidR="00893EF6">
        <w:rPr>
          <w:color w:val="333333"/>
          <w:sz w:val="24"/>
          <w:szCs w:val="24"/>
          <w:shd w:val="clear" w:color="auto" w:fill="FFFFFF"/>
        </w:rPr>
        <w:t>2021</w:t>
      </w:r>
      <w:r w:rsidR="50D08CB4" w:rsidRPr="00515B3B">
        <w:rPr>
          <w:color w:val="333333"/>
          <w:sz w:val="24"/>
          <w:szCs w:val="24"/>
          <w:shd w:val="clear" w:color="auto" w:fill="FFFFFF"/>
        </w:rPr>
        <w:t xml:space="preserve">. </w:t>
      </w:r>
      <w:r w:rsidR="000B5B4B">
        <w:rPr>
          <w:color w:val="333333"/>
          <w:sz w:val="24"/>
          <w:szCs w:val="24"/>
          <w:shd w:val="clear" w:color="auto" w:fill="FFFFFF"/>
        </w:rPr>
        <w:t>Notably</w:t>
      </w:r>
      <w:r w:rsidR="00BA4858">
        <w:rPr>
          <w:color w:val="333333"/>
          <w:sz w:val="24"/>
          <w:szCs w:val="24"/>
          <w:shd w:val="clear" w:color="auto" w:fill="FFFFFF"/>
        </w:rPr>
        <w:t xml:space="preserve"> in 2020, </w:t>
      </w:r>
      <w:r w:rsidR="000B5B4B">
        <w:rPr>
          <w:color w:val="333333"/>
          <w:sz w:val="24"/>
          <w:szCs w:val="24"/>
          <w:shd w:val="clear" w:color="auto" w:fill="FFFFFF"/>
        </w:rPr>
        <w:t>during this decreasing period</w:t>
      </w:r>
      <w:r w:rsidR="00A3005B">
        <w:rPr>
          <w:color w:val="333333"/>
          <w:sz w:val="24"/>
          <w:szCs w:val="24"/>
          <w:shd w:val="clear" w:color="auto" w:fill="FFFFFF"/>
        </w:rPr>
        <w:t>,</w:t>
      </w:r>
      <w:r w:rsidR="00C242DA">
        <w:rPr>
          <w:color w:val="333333"/>
          <w:sz w:val="24"/>
          <w:szCs w:val="24"/>
          <w:shd w:val="clear" w:color="auto" w:fill="FFFFFF"/>
        </w:rPr>
        <w:t xml:space="preserve"> </w:t>
      </w:r>
      <w:r w:rsidR="59D0A97E" w:rsidRPr="00515B3B">
        <w:rPr>
          <w:color w:val="333333"/>
          <w:sz w:val="24"/>
          <w:szCs w:val="24"/>
          <w:shd w:val="clear" w:color="auto" w:fill="FFFFFF"/>
        </w:rPr>
        <w:t xml:space="preserve">the </w:t>
      </w:r>
      <w:r w:rsidR="0047747F" w:rsidRPr="4CA4049F">
        <w:rPr>
          <w:color w:val="333333"/>
          <w:sz w:val="24"/>
          <w:szCs w:val="24"/>
        </w:rPr>
        <w:t>COVID</w:t>
      </w:r>
      <w:r w:rsidR="59D0A97E" w:rsidRPr="00515B3B">
        <w:rPr>
          <w:color w:val="333333"/>
          <w:sz w:val="24"/>
          <w:szCs w:val="24"/>
          <w:shd w:val="clear" w:color="auto" w:fill="FFFFFF"/>
        </w:rPr>
        <w:t xml:space="preserve">-19 pandemic </w:t>
      </w:r>
      <w:r w:rsidR="00BA4858">
        <w:rPr>
          <w:color w:val="333333"/>
          <w:sz w:val="24"/>
          <w:szCs w:val="24"/>
          <w:shd w:val="clear" w:color="auto" w:fill="FFFFFF"/>
        </w:rPr>
        <w:t xml:space="preserve">began. The </w:t>
      </w:r>
      <w:r w:rsidR="3A533B00" w:rsidRPr="00515B3B">
        <w:rPr>
          <w:color w:val="333333"/>
          <w:sz w:val="24"/>
          <w:szCs w:val="24"/>
          <w:shd w:val="clear" w:color="auto" w:fill="FFFFFF"/>
        </w:rPr>
        <w:t xml:space="preserve">associated </w:t>
      </w:r>
      <w:r w:rsidR="59D0A97E" w:rsidRPr="00515B3B">
        <w:rPr>
          <w:color w:val="333333"/>
          <w:sz w:val="24"/>
          <w:szCs w:val="24"/>
          <w:shd w:val="clear" w:color="auto" w:fill="FFFFFF"/>
        </w:rPr>
        <w:t>medical service interruptions</w:t>
      </w:r>
      <w:r w:rsidR="66960429" w:rsidRPr="00515B3B">
        <w:rPr>
          <w:color w:val="333333"/>
          <w:sz w:val="24"/>
          <w:szCs w:val="24"/>
          <w:shd w:val="clear" w:color="auto" w:fill="FFFFFF"/>
        </w:rPr>
        <w:t xml:space="preserve"> </w:t>
      </w:r>
      <w:r w:rsidR="68C33167" w:rsidRPr="00515B3B">
        <w:rPr>
          <w:color w:val="333333"/>
          <w:sz w:val="24"/>
          <w:szCs w:val="24"/>
          <w:shd w:val="clear" w:color="auto" w:fill="FFFFFF"/>
        </w:rPr>
        <w:t>and social distancing</w:t>
      </w:r>
      <w:r w:rsidR="00C242DA">
        <w:rPr>
          <w:color w:val="333333"/>
          <w:sz w:val="24"/>
          <w:szCs w:val="24"/>
          <w:shd w:val="clear" w:color="auto" w:fill="FFFFFF"/>
        </w:rPr>
        <w:t xml:space="preserve"> in 2020 and 2021 </w:t>
      </w:r>
      <w:r w:rsidR="66960429" w:rsidRPr="00515B3B">
        <w:rPr>
          <w:color w:val="333333"/>
          <w:sz w:val="24"/>
          <w:szCs w:val="24"/>
          <w:shd w:val="clear" w:color="auto" w:fill="FFFFFF"/>
        </w:rPr>
        <w:t>may have impacted</w:t>
      </w:r>
      <w:r w:rsidR="00CB4F9F" w:rsidRPr="4CA4049F">
        <w:rPr>
          <w:color w:val="333333"/>
          <w:sz w:val="24"/>
          <w:szCs w:val="24"/>
        </w:rPr>
        <w:t xml:space="preserve"> the </w:t>
      </w:r>
      <w:r w:rsidR="009B05E7" w:rsidRPr="4CA4049F">
        <w:rPr>
          <w:color w:val="333333"/>
          <w:sz w:val="24"/>
          <w:szCs w:val="24"/>
        </w:rPr>
        <w:t>ability</w:t>
      </w:r>
      <w:r w:rsidR="00CB4F9F" w:rsidRPr="4CA4049F">
        <w:rPr>
          <w:color w:val="333333"/>
          <w:sz w:val="24"/>
          <w:szCs w:val="24"/>
        </w:rPr>
        <w:t xml:space="preserve"> of individuals to seek</w:t>
      </w:r>
      <w:r w:rsidR="66960429" w:rsidRPr="00515B3B">
        <w:rPr>
          <w:color w:val="333333"/>
          <w:sz w:val="24"/>
          <w:szCs w:val="24"/>
          <w:shd w:val="clear" w:color="auto" w:fill="FFFFFF"/>
        </w:rPr>
        <w:t xml:space="preserve"> </w:t>
      </w:r>
      <w:r w:rsidR="3E890DE4" w:rsidRPr="00515B3B">
        <w:rPr>
          <w:color w:val="333333"/>
          <w:sz w:val="24"/>
          <w:szCs w:val="24"/>
          <w:shd w:val="clear" w:color="auto" w:fill="FFFFFF"/>
        </w:rPr>
        <w:t xml:space="preserve">medical </w:t>
      </w:r>
      <w:r w:rsidR="22300E5E" w:rsidRPr="00515B3B">
        <w:rPr>
          <w:color w:val="333333"/>
          <w:sz w:val="24"/>
          <w:szCs w:val="24"/>
          <w:shd w:val="clear" w:color="auto" w:fill="FFFFFF"/>
        </w:rPr>
        <w:t>treatment</w:t>
      </w:r>
      <w:r w:rsidR="00CB4F9F" w:rsidRPr="4CA4049F">
        <w:rPr>
          <w:color w:val="333333"/>
          <w:sz w:val="24"/>
          <w:szCs w:val="24"/>
        </w:rPr>
        <w:t xml:space="preserve"> for their NFOs</w:t>
      </w:r>
      <w:r w:rsidR="00C242DA">
        <w:rPr>
          <w:color w:val="333333"/>
          <w:sz w:val="24"/>
          <w:szCs w:val="24"/>
        </w:rPr>
        <w:t>.</w:t>
      </w:r>
    </w:p>
    <w:p w14:paraId="2D6A8FCA" w14:textId="653C7AAC" w:rsidR="008F733C" w:rsidRDefault="00646930" w:rsidP="009F61F6">
      <w:pPr>
        <w:spacing w:line="276" w:lineRule="auto"/>
        <w:rPr>
          <w:color w:val="333333"/>
          <w:sz w:val="24"/>
          <w:szCs w:val="24"/>
          <w:shd w:val="clear" w:color="auto" w:fill="FFFFFF"/>
        </w:rPr>
      </w:pPr>
      <w:r>
        <w:rPr>
          <w:noProof/>
        </w:rPr>
        <w:lastRenderedPageBreak/>
        <w:drawing>
          <wp:inline distT="0" distB="0" distL="0" distR="0" wp14:anchorId="449AFFFA" wp14:editId="6C12F45A">
            <wp:extent cx="5943600" cy="3195955"/>
            <wp:effectExtent l="0" t="0" r="0" b="4445"/>
            <wp:docPr id="122796382" name="Chart 1" descr="Figure 1. A bar chart showing the count of non-fatal opioid-related overdoses for Massachusetts residents 2013-2021">
              <a:extLst xmlns:a="http://schemas.openxmlformats.org/drawingml/2006/main">
                <a:ext uri="{FF2B5EF4-FFF2-40B4-BE49-F238E27FC236}">
                  <a16:creationId xmlns:a16="http://schemas.microsoft.com/office/drawing/2014/main" id="{2D845775-5D8E-4CA5-80AA-0F16B0259C7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r w:rsidR="001576CD" w:rsidRPr="00DC49A5">
        <w:rPr>
          <w:color w:val="333333"/>
          <w:sz w:val="24"/>
          <w:szCs w:val="24"/>
          <w:shd w:val="clear" w:color="auto" w:fill="FFFFFF"/>
        </w:rPr>
        <w:t>Figur</w:t>
      </w:r>
      <w:r w:rsidR="002C2115">
        <w:rPr>
          <w:color w:val="333333"/>
          <w:sz w:val="24"/>
          <w:szCs w:val="24"/>
          <w:shd w:val="clear" w:color="auto" w:fill="FFFFFF"/>
        </w:rPr>
        <w:t>e 2</w:t>
      </w:r>
      <w:r w:rsidR="001576CD" w:rsidRPr="00DC49A5">
        <w:rPr>
          <w:color w:val="333333"/>
          <w:sz w:val="24"/>
          <w:szCs w:val="24"/>
          <w:shd w:val="clear" w:color="auto" w:fill="FFFFFF"/>
        </w:rPr>
        <w:t xml:space="preserve"> show</w:t>
      </w:r>
      <w:r w:rsidR="001576CD" w:rsidRPr="00DC49A5" w:rsidDel="00AA2D85">
        <w:rPr>
          <w:color w:val="333333"/>
          <w:sz w:val="24"/>
          <w:szCs w:val="24"/>
          <w:shd w:val="clear" w:color="auto" w:fill="FFFFFF"/>
        </w:rPr>
        <w:t>s</w:t>
      </w:r>
      <w:r w:rsidR="001576CD" w:rsidRPr="00DC49A5">
        <w:rPr>
          <w:color w:val="333333"/>
          <w:sz w:val="24"/>
          <w:szCs w:val="24"/>
          <w:shd w:val="clear" w:color="auto" w:fill="FFFFFF"/>
        </w:rPr>
        <w:t xml:space="preserve"> the age-adjusted rates of NFO and fatal opioid overdose from 2013 through </w:t>
      </w:r>
      <w:r w:rsidR="00893EF6">
        <w:rPr>
          <w:color w:val="333333"/>
          <w:sz w:val="24"/>
          <w:szCs w:val="24"/>
          <w:shd w:val="clear" w:color="auto" w:fill="FFFFFF"/>
        </w:rPr>
        <w:t>2021</w:t>
      </w:r>
      <w:r w:rsidR="001576CD" w:rsidRPr="00DC49A5">
        <w:rPr>
          <w:color w:val="333333"/>
          <w:sz w:val="24"/>
          <w:szCs w:val="24"/>
          <w:shd w:val="clear" w:color="auto" w:fill="FFFFFF"/>
        </w:rPr>
        <w:t xml:space="preserve">. </w:t>
      </w:r>
      <w:r w:rsidR="00633E73" w:rsidRPr="00DC49A5">
        <w:rPr>
          <w:color w:val="333333"/>
          <w:sz w:val="24"/>
          <w:szCs w:val="24"/>
          <w:shd w:val="clear" w:color="auto" w:fill="FFFFFF"/>
        </w:rPr>
        <w:t xml:space="preserve">The </w:t>
      </w:r>
      <w:r w:rsidR="00893EF6">
        <w:rPr>
          <w:color w:val="333333"/>
          <w:sz w:val="24"/>
          <w:szCs w:val="24"/>
          <w:shd w:val="clear" w:color="auto" w:fill="FFFFFF"/>
        </w:rPr>
        <w:t>2021</w:t>
      </w:r>
      <w:r w:rsidR="00633E73" w:rsidRPr="00DC49A5">
        <w:rPr>
          <w:color w:val="333333"/>
          <w:sz w:val="24"/>
          <w:szCs w:val="24"/>
          <w:shd w:val="clear" w:color="auto" w:fill="FFFFFF"/>
        </w:rPr>
        <w:t xml:space="preserve"> NFO rate in Massachusetts of </w:t>
      </w:r>
      <w:r w:rsidR="00D6215E">
        <w:rPr>
          <w:color w:val="333333"/>
          <w:sz w:val="24"/>
          <w:szCs w:val="24"/>
          <w:shd w:val="clear" w:color="auto" w:fill="FFFFFF"/>
        </w:rPr>
        <w:t xml:space="preserve">181.4 </w:t>
      </w:r>
      <w:r w:rsidR="00633E73" w:rsidRPr="00DC49A5">
        <w:rPr>
          <w:color w:val="333333"/>
          <w:sz w:val="24"/>
          <w:szCs w:val="24"/>
          <w:shd w:val="clear" w:color="auto" w:fill="FFFFFF"/>
        </w:rPr>
        <w:t xml:space="preserve">per 100,000 </w:t>
      </w:r>
      <w:r w:rsidR="0090151E">
        <w:rPr>
          <w:color w:val="333333"/>
          <w:sz w:val="24"/>
          <w:szCs w:val="24"/>
          <w:shd w:val="clear" w:color="auto" w:fill="FFFFFF"/>
        </w:rPr>
        <w:t>wa</w:t>
      </w:r>
      <w:r w:rsidR="00633E73" w:rsidRPr="00DC49A5">
        <w:rPr>
          <w:color w:val="333333"/>
          <w:sz w:val="24"/>
          <w:szCs w:val="24"/>
          <w:shd w:val="clear" w:color="auto" w:fill="FFFFFF"/>
        </w:rPr>
        <w:t xml:space="preserve">s </w:t>
      </w:r>
      <w:r w:rsidR="00D401A6">
        <w:rPr>
          <w:color w:val="333333"/>
          <w:sz w:val="24"/>
          <w:szCs w:val="24"/>
          <w:shd w:val="clear" w:color="auto" w:fill="FFFFFF"/>
        </w:rPr>
        <w:t>five</w:t>
      </w:r>
      <w:r w:rsidR="2524162E">
        <w:rPr>
          <w:color w:val="333333"/>
          <w:sz w:val="24"/>
          <w:szCs w:val="24"/>
          <w:shd w:val="clear" w:color="auto" w:fill="FFFFFF"/>
        </w:rPr>
        <w:t>-</w:t>
      </w:r>
      <w:r w:rsidR="00D401A6">
        <w:rPr>
          <w:color w:val="333333"/>
          <w:sz w:val="24"/>
          <w:szCs w:val="24"/>
          <w:shd w:val="clear" w:color="auto" w:fill="FFFFFF"/>
        </w:rPr>
        <w:t>and one</w:t>
      </w:r>
      <w:r w:rsidR="2524162E">
        <w:rPr>
          <w:color w:val="333333"/>
          <w:sz w:val="24"/>
          <w:szCs w:val="24"/>
          <w:shd w:val="clear" w:color="auto" w:fill="FFFFFF"/>
        </w:rPr>
        <w:t>-</w:t>
      </w:r>
      <w:r w:rsidR="00D401A6">
        <w:rPr>
          <w:color w:val="333333"/>
          <w:sz w:val="24"/>
          <w:szCs w:val="24"/>
          <w:shd w:val="clear" w:color="auto" w:fill="FFFFFF"/>
        </w:rPr>
        <w:t>half</w:t>
      </w:r>
      <w:r w:rsidR="00D401A6" w:rsidDel="00B03580">
        <w:rPr>
          <w:color w:val="333333"/>
          <w:sz w:val="24"/>
          <w:szCs w:val="24"/>
          <w:shd w:val="clear" w:color="auto" w:fill="FFFFFF"/>
        </w:rPr>
        <w:t xml:space="preserve"> </w:t>
      </w:r>
      <w:r w:rsidR="00633E73" w:rsidRPr="00DC49A5">
        <w:rPr>
          <w:color w:val="333333"/>
          <w:sz w:val="24"/>
          <w:szCs w:val="24"/>
          <w:shd w:val="clear" w:color="auto" w:fill="FFFFFF"/>
        </w:rPr>
        <w:t xml:space="preserve">times higher than the fatal opioid overdose rate of </w:t>
      </w:r>
      <w:r w:rsidR="0057498B">
        <w:rPr>
          <w:color w:val="333333"/>
          <w:sz w:val="24"/>
          <w:szCs w:val="24"/>
          <w:shd w:val="clear" w:color="auto" w:fill="FFFFFF"/>
        </w:rPr>
        <w:t>32.7</w:t>
      </w:r>
      <w:r w:rsidR="00633E73" w:rsidRPr="00DC49A5">
        <w:rPr>
          <w:color w:val="333333"/>
          <w:sz w:val="24"/>
          <w:szCs w:val="24"/>
          <w:shd w:val="clear" w:color="auto" w:fill="FFFFFF"/>
        </w:rPr>
        <w:t xml:space="preserve"> per 100,000</w:t>
      </w:r>
      <w:r w:rsidR="00D401A6">
        <w:rPr>
          <w:color w:val="333333"/>
          <w:sz w:val="24"/>
          <w:szCs w:val="24"/>
          <w:shd w:val="clear" w:color="auto" w:fill="FFFFFF"/>
        </w:rPr>
        <w:t xml:space="preserve"> that year</w:t>
      </w:r>
      <w:r w:rsidR="00633E73" w:rsidRPr="00DC49A5">
        <w:rPr>
          <w:color w:val="333333"/>
          <w:sz w:val="24"/>
          <w:szCs w:val="24"/>
          <w:shd w:val="clear" w:color="auto" w:fill="FFFFFF"/>
        </w:rPr>
        <w:t>.</w:t>
      </w:r>
      <w:r w:rsidR="00E919E7" w:rsidRPr="00DC49A5">
        <w:rPr>
          <w:color w:val="333333"/>
          <w:sz w:val="24"/>
          <w:szCs w:val="24"/>
          <w:shd w:val="clear" w:color="auto" w:fill="FFFFFF"/>
        </w:rPr>
        <w:t xml:space="preserve"> </w:t>
      </w:r>
      <w:r w:rsidR="00C21115">
        <w:rPr>
          <w:color w:val="333333"/>
          <w:sz w:val="24"/>
          <w:szCs w:val="24"/>
          <w:shd w:val="clear" w:color="auto" w:fill="FFFFFF"/>
        </w:rPr>
        <w:t xml:space="preserve">Both </w:t>
      </w:r>
      <w:r w:rsidR="001576CD" w:rsidRPr="00DC49A5">
        <w:rPr>
          <w:color w:val="333333"/>
          <w:sz w:val="24"/>
          <w:szCs w:val="24"/>
          <w:shd w:val="clear" w:color="auto" w:fill="FFFFFF"/>
        </w:rPr>
        <w:t xml:space="preserve">the age-adjusted fatal </w:t>
      </w:r>
      <w:r w:rsidR="00D73E87">
        <w:rPr>
          <w:color w:val="333333"/>
          <w:sz w:val="24"/>
          <w:szCs w:val="24"/>
          <w:shd w:val="clear" w:color="auto" w:fill="FFFFFF"/>
        </w:rPr>
        <w:t xml:space="preserve">opioid </w:t>
      </w:r>
      <w:r w:rsidR="001576CD" w:rsidRPr="00DC49A5">
        <w:rPr>
          <w:color w:val="333333"/>
          <w:sz w:val="24"/>
          <w:szCs w:val="24"/>
          <w:shd w:val="clear" w:color="auto" w:fill="FFFFFF"/>
        </w:rPr>
        <w:t>overdose rate</w:t>
      </w:r>
      <w:r w:rsidR="00C21115">
        <w:rPr>
          <w:color w:val="333333"/>
          <w:sz w:val="24"/>
          <w:szCs w:val="24"/>
          <w:shd w:val="clear" w:color="auto" w:fill="FFFFFF"/>
        </w:rPr>
        <w:t xml:space="preserve"> and </w:t>
      </w:r>
      <w:r w:rsidR="001576CD" w:rsidRPr="00DC49A5">
        <w:rPr>
          <w:color w:val="333333"/>
          <w:sz w:val="24"/>
          <w:szCs w:val="24"/>
          <w:shd w:val="clear" w:color="auto" w:fill="FFFFFF"/>
        </w:rPr>
        <w:t xml:space="preserve">the age-adjusted </w:t>
      </w:r>
      <w:r w:rsidR="001576CD" w:rsidRPr="00DC49A5">
        <w:rPr>
          <w:color w:val="333333"/>
          <w:sz w:val="24"/>
          <w:szCs w:val="24"/>
        </w:rPr>
        <w:t xml:space="preserve">NFO rate </w:t>
      </w:r>
      <w:r w:rsidR="001576CD" w:rsidRPr="00DC49A5">
        <w:rPr>
          <w:color w:val="333333"/>
          <w:sz w:val="24"/>
          <w:szCs w:val="24"/>
          <w:shd w:val="clear" w:color="auto" w:fill="FFFFFF"/>
        </w:rPr>
        <w:t xml:space="preserve">more than doubled between 2013 and 2017 (from 116.1 to 259.5 </w:t>
      </w:r>
      <w:r w:rsidR="001576CD" w:rsidRPr="00DC49A5">
        <w:rPr>
          <w:color w:val="333333"/>
          <w:sz w:val="24"/>
          <w:szCs w:val="24"/>
        </w:rPr>
        <w:t>per 100,000</w:t>
      </w:r>
      <w:r w:rsidR="001576CD" w:rsidRPr="00DC49A5">
        <w:rPr>
          <w:color w:val="333333"/>
          <w:sz w:val="24"/>
          <w:szCs w:val="24"/>
          <w:shd w:val="clear" w:color="auto" w:fill="FFFFFF"/>
        </w:rPr>
        <w:t xml:space="preserve">). </w:t>
      </w:r>
      <w:r w:rsidR="00A8704F">
        <w:rPr>
          <w:color w:val="333333"/>
          <w:sz w:val="24"/>
          <w:szCs w:val="24"/>
          <w:shd w:val="clear" w:color="auto" w:fill="FFFFFF"/>
        </w:rPr>
        <w:t>T</w:t>
      </w:r>
      <w:r w:rsidR="001576CD" w:rsidRPr="00DC49A5">
        <w:rPr>
          <w:color w:val="333333"/>
          <w:sz w:val="24"/>
          <w:szCs w:val="24"/>
          <w:shd w:val="clear" w:color="auto" w:fill="FFFFFF"/>
        </w:rPr>
        <w:t xml:space="preserve">he age-adjusted fatal opioid overdose rate remained stable from 2017 through </w:t>
      </w:r>
      <w:r w:rsidR="00893EF6">
        <w:rPr>
          <w:color w:val="333333"/>
          <w:sz w:val="24"/>
          <w:szCs w:val="24"/>
          <w:shd w:val="clear" w:color="auto" w:fill="FFFFFF"/>
        </w:rPr>
        <w:t>202</w:t>
      </w:r>
      <w:r w:rsidR="00397E8C">
        <w:rPr>
          <w:color w:val="333333"/>
          <w:sz w:val="24"/>
          <w:szCs w:val="24"/>
          <w:shd w:val="clear" w:color="auto" w:fill="FFFFFF"/>
        </w:rPr>
        <w:t xml:space="preserve">0 and then increased </w:t>
      </w:r>
      <w:r w:rsidR="00604B88">
        <w:rPr>
          <w:color w:val="333333"/>
          <w:sz w:val="24"/>
          <w:szCs w:val="24"/>
          <w:shd w:val="clear" w:color="auto" w:fill="FFFFFF"/>
        </w:rPr>
        <w:t xml:space="preserve">9% </w:t>
      </w:r>
      <w:r w:rsidR="00664CB7">
        <w:rPr>
          <w:color w:val="333333"/>
          <w:sz w:val="24"/>
          <w:szCs w:val="24"/>
          <w:shd w:val="clear" w:color="auto" w:fill="FFFFFF"/>
        </w:rPr>
        <w:t>by</w:t>
      </w:r>
      <w:r w:rsidR="00604B88">
        <w:rPr>
          <w:color w:val="333333"/>
          <w:sz w:val="24"/>
          <w:szCs w:val="24"/>
          <w:shd w:val="clear" w:color="auto" w:fill="FFFFFF"/>
        </w:rPr>
        <w:t xml:space="preserve"> 2021</w:t>
      </w:r>
      <w:r w:rsidR="00D57CF3">
        <w:rPr>
          <w:color w:val="333333"/>
          <w:sz w:val="24"/>
          <w:szCs w:val="24"/>
          <w:shd w:val="clear" w:color="auto" w:fill="FFFFFF"/>
        </w:rPr>
        <w:t xml:space="preserve">, </w:t>
      </w:r>
      <w:r w:rsidR="00D02AEC">
        <w:rPr>
          <w:color w:val="333333"/>
          <w:sz w:val="24"/>
          <w:szCs w:val="24"/>
          <w:shd w:val="clear" w:color="auto" w:fill="FFFFFF"/>
        </w:rPr>
        <w:t>while</w:t>
      </w:r>
      <w:r w:rsidR="001576CD" w:rsidRPr="00DC49A5">
        <w:rPr>
          <w:color w:val="333333"/>
          <w:sz w:val="24"/>
          <w:szCs w:val="24"/>
          <w:shd w:val="clear" w:color="auto" w:fill="FFFFFF"/>
        </w:rPr>
        <w:t xml:space="preserve"> the age-adjusted NFO rate decreased </w:t>
      </w:r>
      <w:r w:rsidR="00970F1A">
        <w:rPr>
          <w:color w:val="333333"/>
          <w:sz w:val="24"/>
          <w:szCs w:val="24"/>
          <w:shd w:val="clear" w:color="auto" w:fill="FFFFFF"/>
        </w:rPr>
        <w:t xml:space="preserve">by </w:t>
      </w:r>
      <w:r w:rsidR="00061B93">
        <w:rPr>
          <w:color w:val="333333"/>
          <w:sz w:val="24"/>
          <w:szCs w:val="24"/>
          <w:shd w:val="clear" w:color="auto" w:fill="FFFFFF"/>
        </w:rPr>
        <w:t>30</w:t>
      </w:r>
      <w:r w:rsidR="001576CD" w:rsidRPr="00DC49A5">
        <w:rPr>
          <w:color w:val="333333"/>
          <w:sz w:val="24"/>
          <w:szCs w:val="24"/>
          <w:shd w:val="clear" w:color="auto" w:fill="FFFFFF"/>
        </w:rPr>
        <w:t>%</w:t>
      </w:r>
      <w:r w:rsidR="00514599">
        <w:rPr>
          <w:color w:val="333333"/>
          <w:sz w:val="24"/>
          <w:szCs w:val="24"/>
          <w:shd w:val="clear" w:color="auto" w:fill="FFFFFF"/>
        </w:rPr>
        <w:t xml:space="preserve"> from 2017 through 2021</w:t>
      </w:r>
      <w:r w:rsidR="001576CD" w:rsidRPr="00DC49A5">
        <w:rPr>
          <w:color w:val="333333"/>
          <w:sz w:val="24"/>
          <w:szCs w:val="24"/>
          <w:shd w:val="clear" w:color="auto" w:fill="FFFFFF"/>
        </w:rPr>
        <w:t xml:space="preserve"> (from 259.5 to </w:t>
      </w:r>
      <w:r w:rsidR="00604B88">
        <w:rPr>
          <w:color w:val="333333"/>
          <w:sz w:val="24"/>
          <w:szCs w:val="24"/>
          <w:shd w:val="clear" w:color="auto" w:fill="FFFFFF"/>
        </w:rPr>
        <w:t>181.4</w:t>
      </w:r>
      <w:r w:rsidR="001576CD" w:rsidRPr="00DC49A5">
        <w:rPr>
          <w:color w:val="333333"/>
          <w:sz w:val="24"/>
          <w:szCs w:val="24"/>
          <w:shd w:val="clear" w:color="auto" w:fill="FFFFFF"/>
        </w:rPr>
        <w:t xml:space="preserve"> per 100,000). </w:t>
      </w:r>
      <w:r w:rsidR="00F7416C">
        <w:rPr>
          <w:color w:val="333333"/>
          <w:sz w:val="24"/>
          <w:szCs w:val="24"/>
          <w:shd w:val="clear" w:color="auto" w:fill="FFFFFF"/>
        </w:rPr>
        <w:t>This decrease may be</w:t>
      </w:r>
      <w:r w:rsidR="001576CD" w:rsidRPr="00DC49A5">
        <w:rPr>
          <w:color w:val="333333"/>
          <w:sz w:val="24"/>
          <w:szCs w:val="24"/>
          <w:shd w:val="clear" w:color="auto" w:fill="FFFFFF"/>
        </w:rPr>
        <w:t xml:space="preserve"> due to </w:t>
      </w:r>
      <w:r w:rsidR="0064124A">
        <w:rPr>
          <w:color w:val="333333"/>
          <w:sz w:val="24"/>
          <w:szCs w:val="24"/>
          <w:shd w:val="clear" w:color="auto" w:fill="FFFFFF"/>
        </w:rPr>
        <w:t>changes in the lethality of the drug supply which is heavily contaminated by fentanyl</w:t>
      </w:r>
      <w:r w:rsidR="008D1E6A">
        <w:rPr>
          <w:color w:val="333333"/>
          <w:sz w:val="24"/>
          <w:szCs w:val="24"/>
          <w:shd w:val="clear" w:color="auto" w:fill="FFFFFF"/>
        </w:rPr>
        <w:t xml:space="preserve"> </w:t>
      </w:r>
      <w:r w:rsidR="00B551D9" w:rsidRPr="007924DC">
        <w:rPr>
          <w:color w:val="333333"/>
          <w:sz w:val="24"/>
          <w:szCs w:val="24"/>
          <w:shd w:val="clear" w:color="auto" w:fill="FFFFFF"/>
        </w:rPr>
        <w:t>(</w:t>
      </w:r>
      <w:r w:rsidR="00C956E5" w:rsidRPr="007924DC">
        <w:rPr>
          <w:color w:val="333333"/>
          <w:sz w:val="24"/>
          <w:szCs w:val="24"/>
          <w:shd w:val="clear" w:color="auto" w:fill="FFFFFF"/>
        </w:rPr>
        <w:t xml:space="preserve">as </w:t>
      </w:r>
      <w:r w:rsidR="008D1E6A">
        <w:rPr>
          <w:color w:val="333333"/>
          <w:sz w:val="24"/>
          <w:szCs w:val="24"/>
          <w:shd w:val="clear" w:color="auto" w:fill="FFFFFF"/>
        </w:rPr>
        <w:t xml:space="preserve">fentanyl contaminated substances </w:t>
      </w:r>
      <w:r w:rsidR="00B551D9" w:rsidRPr="007924DC">
        <w:rPr>
          <w:color w:val="333333"/>
          <w:sz w:val="24"/>
          <w:szCs w:val="24"/>
          <w:shd w:val="clear" w:color="auto" w:fill="FFFFFF"/>
        </w:rPr>
        <w:t>may be making opioid</w:t>
      </w:r>
      <w:r w:rsidR="00D512A0">
        <w:rPr>
          <w:color w:val="333333"/>
          <w:sz w:val="24"/>
          <w:szCs w:val="24"/>
          <w:shd w:val="clear" w:color="auto" w:fill="FFFFFF"/>
        </w:rPr>
        <w:t xml:space="preserve"> overdoses</w:t>
      </w:r>
      <w:r w:rsidR="00B551D9" w:rsidRPr="007924DC">
        <w:rPr>
          <w:color w:val="333333"/>
          <w:sz w:val="24"/>
          <w:szCs w:val="24"/>
          <w:shd w:val="clear" w:color="auto" w:fill="FFFFFF"/>
        </w:rPr>
        <w:t xml:space="preserve"> more likely to be</w:t>
      </w:r>
      <w:r w:rsidR="00D512A0">
        <w:rPr>
          <w:color w:val="333333"/>
          <w:sz w:val="24"/>
          <w:szCs w:val="24"/>
          <w:shd w:val="clear" w:color="auto" w:fill="FFFFFF"/>
        </w:rPr>
        <w:t xml:space="preserve"> fatal</w:t>
      </w:r>
      <w:r w:rsidR="00B551D9" w:rsidRPr="007924DC">
        <w:rPr>
          <w:color w:val="333333"/>
          <w:sz w:val="24"/>
          <w:szCs w:val="24"/>
          <w:shd w:val="clear" w:color="auto" w:fill="FFFFFF"/>
        </w:rPr>
        <w:t>)</w:t>
      </w:r>
      <w:r w:rsidR="00D512A0">
        <w:rPr>
          <w:color w:val="333333"/>
          <w:sz w:val="24"/>
          <w:szCs w:val="24"/>
          <w:shd w:val="clear" w:color="auto" w:fill="FFFFFF"/>
        </w:rPr>
        <w:t xml:space="preserve">, and </w:t>
      </w:r>
      <w:r w:rsidR="008D1E6A">
        <w:rPr>
          <w:color w:val="333333"/>
          <w:sz w:val="24"/>
          <w:szCs w:val="24"/>
          <w:shd w:val="clear" w:color="auto" w:fill="FFFFFF"/>
        </w:rPr>
        <w:t xml:space="preserve">because of the </w:t>
      </w:r>
      <w:r w:rsidR="001576CD" w:rsidRPr="007924DC">
        <w:rPr>
          <w:color w:val="333333"/>
          <w:sz w:val="24"/>
          <w:szCs w:val="24"/>
          <w:shd w:val="clear" w:color="auto" w:fill="FFFFFF"/>
        </w:rPr>
        <w:t>increasing availability of naloxone in Massachusetts</w:t>
      </w:r>
      <w:r w:rsidR="00D512A0" w:rsidRPr="007924DC">
        <w:rPr>
          <w:color w:val="333333"/>
          <w:sz w:val="24"/>
          <w:szCs w:val="24"/>
          <w:shd w:val="clear" w:color="auto" w:fill="FFFFFF"/>
        </w:rPr>
        <w:t xml:space="preserve"> which may result in </w:t>
      </w:r>
      <w:proofErr w:type="gramStart"/>
      <w:r w:rsidR="00ED1D0A">
        <w:rPr>
          <w:color w:val="333333"/>
          <w:sz w:val="24"/>
          <w:szCs w:val="24"/>
          <w:shd w:val="clear" w:color="auto" w:fill="FFFFFF"/>
        </w:rPr>
        <w:t>some</w:t>
      </w:r>
      <w:proofErr w:type="gramEnd"/>
      <w:r w:rsidR="00ED1D0A">
        <w:rPr>
          <w:color w:val="333333"/>
          <w:sz w:val="24"/>
          <w:szCs w:val="24"/>
          <w:shd w:val="clear" w:color="auto" w:fill="FFFFFF"/>
        </w:rPr>
        <w:t xml:space="preserve"> </w:t>
      </w:r>
      <w:r w:rsidR="001576CD" w:rsidRPr="00DC49A5">
        <w:rPr>
          <w:color w:val="333333"/>
          <w:sz w:val="24"/>
          <w:szCs w:val="24"/>
          <w:shd w:val="clear" w:color="auto" w:fill="FFFFFF"/>
        </w:rPr>
        <w:t xml:space="preserve">NFOs </w:t>
      </w:r>
      <w:r w:rsidR="001576CD" w:rsidRPr="00DC49A5" w:rsidDel="0042151C">
        <w:rPr>
          <w:color w:val="333333"/>
          <w:sz w:val="24"/>
          <w:szCs w:val="24"/>
          <w:shd w:val="clear" w:color="auto" w:fill="FFFFFF"/>
        </w:rPr>
        <w:t>being treated</w:t>
      </w:r>
      <w:r w:rsidR="001576CD" w:rsidRPr="00DC49A5">
        <w:rPr>
          <w:color w:val="333333"/>
          <w:sz w:val="24"/>
          <w:szCs w:val="24"/>
          <w:shd w:val="clear" w:color="auto" w:fill="FFFFFF"/>
        </w:rPr>
        <w:t xml:space="preserve"> wit</w:t>
      </w:r>
      <w:r w:rsidR="00ED1D0A">
        <w:rPr>
          <w:color w:val="333333"/>
          <w:sz w:val="24"/>
          <w:szCs w:val="24"/>
          <w:shd w:val="clear" w:color="auto" w:fill="FFFFFF"/>
        </w:rPr>
        <w:t>h</w:t>
      </w:r>
      <w:r w:rsidR="0042151C">
        <w:rPr>
          <w:color w:val="333333"/>
          <w:sz w:val="24"/>
          <w:szCs w:val="24"/>
          <w:shd w:val="clear" w:color="auto" w:fill="FFFFFF"/>
        </w:rPr>
        <w:t>out</w:t>
      </w:r>
      <w:r w:rsidR="00ED1D0A">
        <w:rPr>
          <w:color w:val="333333"/>
          <w:sz w:val="24"/>
          <w:szCs w:val="24"/>
          <w:shd w:val="clear" w:color="auto" w:fill="FFFFFF"/>
        </w:rPr>
        <w:t xml:space="preserve"> </w:t>
      </w:r>
      <w:r w:rsidR="001576CD" w:rsidRPr="00DC49A5">
        <w:rPr>
          <w:color w:val="333333"/>
          <w:sz w:val="24"/>
          <w:szCs w:val="24"/>
          <w:shd w:val="clear" w:color="auto" w:fill="FFFFFF"/>
        </w:rPr>
        <w:t xml:space="preserve">documented medical care. </w:t>
      </w:r>
    </w:p>
    <w:p w14:paraId="4AF45A51" w14:textId="5AAB3E95" w:rsidR="00796361" w:rsidRPr="00DC49A5" w:rsidRDefault="007B7145" w:rsidP="009F61F6">
      <w:pPr>
        <w:spacing w:line="276" w:lineRule="auto"/>
        <w:rPr>
          <w:color w:val="333333"/>
          <w:sz w:val="24"/>
          <w:szCs w:val="24"/>
          <w:shd w:val="clear" w:color="auto" w:fill="FFFFFF"/>
        </w:rPr>
      </w:pPr>
      <w:r>
        <w:rPr>
          <w:noProof/>
          <w:color w:val="333333"/>
          <w:sz w:val="24"/>
          <w:szCs w:val="24"/>
          <w:shd w:val="clear" w:color="auto" w:fill="FFFFFF"/>
        </w:rPr>
        <w:lastRenderedPageBreak/>
        <w:drawing>
          <wp:inline distT="0" distB="0" distL="0" distR="0" wp14:anchorId="3578F2AA" wp14:editId="1382A3BF">
            <wp:extent cx="5974715" cy="3743325"/>
            <wp:effectExtent l="0" t="0" r="6985" b="9525"/>
            <wp:docPr id="270306588" name="Picture 270306588" descr="Figure 2. Age-adjusted rate of fatal and non-fatal opioid overdose per 100,000 MA residents 2013-2021.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0306588" name="Picture 270306588" descr="Figure 2. Age-adjusted rate of fatal and non-fatal opioid overdose per 100,000 MA residents 2013-2021. &#1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74715" cy="3743325"/>
                    </a:xfrm>
                    <a:prstGeom prst="rect">
                      <a:avLst/>
                    </a:prstGeom>
                    <a:noFill/>
                    <a:ln>
                      <a:noFill/>
                    </a:ln>
                  </pic:spPr>
                </pic:pic>
              </a:graphicData>
            </a:graphic>
          </wp:inline>
        </w:drawing>
      </w:r>
    </w:p>
    <w:p w14:paraId="094CA001" w14:textId="7BD462C3" w:rsidR="003B2F12" w:rsidRDefault="014189BE" w:rsidP="00F0413D">
      <w:pPr>
        <w:spacing w:line="276" w:lineRule="auto"/>
        <w:rPr>
          <w:color w:val="333333"/>
          <w:shd w:val="clear" w:color="auto" w:fill="FFFFFF"/>
        </w:rPr>
      </w:pPr>
      <w:r w:rsidRPr="00DC49A5">
        <w:rPr>
          <w:color w:val="333333"/>
          <w:sz w:val="24"/>
          <w:szCs w:val="24"/>
          <w:shd w:val="clear" w:color="auto" w:fill="FFFFFF"/>
        </w:rPr>
        <w:t xml:space="preserve">Figure 3 shows the </w:t>
      </w:r>
      <w:r w:rsidR="568F349B">
        <w:rPr>
          <w:color w:val="333333"/>
          <w:sz w:val="24"/>
          <w:szCs w:val="24"/>
          <w:shd w:val="clear" w:color="auto" w:fill="FFFFFF"/>
        </w:rPr>
        <w:t>number</w:t>
      </w:r>
      <w:r w:rsidR="6F561715" w:rsidRPr="00DC49A5">
        <w:rPr>
          <w:color w:val="333333"/>
          <w:sz w:val="24"/>
          <w:szCs w:val="24"/>
          <w:shd w:val="clear" w:color="auto" w:fill="FFFFFF"/>
        </w:rPr>
        <w:t xml:space="preserve"> </w:t>
      </w:r>
      <w:r w:rsidRPr="00DC49A5">
        <w:rPr>
          <w:color w:val="333333"/>
          <w:sz w:val="24"/>
          <w:szCs w:val="24"/>
          <w:shd w:val="clear" w:color="auto" w:fill="FFFFFF"/>
        </w:rPr>
        <w:t xml:space="preserve">of NFOs per fatal </w:t>
      </w:r>
      <w:r w:rsidR="79B7E4CF" w:rsidRPr="00DC49A5">
        <w:rPr>
          <w:color w:val="333333"/>
          <w:sz w:val="24"/>
          <w:szCs w:val="24"/>
          <w:shd w:val="clear" w:color="auto" w:fill="FFFFFF"/>
        </w:rPr>
        <w:t xml:space="preserve">opioid overdose by year from 2013 </w:t>
      </w:r>
      <w:r w:rsidR="0F5D0740">
        <w:rPr>
          <w:color w:val="333333"/>
          <w:sz w:val="24"/>
          <w:szCs w:val="24"/>
          <w:shd w:val="clear" w:color="auto" w:fill="FFFFFF"/>
        </w:rPr>
        <w:t>through</w:t>
      </w:r>
      <w:r w:rsidR="79B7E4CF" w:rsidRPr="00DC49A5">
        <w:rPr>
          <w:color w:val="333333"/>
          <w:sz w:val="24"/>
          <w:szCs w:val="24"/>
          <w:shd w:val="clear" w:color="auto" w:fill="FFFFFF"/>
        </w:rPr>
        <w:t xml:space="preserve"> </w:t>
      </w:r>
      <w:r w:rsidR="00893EF6">
        <w:rPr>
          <w:color w:val="333333"/>
          <w:sz w:val="24"/>
          <w:szCs w:val="24"/>
          <w:shd w:val="clear" w:color="auto" w:fill="FFFFFF"/>
        </w:rPr>
        <w:t>2021</w:t>
      </w:r>
      <w:r w:rsidR="79B7E4CF" w:rsidRPr="00DC49A5">
        <w:rPr>
          <w:color w:val="333333"/>
          <w:sz w:val="24"/>
          <w:szCs w:val="24"/>
          <w:shd w:val="clear" w:color="auto" w:fill="FFFFFF"/>
        </w:rPr>
        <w:t xml:space="preserve">. </w:t>
      </w:r>
      <w:r w:rsidR="4642F22F" w:rsidRPr="00DC49A5">
        <w:rPr>
          <w:color w:val="333333"/>
          <w:sz w:val="24"/>
          <w:szCs w:val="24"/>
          <w:shd w:val="clear" w:color="auto" w:fill="FFFFFF"/>
        </w:rPr>
        <w:t>In 2013</w:t>
      </w:r>
      <w:r w:rsidR="0C423FD0" w:rsidRPr="00DC49A5">
        <w:rPr>
          <w:color w:val="333333"/>
          <w:sz w:val="24"/>
          <w:szCs w:val="24"/>
          <w:shd w:val="clear" w:color="auto" w:fill="FFFFFF"/>
        </w:rPr>
        <w:t>,</w:t>
      </w:r>
      <w:r w:rsidR="4642F22F" w:rsidRPr="00DC49A5">
        <w:rPr>
          <w:color w:val="333333"/>
          <w:sz w:val="24"/>
          <w:szCs w:val="24"/>
          <w:shd w:val="clear" w:color="auto" w:fill="FFFFFF"/>
        </w:rPr>
        <w:t xml:space="preserve"> </w:t>
      </w:r>
      <w:r w:rsidR="60DCE80B">
        <w:rPr>
          <w:color w:val="333333"/>
          <w:sz w:val="24"/>
          <w:szCs w:val="24"/>
          <w:shd w:val="clear" w:color="auto" w:fill="FFFFFF"/>
        </w:rPr>
        <w:t>there were</w:t>
      </w:r>
      <w:r w:rsidR="4642F22F" w:rsidRPr="00DC49A5">
        <w:rPr>
          <w:color w:val="333333"/>
          <w:sz w:val="24"/>
          <w:szCs w:val="24"/>
          <w:shd w:val="clear" w:color="auto" w:fill="FFFFFF"/>
        </w:rPr>
        <w:t xml:space="preserve"> under </w:t>
      </w:r>
      <w:r w:rsidR="4FB402BD" w:rsidRPr="00DC49A5">
        <w:rPr>
          <w:color w:val="333333"/>
          <w:sz w:val="24"/>
          <w:szCs w:val="24"/>
          <w:shd w:val="clear" w:color="auto" w:fill="FFFFFF"/>
        </w:rPr>
        <w:t>9</w:t>
      </w:r>
      <w:r w:rsidR="4642F22F" w:rsidRPr="00DC49A5">
        <w:rPr>
          <w:color w:val="333333"/>
          <w:sz w:val="24"/>
          <w:szCs w:val="24"/>
          <w:shd w:val="clear" w:color="auto" w:fill="FFFFFF"/>
        </w:rPr>
        <w:t xml:space="preserve"> </w:t>
      </w:r>
      <w:r w:rsidR="60DCE80B">
        <w:rPr>
          <w:color w:val="333333"/>
          <w:sz w:val="24"/>
          <w:szCs w:val="24"/>
          <w:shd w:val="clear" w:color="auto" w:fill="FFFFFF"/>
        </w:rPr>
        <w:t>NFOs for every fatal opioid overdose</w:t>
      </w:r>
      <w:r w:rsidR="75321716">
        <w:rPr>
          <w:color w:val="333333"/>
          <w:sz w:val="24"/>
          <w:szCs w:val="24"/>
          <w:shd w:val="clear" w:color="auto" w:fill="FFFFFF"/>
        </w:rPr>
        <w:t>,</w:t>
      </w:r>
      <w:r w:rsidR="216661DB">
        <w:rPr>
          <w:color w:val="333333"/>
          <w:sz w:val="24"/>
          <w:szCs w:val="24"/>
          <w:shd w:val="clear" w:color="auto" w:fill="FFFFFF"/>
        </w:rPr>
        <w:t xml:space="preserve"> while in</w:t>
      </w:r>
      <w:r w:rsidR="4642F22F" w:rsidRPr="00DC49A5">
        <w:rPr>
          <w:color w:val="333333"/>
          <w:sz w:val="24"/>
          <w:szCs w:val="24"/>
          <w:shd w:val="clear" w:color="auto" w:fill="FFFFFF"/>
        </w:rPr>
        <w:t xml:space="preserve"> </w:t>
      </w:r>
      <w:r w:rsidR="00893EF6">
        <w:rPr>
          <w:color w:val="333333"/>
          <w:sz w:val="24"/>
          <w:szCs w:val="24"/>
          <w:shd w:val="clear" w:color="auto" w:fill="FFFFFF"/>
        </w:rPr>
        <w:t>2021</w:t>
      </w:r>
      <w:r w:rsidR="75321716">
        <w:rPr>
          <w:color w:val="333333"/>
          <w:sz w:val="24"/>
          <w:szCs w:val="24"/>
          <w:shd w:val="clear" w:color="auto" w:fill="FFFFFF"/>
        </w:rPr>
        <w:t>,</w:t>
      </w:r>
      <w:r w:rsidR="4642F22F" w:rsidRPr="00DC49A5">
        <w:rPr>
          <w:color w:val="333333"/>
          <w:sz w:val="24"/>
          <w:szCs w:val="24"/>
          <w:shd w:val="clear" w:color="auto" w:fill="FFFFFF"/>
        </w:rPr>
        <w:t xml:space="preserve"> </w:t>
      </w:r>
      <w:r w:rsidR="60DCE80B">
        <w:rPr>
          <w:color w:val="333333"/>
          <w:sz w:val="24"/>
          <w:szCs w:val="24"/>
          <w:shd w:val="clear" w:color="auto" w:fill="FFFFFF"/>
        </w:rPr>
        <w:t>there were just over</w:t>
      </w:r>
      <w:r w:rsidR="4642F22F" w:rsidRPr="00DC49A5">
        <w:rPr>
          <w:color w:val="333333"/>
          <w:sz w:val="24"/>
          <w:szCs w:val="24"/>
          <w:shd w:val="clear" w:color="auto" w:fill="FFFFFF"/>
        </w:rPr>
        <w:t xml:space="preserve"> </w:t>
      </w:r>
      <w:r w:rsidR="005D4D64">
        <w:rPr>
          <w:color w:val="333333"/>
          <w:sz w:val="24"/>
          <w:szCs w:val="24"/>
          <w:shd w:val="clear" w:color="auto" w:fill="FFFFFF"/>
        </w:rPr>
        <w:t>six</w:t>
      </w:r>
      <w:r w:rsidR="1C74240C" w:rsidRPr="00DC49A5">
        <w:rPr>
          <w:color w:val="333333"/>
          <w:sz w:val="24"/>
          <w:szCs w:val="24"/>
          <w:shd w:val="clear" w:color="auto" w:fill="FFFFFF"/>
        </w:rPr>
        <w:t xml:space="preserve"> </w:t>
      </w:r>
      <w:r w:rsidR="60DCE80B">
        <w:rPr>
          <w:color w:val="333333"/>
          <w:sz w:val="24"/>
          <w:szCs w:val="24"/>
          <w:shd w:val="clear" w:color="auto" w:fill="FFFFFF"/>
        </w:rPr>
        <w:t>NFOs per fatal opioid overdose</w:t>
      </w:r>
      <w:r w:rsidR="00EB6E33">
        <w:rPr>
          <w:color w:val="333333"/>
          <w:sz w:val="24"/>
          <w:szCs w:val="24"/>
          <w:shd w:val="clear" w:color="auto" w:fill="FFFFFF"/>
        </w:rPr>
        <w:t xml:space="preserve">, a </w:t>
      </w:r>
      <w:r w:rsidR="007C55F1">
        <w:rPr>
          <w:color w:val="333333"/>
          <w:sz w:val="24"/>
          <w:szCs w:val="24"/>
          <w:shd w:val="clear" w:color="auto" w:fill="FFFFFF"/>
        </w:rPr>
        <w:t xml:space="preserve">23% </w:t>
      </w:r>
      <w:r w:rsidR="00A779F9">
        <w:rPr>
          <w:color w:val="333333"/>
          <w:sz w:val="24"/>
          <w:szCs w:val="24"/>
          <w:shd w:val="clear" w:color="auto" w:fill="FFFFFF"/>
        </w:rPr>
        <w:t xml:space="preserve">rate </w:t>
      </w:r>
      <w:r w:rsidR="00EB6E33">
        <w:rPr>
          <w:color w:val="333333"/>
          <w:sz w:val="24"/>
          <w:szCs w:val="24"/>
          <w:shd w:val="clear" w:color="auto" w:fill="FFFFFF"/>
        </w:rPr>
        <w:t xml:space="preserve">decrease </w:t>
      </w:r>
      <w:r w:rsidR="007C55F1">
        <w:rPr>
          <w:color w:val="333333"/>
          <w:sz w:val="24"/>
          <w:szCs w:val="24"/>
          <w:shd w:val="clear" w:color="auto" w:fill="FFFFFF"/>
        </w:rPr>
        <w:t>between 2017 and 202</w:t>
      </w:r>
      <w:r w:rsidR="00EB6E33">
        <w:rPr>
          <w:color w:val="333333"/>
          <w:sz w:val="24"/>
          <w:szCs w:val="24"/>
          <w:shd w:val="clear" w:color="auto" w:fill="FFFFFF"/>
        </w:rPr>
        <w:t>1</w:t>
      </w:r>
      <w:r w:rsidR="00457AA0">
        <w:rPr>
          <w:color w:val="333333"/>
          <w:sz w:val="24"/>
          <w:szCs w:val="24"/>
          <w:shd w:val="clear" w:color="auto" w:fill="FFFFFF"/>
        </w:rPr>
        <w:t xml:space="preserve"> at a time when </w:t>
      </w:r>
      <w:r w:rsidR="00A779F9">
        <w:rPr>
          <w:color w:val="333333"/>
          <w:sz w:val="24"/>
          <w:szCs w:val="24"/>
          <w:shd w:val="clear" w:color="auto" w:fill="FFFFFF"/>
        </w:rPr>
        <w:t xml:space="preserve">the rate of </w:t>
      </w:r>
      <w:r w:rsidR="00457AA0">
        <w:rPr>
          <w:color w:val="333333"/>
          <w:sz w:val="24"/>
          <w:szCs w:val="24"/>
          <w:shd w:val="clear" w:color="auto" w:fill="FFFFFF"/>
        </w:rPr>
        <w:t>fatal overdose</w:t>
      </w:r>
      <w:r w:rsidR="00A779F9">
        <w:rPr>
          <w:color w:val="333333"/>
          <w:sz w:val="24"/>
          <w:szCs w:val="24"/>
          <w:shd w:val="clear" w:color="auto" w:fill="FFFFFF"/>
        </w:rPr>
        <w:t xml:space="preserve"> </w:t>
      </w:r>
      <w:r w:rsidR="00457AA0">
        <w:rPr>
          <w:color w:val="333333"/>
          <w:sz w:val="24"/>
          <w:szCs w:val="24"/>
          <w:shd w:val="clear" w:color="auto" w:fill="FFFFFF"/>
        </w:rPr>
        <w:t xml:space="preserve">increased </w:t>
      </w:r>
      <w:r w:rsidR="00A779F9">
        <w:rPr>
          <w:color w:val="333333"/>
          <w:sz w:val="24"/>
          <w:szCs w:val="24"/>
          <w:shd w:val="clear" w:color="auto" w:fill="FFFFFF"/>
        </w:rPr>
        <w:t>11%</w:t>
      </w:r>
      <w:r w:rsidR="007C55F1">
        <w:rPr>
          <w:color w:val="333333"/>
          <w:sz w:val="24"/>
          <w:szCs w:val="24"/>
          <w:shd w:val="clear" w:color="auto" w:fill="FFFFFF"/>
        </w:rPr>
        <w:t>.</w:t>
      </w:r>
      <w:r w:rsidR="007D1886">
        <w:rPr>
          <w:noProof/>
        </w:rPr>
        <w:drawing>
          <wp:inline distT="0" distB="0" distL="0" distR="0" wp14:anchorId="09EB34E9" wp14:editId="3963DEB2">
            <wp:extent cx="5943600" cy="2834640"/>
            <wp:effectExtent l="0" t="0" r="0" b="3810"/>
            <wp:docPr id="1470010008" name="Chart 1" descr="Figure 3. Number of non-fatal overdoses per fata overdoses, MA residents 2013-2021. A bar chart showing the number of non-fatal overdoses per fatal overdose ranging from 8.6 in 2013 to 6.2 in 2021.">
              <a:extLst xmlns:a="http://schemas.openxmlformats.org/drawingml/2006/main">
                <a:ext uri="{FF2B5EF4-FFF2-40B4-BE49-F238E27FC236}">
                  <a16:creationId xmlns:a16="http://schemas.microsoft.com/office/drawing/2014/main" id="{C844E551-F364-455B-B5C9-8259D680C83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39BD3852" w14:textId="5A038CC6" w:rsidR="000E40C4" w:rsidRDefault="0077606E" w:rsidP="000E40C4">
      <w:pPr>
        <w:spacing w:line="276" w:lineRule="auto"/>
        <w:rPr>
          <w:color w:val="333333"/>
          <w:sz w:val="24"/>
          <w:szCs w:val="24"/>
          <w:shd w:val="clear" w:color="auto" w:fill="FFFFFF"/>
        </w:rPr>
      </w:pPr>
      <w:r w:rsidRPr="00DC49A5">
        <w:rPr>
          <w:color w:val="333333"/>
          <w:sz w:val="24"/>
          <w:szCs w:val="24"/>
          <w:shd w:val="clear" w:color="auto" w:fill="FFFFFF"/>
        </w:rPr>
        <w:t xml:space="preserve">Figure 4 shows the number of </w:t>
      </w:r>
      <w:r w:rsidR="00970F1A">
        <w:rPr>
          <w:color w:val="333333"/>
          <w:sz w:val="24"/>
          <w:szCs w:val="24"/>
          <w:shd w:val="clear" w:color="auto" w:fill="FFFFFF"/>
        </w:rPr>
        <w:t xml:space="preserve">NFOs </w:t>
      </w:r>
      <w:r w:rsidRPr="00DC49A5">
        <w:rPr>
          <w:color w:val="333333"/>
          <w:sz w:val="24"/>
          <w:szCs w:val="24"/>
          <w:shd w:val="clear" w:color="auto" w:fill="FFFFFF"/>
        </w:rPr>
        <w:t xml:space="preserve">per individual from 2013 </w:t>
      </w:r>
      <w:r w:rsidR="00A022C4">
        <w:rPr>
          <w:color w:val="333333"/>
          <w:sz w:val="24"/>
          <w:szCs w:val="24"/>
          <w:shd w:val="clear" w:color="auto" w:fill="FFFFFF"/>
        </w:rPr>
        <w:t>through</w:t>
      </w:r>
      <w:r w:rsidRPr="00DC49A5">
        <w:rPr>
          <w:color w:val="333333"/>
          <w:sz w:val="24"/>
          <w:szCs w:val="24"/>
          <w:shd w:val="clear" w:color="auto" w:fill="FFFFFF"/>
        </w:rPr>
        <w:t xml:space="preserve"> </w:t>
      </w:r>
      <w:r w:rsidR="00893EF6">
        <w:rPr>
          <w:color w:val="333333"/>
          <w:sz w:val="24"/>
          <w:szCs w:val="24"/>
          <w:shd w:val="clear" w:color="auto" w:fill="FFFFFF"/>
        </w:rPr>
        <w:t>2021</w:t>
      </w:r>
      <w:r w:rsidRPr="00DC49A5">
        <w:rPr>
          <w:color w:val="333333"/>
          <w:sz w:val="24"/>
          <w:szCs w:val="24"/>
          <w:shd w:val="clear" w:color="auto" w:fill="FFFFFF"/>
        </w:rPr>
        <w:t xml:space="preserve">. </w:t>
      </w:r>
      <w:r w:rsidR="00805328">
        <w:rPr>
          <w:color w:val="333333"/>
          <w:sz w:val="24"/>
          <w:szCs w:val="24"/>
          <w:shd w:val="clear" w:color="auto" w:fill="FFFFFF"/>
        </w:rPr>
        <w:t xml:space="preserve">The majority </w:t>
      </w:r>
      <w:r w:rsidR="008C2FF2">
        <w:rPr>
          <w:color w:val="333333"/>
          <w:sz w:val="24"/>
          <w:szCs w:val="24"/>
          <w:shd w:val="clear" w:color="auto" w:fill="FFFFFF"/>
        </w:rPr>
        <w:t xml:space="preserve">(65%) </w:t>
      </w:r>
      <w:r w:rsidR="00805328">
        <w:rPr>
          <w:color w:val="333333"/>
          <w:sz w:val="24"/>
          <w:szCs w:val="24"/>
          <w:shd w:val="clear" w:color="auto" w:fill="FFFFFF"/>
        </w:rPr>
        <w:t>of</w:t>
      </w:r>
      <w:r w:rsidR="3F31588E">
        <w:rPr>
          <w:color w:val="333333"/>
          <w:sz w:val="24"/>
          <w:szCs w:val="24"/>
          <w:shd w:val="clear" w:color="auto" w:fill="FFFFFF"/>
        </w:rPr>
        <w:t xml:space="preserve"> </w:t>
      </w:r>
      <w:r w:rsidR="00B205E9">
        <w:rPr>
          <w:color w:val="333333"/>
          <w:sz w:val="24"/>
          <w:szCs w:val="24"/>
          <w:shd w:val="clear" w:color="auto" w:fill="FFFFFF"/>
        </w:rPr>
        <w:t xml:space="preserve">residents </w:t>
      </w:r>
      <w:r w:rsidR="00547AF0">
        <w:rPr>
          <w:color w:val="333333"/>
          <w:sz w:val="24"/>
          <w:szCs w:val="24"/>
          <w:shd w:val="clear" w:color="auto" w:fill="FFFFFF"/>
        </w:rPr>
        <w:t xml:space="preserve">experienced one documented </w:t>
      </w:r>
      <w:r w:rsidR="00A52C06">
        <w:rPr>
          <w:color w:val="333333"/>
          <w:sz w:val="24"/>
          <w:szCs w:val="24"/>
          <w:shd w:val="clear" w:color="auto" w:fill="FFFFFF"/>
        </w:rPr>
        <w:t xml:space="preserve">NFO, </w:t>
      </w:r>
      <w:r w:rsidR="00F01076">
        <w:rPr>
          <w:color w:val="333333"/>
          <w:sz w:val="24"/>
          <w:szCs w:val="24"/>
          <w:shd w:val="clear" w:color="auto" w:fill="FFFFFF"/>
        </w:rPr>
        <w:t xml:space="preserve">17% </w:t>
      </w:r>
      <w:r w:rsidR="00547AF0">
        <w:rPr>
          <w:color w:val="333333"/>
          <w:sz w:val="24"/>
          <w:szCs w:val="24"/>
          <w:shd w:val="clear" w:color="auto" w:fill="FFFFFF"/>
        </w:rPr>
        <w:t xml:space="preserve">experienced </w:t>
      </w:r>
      <w:r w:rsidR="00011DEA">
        <w:rPr>
          <w:color w:val="333333"/>
          <w:sz w:val="24"/>
          <w:szCs w:val="24"/>
          <w:shd w:val="clear" w:color="auto" w:fill="FFFFFF"/>
        </w:rPr>
        <w:t xml:space="preserve">two, </w:t>
      </w:r>
      <w:r w:rsidR="00542F89">
        <w:rPr>
          <w:color w:val="333333"/>
          <w:sz w:val="24"/>
          <w:szCs w:val="24"/>
          <w:shd w:val="clear" w:color="auto" w:fill="FFFFFF"/>
        </w:rPr>
        <w:t>and the remaining 1</w:t>
      </w:r>
      <w:r w:rsidR="00856E65">
        <w:rPr>
          <w:color w:val="333333"/>
          <w:sz w:val="24"/>
          <w:szCs w:val="24"/>
          <w:shd w:val="clear" w:color="auto" w:fill="FFFFFF"/>
        </w:rPr>
        <w:t>8</w:t>
      </w:r>
      <w:r w:rsidR="00542F89">
        <w:rPr>
          <w:color w:val="333333"/>
          <w:sz w:val="24"/>
          <w:szCs w:val="24"/>
          <w:shd w:val="clear" w:color="auto" w:fill="FFFFFF"/>
        </w:rPr>
        <w:t xml:space="preserve">% had </w:t>
      </w:r>
      <w:r w:rsidR="00856E65">
        <w:rPr>
          <w:color w:val="333333"/>
          <w:sz w:val="24"/>
          <w:szCs w:val="24"/>
          <w:shd w:val="clear" w:color="auto" w:fill="FFFFFF"/>
        </w:rPr>
        <w:t xml:space="preserve">three or </w:t>
      </w:r>
      <w:r w:rsidR="00542F89">
        <w:rPr>
          <w:color w:val="333333"/>
          <w:sz w:val="24"/>
          <w:szCs w:val="24"/>
          <w:shd w:val="clear" w:color="auto" w:fill="FFFFFF"/>
        </w:rPr>
        <w:t xml:space="preserve">more NFOs. </w:t>
      </w:r>
      <w:r w:rsidR="00E5686E" w:rsidRPr="00DC49A5">
        <w:rPr>
          <w:color w:val="333333"/>
          <w:sz w:val="24"/>
          <w:szCs w:val="24"/>
          <w:shd w:val="clear" w:color="auto" w:fill="FFFFFF"/>
        </w:rPr>
        <w:t>Of the 1</w:t>
      </w:r>
      <w:r w:rsidR="004F535F">
        <w:rPr>
          <w:color w:val="333333"/>
          <w:sz w:val="24"/>
          <w:szCs w:val="24"/>
          <w:shd w:val="clear" w:color="auto" w:fill="FFFFFF"/>
        </w:rPr>
        <w:t xml:space="preserve">6,095 </w:t>
      </w:r>
      <w:r w:rsidR="006C1667" w:rsidRPr="00DC49A5">
        <w:rPr>
          <w:color w:val="333333"/>
          <w:sz w:val="24"/>
          <w:szCs w:val="24"/>
          <w:shd w:val="clear" w:color="auto" w:fill="FFFFFF"/>
        </w:rPr>
        <w:t xml:space="preserve">MA </w:t>
      </w:r>
      <w:r w:rsidR="00E5686E" w:rsidRPr="00DC49A5">
        <w:rPr>
          <w:color w:val="333333"/>
          <w:sz w:val="24"/>
          <w:szCs w:val="24"/>
          <w:shd w:val="clear" w:color="auto" w:fill="FFFFFF"/>
        </w:rPr>
        <w:t xml:space="preserve">residents who experienced a fatal opioid overdose between 2013 and </w:t>
      </w:r>
      <w:r w:rsidR="00893EF6">
        <w:rPr>
          <w:color w:val="333333"/>
          <w:sz w:val="24"/>
          <w:szCs w:val="24"/>
          <w:shd w:val="clear" w:color="auto" w:fill="FFFFFF"/>
        </w:rPr>
        <w:t>2021</w:t>
      </w:r>
      <w:r w:rsidR="00033AD1" w:rsidRPr="00DC49A5">
        <w:rPr>
          <w:color w:val="333333"/>
          <w:sz w:val="24"/>
          <w:szCs w:val="24"/>
          <w:shd w:val="clear" w:color="auto" w:fill="FFFFFF"/>
        </w:rPr>
        <w:t>,</w:t>
      </w:r>
      <w:r w:rsidR="006C1667" w:rsidRPr="00DC49A5">
        <w:rPr>
          <w:color w:val="333333"/>
          <w:sz w:val="24"/>
          <w:szCs w:val="24"/>
          <w:shd w:val="clear" w:color="auto" w:fill="FFFFFF"/>
        </w:rPr>
        <w:t xml:space="preserve"> </w:t>
      </w:r>
      <w:r w:rsidR="00E5686E" w:rsidRPr="00DC49A5">
        <w:rPr>
          <w:color w:val="333333"/>
          <w:sz w:val="24"/>
          <w:szCs w:val="24"/>
          <w:shd w:val="clear" w:color="auto" w:fill="FFFFFF"/>
        </w:rPr>
        <w:t>6</w:t>
      </w:r>
      <w:r w:rsidR="00CD6578">
        <w:rPr>
          <w:color w:val="333333"/>
          <w:sz w:val="24"/>
          <w:szCs w:val="24"/>
          <w:shd w:val="clear" w:color="auto" w:fill="FFFFFF"/>
        </w:rPr>
        <w:t>0</w:t>
      </w:r>
      <w:r w:rsidR="00E5686E" w:rsidRPr="00DC49A5">
        <w:rPr>
          <w:color w:val="333333"/>
          <w:sz w:val="24"/>
          <w:szCs w:val="24"/>
          <w:shd w:val="clear" w:color="auto" w:fill="FFFFFF"/>
        </w:rPr>
        <w:t>% (</w:t>
      </w:r>
      <w:r w:rsidR="004F535F">
        <w:rPr>
          <w:color w:val="333333"/>
          <w:sz w:val="24"/>
          <w:szCs w:val="24"/>
          <w:shd w:val="clear" w:color="auto" w:fill="FFFFFF"/>
        </w:rPr>
        <w:t>9,691</w:t>
      </w:r>
      <w:r w:rsidR="00E5686E" w:rsidRPr="00DC49A5">
        <w:rPr>
          <w:color w:val="333333"/>
          <w:sz w:val="24"/>
          <w:szCs w:val="24"/>
          <w:shd w:val="clear" w:color="auto" w:fill="FFFFFF"/>
        </w:rPr>
        <w:t>)</w:t>
      </w:r>
      <w:r w:rsidRPr="00DC49A5">
        <w:rPr>
          <w:color w:val="333333"/>
          <w:sz w:val="24"/>
          <w:szCs w:val="24"/>
          <w:shd w:val="clear" w:color="auto" w:fill="FFFFFF"/>
        </w:rPr>
        <w:t xml:space="preserve"> </w:t>
      </w:r>
      <w:r w:rsidR="00F66F8B" w:rsidRPr="00DC49A5">
        <w:rPr>
          <w:color w:val="333333"/>
          <w:sz w:val="24"/>
          <w:szCs w:val="24"/>
          <w:shd w:val="clear" w:color="auto" w:fill="FFFFFF"/>
        </w:rPr>
        <w:t xml:space="preserve">had not </w:t>
      </w:r>
      <w:r w:rsidR="00150043" w:rsidRPr="00DC49A5">
        <w:rPr>
          <w:color w:val="333333"/>
          <w:sz w:val="24"/>
          <w:szCs w:val="24"/>
          <w:shd w:val="clear" w:color="auto" w:fill="FFFFFF"/>
        </w:rPr>
        <w:t>experienced</w:t>
      </w:r>
      <w:r w:rsidR="00F66F8B" w:rsidRPr="00DC49A5">
        <w:rPr>
          <w:color w:val="333333"/>
          <w:sz w:val="24"/>
          <w:szCs w:val="24"/>
          <w:shd w:val="clear" w:color="auto" w:fill="FFFFFF"/>
        </w:rPr>
        <w:t xml:space="preserve"> a prior documented NFO.</w:t>
      </w:r>
      <w:r w:rsidR="000F2B8D" w:rsidRPr="00DC49A5">
        <w:rPr>
          <w:color w:val="333333"/>
          <w:sz w:val="24"/>
          <w:szCs w:val="24"/>
          <w:shd w:val="clear" w:color="auto" w:fill="FFFFFF"/>
        </w:rPr>
        <w:t xml:space="preserve"> </w:t>
      </w:r>
      <w:r w:rsidR="5DC3F52A" w:rsidRPr="00DC49A5">
        <w:rPr>
          <w:color w:val="333333"/>
          <w:sz w:val="24"/>
          <w:szCs w:val="24"/>
          <w:shd w:val="clear" w:color="auto" w:fill="FFFFFF"/>
        </w:rPr>
        <w:t xml:space="preserve">Of those </w:t>
      </w:r>
      <w:r w:rsidR="5DC3F52A" w:rsidRPr="00DC49A5">
        <w:rPr>
          <w:color w:val="333333"/>
          <w:sz w:val="24"/>
          <w:szCs w:val="24"/>
          <w:shd w:val="clear" w:color="auto" w:fill="FFFFFF"/>
        </w:rPr>
        <w:lastRenderedPageBreak/>
        <w:t xml:space="preserve">who survived a first </w:t>
      </w:r>
      <w:r w:rsidR="00B061BE">
        <w:rPr>
          <w:color w:val="333333"/>
          <w:sz w:val="24"/>
          <w:szCs w:val="24"/>
          <w:shd w:val="clear" w:color="auto" w:fill="FFFFFF"/>
        </w:rPr>
        <w:t>NFO</w:t>
      </w:r>
      <w:r w:rsidR="00F03B0E">
        <w:rPr>
          <w:color w:val="333333"/>
          <w:sz w:val="24"/>
          <w:szCs w:val="24"/>
          <w:shd w:val="clear" w:color="auto" w:fill="FFFFFF"/>
        </w:rPr>
        <w:t>,</w:t>
      </w:r>
      <w:r w:rsidR="5DC3F52A" w:rsidRPr="00DC49A5">
        <w:rPr>
          <w:color w:val="333333"/>
          <w:sz w:val="24"/>
          <w:szCs w:val="24"/>
          <w:shd w:val="clear" w:color="auto" w:fill="FFFFFF"/>
        </w:rPr>
        <w:t xml:space="preserve"> </w:t>
      </w:r>
      <w:r w:rsidR="00206387">
        <w:rPr>
          <w:color w:val="333333"/>
          <w:sz w:val="24"/>
          <w:szCs w:val="24"/>
          <w:shd w:val="clear" w:color="auto" w:fill="FFFFFF"/>
        </w:rPr>
        <w:t>8.</w:t>
      </w:r>
      <w:r w:rsidR="2DF6FED2" w:rsidRPr="00DC49A5">
        <w:rPr>
          <w:color w:val="333333"/>
          <w:sz w:val="24"/>
          <w:szCs w:val="24"/>
          <w:shd w:val="clear" w:color="auto" w:fill="FFFFFF"/>
        </w:rPr>
        <w:t>9</w:t>
      </w:r>
      <w:r w:rsidR="00290494">
        <w:rPr>
          <w:color w:val="333333"/>
          <w:sz w:val="24"/>
          <w:szCs w:val="24"/>
          <w:shd w:val="clear" w:color="auto" w:fill="FFFFFF"/>
        </w:rPr>
        <w:t xml:space="preserve">% </w:t>
      </w:r>
      <w:r w:rsidR="00B57F7C">
        <w:rPr>
          <w:color w:val="333333"/>
          <w:sz w:val="24"/>
          <w:szCs w:val="24"/>
          <w:shd w:val="clear" w:color="auto" w:fill="FFFFFF"/>
        </w:rPr>
        <w:t>(</w:t>
      </w:r>
      <w:r w:rsidR="009445FA">
        <w:rPr>
          <w:color w:val="333333"/>
          <w:sz w:val="24"/>
          <w:szCs w:val="24"/>
          <w:shd w:val="clear" w:color="auto" w:fill="FFFFFF"/>
        </w:rPr>
        <w:t>6,40</w:t>
      </w:r>
      <w:r w:rsidR="00794DF3">
        <w:rPr>
          <w:color w:val="333333"/>
          <w:sz w:val="24"/>
          <w:szCs w:val="24"/>
          <w:shd w:val="clear" w:color="auto" w:fill="FFFFFF"/>
        </w:rPr>
        <w:t>4</w:t>
      </w:r>
      <w:r w:rsidR="00290494">
        <w:rPr>
          <w:color w:val="333333"/>
          <w:sz w:val="24"/>
          <w:szCs w:val="24"/>
          <w:shd w:val="clear" w:color="auto" w:fill="FFFFFF"/>
        </w:rPr>
        <w:t>)</w:t>
      </w:r>
      <w:r w:rsidR="2DF6FED2" w:rsidRPr="00DC49A5">
        <w:rPr>
          <w:color w:val="333333"/>
          <w:sz w:val="24"/>
          <w:szCs w:val="24"/>
          <w:shd w:val="clear" w:color="auto" w:fill="FFFFFF"/>
        </w:rPr>
        <w:t xml:space="preserve"> subsequently experienced a fatal </w:t>
      </w:r>
      <w:r w:rsidR="00520E06">
        <w:rPr>
          <w:color w:val="333333"/>
          <w:sz w:val="24"/>
          <w:szCs w:val="24"/>
          <w:shd w:val="clear" w:color="auto" w:fill="FFFFFF"/>
        </w:rPr>
        <w:t xml:space="preserve">opioid </w:t>
      </w:r>
      <w:r w:rsidR="2DF6FED2" w:rsidRPr="00DC49A5">
        <w:rPr>
          <w:color w:val="333333"/>
          <w:sz w:val="24"/>
          <w:szCs w:val="24"/>
          <w:shd w:val="clear" w:color="auto" w:fill="FFFFFF"/>
        </w:rPr>
        <w:t xml:space="preserve">overdose. </w:t>
      </w:r>
      <w:r w:rsidR="5DC3F52A" w:rsidRPr="00DC49A5">
        <w:rPr>
          <w:color w:val="333333"/>
          <w:sz w:val="24"/>
          <w:szCs w:val="24"/>
          <w:shd w:val="clear" w:color="auto" w:fill="FFFFFF"/>
        </w:rPr>
        <w:t xml:space="preserve"> </w:t>
      </w:r>
      <w:r w:rsidR="00E5686E" w:rsidRPr="00DC49A5">
        <w:rPr>
          <w:color w:val="333333"/>
          <w:sz w:val="24"/>
          <w:szCs w:val="24"/>
          <w:shd w:val="clear" w:color="auto" w:fill="FFFFFF"/>
        </w:rPr>
        <w:t>Four percent (</w:t>
      </w:r>
      <w:r w:rsidR="00D25115">
        <w:rPr>
          <w:color w:val="333333"/>
          <w:sz w:val="24"/>
          <w:szCs w:val="24"/>
          <w:shd w:val="clear" w:color="auto" w:fill="FFFFFF"/>
        </w:rPr>
        <w:t>3,092</w:t>
      </w:r>
      <w:r w:rsidR="00FC3D64">
        <w:rPr>
          <w:color w:val="333333"/>
          <w:sz w:val="24"/>
          <w:szCs w:val="24"/>
          <w:shd w:val="clear" w:color="auto" w:fill="FFFFFF"/>
        </w:rPr>
        <w:t>)</w:t>
      </w:r>
      <w:r w:rsidR="00E5686E" w:rsidRPr="00DC49A5">
        <w:rPr>
          <w:color w:val="333333"/>
          <w:sz w:val="24"/>
          <w:szCs w:val="24"/>
          <w:shd w:val="clear" w:color="auto" w:fill="FFFFFF"/>
        </w:rPr>
        <w:t xml:space="preserve"> of those who survived their first </w:t>
      </w:r>
      <w:r w:rsidR="0029711A">
        <w:rPr>
          <w:color w:val="333333"/>
          <w:sz w:val="24"/>
          <w:szCs w:val="24"/>
          <w:shd w:val="clear" w:color="auto" w:fill="FFFFFF"/>
        </w:rPr>
        <w:t>NFO</w:t>
      </w:r>
      <w:r w:rsidR="00E5686E" w:rsidRPr="00DC49A5">
        <w:rPr>
          <w:color w:val="333333"/>
          <w:sz w:val="24"/>
          <w:szCs w:val="24"/>
          <w:shd w:val="clear" w:color="auto" w:fill="FFFFFF"/>
        </w:rPr>
        <w:t xml:space="preserve"> experienced a fatal </w:t>
      </w:r>
      <w:r w:rsidR="00D50535">
        <w:rPr>
          <w:color w:val="333333"/>
          <w:sz w:val="24"/>
          <w:szCs w:val="24"/>
          <w:shd w:val="clear" w:color="auto" w:fill="FFFFFF"/>
        </w:rPr>
        <w:t xml:space="preserve">opioid </w:t>
      </w:r>
      <w:r w:rsidR="00E5686E" w:rsidRPr="00DC49A5">
        <w:rPr>
          <w:color w:val="333333"/>
          <w:sz w:val="24"/>
          <w:szCs w:val="24"/>
          <w:shd w:val="clear" w:color="auto" w:fill="FFFFFF"/>
        </w:rPr>
        <w:t xml:space="preserve">overdose the second time they overdosed. The </w:t>
      </w:r>
      <w:r w:rsidR="005F6C03">
        <w:rPr>
          <w:color w:val="333333"/>
          <w:sz w:val="24"/>
          <w:szCs w:val="24"/>
          <w:shd w:val="clear" w:color="auto" w:fill="FFFFFF"/>
        </w:rPr>
        <w:t>3,312</w:t>
      </w:r>
      <w:r w:rsidR="00E5686E" w:rsidRPr="00DC49A5">
        <w:rPr>
          <w:color w:val="333333"/>
          <w:sz w:val="24"/>
          <w:szCs w:val="24"/>
          <w:shd w:val="clear" w:color="auto" w:fill="FFFFFF"/>
        </w:rPr>
        <w:t xml:space="preserve"> individuals who </w:t>
      </w:r>
      <w:r w:rsidR="00791018" w:rsidRPr="00DC49A5">
        <w:rPr>
          <w:color w:val="333333"/>
          <w:sz w:val="24"/>
          <w:szCs w:val="24"/>
          <w:shd w:val="clear" w:color="auto" w:fill="FFFFFF"/>
        </w:rPr>
        <w:t xml:space="preserve">later </w:t>
      </w:r>
      <w:r w:rsidR="00E5686E" w:rsidRPr="00DC49A5">
        <w:rPr>
          <w:color w:val="333333"/>
          <w:sz w:val="24"/>
          <w:szCs w:val="24"/>
          <w:shd w:val="clear" w:color="auto" w:fill="FFFFFF"/>
        </w:rPr>
        <w:t xml:space="preserve">died of a fatal opioid overdose experienced an average of 3.4 NFOs prior to the fatal opioid overdose. </w:t>
      </w:r>
    </w:p>
    <w:p w14:paraId="4F3B5589" w14:textId="10857E20" w:rsidR="00D744FB" w:rsidRDefault="00554CD6" w:rsidP="000E40C4">
      <w:pPr>
        <w:spacing w:line="276" w:lineRule="auto"/>
        <w:rPr>
          <w:color w:val="333333"/>
          <w:sz w:val="24"/>
          <w:szCs w:val="24"/>
          <w:shd w:val="clear" w:color="auto" w:fill="FFFFFF"/>
        </w:rPr>
      </w:pPr>
      <w:r>
        <w:rPr>
          <w:noProof/>
        </w:rPr>
        <w:drawing>
          <wp:inline distT="0" distB="0" distL="0" distR="0" wp14:anchorId="6C443A89" wp14:editId="0CD6CBAE">
            <wp:extent cx="5943600" cy="2974975"/>
            <wp:effectExtent l="0" t="0" r="0" b="0"/>
            <wp:docPr id="511975627" name="Chart 1" descr="Figure 4. Stacked bar chart by number of non-fatal overdoses. Count of NFO in blue. Count ranges from 1-6, 7-10 and &lt;10 and the overdose majority is seen in the first overdose (72,018) NFO.">
              <a:extLst xmlns:a="http://schemas.openxmlformats.org/drawingml/2006/main">
                <a:ext uri="{FF2B5EF4-FFF2-40B4-BE49-F238E27FC236}">
                  <a16:creationId xmlns:a16="http://schemas.microsoft.com/office/drawing/2014/main" id="{8EF20E79-3BE8-49D2-91BB-EFB43BEF5B0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70B23176" w14:textId="121689DB" w:rsidR="005823B1" w:rsidRDefault="00BB362E" w:rsidP="005823B1">
      <w:pPr>
        <w:spacing w:line="276" w:lineRule="auto"/>
        <w:rPr>
          <w:color w:val="333333"/>
          <w:sz w:val="24"/>
          <w:szCs w:val="24"/>
          <w:shd w:val="clear" w:color="auto" w:fill="FFFFFF"/>
        </w:rPr>
      </w:pPr>
      <w:r w:rsidRPr="00DC49A5">
        <w:rPr>
          <w:color w:val="333333"/>
          <w:sz w:val="24"/>
          <w:szCs w:val="24"/>
          <w:shd w:val="clear" w:color="auto" w:fill="FFFFFF"/>
        </w:rPr>
        <w:t xml:space="preserve">Figure 5 shows the trend by </w:t>
      </w:r>
      <w:r w:rsidR="00757285">
        <w:rPr>
          <w:color w:val="333333"/>
          <w:sz w:val="24"/>
          <w:szCs w:val="24"/>
          <w:shd w:val="clear" w:color="auto" w:fill="FFFFFF"/>
        </w:rPr>
        <w:t xml:space="preserve">binary </w:t>
      </w:r>
      <w:r w:rsidRPr="00DC49A5">
        <w:rPr>
          <w:color w:val="333333"/>
          <w:sz w:val="24"/>
          <w:szCs w:val="24"/>
          <w:shd w:val="clear" w:color="auto" w:fill="FFFFFF"/>
        </w:rPr>
        <w:t xml:space="preserve">sex from 2013 </w:t>
      </w:r>
      <w:r w:rsidR="005B71BE">
        <w:rPr>
          <w:color w:val="333333"/>
          <w:sz w:val="24"/>
          <w:szCs w:val="24"/>
          <w:shd w:val="clear" w:color="auto" w:fill="FFFFFF"/>
        </w:rPr>
        <w:t>through</w:t>
      </w:r>
      <w:r w:rsidRPr="00DC49A5">
        <w:rPr>
          <w:color w:val="333333"/>
          <w:sz w:val="24"/>
          <w:szCs w:val="24"/>
          <w:shd w:val="clear" w:color="auto" w:fill="FFFFFF"/>
        </w:rPr>
        <w:t xml:space="preserve"> </w:t>
      </w:r>
      <w:r w:rsidR="00893EF6">
        <w:rPr>
          <w:color w:val="333333"/>
          <w:sz w:val="24"/>
          <w:szCs w:val="24"/>
          <w:shd w:val="clear" w:color="auto" w:fill="FFFFFF"/>
        </w:rPr>
        <w:t>2021</w:t>
      </w:r>
      <w:r w:rsidR="00423D65">
        <w:rPr>
          <w:color w:val="333333"/>
          <w:sz w:val="24"/>
          <w:szCs w:val="24"/>
          <w:shd w:val="clear" w:color="auto" w:fill="FFFFFF"/>
        </w:rPr>
        <w:t>.</w:t>
      </w:r>
      <w:r w:rsidR="005015F2">
        <w:rPr>
          <w:color w:val="333333"/>
          <w:sz w:val="24"/>
          <w:szCs w:val="24"/>
          <w:shd w:val="clear" w:color="auto" w:fill="FFFFFF"/>
        </w:rPr>
        <w:t xml:space="preserve"> </w:t>
      </w:r>
      <w:r w:rsidR="00423D65">
        <w:rPr>
          <w:color w:val="333333"/>
          <w:sz w:val="24"/>
          <w:szCs w:val="24"/>
          <w:shd w:val="clear" w:color="auto" w:fill="FFFFFF"/>
        </w:rPr>
        <w:t>During this period</w:t>
      </w:r>
      <w:r w:rsidR="00B42762">
        <w:rPr>
          <w:color w:val="333333"/>
          <w:sz w:val="24"/>
          <w:szCs w:val="24"/>
          <w:shd w:val="clear" w:color="auto" w:fill="FFFFFF"/>
        </w:rPr>
        <w:t>,</w:t>
      </w:r>
      <w:r w:rsidR="00423D65">
        <w:rPr>
          <w:color w:val="333333"/>
          <w:sz w:val="24"/>
          <w:szCs w:val="24"/>
          <w:shd w:val="clear" w:color="auto" w:fill="FFFFFF"/>
        </w:rPr>
        <w:t xml:space="preserve"> the </w:t>
      </w:r>
      <w:r w:rsidRPr="00DC49A5">
        <w:rPr>
          <w:color w:val="333333"/>
          <w:sz w:val="24"/>
          <w:szCs w:val="24"/>
          <w:shd w:val="clear" w:color="auto" w:fill="FFFFFF"/>
        </w:rPr>
        <w:t>NFO rate</w:t>
      </w:r>
      <w:r w:rsidR="003C6A67">
        <w:rPr>
          <w:color w:val="333333"/>
          <w:sz w:val="24"/>
          <w:szCs w:val="24"/>
          <w:shd w:val="clear" w:color="auto" w:fill="FFFFFF"/>
        </w:rPr>
        <w:t xml:space="preserve"> differences between the sexes widened</w:t>
      </w:r>
      <w:r w:rsidR="005A5339">
        <w:rPr>
          <w:color w:val="333333"/>
          <w:sz w:val="24"/>
          <w:szCs w:val="24"/>
          <w:shd w:val="clear" w:color="auto" w:fill="FFFFFF"/>
        </w:rPr>
        <w:t xml:space="preserve"> from m</w:t>
      </w:r>
      <w:r w:rsidR="00791FD8">
        <w:rPr>
          <w:color w:val="333333"/>
          <w:sz w:val="24"/>
          <w:szCs w:val="24"/>
          <w:shd w:val="clear" w:color="auto" w:fill="FFFFFF"/>
        </w:rPr>
        <w:t xml:space="preserve">ales </w:t>
      </w:r>
      <w:r w:rsidR="00BF7F6F">
        <w:rPr>
          <w:color w:val="333333"/>
          <w:sz w:val="24"/>
          <w:szCs w:val="24"/>
          <w:shd w:val="clear" w:color="auto" w:fill="FFFFFF"/>
        </w:rPr>
        <w:t>experienc</w:t>
      </w:r>
      <w:r w:rsidR="005A5339">
        <w:rPr>
          <w:color w:val="333333"/>
          <w:sz w:val="24"/>
          <w:szCs w:val="24"/>
          <w:shd w:val="clear" w:color="auto" w:fill="FFFFFF"/>
        </w:rPr>
        <w:t>ing</w:t>
      </w:r>
      <w:r w:rsidR="00791FD8">
        <w:rPr>
          <w:color w:val="333333"/>
          <w:sz w:val="24"/>
          <w:szCs w:val="24"/>
          <w:shd w:val="clear" w:color="auto" w:fill="FFFFFF"/>
        </w:rPr>
        <w:t xml:space="preserve"> a rate </w:t>
      </w:r>
      <w:r w:rsidR="005A5339">
        <w:rPr>
          <w:color w:val="333333"/>
          <w:sz w:val="24"/>
          <w:szCs w:val="24"/>
          <w:shd w:val="clear" w:color="auto" w:fill="FFFFFF"/>
        </w:rPr>
        <w:t xml:space="preserve">that was </w:t>
      </w:r>
      <w:r w:rsidR="00791FD8">
        <w:rPr>
          <w:color w:val="333333"/>
          <w:sz w:val="24"/>
          <w:szCs w:val="24"/>
          <w:shd w:val="clear" w:color="auto" w:fill="FFFFFF"/>
        </w:rPr>
        <w:t>1.7 times higher than females in 2013 to</w:t>
      </w:r>
      <w:r w:rsidR="005A5339">
        <w:rPr>
          <w:color w:val="333333"/>
          <w:sz w:val="24"/>
          <w:szCs w:val="24"/>
          <w:shd w:val="clear" w:color="auto" w:fill="FFFFFF"/>
        </w:rPr>
        <w:t xml:space="preserve"> a rate that was</w:t>
      </w:r>
      <w:r w:rsidR="00791FD8">
        <w:rPr>
          <w:color w:val="333333"/>
          <w:sz w:val="24"/>
          <w:szCs w:val="24"/>
          <w:shd w:val="clear" w:color="auto" w:fill="FFFFFF"/>
        </w:rPr>
        <w:t xml:space="preserve"> </w:t>
      </w:r>
      <w:r w:rsidR="007A1141">
        <w:rPr>
          <w:color w:val="333333"/>
          <w:sz w:val="24"/>
          <w:szCs w:val="24"/>
          <w:shd w:val="clear" w:color="auto" w:fill="FFFFFF"/>
        </w:rPr>
        <w:t xml:space="preserve">2.4 times higher </w:t>
      </w:r>
      <w:r w:rsidR="00DD2D61">
        <w:rPr>
          <w:color w:val="333333"/>
          <w:sz w:val="24"/>
          <w:szCs w:val="24"/>
          <w:shd w:val="clear" w:color="auto" w:fill="FFFFFF"/>
        </w:rPr>
        <w:t>than fema</w:t>
      </w:r>
      <w:r w:rsidR="00FB7F85">
        <w:rPr>
          <w:color w:val="333333"/>
          <w:sz w:val="24"/>
          <w:szCs w:val="24"/>
          <w:shd w:val="clear" w:color="auto" w:fill="FFFFFF"/>
        </w:rPr>
        <w:t>les</w:t>
      </w:r>
      <w:r w:rsidR="00815C2D">
        <w:rPr>
          <w:color w:val="333333"/>
          <w:sz w:val="24"/>
          <w:szCs w:val="24"/>
          <w:shd w:val="clear" w:color="auto" w:fill="FFFFFF"/>
        </w:rPr>
        <w:t xml:space="preserve"> </w:t>
      </w:r>
      <w:r w:rsidR="00791FD8">
        <w:rPr>
          <w:color w:val="333333"/>
          <w:sz w:val="24"/>
          <w:szCs w:val="24"/>
          <w:shd w:val="clear" w:color="auto" w:fill="FFFFFF"/>
        </w:rPr>
        <w:t>in 2021</w:t>
      </w:r>
      <w:r w:rsidR="00BF7F6F">
        <w:rPr>
          <w:color w:val="333333"/>
          <w:sz w:val="24"/>
          <w:szCs w:val="24"/>
          <w:shd w:val="clear" w:color="auto" w:fill="FFFFFF"/>
        </w:rPr>
        <w:t xml:space="preserve">. </w:t>
      </w:r>
    </w:p>
    <w:p w14:paraId="4A4ED099" w14:textId="4391B5E3" w:rsidR="00D252CE" w:rsidRDefault="00D252CE" w:rsidP="005823B1">
      <w:pPr>
        <w:spacing w:line="276" w:lineRule="auto"/>
        <w:rPr>
          <w:color w:val="333333"/>
          <w:sz w:val="24"/>
          <w:szCs w:val="24"/>
          <w:shd w:val="clear" w:color="auto" w:fill="FFFFFF"/>
        </w:rPr>
      </w:pPr>
      <w:r>
        <w:rPr>
          <w:noProof/>
        </w:rPr>
        <w:drawing>
          <wp:inline distT="0" distB="0" distL="0" distR="0" wp14:anchorId="47FBA96B" wp14:editId="5F14BDD2">
            <wp:extent cx="5930900" cy="2914650"/>
            <wp:effectExtent l="0" t="0" r="0" b="0"/>
            <wp:docPr id="20292263" name="Chart 1" descr="Figure 5. Line chart showing the age-adjusted NFO rate by male in blue and female in purple from 2013-2021. The male rate is more than twice as high as the female ending in 273.2 per 100,000 in 2021 for male and 114.8 per 100,000 for female.">
              <a:extLst xmlns:a="http://schemas.openxmlformats.org/drawingml/2006/main">
                <a:ext uri="{FF2B5EF4-FFF2-40B4-BE49-F238E27FC236}">
                  <a16:creationId xmlns:a16="http://schemas.microsoft.com/office/drawing/2014/main" id="{5D6A8B34-4148-4CDF-B1F3-9115AA4E9DD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045EC968" w14:textId="61D157BF" w:rsidR="00936F53" w:rsidRDefault="00936F53" w:rsidP="002E4053">
      <w:pPr>
        <w:spacing w:after="0" w:line="276" w:lineRule="auto"/>
        <w:rPr>
          <w:color w:val="333333"/>
          <w:shd w:val="clear" w:color="auto" w:fill="FFFFFF"/>
        </w:rPr>
      </w:pPr>
      <w:r w:rsidRPr="00DC49A5">
        <w:rPr>
          <w:color w:val="333333"/>
          <w:sz w:val="24"/>
          <w:szCs w:val="24"/>
          <w:shd w:val="clear" w:color="auto" w:fill="FFFFFF"/>
        </w:rPr>
        <w:t>Figure</w:t>
      </w:r>
      <w:r w:rsidR="00970F1A">
        <w:rPr>
          <w:color w:val="333333"/>
          <w:sz w:val="24"/>
          <w:szCs w:val="24"/>
          <w:shd w:val="clear" w:color="auto" w:fill="FFFFFF"/>
        </w:rPr>
        <w:t>s</w:t>
      </w:r>
      <w:r w:rsidRPr="00DC49A5">
        <w:rPr>
          <w:color w:val="333333"/>
          <w:sz w:val="24"/>
          <w:szCs w:val="24"/>
          <w:shd w:val="clear" w:color="auto" w:fill="FFFFFF"/>
        </w:rPr>
        <w:t xml:space="preserve"> 5A and 5B show the </w:t>
      </w:r>
      <w:r w:rsidR="004267FD">
        <w:rPr>
          <w:color w:val="333333"/>
          <w:sz w:val="24"/>
          <w:szCs w:val="24"/>
          <w:shd w:val="clear" w:color="auto" w:fill="FFFFFF"/>
        </w:rPr>
        <w:t>binary</w:t>
      </w:r>
      <w:r w:rsidRPr="00DC49A5">
        <w:rPr>
          <w:color w:val="333333"/>
          <w:sz w:val="24"/>
          <w:szCs w:val="24"/>
          <w:shd w:val="clear" w:color="auto" w:fill="FFFFFF"/>
        </w:rPr>
        <w:t xml:space="preserve"> sex </w:t>
      </w:r>
      <w:r w:rsidR="00911BE4">
        <w:rPr>
          <w:color w:val="333333"/>
          <w:sz w:val="24"/>
          <w:szCs w:val="24"/>
          <w:shd w:val="clear" w:color="auto" w:fill="FFFFFF"/>
        </w:rPr>
        <w:t>breakdowns</w:t>
      </w:r>
      <w:r w:rsidRPr="00DC49A5">
        <w:rPr>
          <w:color w:val="333333"/>
          <w:sz w:val="24"/>
          <w:szCs w:val="24"/>
          <w:shd w:val="clear" w:color="auto" w:fill="FFFFFF"/>
        </w:rPr>
        <w:t xml:space="preserve"> for NFO and fatal opioid overdose. </w:t>
      </w:r>
      <w:r w:rsidR="00911BE4" w:rsidRPr="00DC49A5">
        <w:rPr>
          <w:color w:val="333333"/>
          <w:sz w:val="24"/>
          <w:szCs w:val="24"/>
          <w:shd w:val="clear" w:color="auto" w:fill="FFFFFF"/>
        </w:rPr>
        <w:t xml:space="preserve">Of the </w:t>
      </w:r>
      <w:r w:rsidR="00BB2D8E">
        <w:rPr>
          <w:color w:val="333333"/>
          <w:sz w:val="24"/>
          <w:szCs w:val="24"/>
          <w:shd w:val="clear" w:color="auto" w:fill="FFFFFF"/>
        </w:rPr>
        <w:t>total</w:t>
      </w:r>
      <w:r w:rsidR="00BB2D8E" w:rsidRPr="00DC49A5">
        <w:rPr>
          <w:color w:val="333333"/>
          <w:sz w:val="24"/>
          <w:szCs w:val="24"/>
          <w:shd w:val="clear" w:color="auto" w:fill="FFFFFF"/>
        </w:rPr>
        <w:t xml:space="preserve"> </w:t>
      </w:r>
      <w:r w:rsidR="00911BE4" w:rsidRPr="00DC49A5">
        <w:rPr>
          <w:color w:val="333333"/>
          <w:sz w:val="24"/>
          <w:szCs w:val="24"/>
          <w:shd w:val="clear" w:color="auto" w:fill="FFFFFF"/>
        </w:rPr>
        <w:t>NFO</w:t>
      </w:r>
      <w:r w:rsidR="00BB2D8E">
        <w:rPr>
          <w:color w:val="333333"/>
          <w:sz w:val="24"/>
          <w:szCs w:val="24"/>
          <w:shd w:val="clear" w:color="auto" w:fill="FFFFFF"/>
        </w:rPr>
        <w:t>s</w:t>
      </w:r>
      <w:r w:rsidR="00911BE4" w:rsidRPr="00DC49A5">
        <w:rPr>
          <w:color w:val="333333"/>
          <w:sz w:val="24"/>
          <w:szCs w:val="24"/>
          <w:shd w:val="clear" w:color="auto" w:fill="FFFFFF"/>
        </w:rPr>
        <w:t xml:space="preserve"> between 2013-</w:t>
      </w:r>
      <w:r w:rsidR="00893EF6">
        <w:rPr>
          <w:color w:val="333333"/>
          <w:sz w:val="24"/>
          <w:szCs w:val="24"/>
          <w:shd w:val="clear" w:color="auto" w:fill="FFFFFF"/>
        </w:rPr>
        <w:t>2021</w:t>
      </w:r>
      <w:r w:rsidR="00911BE4" w:rsidRPr="00DC49A5">
        <w:rPr>
          <w:color w:val="333333"/>
          <w:sz w:val="24"/>
          <w:szCs w:val="24"/>
          <w:shd w:val="clear" w:color="auto" w:fill="FFFFFF"/>
        </w:rPr>
        <w:t>, 6</w:t>
      </w:r>
      <w:r w:rsidR="002B32A6">
        <w:rPr>
          <w:color w:val="333333"/>
          <w:sz w:val="24"/>
          <w:szCs w:val="24"/>
          <w:shd w:val="clear" w:color="auto" w:fill="FFFFFF"/>
        </w:rPr>
        <w:t>6</w:t>
      </w:r>
      <w:r w:rsidR="00911BE4" w:rsidRPr="00DC49A5">
        <w:rPr>
          <w:color w:val="333333"/>
          <w:sz w:val="24"/>
          <w:szCs w:val="24"/>
          <w:shd w:val="clear" w:color="auto" w:fill="FFFFFF"/>
        </w:rPr>
        <w:t xml:space="preserve">% </w:t>
      </w:r>
      <w:r w:rsidR="00BB2D8E">
        <w:rPr>
          <w:color w:val="333333"/>
          <w:sz w:val="24"/>
          <w:szCs w:val="24"/>
          <w:shd w:val="clear" w:color="auto" w:fill="FFFFFF"/>
        </w:rPr>
        <w:t>occurred in</w:t>
      </w:r>
      <w:r w:rsidR="00BB2D8E" w:rsidRPr="00DC49A5">
        <w:rPr>
          <w:color w:val="333333"/>
          <w:sz w:val="24"/>
          <w:szCs w:val="24"/>
          <w:shd w:val="clear" w:color="auto" w:fill="FFFFFF"/>
        </w:rPr>
        <w:t xml:space="preserve"> </w:t>
      </w:r>
      <w:r w:rsidR="00911BE4" w:rsidRPr="00DC49A5">
        <w:rPr>
          <w:color w:val="333333"/>
          <w:sz w:val="24"/>
          <w:szCs w:val="24"/>
          <w:shd w:val="clear" w:color="auto" w:fill="FFFFFF"/>
        </w:rPr>
        <w:t>male</w:t>
      </w:r>
      <w:r w:rsidR="00BB2D8E">
        <w:rPr>
          <w:color w:val="333333"/>
          <w:sz w:val="24"/>
          <w:szCs w:val="24"/>
          <w:shd w:val="clear" w:color="auto" w:fill="FFFFFF"/>
        </w:rPr>
        <w:t>s</w:t>
      </w:r>
      <w:r w:rsidR="00911BE4" w:rsidRPr="00DC49A5">
        <w:rPr>
          <w:color w:val="333333"/>
          <w:sz w:val="24"/>
          <w:szCs w:val="24"/>
          <w:shd w:val="clear" w:color="auto" w:fill="FFFFFF"/>
        </w:rPr>
        <w:t>, 3</w:t>
      </w:r>
      <w:r w:rsidR="002B32A6">
        <w:rPr>
          <w:color w:val="333333"/>
          <w:sz w:val="24"/>
          <w:szCs w:val="24"/>
          <w:shd w:val="clear" w:color="auto" w:fill="FFFFFF"/>
        </w:rPr>
        <w:t>2</w:t>
      </w:r>
      <w:r w:rsidR="00911BE4" w:rsidRPr="00DC49A5">
        <w:rPr>
          <w:color w:val="333333"/>
          <w:sz w:val="24"/>
          <w:szCs w:val="24"/>
          <w:shd w:val="clear" w:color="auto" w:fill="FFFFFF"/>
        </w:rPr>
        <w:t xml:space="preserve">% </w:t>
      </w:r>
      <w:r w:rsidR="00BB2D8E">
        <w:rPr>
          <w:color w:val="333333"/>
          <w:sz w:val="24"/>
          <w:szCs w:val="24"/>
          <w:shd w:val="clear" w:color="auto" w:fill="FFFFFF"/>
        </w:rPr>
        <w:t>occurred in</w:t>
      </w:r>
      <w:r w:rsidR="00BB2D8E" w:rsidRPr="00DC49A5">
        <w:rPr>
          <w:color w:val="333333"/>
          <w:sz w:val="24"/>
          <w:szCs w:val="24"/>
          <w:shd w:val="clear" w:color="auto" w:fill="FFFFFF"/>
        </w:rPr>
        <w:t xml:space="preserve"> </w:t>
      </w:r>
      <w:r w:rsidR="00911BE4" w:rsidRPr="00DC49A5">
        <w:rPr>
          <w:color w:val="333333"/>
          <w:sz w:val="24"/>
          <w:szCs w:val="24"/>
          <w:shd w:val="clear" w:color="auto" w:fill="FFFFFF"/>
        </w:rPr>
        <w:t>female</w:t>
      </w:r>
      <w:r w:rsidR="00BB2D8E">
        <w:rPr>
          <w:color w:val="333333"/>
          <w:sz w:val="24"/>
          <w:szCs w:val="24"/>
          <w:shd w:val="clear" w:color="auto" w:fill="FFFFFF"/>
        </w:rPr>
        <w:t>s</w:t>
      </w:r>
      <w:r w:rsidR="00911BE4" w:rsidRPr="00DC49A5">
        <w:rPr>
          <w:color w:val="333333"/>
          <w:sz w:val="24"/>
          <w:szCs w:val="24"/>
          <w:shd w:val="clear" w:color="auto" w:fill="FFFFFF"/>
        </w:rPr>
        <w:t xml:space="preserve">, and 2% were </w:t>
      </w:r>
      <w:r w:rsidR="00911BE4" w:rsidRPr="00DC49A5">
        <w:rPr>
          <w:color w:val="333333"/>
          <w:sz w:val="24"/>
          <w:szCs w:val="24"/>
          <w:shd w:val="clear" w:color="auto" w:fill="FFFFFF"/>
        </w:rPr>
        <w:lastRenderedPageBreak/>
        <w:t xml:space="preserve">unknown. </w:t>
      </w:r>
      <w:r w:rsidRPr="00DC49A5">
        <w:rPr>
          <w:color w:val="333333"/>
          <w:sz w:val="24"/>
          <w:szCs w:val="24"/>
          <w:shd w:val="clear" w:color="auto" w:fill="FFFFFF"/>
        </w:rPr>
        <w:t xml:space="preserve">We see more unknown sex (2% versus 0%) and more </w:t>
      </w:r>
      <w:r w:rsidR="0015779D">
        <w:rPr>
          <w:color w:val="333333"/>
          <w:sz w:val="24"/>
          <w:szCs w:val="24"/>
          <w:shd w:val="clear" w:color="auto" w:fill="FFFFFF"/>
        </w:rPr>
        <w:t xml:space="preserve">overdoses occurring in </w:t>
      </w:r>
      <w:r w:rsidRPr="00DC49A5">
        <w:rPr>
          <w:color w:val="333333"/>
          <w:sz w:val="24"/>
          <w:szCs w:val="24"/>
          <w:shd w:val="clear" w:color="auto" w:fill="FFFFFF"/>
        </w:rPr>
        <w:t xml:space="preserve">females </w:t>
      </w:r>
      <w:r w:rsidR="00B53E57">
        <w:rPr>
          <w:noProof/>
        </w:rPr>
        <w:drawing>
          <wp:anchor distT="0" distB="0" distL="114300" distR="114300" simplePos="0" relativeHeight="251658242" behindDoc="0" locked="0" layoutInCell="1" allowOverlap="1" wp14:anchorId="36953844" wp14:editId="483656D7">
            <wp:simplePos x="0" y="0"/>
            <wp:positionH relativeFrom="margin">
              <wp:posOffset>2984500</wp:posOffset>
            </wp:positionH>
            <wp:positionV relativeFrom="margin">
              <wp:posOffset>431800</wp:posOffset>
            </wp:positionV>
            <wp:extent cx="2739390" cy="2286000"/>
            <wp:effectExtent l="0" t="0" r="3810" b="0"/>
            <wp:wrapSquare wrapText="bothSides"/>
            <wp:docPr id="90152585" name="Chart 1" descr="Figure 5B. Fatal opioid-related overdose by binary sex from 2013-2021, n=16,095. A pie chart showing the percent female (27%) in purple,  and male (73%) in green.">
              <a:extLst xmlns:a="http://schemas.openxmlformats.org/drawingml/2006/main">
                <a:ext uri="{FF2B5EF4-FFF2-40B4-BE49-F238E27FC236}">
                  <a16:creationId xmlns:a16="http://schemas.microsoft.com/office/drawing/2014/main" id="{2A729350-6FB7-47E1-B0E8-E05A10C5E17B}"/>
                </a:ext>
              </a:extLst>
            </wp:docPr>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anchor>
        </w:drawing>
      </w:r>
      <w:r w:rsidRPr="00DC49A5">
        <w:rPr>
          <w:color w:val="333333"/>
          <w:sz w:val="24"/>
          <w:szCs w:val="24"/>
          <w:shd w:val="clear" w:color="auto" w:fill="FFFFFF"/>
        </w:rPr>
        <w:t>in the NFO group compared to the fatal overdose population</w:t>
      </w:r>
      <w:r w:rsidR="00273F9F">
        <w:rPr>
          <w:color w:val="333333"/>
          <w:sz w:val="24"/>
          <w:szCs w:val="24"/>
          <w:shd w:val="clear" w:color="auto" w:fill="FFFFFF"/>
        </w:rPr>
        <w:t xml:space="preserve"> </w:t>
      </w:r>
      <w:r w:rsidR="00273F9F" w:rsidRPr="00DC49A5">
        <w:rPr>
          <w:color w:val="333333"/>
          <w:sz w:val="24"/>
          <w:szCs w:val="24"/>
          <w:shd w:val="clear" w:color="auto" w:fill="FFFFFF"/>
        </w:rPr>
        <w:t>(3</w:t>
      </w:r>
      <w:r w:rsidR="00273F9F">
        <w:rPr>
          <w:color w:val="333333"/>
          <w:sz w:val="24"/>
          <w:szCs w:val="24"/>
          <w:shd w:val="clear" w:color="auto" w:fill="FFFFFF"/>
        </w:rPr>
        <w:t>2</w:t>
      </w:r>
      <w:r w:rsidR="00273F9F" w:rsidRPr="00DC49A5">
        <w:rPr>
          <w:color w:val="333333"/>
          <w:sz w:val="24"/>
          <w:szCs w:val="24"/>
          <w:shd w:val="clear" w:color="auto" w:fill="FFFFFF"/>
        </w:rPr>
        <w:t>%</w:t>
      </w:r>
      <w:r w:rsidR="00273F9F">
        <w:rPr>
          <w:color w:val="333333"/>
          <w:sz w:val="24"/>
          <w:szCs w:val="24"/>
          <w:shd w:val="clear" w:color="auto" w:fill="FFFFFF"/>
        </w:rPr>
        <w:t xml:space="preserve"> </w:t>
      </w:r>
      <w:r w:rsidR="00273F9F" w:rsidRPr="00DC49A5">
        <w:rPr>
          <w:color w:val="333333"/>
          <w:sz w:val="24"/>
          <w:szCs w:val="24"/>
          <w:shd w:val="clear" w:color="auto" w:fill="FFFFFF"/>
        </w:rPr>
        <w:t>versus 27%)</w:t>
      </w:r>
      <w:r>
        <w:rPr>
          <w:color w:val="333333"/>
          <w:shd w:val="clear" w:color="auto" w:fill="FFFFFF"/>
        </w:rPr>
        <w:t>.</w:t>
      </w:r>
      <w:r w:rsidR="00322A65">
        <w:rPr>
          <w:color w:val="333333"/>
          <w:shd w:val="clear" w:color="auto" w:fill="FFFFFF"/>
        </w:rPr>
        <w:t xml:space="preserve"> </w:t>
      </w:r>
      <w:r w:rsidR="00890181">
        <w:rPr>
          <w:color w:val="333333"/>
          <w:shd w:val="clear" w:color="auto" w:fill="FFFFFF"/>
        </w:rPr>
        <w:t xml:space="preserve">                                                         </w:t>
      </w:r>
    </w:p>
    <w:p w14:paraId="32916769" w14:textId="64531173" w:rsidR="00890181" w:rsidRDefault="005E0258" w:rsidP="009F61F6">
      <w:pPr>
        <w:spacing w:line="276" w:lineRule="auto"/>
        <w:rPr>
          <w:color w:val="333333"/>
          <w:shd w:val="clear" w:color="auto" w:fill="FFFFFF"/>
        </w:rPr>
      </w:pPr>
      <w:r>
        <w:rPr>
          <w:noProof/>
        </w:rPr>
        <w:drawing>
          <wp:inline distT="0" distB="0" distL="0" distR="0" wp14:anchorId="0D70B8CB" wp14:editId="2EC55CEB">
            <wp:extent cx="2739395" cy="2286000"/>
            <wp:effectExtent l="0" t="0" r="3810" b="0"/>
            <wp:docPr id="1548843226" name="Chart 1" descr="Figure 5A. NFO related overdose by binary sex from 2013-2021, n=133,295. A pie chart showing the percent female (32%) in purple, unknown (2%) in grey, and male (66%) in green.">
              <a:extLst xmlns:a="http://schemas.openxmlformats.org/drawingml/2006/main">
                <a:ext uri="{FF2B5EF4-FFF2-40B4-BE49-F238E27FC236}">
                  <a16:creationId xmlns:a16="http://schemas.microsoft.com/office/drawing/2014/main" id="{42727E42-42FF-4D3D-B42D-6F87EDAAC7A1}"/>
                </a:ext>
              </a:extLst>
            </wp:docPr>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5BEBE85F" w14:textId="77777777" w:rsidR="00DA60E9" w:rsidRDefault="00322A65" w:rsidP="009F61F6">
      <w:pPr>
        <w:spacing w:line="276" w:lineRule="auto"/>
        <w:rPr>
          <w:color w:val="333333"/>
          <w:sz w:val="24"/>
          <w:szCs w:val="24"/>
          <w:shd w:val="clear" w:color="auto" w:fill="FFFFFF"/>
        </w:rPr>
      </w:pPr>
      <w:r w:rsidRPr="00DC49A5">
        <w:rPr>
          <w:color w:val="333333"/>
          <w:sz w:val="24"/>
          <w:szCs w:val="24"/>
          <w:shd w:val="clear" w:color="auto" w:fill="FFFFFF"/>
        </w:rPr>
        <w:t>The average age for</w:t>
      </w:r>
      <w:r>
        <w:rPr>
          <w:color w:val="333333"/>
          <w:sz w:val="24"/>
          <w:szCs w:val="24"/>
          <w:shd w:val="clear" w:color="auto" w:fill="FFFFFF"/>
        </w:rPr>
        <w:t xml:space="preserve"> </w:t>
      </w:r>
      <w:r w:rsidR="00C20F58">
        <w:rPr>
          <w:color w:val="333333"/>
          <w:sz w:val="24"/>
          <w:szCs w:val="24"/>
          <w:shd w:val="clear" w:color="auto" w:fill="FFFFFF"/>
        </w:rPr>
        <w:t>an</w:t>
      </w:r>
      <w:r w:rsidRPr="00DC49A5">
        <w:rPr>
          <w:color w:val="333333"/>
          <w:sz w:val="24"/>
          <w:szCs w:val="24"/>
          <w:shd w:val="clear" w:color="auto" w:fill="FFFFFF"/>
        </w:rPr>
        <w:t xml:space="preserve"> </w:t>
      </w:r>
      <w:r w:rsidR="00725B40">
        <w:rPr>
          <w:color w:val="333333"/>
          <w:sz w:val="24"/>
          <w:szCs w:val="24"/>
          <w:shd w:val="clear" w:color="auto" w:fill="FFFFFF"/>
        </w:rPr>
        <w:t>NFO</w:t>
      </w:r>
      <w:r w:rsidRPr="00DC49A5">
        <w:rPr>
          <w:color w:val="333333"/>
          <w:sz w:val="24"/>
          <w:szCs w:val="24"/>
          <w:shd w:val="clear" w:color="auto" w:fill="FFFFFF"/>
        </w:rPr>
        <w:t xml:space="preserve"> </w:t>
      </w:r>
      <w:r w:rsidR="00AE025C">
        <w:rPr>
          <w:color w:val="333333"/>
          <w:sz w:val="24"/>
          <w:szCs w:val="24"/>
          <w:shd w:val="clear" w:color="auto" w:fill="FFFFFF"/>
        </w:rPr>
        <w:t>between</w:t>
      </w:r>
      <w:r w:rsidR="00AE025C" w:rsidRPr="00DC49A5">
        <w:rPr>
          <w:color w:val="333333"/>
          <w:sz w:val="24"/>
          <w:szCs w:val="24"/>
          <w:shd w:val="clear" w:color="auto" w:fill="FFFFFF"/>
        </w:rPr>
        <w:t xml:space="preserve"> </w:t>
      </w:r>
      <w:r w:rsidRPr="00DC49A5">
        <w:rPr>
          <w:color w:val="333333"/>
          <w:sz w:val="24"/>
          <w:szCs w:val="24"/>
          <w:shd w:val="clear" w:color="auto" w:fill="FFFFFF"/>
        </w:rPr>
        <w:t xml:space="preserve">2013 </w:t>
      </w:r>
      <w:r w:rsidR="00AE025C">
        <w:rPr>
          <w:color w:val="333333"/>
          <w:sz w:val="24"/>
          <w:szCs w:val="24"/>
          <w:shd w:val="clear" w:color="auto" w:fill="FFFFFF"/>
        </w:rPr>
        <w:t>and</w:t>
      </w:r>
      <w:r w:rsidR="00AE025C" w:rsidRPr="00DC49A5">
        <w:rPr>
          <w:color w:val="333333"/>
          <w:sz w:val="24"/>
          <w:szCs w:val="24"/>
          <w:shd w:val="clear" w:color="auto" w:fill="FFFFFF"/>
        </w:rPr>
        <w:t xml:space="preserve"> </w:t>
      </w:r>
      <w:r w:rsidR="00893EF6">
        <w:rPr>
          <w:color w:val="333333"/>
          <w:sz w:val="24"/>
          <w:szCs w:val="24"/>
          <w:shd w:val="clear" w:color="auto" w:fill="FFFFFF"/>
        </w:rPr>
        <w:t>2021</w:t>
      </w:r>
      <w:r w:rsidRPr="00DC49A5">
        <w:rPr>
          <w:color w:val="333333"/>
          <w:sz w:val="24"/>
          <w:szCs w:val="24"/>
          <w:shd w:val="clear" w:color="auto" w:fill="FFFFFF"/>
        </w:rPr>
        <w:t xml:space="preserve"> was 3</w:t>
      </w:r>
      <w:r w:rsidR="00DB24C5">
        <w:rPr>
          <w:color w:val="333333"/>
          <w:sz w:val="24"/>
          <w:szCs w:val="24"/>
          <w:shd w:val="clear" w:color="auto" w:fill="FFFFFF"/>
        </w:rPr>
        <w:t>9.</w:t>
      </w:r>
      <w:r w:rsidR="001F35C8">
        <w:rPr>
          <w:color w:val="333333"/>
          <w:sz w:val="24"/>
          <w:szCs w:val="24"/>
          <w:shd w:val="clear" w:color="auto" w:fill="FFFFFF"/>
        </w:rPr>
        <w:t>1</w:t>
      </w:r>
      <w:r w:rsidRPr="00DC49A5">
        <w:rPr>
          <w:color w:val="333333"/>
          <w:sz w:val="24"/>
          <w:szCs w:val="24"/>
          <w:shd w:val="clear" w:color="auto" w:fill="FFFFFF"/>
        </w:rPr>
        <w:t xml:space="preserve"> years old</w:t>
      </w:r>
      <w:r w:rsidR="00970F1A">
        <w:rPr>
          <w:color w:val="333333"/>
          <w:sz w:val="24"/>
          <w:szCs w:val="24"/>
          <w:shd w:val="clear" w:color="auto" w:fill="FFFFFF"/>
        </w:rPr>
        <w:t>,</w:t>
      </w:r>
      <w:r w:rsidRPr="00DC49A5">
        <w:rPr>
          <w:color w:val="333333"/>
          <w:sz w:val="24"/>
          <w:szCs w:val="24"/>
          <w:shd w:val="clear" w:color="auto" w:fill="FFFFFF"/>
        </w:rPr>
        <w:t xml:space="preserve"> which is 2.</w:t>
      </w:r>
      <w:r w:rsidR="00E34853">
        <w:rPr>
          <w:color w:val="333333"/>
          <w:sz w:val="24"/>
          <w:szCs w:val="24"/>
          <w:shd w:val="clear" w:color="auto" w:fill="FFFFFF"/>
        </w:rPr>
        <w:t>0</w:t>
      </w:r>
      <w:r w:rsidRPr="00DC49A5">
        <w:rPr>
          <w:color w:val="333333"/>
          <w:sz w:val="24"/>
          <w:szCs w:val="24"/>
          <w:shd w:val="clear" w:color="auto" w:fill="FFFFFF"/>
        </w:rPr>
        <w:t xml:space="preserve"> years younger than those who experienced a fatal opioid overdose in the same period.</w:t>
      </w:r>
      <w:r w:rsidR="00A56C1D" w:rsidRPr="00DC49A5">
        <w:rPr>
          <w:color w:val="333333"/>
          <w:sz w:val="24"/>
          <w:szCs w:val="24"/>
          <w:shd w:val="clear" w:color="auto" w:fill="FFFFFF"/>
        </w:rPr>
        <w:t xml:space="preserve"> </w:t>
      </w:r>
      <w:r w:rsidR="008E5337" w:rsidRPr="00DC49A5">
        <w:rPr>
          <w:color w:val="333333"/>
          <w:sz w:val="24"/>
          <w:szCs w:val="24"/>
          <w:shd w:val="clear" w:color="auto" w:fill="FFFFFF"/>
        </w:rPr>
        <w:t>Figure 6 shows the statewide age-adjusted rate of NFO by known race and Hispanic ethnicity.</w:t>
      </w:r>
      <w:r w:rsidR="0044695C" w:rsidRPr="00DC49A5">
        <w:rPr>
          <w:color w:val="333333"/>
          <w:sz w:val="24"/>
          <w:szCs w:val="24"/>
          <w:shd w:val="clear" w:color="auto" w:fill="FFFFFF"/>
        </w:rPr>
        <w:t xml:space="preserve"> </w:t>
      </w:r>
      <w:r w:rsidR="00A56C1D" w:rsidRPr="00DC49A5">
        <w:rPr>
          <w:color w:val="333333"/>
          <w:sz w:val="24"/>
          <w:szCs w:val="24"/>
          <w:shd w:val="clear" w:color="auto" w:fill="FFFFFF"/>
        </w:rPr>
        <w:t xml:space="preserve">The </w:t>
      </w:r>
      <w:r w:rsidR="0044695C" w:rsidRPr="00DC49A5">
        <w:rPr>
          <w:color w:val="333333"/>
          <w:sz w:val="24"/>
          <w:szCs w:val="24"/>
          <w:shd w:val="clear" w:color="auto" w:fill="FFFFFF"/>
        </w:rPr>
        <w:t xml:space="preserve">overall </w:t>
      </w:r>
      <w:proofErr w:type="gramStart"/>
      <w:r w:rsidR="0044695C" w:rsidRPr="00DC49A5">
        <w:rPr>
          <w:color w:val="333333"/>
          <w:sz w:val="24"/>
          <w:szCs w:val="24"/>
          <w:shd w:val="clear" w:color="auto" w:fill="FFFFFF"/>
        </w:rPr>
        <w:t>age-adjusted</w:t>
      </w:r>
      <w:proofErr w:type="gramEnd"/>
      <w:r w:rsidR="0044695C" w:rsidRPr="00DC49A5">
        <w:rPr>
          <w:color w:val="333333"/>
          <w:sz w:val="24"/>
          <w:szCs w:val="24"/>
          <w:shd w:val="clear" w:color="auto" w:fill="FFFFFF"/>
        </w:rPr>
        <w:t xml:space="preserve"> NFO </w:t>
      </w:r>
      <w:r w:rsidR="00A56C1D" w:rsidRPr="00DC49A5">
        <w:rPr>
          <w:color w:val="333333"/>
          <w:sz w:val="24"/>
          <w:szCs w:val="24"/>
          <w:shd w:val="clear" w:color="auto" w:fill="FFFFFF"/>
        </w:rPr>
        <w:t xml:space="preserve">rate from 2013 </w:t>
      </w:r>
      <w:r w:rsidR="007B1D2F">
        <w:rPr>
          <w:color w:val="333333"/>
          <w:sz w:val="24"/>
          <w:szCs w:val="24"/>
          <w:shd w:val="clear" w:color="auto" w:fill="FFFFFF"/>
        </w:rPr>
        <w:t>through</w:t>
      </w:r>
      <w:r w:rsidR="00A56C1D" w:rsidRPr="00DC49A5">
        <w:rPr>
          <w:color w:val="333333"/>
          <w:sz w:val="24"/>
          <w:szCs w:val="24"/>
          <w:shd w:val="clear" w:color="auto" w:fill="FFFFFF"/>
        </w:rPr>
        <w:t xml:space="preserve"> </w:t>
      </w:r>
      <w:r w:rsidR="00893EF6">
        <w:rPr>
          <w:color w:val="333333"/>
          <w:sz w:val="24"/>
          <w:szCs w:val="24"/>
          <w:shd w:val="clear" w:color="auto" w:fill="FFFFFF"/>
        </w:rPr>
        <w:t>2021</w:t>
      </w:r>
      <w:r w:rsidR="00A56C1D" w:rsidRPr="00DC49A5">
        <w:rPr>
          <w:color w:val="333333"/>
          <w:sz w:val="24"/>
          <w:szCs w:val="24"/>
          <w:shd w:val="clear" w:color="auto" w:fill="FFFFFF"/>
        </w:rPr>
        <w:t xml:space="preserve"> </w:t>
      </w:r>
      <w:r w:rsidR="00EA145D">
        <w:rPr>
          <w:color w:val="333333"/>
          <w:sz w:val="24"/>
          <w:szCs w:val="24"/>
          <w:shd w:val="clear" w:color="auto" w:fill="FFFFFF"/>
        </w:rPr>
        <w:t>was</w:t>
      </w:r>
      <w:r w:rsidR="00EA145D" w:rsidRPr="00DC49A5">
        <w:rPr>
          <w:color w:val="333333"/>
          <w:sz w:val="24"/>
          <w:szCs w:val="24"/>
          <w:shd w:val="clear" w:color="auto" w:fill="FFFFFF"/>
        </w:rPr>
        <w:t xml:space="preserve"> </w:t>
      </w:r>
      <w:r w:rsidR="00A56C1D" w:rsidRPr="00DC49A5">
        <w:rPr>
          <w:color w:val="333333"/>
          <w:sz w:val="24"/>
          <w:szCs w:val="24"/>
          <w:shd w:val="clear" w:color="auto" w:fill="FFFFFF"/>
        </w:rPr>
        <w:t>2</w:t>
      </w:r>
      <w:r w:rsidR="00597ADD">
        <w:rPr>
          <w:color w:val="333333"/>
          <w:sz w:val="24"/>
          <w:szCs w:val="24"/>
          <w:shd w:val="clear" w:color="auto" w:fill="FFFFFF"/>
        </w:rPr>
        <w:t>39</w:t>
      </w:r>
      <w:r w:rsidR="00F66A80">
        <w:rPr>
          <w:color w:val="333333"/>
          <w:sz w:val="24"/>
          <w:szCs w:val="24"/>
          <w:shd w:val="clear" w:color="auto" w:fill="FFFFFF"/>
        </w:rPr>
        <w:t>.0</w:t>
      </w:r>
      <w:r w:rsidR="00A56C1D" w:rsidRPr="00DC49A5">
        <w:rPr>
          <w:color w:val="333333"/>
          <w:sz w:val="24"/>
          <w:szCs w:val="24"/>
          <w:shd w:val="clear" w:color="auto" w:fill="FFFFFF"/>
        </w:rPr>
        <w:t xml:space="preserve"> per 100,000 residents. The highest rate was among white non-Hispanic residents at 2</w:t>
      </w:r>
      <w:r w:rsidR="00597ADD">
        <w:rPr>
          <w:color w:val="333333"/>
          <w:sz w:val="24"/>
          <w:szCs w:val="24"/>
          <w:shd w:val="clear" w:color="auto" w:fill="FFFFFF"/>
        </w:rPr>
        <w:t>43.7</w:t>
      </w:r>
      <w:r w:rsidR="00A56C1D" w:rsidRPr="00DC49A5">
        <w:rPr>
          <w:color w:val="333333"/>
          <w:sz w:val="24"/>
          <w:szCs w:val="24"/>
          <w:shd w:val="clear" w:color="auto" w:fill="FFFFFF"/>
        </w:rPr>
        <w:t xml:space="preserve"> NFOs per 100,000, followed by </w:t>
      </w:r>
      <w:r w:rsidR="004E3BFD" w:rsidRPr="00DC49A5">
        <w:rPr>
          <w:color w:val="333333"/>
          <w:sz w:val="24"/>
          <w:szCs w:val="24"/>
          <w:shd w:val="clear" w:color="auto" w:fill="FFFFFF"/>
        </w:rPr>
        <w:t xml:space="preserve">Hispanic residents at </w:t>
      </w:r>
      <w:r w:rsidR="004E3BFD">
        <w:rPr>
          <w:color w:val="333333"/>
          <w:sz w:val="24"/>
          <w:szCs w:val="24"/>
          <w:shd w:val="clear" w:color="auto" w:fill="FFFFFF"/>
        </w:rPr>
        <w:t>1</w:t>
      </w:r>
      <w:r w:rsidR="00597ADD">
        <w:rPr>
          <w:color w:val="333333"/>
          <w:sz w:val="24"/>
          <w:szCs w:val="24"/>
          <w:shd w:val="clear" w:color="auto" w:fill="FFFFFF"/>
        </w:rPr>
        <w:t>98.4</w:t>
      </w:r>
      <w:r w:rsidR="004E3BFD" w:rsidRPr="00DC49A5">
        <w:rPr>
          <w:color w:val="333333"/>
          <w:sz w:val="24"/>
          <w:szCs w:val="24"/>
          <w:shd w:val="clear" w:color="auto" w:fill="FFFFFF"/>
        </w:rPr>
        <w:t xml:space="preserve"> per 100,000</w:t>
      </w:r>
      <w:r w:rsidR="4C6E4A7E" w:rsidRPr="00DC49A5">
        <w:rPr>
          <w:color w:val="333333"/>
          <w:sz w:val="24"/>
          <w:szCs w:val="24"/>
          <w:shd w:val="clear" w:color="auto" w:fill="FFFFFF"/>
        </w:rPr>
        <w:t>,</w:t>
      </w:r>
      <w:r w:rsidR="004E3BFD">
        <w:rPr>
          <w:color w:val="333333"/>
          <w:sz w:val="24"/>
          <w:szCs w:val="24"/>
          <w:shd w:val="clear" w:color="auto" w:fill="FFFFFF"/>
        </w:rPr>
        <w:t xml:space="preserve"> then </w:t>
      </w:r>
      <w:r w:rsidR="00A56C1D" w:rsidRPr="00DC49A5">
        <w:rPr>
          <w:color w:val="333333"/>
          <w:sz w:val="24"/>
          <w:szCs w:val="24"/>
          <w:shd w:val="clear" w:color="auto" w:fill="FFFFFF"/>
        </w:rPr>
        <w:t>Black non-Hispanic residents at 1</w:t>
      </w:r>
      <w:r w:rsidR="00597ADD">
        <w:rPr>
          <w:color w:val="333333"/>
          <w:sz w:val="24"/>
          <w:szCs w:val="24"/>
          <w:shd w:val="clear" w:color="auto" w:fill="FFFFFF"/>
        </w:rPr>
        <w:t>81.9</w:t>
      </w:r>
      <w:r w:rsidR="00A56C1D" w:rsidRPr="00DC49A5">
        <w:rPr>
          <w:color w:val="333333"/>
          <w:sz w:val="24"/>
          <w:szCs w:val="24"/>
          <w:shd w:val="clear" w:color="auto" w:fill="FFFFFF"/>
        </w:rPr>
        <w:t xml:space="preserve"> per 100,000. Asian/Pacific Islander non-Hispanic residents</w:t>
      </w:r>
      <w:r w:rsidR="56F2BCB2" w:rsidRPr="00DC49A5">
        <w:rPr>
          <w:color w:val="333333"/>
          <w:sz w:val="24"/>
          <w:szCs w:val="24"/>
          <w:shd w:val="clear" w:color="auto" w:fill="FFFFFF"/>
        </w:rPr>
        <w:t>’</w:t>
      </w:r>
      <w:r w:rsidR="00A56C1D" w:rsidRPr="00DC49A5">
        <w:rPr>
          <w:color w:val="333333"/>
          <w:sz w:val="24"/>
          <w:szCs w:val="24"/>
          <w:shd w:val="clear" w:color="auto" w:fill="FFFFFF"/>
        </w:rPr>
        <w:t xml:space="preserve"> rate </w:t>
      </w:r>
      <w:r w:rsidR="0C23F738" w:rsidRPr="00DC49A5">
        <w:rPr>
          <w:color w:val="333333"/>
          <w:sz w:val="24"/>
          <w:szCs w:val="24"/>
          <w:shd w:val="clear" w:color="auto" w:fill="FFFFFF"/>
        </w:rPr>
        <w:t xml:space="preserve">of 14.9 per 100,000 was </w:t>
      </w:r>
      <w:r w:rsidR="00A56C1D" w:rsidRPr="00DC49A5">
        <w:rPr>
          <w:color w:val="333333"/>
          <w:sz w:val="24"/>
          <w:szCs w:val="24"/>
          <w:shd w:val="clear" w:color="auto" w:fill="FFFFFF"/>
        </w:rPr>
        <w:t>s</w:t>
      </w:r>
      <w:r w:rsidR="0074102D">
        <w:rPr>
          <w:color w:val="333333"/>
          <w:sz w:val="24"/>
          <w:szCs w:val="24"/>
          <w:shd w:val="clear" w:color="auto" w:fill="FFFFFF"/>
        </w:rPr>
        <w:t>ixteen</w:t>
      </w:r>
      <w:r w:rsidR="00A56C1D" w:rsidRPr="00DC49A5">
        <w:rPr>
          <w:color w:val="333333"/>
          <w:sz w:val="24"/>
          <w:szCs w:val="24"/>
          <w:shd w:val="clear" w:color="auto" w:fill="FFFFFF"/>
        </w:rPr>
        <w:t xml:space="preserve"> times lower than statewide. The rate for American Indian/Alaska Native residents is not</w:t>
      </w:r>
      <w:r w:rsidR="00DA60E9">
        <w:rPr>
          <w:color w:val="333333"/>
          <w:sz w:val="24"/>
          <w:szCs w:val="24"/>
          <w:shd w:val="clear" w:color="auto" w:fill="FFFFFF"/>
        </w:rPr>
        <w:t xml:space="preserve"> c</w:t>
      </w:r>
      <w:r w:rsidR="00A56C1D" w:rsidRPr="00DC49A5">
        <w:rPr>
          <w:color w:val="333333"/>
          <w:sz w:val="24"/>
          <w:szCs w:val="24"/>
          <w:shd w:val="clear" w:color="auto" w:fill="FFFFFF"/>
        </w:rPr>
        <w:t xml:space="preserve">alculated as the population group is combined with </w:t>
      </w:r>
      <w:r w:rsidR="00970F1A">
        <w:rPr>
          <w:color w:val="333333"/>
          <w:sz w:val="24"/>
          <w:szCs w:val="24"/>
          <w:shd w:val="clear" w:color="auto" w:fill="FFFFFF"/>
        </w:rPr>
        <w:t xml:space="preserve">the </w:t>
      </w:r>
      <w:r w:rsidR="00A56C1D" w:rsidRPr="00DC49A5">
        <w:rPr>
          <w:color w:val="333333"/>
          <w:sz w:val="24"/>
          <w:szCs w:val="24"/>
          <w:shd w:val="clear" w:color="auto" w:fill="FFFFFF"/>
        </w:rPr>
        <w:t xml:space="preserve">“Other” race in the PHD. </w:t>
      </w:r>
    </w:p>
    <w:p w14:paraId="1B34C187" w14:textId="40496D1E" w:rsidR="00431F78" w:rsidRDefault="00431F78" w:rsidP="009F61F6">
      <w:pPr>
        <w:spacing w:line="276" w:lineRule="auto"/>
        <w:rPr>
          <w:color w:val="333333"/>
          <w:sz w:val="24"/>
          <w:szCs w:val="24"/>
          <w:shd w:val="clear" w:color="auto" w:fill="FFFFFF"/>
        </w:rPr>
      </w:pPr>
      <w:r>
        <w:rPr>
          <w:noProof/>
        </w:rPr>
        <w:drawing>
          <wp:inline distT="0" distB="0" distL="0" distR="0" wp14:anchorId="213BF7E3" wp14:editId="49574766">
            <wp:extent cx="5927539" cy="3383280"/>
            <wp:effectExtent l="0" t="0" r="0" b="7620"/>
            <wp:docPr id="507692962" name="Chart 1" descr="Figure 6. A bar chart showing the Age-adjusted rate of non-fatal overdose per 100,000 by race* and Hispanic ethnicity, Massachusetts residents, 2013-2021. There is an overall category (239.4) and four race/ethnicity categories per 100,000 residents: Asian Pacific Islander non-Hispanic 14.9 , Black non-Hispanic 181.9 , Hispanic 198.4 and white non-Hispanic 243.7">
              <a:extLst xmlns:a="http://schemas.openxmlformats.org/drawingml/2006/main">
                <a:ext uri="{FF2B5EF4-FFF2-40B4-BE49-F238E27FC236}">
                  <a16:creationId xmlns:a16="http://schemas.microsoft.com/office/drawing/2014/main" id="{4AEB2DAD-27CF-47D0-924C-B9E1F98CB49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5D569641" w14:textId="1C1132D3" w:rsidR="00D93DCA" w:rsidRDefault="00F707BE" w:rsidP="009F61F6">
      <w:pPr>
        <w:spacing w:line="276" w:lineRule="auto"/>
        <w:rPr>
          <w:color w:val="333333"/>
          <w:sz w:val="24"/>
          <w:szCs w:val="24"/>
          <w:shd w:val="clear" w:color="auto" w:fill="FFFFFF"/>
        </w:rPr>
      </w:pPr>
      <w:r>
        <w:rPr>
          <w:color w:val="333333"/>
          <w:sz w:val="24"/>
          <w:szCs w:val="24"/>
          <w:shd w:val="clear" w:color="auto" w:fill="FFFFFF"/>
        </w:rPr>
        <w:lastRenderedPageBreak/>
        <w:t>Figure 7</w:t>
      </w:r>
      <w:r w:rsidR="0033567F">
        <w:rPr>
          <w:color w:val="333333"/>
          <w:sz w:val="24"/>
          <w:szCs w:val="24"/>
          <w:shd w:val="clear" w:color="auto" w:fill="FFFFFF"/>
        </w:rPr>
        <w:t xml:space="preserve">A </w:t>
      </w:r>
      <w:r w:rsidR="00E94E3D" w:rsidRPr="00DC49A5">
        <w:rPr>
          <w:color w:val="333333"/>
          <w:sz w:val="24"/>
          <w:szCs w:val="24"/>
          <w:shd w:val="clear" w:color="auto" w:fill="FFFFFF"/>
        </w:rPr>
        <w:t xml:space="preserve">presents the overall </w:t>
      </w:r>
      <w:proofErr w:type="gramStart"/>
      <w:r w:rsidR="004E2B72">
        <w:rPr>
          <w:color w:val="333333"/>
          <w:sz w:val="24"/>
          <w:szCs w:val="24"/>
          <w:shd w:val="clear" w:color="auto" w:fill="FFFFFF"/>
        </w:rPr>
        <w:t>age-adjusted</w:t>
      </w:r>
      <w:proofErr w:type="gramEnd"/>
      <w:r w:rsidR="004E2B72">
        <w:rPr>
          <w:color w:val="333333"/>
          <w:sz w:val="24"/>
          <w:szCs w:val="24"/>
          <w:shd w:val="clear" w:color="auto" w:fill="FFFFFF"/>
        </w:rPr>
        <w:t xml:space="preserve"> </w:t>
      </w:r>
      <w:r w:rsidR="00D90A2D" w:rsidRPr="00DC49A5">
        <w:rPr>
          <w:color w:val="333333"/>
          <w:sz w:val="24"/>
          <w:szCs w:val="24"/>
          <w:shd w:val="clear" w:color="auto" w:fill="FFFFFF"/>
        </w:rPr>
        <w:t xml:space="preserve">NFO </w:t>
      </w:r>
      <w:r w:rsidR="004E2B72">
        <w:rPr>
          <w:color w:val="333333"/>
          <w:sz w:val="24"/>
          <w:szCs w:val="24"/>
          <w:shd w:val="clear" w:color="auto" w:fill="FFFFFF"/>
        </w:rPr>
        <w:t>rate</w:t>
      </w:r>
      <w:r w:rsidR="00D90A2D">
        <w:rPr>
          <w:color w:val="333333"/>
          <w:sz w:val="24"/>
          <w:szCs w:val="24"/>
          <w:shd w:val="clear" w:color="auto" w:fill="FFFFFF"/>
        </w:rPr>
        <w:t xml:space="preserve"> </w:t>
      </w:r>
      <w:r w:rsidR="00D90A2D" w:rsidRPr="00DC49A5">
        <w:rPr>
          <w:color w:val="333333"/>
          <w:sz w:val="24"/>
          <w:szCs w:val="24"/>
          <w:shd w:val="clear" w:color="auto" w:fill="FFFFFF"/>
        </w:rPr>
        <w:t>by race and Hispanic ethnicity</w:t>
      </w:r>
      <w:r w:rsidR="00783921">
        <w:rPr>
          <w:color w:val="333333"/>
          <w:sz w:val="24"/>
          <w:szCs w:val="24"/>
          <w:shd w:val="clear" w:color="auto" w:fill="FFFFFF"/>
        </w:rPr>
        <w:t xml:space="preserve"> by year</w:t>
      </w:r>
      <w:r w:rsidR="00D90A2D" w:rsidRPr="00DC49A5">
        <w:rPr>
          <w:color w:val="333333"/>
          <w:sz w:val="24"/>
          <w:szCs w:val="24"/>
          <w:shd w:val="clear" w:color="auto" w:fill="FFFFFF"/>
        </w:rPr>
        <w:t>.</w:t>
      </w:r>
      <w:r w:rsidR="00D93DCA" w:rsidRPr="00DC49A5">
        <w:rPr>
          <w:color w:val="333333"/>
          <w:sz w:val="24"/>
          <w:szCs w:val="24"/>
          <w:shd w:val="clear" w:color="auto" w:fill="FFFFFF"/>
        </w:rPr>
        <w:t xml:space="preserve"> </w:t>
      </w:r>
      <w:r w:rsidR="006B53EE">
        <w:rPr>
          <w:color w:val="333333"/>
          <w:sz w:val="24"/>
          <w:szCs w:val="24"/>
          <w:shd w:val="clear" w:color="auto" w:fill="FFFFFF"/>
        </w:rPr>
        <w:t xml:space="preserve">Age-adjusted rates for all </w:t>
      </w:r>
      <w:r w:rsidR="00565AD1">
        <w:rPr>
          <w:color w:val="333333"/>
          <w:sz w:val="24"/>
          <w:szCs w:val="24"/>
          <w:shd w:val="clear" w:color="auto" w:fill="FFFFFF"/>
        </w:rPr>
        <w:t xml:space="preserve">group increased between 2013 and 2016, </w:t>
      </w:r>
      <w:r w:rsidR="008911D3">
        <w:rPr>
          <w:color w:val="333333"/>
          <w:sz w:val="24"/>
          <w:szCs w:val="24"/>
          <w:shd w:val="clear" w:color="auto" w:fill="FFFFFF"/>
        </w:rPr>
        <w:t xml:space="preserve">at which point </w:t>
      </w:r>
      <w:r w:rsidR="00565AD1">
        <w:rPr>
          <w:color w:val="333333"/>
          <w:sz w:val="24"/>
          <w:szCs w:val="24"/>
          <w:shd w:val="clear" w:color="auto" w:fill="FFFFFF"/>
        </w:rPr>
        <w:t xml:space="preserve">we see changes by race and Hispanic ethnicity. </w:t>
      </w:r>
      <w:r w:rsidR="00823FC5">
        <w:rPr>
          <w:color w:val="333333"/>
          <w:sz w:val="24"/>
          <w:szCs w:val="24"/>
          <w:shd w:val="clear" w:color="auto" w:fill="FFFFFF"/>
        </w:rPr>
        <w:t>The rate for w</w:t>
      </w:r>
      <w:r w:rsidR="00565AD1">
        <w:rPr>
          <w:color w:val="333333"/>
          <w:sz w:val="24"/>
          <w:szCs w:val="24"/>
          <w:shd w:val="clear" w:color="auto" w:fill="FFFFFF"/>
        </w:rPr>
        <w:t xml:space="preserve">hite non-Hispanic residents </w:t>
      </w:r>
      <w:r w:rsidR="00E61425">
        <w:rPr>
          <w:color w:val="333333"/>
          <w:sz w:val="24"/>
          <w:szCs w:val="24"/>
          <w:shd w:val="clear" w:color="auto" w:fill="FFFFFF"/>
        </w:rPr>
        <w:t xml:space="preserve">decreased </w:t>
      </w:r>
      <w:r w:rsidR="00390E07">
        <w:rPr>
          <w:color w:val="333333"/>
          <w:sz w:val="24"/>
          <w:szCs w:val="24"/>
          <w:shd w:val="clear" w:color="auto" w:fill="FFFFFF"/>
        </w:rPr>
        <w:t>35</w:t>
      </w:r>
      <w:r w:rsidR="00E61425">
        <w:rPr>
          <w:color w:val="333333"/>
          <w:sz w:val="24"/>
          <w:szCs w:val="24"/>
          <w:shd w:val="clear" w:color="auto" w:fill="FFFFFF"/>
        </w:rPr>
        <w:t xml:space="preserve">% between 2016 and 2021 (from 281.4 to </w:t>
      </w:r>
      <w:r w:rsidR="00206627">
        <w:rPr>
          <w:color w:val="333333"/>
          <w:sz w:val="24"/>
          <w:szCs w:val="24"/>
          <w:shd w:val="clear" w:color="auto" w:fill="FFFFFF"/>
        </w:rPr>
        <w:t xml:space="preserve">183.1 </w:t>
      </w:r>
      <w:r w:rsidR="00E61425">
        <w:rPr>
          <w:color w:val="333333"/>
          <w:sz w:val="24"/>
          <w:szCs w:val="24"/>
          <w:shd w:val="clear" w:color="auto" w:fill="FFFFFF"/>
        </w:rPr>
        <w:t>per 100,000)</w:t>
      </w:r>
      <w:r w:rsidR="00823FC5">
        <w:rPr>
          <w:color w:val="333333"/>
          <w:sz w:val="24"/>
          <w:szCs w:val="24"/>
          <w:shd w:val="clear" w:color="auto" w:fill="FFFFFF"/>
        </w:rPr>
        <w:t>. R</w:t>
      </w:r>
      <w:r w:rsidR="00AD277A">
        <w:rPr>
          <w:color w:val="333333"/>
          <w:sz w:val="24"/>
          <w:szCs w:val="24"/>
          <w:shd w:val="clear" w:color="auto" w:fill="FFFFFF"/>
        </w:rPr>
        <w:t>ates for Black non-Hispanic residents increased through 2017</w:t>
      </w:r>
      <w:r w:rsidR="00E03B52">
        <w:rPr>
          <w:color w:val="333333"/>
          <w:sz w:val="24"/>
          <w:szCs w:val="24"/>
          <w:shd w:val="clear" w:color="auto" w:fill="FFFFFF"/>
        </w:rPr>
        <w:t xml:space="preserve">, decreased </w:t>
      </w:r>
      <w:r w:rsidR="00DF7474">
        <w:rPr>
          <w:color w:val="333333"/>
          <w:sz w:val="24"/>
          <w:szCs w:val="24"/>
          <w:shd w:val="clear" w:color="auto" w:fill="FFFFFF"/>
        </w:rPr>
        <w:t xml:space="preserve">6% </w:t>
      </w:r>
      <w:r w:rsidR="00F557D2">
        <w:rPr>
          <w:color w:val="333333"/>
          <w:sz w:val="24"/>
          <w:szCs w:val="24"/>
          <w:shd w:val="clear" w:color="auto" w:fill="FFFFFF"/>
        </w:rPr>
        <w:t xml:space="preserve">until 2018 and then increased </w:t>
      </w:r>
      <w:r w:rsidR="00A04745">
        <w:rPr>
          <w:color w:val="333333"/>
          <w:sz w:val="24"/>
          <w:szCs w:val="24"/>
          <w:shd w:val="clear" w:color="auto" w:fill="FFFFFF"/>
        </w:rPr>
        <w:t xml:space="preserve">12% from 2017 to 2020 (from 189.1 to 211.9 per 100,000), and finally decreased </w:t>
      </w:r>
      <w:r w:rsidR="0002191B">
        <w:rPr>
          <w:color w:val="333333"/>
          <w:sz w:val="24"/>
          <w:szCs w:val="24"/>
          <w:shd w:val="clear" w:color="auto" w:fill="FFFFFF"/>
        </w:rPr>
        <w:t xml:space="preserve">5% in 2021. </w:t>
      </w:r>
      <w:r w:rsidR="00F51AA4">
        <w:rPr>
          <w:color w:val="333333"/>
          <w:sz w:val="24"/>
          <w:szCs w:val="24"/>
          <w:shd w:val="clear" w:color="auto" w:fill="FFFFFF"/>
        </w:rPr>
        <w:t>The rate f</w:t>
      </w:r>
      <w:r w:rsidR="00D53BCC">
        <w:rPr>
          <w:color w:val="333333"/>
          <w:sz w:val="24"/>
          <w:szCs w:val="24"/>
          <w:shd w:val="clear" w:color="auto" w:fill="FFFFFF"/>
        </w:rPr>
        <w:t xml:space="preserve">or </w:t>
      </w:r>
      <w:r w:rsidR="00F5310B">
        <w:rPr>
          <w:color w:val="333333"/>
          <w:sz w:val="24"/>
          <w:szCs w:val="24"/>
          <w:shd w:val="clear" w:color="auto" w:fill="FFFFFF"/>
        </w:rPr>
        <w:t>Hispanic residents</w:t>
      </w:r>
      <w:r w:rsidR="001803A2">
        <w:rPr>
          <w:color w:val="333333"/>
          <w:sz w:val="24"/>
          <w:szCs w:val="24"/>
          <w:shd w:val="clear" w:color="auto" w:fill="FFFFFF"/>
        </w:rPr>
        <w:t xml:space="preserve"> decreased </w:t>
      </w:r>
      <w:r w:rsidR="00B11D78">
        <w:rPr>
          <w:color w:val="333333"/>
          <w:sz w:val="24"/>
          <w:szCs w:val="24"/>
          <w:shd w:val="clear" w:color="auto" w:fill="FFFFFF"/>
        </w:rPr>
        <w:t xml:space="preserve">7% </w:t>
      </w:r>
      <w:r w:rsidR="001803A2">
        <w:rPr>
          <w:color w:val="333333"/>
          <w:sz w:val="24"/>
          <w:szCs w:val="24"/>
          <w:shd w:val="clear" w:color="auto" w:fill="FFFFFF"/>
        </w:rPr>
        <w:t>from 2016 to 2017</w:t>
      </w:r>
      <w:r w:rsidR="00B11D78">
        <w:rPr>
          <w:color w:val="333333"/>
          <w:sz w:val="24"/>
          <w:szCs w:val="24"/>
          <w:shd w:val="clear" w:color="auto" w:fill="FFFFFF"/>
        </w:rPr>
        <w:t xml:space="preserve">, then increased </w:t>
      </w:r>
      <w:r w:rsidR="00BB0BF2">
        <w:rPr>
          <w:color w:val="333333"/>
          <w:sz w:val="24"/>
          <w:szCs w:val="24"/>
          <w:shd w:val="clear" w:color="auto" w:fill="FFFFFF"/>
        </w:rPr>
        <w:t>15% from 2017 to 20</w:t>
      </w:r>
      <w:r w:rsidR="00CD6C77">
        <w:rPr>
          <w:color w:val="333333"/>
          <w:sz w:val="24"/>
          <w:szCs w:val="24"/>
          <w:shd w:val="clear" w:color="auto" w:fill="FFFFFF"/>
        </w:rPr>
        <w:t>19</w:t>
      </w:r>
      <w:r w:rsidR="0094088E">
        <w:rPr>
          <w:color w:val="333333"/>
          <w:sz w:val="24"/>
          <w:szCs w:val="24"/>
          <w:shd w:val="clear" w:color="auto" w:fill="FFFFFF"/>
        </w:rPr>
        <w:t xml:space="preserve"> </w:t>
      </w:r>
      <w:r w:rsidR="00BB0BF2">
        <w:rPr>
          <w:color w:val="333333"/>
          <w:sz w:val="24"/>
          <w:szCs w:val="24"/>
          <w:shd w:val="clear" w:color="auto" w:fill="FFFFFF"/>
        </w:rPr>
        <w:t>(from</w:t>
      </w:r>
      <w:r w:rsidR="001803A2">
        <w:rPr>
          <w:color w:val="333333"/>
          <w:sz w:val="24"/>
          <w:szCs w:val="24"/>
          <w:shd w:val="clear" w:color="auto" w:fill="FFFFFF"/>
        </w:rPr>
        <w:t xml:space="preserve"> </w:t>
      </w:r>
      <w:r w:rsidR="0094088E">
        <w:rPr>
          <w:color w:val="333333"/>
          <w:sz w:val="24"/>
          <w:szCs w:val="24"/>
          <w:shd w:val="clear" w:color="auto" w:fill="FFFFFF"/>
        </w:rPr>
        <w:t xml:space="preserve">180.6 to 213.7 per 100,000) and then decreased </w:t>
      </w:r>
      <w:r w:rsidR="00B4311F">
        <w:rPr>
          <w:color w:val="333333"/>
          <w:sz w:val="24"/>
          <w:szCs w:val="24"/>
          <w:shd w:val="clear" w:color="auto" w:fill="FFFFFF"/>
        </w:rPr>
        <w:t>8% through 2021. The rates for Asian</w:t>
      </w:r>
      <w:r w:rsidR="004656D4">
        <w:rPr>
          <w:color w:val="333333"/>
          <w:sz w:val="24"/>
          <w:szCs w:val="24"/>
          <w:shd w:val="clear" w:color="auto" w:fill="FFFFFF"/>
        </w:rPr>
        <w:t xml:space="preserve">/Pacific Islander </w:t>
      </w:r>
      <w:r w:rsidR="009735DE">
        <w:rPr>
          <w:color w:val="333333"/>
          <w:sz w:val="24"/>
          <w:szCs w:val="24"/>
          <w:shd w:val="clear" w:color="auto" w:fill="FFFFFF"/>
        </w:rPr>
        <w:t>non-Hispanic</w:t>
      </w:r>
      <w:r w:rsidR="004656D4">
        <w:rPr>
          <w:color w:val="333333"/>
          <w:sz w:val="24"/>
          <w:szCs w:val="24"/>
          <w:shd w:val="clear" w:color="auto" w:fill="FFFFFF"/>
        </w:rPr>
        <w:t xml:space="preserve"> residents increased 80% from 2013 to 2017, and then decreased </w:t>
      </w:r>
      <w:r w:rsidR="004D329A">
        <w:rPr>
          <w:color w:val="333333"/>
          <w:sz w:val="24"/>
          <w:szCs w:val="24"/>
          <w:shd w:val="clear" w:color="auto" w:fill="FFFFFF"/>
        </w:rPr>
        <w:t xml:space="preserve">7% through 2021. </w:t>
      </w:r>
      <w:r w:rsidR="00D93DCA" w:rsidRPr="00DC49A5">
        <w:rPr>
          <w:color w:val="333333"/>
          <w:sz w:val="24"/>
          <w:szCs w:val="24"/>
          <w:shd w:val="clear" w:color="auto" w:fill="FFFFFF"/>
        </w:rPr>
        <w:t xml:space="preserve">Age-adjusted NFO rates for American Indian/Alaska Native residents are not shown in these figures because they are combined with </w:t>
      </w:r>
      <w:r w:rsidR="004D75A8" w:rsidRPr="00DC49A5">
        <w:rPr>
          <w:color w:val="333333"/>
          <w:sz w:val="24"/>
          <w:szCs w:val="24"/>
          <w:shd w:val="clear" w:color="auto" w:fill="FFFFFF"/>
        </w:rPr>
        <w:t>‘O</w:t>
      </w:r>
      <w:r w:rsidR="00D93DCA" w:rsidRPr="00DC49A5">
        <w:rPr>
          <w:color w:val="333333"/>
          <w:sz w:val="24"/>
          <w:szCs w:val="24"/>
          <w:shd w:val="clear" w:color="auto" w:fill="FFFFFF"/>
        </w:rPr>
        <w:t>ther</w:t>
      </w:r>
      <w:r w:rsidR="004D75A8" w:rsidRPr="00DC49A5">
        <w:rPr>
          <w:color w:val="333333"/>
          <w:sz w:val="24"/>
          <w:szCs w:val="24"/>
          <w:shd w:val="clear" w:color="auto" w:fill="FFFFFF"/>
        </w:rPr>
        <w:t>’</w:t>
      </w:r>
      <w:r w:rsidR="00D93DCA" w:rsidRPr="00DC49A5">
        <w:rPr>
          <w:color w:val="333333"/>
          <w:sz w:val="24"/>
          <w:szCs w:val="24"/>
          <w:shd w:val="clear" w:color="auto" w:fill="FFFFFF"/>
        </w:rPr>
        <w:t xml:space="preserve"> races in the PHD. </w:t>
      </w:r>
    </w:p>
    <w:p w14:paraId="452C8C5D" w14:textId="19BEB451" w:rsidR="00146AA8" w:rsidRDefault="00DB3FF4" w:rsidP="009F61F6">
      <w:pPr>
        <w:spacing w:line="276" w:lineRule="auto"/>
        <w:rPr>
          <w:color w:val="333333"/>
          <w:sz w:val="24"/>
          <w:szCs w:val="24"/>
          <w:shd w:val="clear" w:color="auto" w:fill="FFFFFF"/>
        </w:rPr>
      </w:pPr>
      <w:r>
        <w:rPr>
          <w:noProof/>
        </w:rPr>
        <w:drawing>
          <wp:inline distT="0" distB="0" distL="0" distR="0" wp14:anchorId="441834D5" wp14:editId="36B56BB1">
            <wp:extent cx="5943600" cy="3017520"/>
            <wp:effectExtent l="0" t="0" r="0" b="0"/>
            <wp:docPr id="1462510128" name="Chart 1" descr="Figure 7A. Age-adjusted rate of non-fatal opioid overdose by race* and Hispanic ethnicity, Massachusetts residents, 2013-2020. A line chart with rates for white (green), Hispanic(blue), Black nH (orange) and Asian Pacific Islander nH (purple) shown by year. The rates for Asian are the lowest, Hispanic and Black nH increasing between 2013 and 2020 and white nH increasing through 2016 and then decreasing to 2020. ">
              <a:extLst xmlns:a="http://schemas.openxmlformats.org/drawingml/2006/main">
                <a:ext uri="{FF2B5EF4-FFF2-40B4-BE49-F238E27FC236}">
                  <a16:creationId xmlns:a16="http://schemas.microsoft.com/office/drawing/2014/main" id="{9FB8DD2B-9A9B-4ACC-9B47-9D4534CD3B8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4C2ECF1C" w14:textId="32432917" w:rsidR="00F0444A" w:rsidRDefault="00F0444A" w:rsidP="00F0444A">
      <w:pPr>
        <w:spacing w:line="276" w:lineRule="auto"/>
        <w:rPr>
          <w:color w:val="333333"/>
          <w:sz w:val="24"/>
          <w:szCs w:val="24"/>
          <w:shd w:val="clear" w:color="auto" w:fill="FFFFFF"/>
        </w:rPr>
      </w:pPr>
      <w:r w:rsidRPr="00DC49A5">
        <w:rPr>
          <w:color w:val="333333"/>
          <w:sz w:val="24"/>
          <w:szCs w:val="24"/>
          <w:shd w:val="clear" w:color="auto" w:fill="FFFFFF"/>
        </w:rPr>
        <w:t xml:space="preserve">Figure 7B shows the </w:t>
      </w:r>
      <w:proofErr w:type="gramStart"/>
      <w:r w:rsidRPr="00DC49A5">
        <w:rPr>
          <w:color w:val="333333"/>
          <w:sz w:val="24"/>
          <w:szCs w:val="24"/>
          <w:shd w:val="clear" w:color="auto" w:fill="FFFFFF"/>
        </w:rPr>
        <w:t>age-adjusted</w:t>
      </w:r>
      <w:proofErr w:type="gramEnd"/>
      <w:r w:rsidRPr="00DC49A5">
        <w:rPr>
          <w:color w:val="333333"/>
          <w:sz w:val="24"/>
          <w:szCs w:val="24"/>
          <w:shd w:val="clear" w:color="auto" w:fill="FFFFFF"/>
        </w:rPr>
        <w:t xml:space="preserve"> NFO rates for male residents by race and Hispanic ethnicity. </w:t>
      </w:r>
      <w:r>
        <w:rPr>
          <w:color w:val="333333"/>
          <w:sz w:val="24"/>
          <w:szCs w:val="24"/>
          <w:shd w:val="clear" w:color="auto" w:fill="FFFFFF"/>
        </w:rPr>
        <w:t>Across all races and ethnicities, m</w:t>
      </w:r>
      <w:r w:rsidRPr="00DC49A5">
        <w:rPr>
          <w:color w:val="333333"/>
          <w:sz w:val="24"/>
          <w:szCs w:val="24"/>
          <w:shd w:val="clear" w:color="auto" w:fill="FFFFFF"/>
        </w:rPr>
        <w:t xml:space="preserve">ale residents experienced higher </w:t>
      </w:r>
      <w:proofErr w:type="gramStart"/>
      <w:r w:rsidRPr="00DC49A5">
        <w:rPr>
          <w:color w:val="333333"/>
          <w:sz w:val="24"/>
          <w:szCs w:val="24"/>
          <w:shd w:val="clear" w:color="auto" w:fill="FFFFFF"/>
        </w:rPr>
        <w:t>age-adjusted</w:t>
      </w:r>
      <w:proofErr w:type="gramEnd"/>
      <w:r w:rsidRPr="00DC49A5">
        <w:rPr>
          <w:color w:val="333333"/>
          <w:sz w:val="24"/>
          <w:szCs w:val="24"/>
          <w:shd w:val="clear" w:color="auto" w:fill="FFFFFF"/>
        </w:rPr>
        <w:t xml:space="preserve"> NFO rates th</w:t>
      </w:r>
      <w:r>
        <w:rPr>
          <w:color w:val="333333"/>
          <w:sz w:val="24"/>
          <w:szCs w:val="24"/>
          <w:shd w:val="clear" w:color="auto" w:fill="FFFFFF"/>
        </w:rPr>
        <w:t>a</w:t>
      </w:r>
      <w:r w:rsidRPr="00DC49A5">
        <w:rPr>
          <w:color w:val="333333"/>
          <w:sz w:val="24"/>
          <w:szCs w:val="24"/>
          <w:shd w:val="clear" w:color="auto" w:fill="FFFFFF"/>
        </w:rPr>
        <w:t>n female residents.</w:t>
      </w:r>
      <w:r w:rsidR="00927FFA">
        <w:rPr>
          <w:color w:val="333333"/>
          <w:sz w:val="24"/>
          <w:szCs w:val="24"/>
          <w:shd w:val="clear" w:color="auto" w:fill="FFFFFF"/>
        </w:rPr>
        <w:t xml:space="preserve"> Rates for Hispanic </w:t>
      </w:r>
      <w:r w:rsidR="00524258">
        <w:rPr>
          <w:color w:val="333333"/>
          <w:sz w:val="24"/>
          <w:szCs w:val="24"/>
          <w:shd w:val="clear" w:color="auto" w:fill="FFFFFF"/>
        </w:rPr>
        <w:t xml:space="preserve">male </w:t>
      </w:r>
      <w:r w:rsidR="00927FFA">
        <w:rPr>
          <w:color w:val="333333"/>
          <w:sz w:val="24"/>
          <w:szCs w:val="24"/>
          <w:shd w:val="clear" w:color="auto" w:fill="FFFFFF"/>
        </w:rPr>
        <w:t xml:space="preserve">residents increased </w:t>
      </w:r>
      <w:r w:rsidR="002A101A">
        <w:rPr>
          <w:color w:val="333333"/>
          <w:sz w:val="24"/>
          <w:szCs w:val="24"/>
          <w:shd w:val="clear" w:color="auto" w:fill="FFFFFF"/>
        </w:rPr>
        <w:t xml:space="preserve">nearly 400% from 2013 to </w:t>
      </w:r>
      <w:r w:rsidR="008D570D">
        <w:rPr>
          <w:color w:val="333333"/>
          <w:sz w:val="24"/>
          <w:szCs w:val="24"/>
          <w:shd w:val="clear" w:color="auto" w:fill="FFFFFF"/>
        </w:rPr>
        <w:t xml:space="preserve">2019, </w:t>
      </w:r>
      <w:r w:rsidR="008959F7">
        <w:rPr>
          <w:color w:val="333333"/>
          <w:sz w:val="24"/>
          <w:szCs w:val="24"/>
          <w:shd w:val="clear" w:color="auto" w:fill="FFFFFF"/>
        </w:rPr>
        <w:t xml:space="preserve">including </w:t>
      </w:r>
      <w:r w:rsidR="0045477F">
        <w:rPr>
          <w:color w:val="333333"/>
          <w:sz w:val="24"/>
          <w:szCs w:val="24"/>
          <w:shd w:val="clear" w:color="auto" w:fill="FFFFFF"/>
        </w:rPr>
        <w:t xml:space="preserve">a </w:t>
      </w:r>
      <w:r w:rsidR="007466FE">
        <w:rPr>
          <w:color w:val="333333"/>
          <w:sz w:val="24"/>
          <w:szCs w:val="24"/>
          <w:shd w:val="clear" w:color="auto" w:fill="FFFFFF"/>
        </w:rPr>
        <w:t xml:space="preserve">7% </w:t>
      </w:r>
      <w:r w:rsidR="008D570D">
        <w:rPr>
          <w:color w:val="333333"/>
          <w:sz w:val="24"/>
          <w:szCs w:val="24"/>
          <w:shd w:val="clear" w:color="auto" w:fill="FFFFFF"/>
        </w:rPr>
        <w:t xml:space="preserve">drop </w:t>
      </w:r>
      <w:r w:rsidR="007466FE">
        <w:rPr>
          <w:color w:val="333333"/>
          <w:sz w:val="24"/>
          <w:szCs w:val="24"/>
          <w:shd w:val="clear" w:color="auto" w:fill="FFFFFF"/>
        </w:rPr>
        <w:t>from 2016 to 201</w:t>
      </w:r>
      <w:r w:rsidR="00200D37">
        <w:rPr>
          <w:color w:val="333333"/>
          <w:sz w:val="24"/>
          <w:szCs w:val="24"/>
          <w:shd w:val="clear" w:color="auto" w:fill="FFFFFF"/>
        </w:rPr>
        <w:t xml:space="preserve">7, and then decreased </w:t>
      </w:r>
      <w:r w:rsidR="008A344F">
        <w:rPr>
          <w:color w:val="333333"/>
          <w:sz w:val="24"/>
          <w:szCs w:val="24"/>
          <w:shd w:val="clear" w:color="auto" w:fill="FFFFFF"/>
        </w:rPr>
        <w:t>10% from 2019 to 2021.</w:t>
      </w:r>
      <w:r w:rsidR="0048432E">
        <w:rPr>
          <w:color w:val="333333"/>
          <w:sz w:val="24"/>
          <w:szCs w:val="24"/>
          <w:shd w:val="clear" w:color="auto" w:fill="FFFFFF"/>
        </w:rPr>
        <w:t>The age-adjusted rate for Black non-Hispa</w:t>
      </w:r>
      <w:r w:rsidR="001156D8">
        <w:rPr>
          <w:color w:val="333333"/>
          <w:sz w:val="24"/>
          <w:szCs w:val="24"/>
          <w:shd w:val="clear" w:color="auto" w:fill="FFFFFF"/>
        </w:rPr>
        <w:t>n</w:t>
      </w:r>
      <w:r w:rsidR="0048432E">
        <w:rPr>
          <w:color w:val="333333"/>
          <w:sz w:val="24"/>
          <w:szCs w:val="24"/>
          <w:shd w:val="clear" w:color="auto" w:fill="FFFFFF"/>
        </w:rPr>
        <w:t xml:space="preserve">ic </w:t>
      </w:r>
      <w:r w:rsidR="0059405B">
        <w:rPr>
          <w:color w:val="333333"/>
          <w:sz w:val="24"/>
          <w:szCs w:val="24"/>
          <w:shd w:val="clear" w:color="auto" w:fill="FFFFFF"/>
        </w:rPr>
        <w:t xml:space="preserve">male </w:t>
      </w:r>
      <w:r w:rsidR="0048432E">
        <w:rPr>
          <w:color w:val="333333"/>
          <w:sz w:val="24"/>
          <w:szCs w:val="24"/>
          <w:shd w:val="clear" w:color="auto" w:fill="FFFFFF"/>
        </w:rPr>
        <w:t xml:space="preserve">residents increased </w:t>
      </w:r>
      <w:r w:rsidR="001156D8">
        <w:rPr>
          <w:color w:val="333333"/>
          <w:sz w:val="24"/>
          <w:szCs w:val="24"/>
          <w:shd w:val="clear" w:color="auto" w:fill="FFFFFF"/>
        </w:rPr>
        <w:t xml:space="preserve">280% from </w:t>
      </w:r>
      <w:r w:rsidRPr="00DC49A5">
        <w:rPr>
          <w:color w:val="333333"/>
          <w:sz w:val="24"/>
          <w:szCs w:val="24"/>
          <w:shd w:val="clear" w:color="auto" w:fill="FFFFFF"/>
        </w:rPr>
        <w:t>201</w:t>
      </w:r>
      <w:r>
        <w:rPr>
          <w:color w:val="333333"/>
          <w:sz w:val="24"/>
          <w:szCs w:val="24"/>
          <w:shd w:val="clear" w:color="auto" w:fill="FFFFFF"/>
        </w:rPr>
        <w:t>3</w:t>
      </w:r>
      <w:r w:rsidRPr="00DC49A5">
        <w:rPr>
          <w:color w:val="333333"/>
          <w:sz w:val="24"/>
          <w:szCs w:val="24"/>
          <w:shd w:val="clear" w:color="auto" w:fill="FFFFFF"/>
        </w:rPr>
        <w:t xml:space="preserve"> to </w:t>
      </w:r>
      <w:r>
        <w:rPr>
          <w:color w:val="333333"/>
          <w:sz w:val="24"/>
          <w:szCs w:val="24"/>
          <w:shd w:val="clear" w:color="auto" w:fill="FFFFFF"/>
        </w:rPr>
        <w:t>20</w:t>
      </w:r>
      <w:r w:rsidR="001156D8">
        <w:rPr>
          <w:color w:val="333333"/>
          <w:sz w:val="24"/>
          <w:szCs w:val="24"/>
          <w:shd w:val="clear" w:color="auto" w:fill="FFFFFF"/>
        </w:rPr>
        <w:t xml:space="preserve">20 </w:t>
      </w:r>
      <w:r w:rsidR="000903DC">
        <w:rPr>
          <w:color w:val="333333"/>
          <w:sz w:val="24"/>
          <w:szCs w:val="24"/>
          <w:shd w:val="clear" w:color="auto" w:fill="FFFFFF"/>
        </w:rPr>
        <w:t xml:space="preserve">(from 89.0 to 335.1 per 100,000) </w:t>
      </w:r>
      <w:r w:rsidR="001156D8">
        <w:rPr>
          <w:color w:val="333333"/>
          <w:sz w:val="24"/>
          <w:szCs w:val="24"/>
          <w:shd w:val="clear" w:color="auto" w:fill="FFFFFF"/>
        </w:rPr>
        <w:t xml:space="preserve">which included a </w:t>
      </w:r>
      <w:r w:rsidR="00B63E8C">
        <w:rPr>
          <w:color w:val="333333"/>
          <w:sz w:val="24"/>
          <w:szCs w:val="24"/>
          <w:shd w:val="clear" w:color="auto" w:fill="FFFFFF"/>
        </w:rPr>
        <w:t>6% dro</w:t>
      </w:r>
      <w:r w:rsidR="000903DC">
        <w:rPr>
          <w:color w:val="333333"/>
          <w:sz w:val="24"/>
          <w:szCs w:val="24"/>
          <w:shd w:val="clear" w:color="auto" w:fill="FFFFFF"/>
        </w:rPr>
        <w:t>p</w:t>
      </w:r>
      <w:r w:rsidR="00B63E8C">
        <w:rPr>
          <w:color w:val="333333"/>
          <w:sz w:val="24"/>
          <w:szCs w:val="24"/>
          <w:shd w:val="clear" w:color="auto" w:fill="FFFFFF"/>
        </w:rPr>
        <w:t xml:space="preserve"> from 2017 to 2018, </w:t>
      </w:r>
      <w:r w:rsidR="000903DC">
        <w:rPr>
          <w:color w:val="333333"/>
          <w:sz w:val="24"/>
          <w:szCs w:val="24"/>
          <w:shd w:val="clear" w:color="auto" w:fill="FFFFFF"/>
        </w:rPr>
        <w:t xml:space="preserve">and then a final </w:t>
      </w:r>
      <w:r w:rsidR="00324C0D">
        <w:rPr>
          <w:color w:val="333333"/>
          <w:sz w:val="24"/>
          <w:szCs w:val="24"/>
          <w:shd w:val="clear" w:color="auto" w:fill="FFFFFF"/>
        </w:rPr>
        <w:t xml:space="preserve">10% </w:t>
      </w:r>
      <w:r w:rsidR="000903DC">
        <w:rPr>
          <w:color w:val="333333"/>
          <w:sz w:val="24"/>
          <w:szCs w:val="24"/>
          <w:shd w:val="clear" w:color="auto" w:fill="FFFFFF"/>
        </w:rPr>
        <w:t>decrease from 2020 to 2021</w:t>
      </w:r>
      <w:r w:rsidR="00324C0D">
        <w:rPr>
          <w:color w:val="333333"/>
          <w:sz w:val="24"/>
          <w:szCs w:val="24"/>
          <w:shd w:val="clear" w:color="auto" w:fill="FFFFFF"/>
        </w:rPr>
        <w:t xml:space="preserve">. </w:t>
      </w:r>
      <w:r w:rsidRPr="00DC49A5">
        <w:rPr>
          <w:color w:val="333333"/>
          <w:sz w:val="24"/>
          <w:szCs w:val="24"/>
          <w:shd w:val="clear" w:color="auto" w:fill="FFFFFF"/>
        </w:rPr>
        <w:t>The age-adjusted rates for white non-Hispanic male</w:t>
      </w:r>
      <w:r w:rsidR="00842C97">
        <w:rPr>
          <w:color w:val="333333"/>
          <w:sz w:val="24"/>
          <w:szCs w:val="24"/>
          <w:shd w:val="clear" w:color="auto" w:fill="FFFFFF"/>
        </w:rPr>
        <w:t xml:space="preserve"> residents</w:t>
      </w:r>
      <w:r w:rsidRPr="00DC49A5">
        <w:rPr>
          <w:color w:val="333333"/>
          <w:sz w:val="24"/>
          <w:szCs w:val="24"/>
          <w:shd w:val="clear" w:color="auto" w:fill="FFFFFF"/>
        </w:rPr>
        <w:t xml:space="preserve"> </w:t>
      </w:r>
      <w:r>
        <w:rPr>
          <w:color w:val="333333"/>
          <w:sz w:val="24"/>
          <w:szCs w:val="24"/>
          <w:shd w:val="clear" w:color="auto" w:fill="FFFFFF"/>
        </w:rPr>
        <w:t>in</w:t>
      </w:r>
      <w:r w:rsidRPr="00DC49A5">
        <w:rPr>
          <w:color w:val="333333"/>
          <w:sz w:val="24"/>
          <w:szCs w:val="24"/>
          <w:shd w:val="clear" w:color="auto" w:fill="FFFFFF"/>
        </w:rPr>
        <w:t xml:space="preserve">creased </w:t>
      </w:r>
      <w:r>
        <w:rPr>
          <w:color w:val="333333"/>
          <w:sz w:val="24"/>
          <w:szCs w:val="24"/>
          <w:shd w:val="clear" w:color="auto" w:fill="FFFFFF"/>
        </w:rPr>
        <w:t xml:space="preserve">by </w:t>
      </w:r>
      <w:r w:rsidR="00C550BF">
        <w:rPr>
          <w:color w:val="333333"/>
          <w:sz w:val="24"/>
          <w:szCs w:val="24"/>
          <w:shd w:val="clear" w:color="auto" w:fill="FFFFFF"/>
        </w:rPr>
        <w:t>130</w:t>
      </w:r>
      <w:r w:rsidRPr="00DC49A5">
        <w:rPr>
          <w:color w:val="333333"/>
          <w:sz w:val="24"/>
          <w:szCs w:val="24"/>
          <w:shd w:val="clear" w:color="auto" w:fill="FFFFFF"/>
        </w:rPr>
        <w:t xml:space="preserve">% </w:t>
      </w:r>
      <w:r>
        <w:rPr>
          <w:color w:val="333333"/>
          <w:sz w:val="24"/>
          <w:szCs w:val="24"/>
          <w:shd w:val="clear" w:color="auto" w:fill="FFFFFF"/>
        </w:rPr>
        <w:t>from 2013 to 201</w:t>
      </w:r>
      <w:r w:rsidR="007661DF">
        <w:rPr>
          <w:color w:val="333333"/>
          <w:sz w:val="24"/>
          <w:szCs w:val="24"/>
          <w:shd w:val="clear" w:color="auto" w:fill="FFFFFF"/>
        </w:rPr>
        <w:t>6</w:t>
      </w:r>
      <w:r>
        <w:rPr>
          <w:color w:val="333333"/>
          <w:sz w:val="24"/>
          <w:szCs w:val="24"/>
          <w:shd w:val="clear" w:color="auto" w:fill="FFFFFF"/>
        </w:rPr>
        <w:t xml:space="preserve"> </w:t>
      </w:r>
      <w:r w:rsidRPr="00DC49A5">
        <w:rPr>
          <w:color w:val="333333"/>
          <w:sz w:val="24"/>
          <w:szCs w:val="24"/>
          <w:shd w:val="clear" w:color="auto" w:fill="FFFFFF"/>
        </w:rPr>
        <w:t xml:space="preserve">(from </w:t>
      </w:r>
      <w:r>
        <w:rPr>
          <w:color w:val="333333"/>
          <w:sz w:val="24"/>
          <w:szCs w:val="24"/>
          <w:shd w:val="clear" w:color="auto" w:fill="FFFFFF"/>
        </w:rPr>
        <w:t>161.9</w:t>
      </w:r>
      <w:r w:rsidRPr="00DC49A5">
        <w:rPr>
          <w:color w:val="333333"/>
          <w:sz w:val="24"/>
          <w:szCs w:val="24"/>
          <w:shd w:val="clear" w:color="auto" w:fill="FFFFFF"/>
        </w:rPr>
        <w:t xml:space="preserve"> to </w:t>
      </w:r>
      <w:r>
        <w:rPr>
          <w:color w:val="333333"/>
          <w:sz w:val="24"/>
          <w:szCs w:val="24"/>
          <w:shd w:val="clear" w:color="auto" w:fill="FFFFFF"/>
        </w:rPr>
        <w:t>3</w:t>
      </w:r>
      <w:r w:rsidR="007661DF">
        <w:rPr>
          <w:color w:val="333333"/>
          <w:sz w:val="24"/>
          <w:szCs w:val="24"/>
          <w:shd w:val="clear" w:color="auto" w:fill="FFFFFF"/>
        </w:rPr>
        <w:t>71.5</w:t>
      </w:r>
      <w:r w:rsidRPr="00DC49A5">
        <w:rPr>
          <w:color w:val="333333"/>
          <w:sz w:val="24"/>
          <w:szCs w:val="24"/>
          <w:shd w:val="clear" w:color="auto" w:fill="FFFFFF"/>
        </w:rPr>
        <w:t xml:space="preserve"> per 100,000)</w:t>
      </w:r>
      <w:r>
        <w:rPr>
          <w:color w:val="333333"/>
          <w:sz w:val="24"/>
          <w:szCs w:val="24"/>
          <w:shd w:val="clear" w:color="auto" w:fill="FFFFFF"/>
        </w:rPr>
        <w:t xml:space="preserve">, </w:t>
      </w:r>
      <w:r w:rsidR="00C550BF">
        <w:rPr>
          <w:color w:val="333333"/>
          <w:sz w:val="24"/>
          <w:szCs w:val="24"/>
          <w:shd w:val="clear" w:color="auto" w:fill="FFFFFF"/>
        </w:rPr>
        <w:t xml:space="preserve">and then </w:t>
      </w:r>
      <w:r>
        <w:rPr>
          <w:color w:val="333333"/>
          <w:sz w:val="24"/>
          <w:szCs w:val="24"/>
          <w:shd w:val="clear" w:color="auto" w:fill="FFFFFF"/>
        </w:rPr>
        <w:t xml:space="preserve">declined </w:t>
      </w:r>
      <w:r w:rsidR="00114685">
        <w:rPr>
          <w:color w:val="333333"/>
          <w:sz w:val="24"/>
          <w:szCs w:val="24"/>
          <w:shd w:val="clear" w:color="auto" w:fill="FFFFFF"/>
        </w:rPr>
        <w:t xml:space="preserve">steadily 33% </w:t>
      </w:r>
      <w:r>
        <w:rPr>
          <w:color w:val="333333"/>
          <w:sz w:val="24"/>
          <w:szCs w:val="24"/>
          <w:shd w:val="clear" w:color="auto" w:fill="FFFFFF"/>
        </w:rPr>
        <w:t>between 201</w:t>
      </w:r>
      <w:r w:rsidR="00114685">
        <w:rPr>
          <w:color w:val="333333"/>
          <w:sz w:val="24"/>
          <w:szCs w:val="24"/>
          <w:shd w:val="clear" w:color="auto" w:fill="FFFFFF"/>
        </w:rPr>
        <w:t>6</w:t>
      </w:r>
      <w:r>
        <w:rPr>
          <w:color w:val="333333"/>
          <w:sz w:val="24"/>
          <w:szCs w:val="24"/>
          <w:shd w:val="clear" w:color="auto" w:fill="FFFFFF"/>
        </w:rPr>
        <w:t xml:space="preserve"> and 20</w:t>
      </w:r>
      <w:r w:rsidR="00114685">
        <w:rPr>
          <w:color w:val="333333"/>
          <w:sz w:val="24"/>
          <w:szCs w:val="24"/>
          <w:shd w:val="clear" w:color="auto" w:fill="FFFFFF"/>
        </w:rPr>
        <w:t>21</w:t>
      </w:r>
      <w:r w:rsidR="002C2473">
        <w:rPr>
          <w:color w:val="333333"/>
          <w:sz w:val="24"/>
          <w:szCs w:val="24"/>
          <w:shd w:val="clear" w:color="auto" w:fill="FFFFFF"/>
        </w:rPr>
        <w:t xml:space="preserve">. </w:t>
      </w:r>
      <w:r>
        <w:rPr>
          <w:color w:val="333333"/>
          <w:sz w:val="24"/>
          <w:szCs w:val="24"/>
          <w:shd w:val="clear" w:color="auto" w:fill="FFFFFF"/>
        </w:rPr>
        <w:t>The rate</w:t>
      </w:r>
      <w:r w:rsidR="002B3E62">
        <w:rPr>
          <w:color w:val="333333"/>
          <w:sz w:val="24"/>
          <w:szCs w:val="24"/>
          <w:shd w:val="clear" w:color="auto" w:fill="FFFFFF"/>
        </w:rPr>
        <w:t>s</w:t>
      </w:r>
      <w:r>
        <w:rPr>
          <w:color w:val="333333"/>
          <w:sz w:val="24"/>
          <w:szCs w:val="24"/>
          <w:shd w:val="clear" w:color="auto" w:fill="FFFFFF"/>
        </w:rPr>
        <w:t xml:space="preserve"> for male Asian</w:t>
      </w:r>
      <w:r w:rsidR="00272AB4">
        <w:rPr>
          <w:color w:val="333333"/>
          <w:sz w:val="24"/>
          <w:szCs w:val="24"/>
          <w:shd w:val="clear" w:color="auto" w:fill="FFFFFF"/>
        </w:rPr>
        <w:t>/</w:t>
      </w:r>
      <w:r>
        <w:rPr>
          <w:color w:val="333333"/>
          <w:sz w:val="24"/>
          <w:szCs w:val="24"/>
          <w:shd w:val="clear" w:color="auto" w:fill="FFFFFF"/>
        </w:rPr>
        <w:t xml:space="preserve">Pacific Islander </w:t>
      </w:r>
      <w:r w:rsidR="00411E3C">
        <w:rPr>
          <w:color w:val="333333"/>
          <w:sz w:val="24"/>
          <w:szCs w:val="24"/>
          <w:shd w:val="clear" w:color="auto" w:fill="FFFFFF"/>
        </w:rPr>
        <w:t xml:space="preserve">male </w:t>
      </w:r>
      <w:r>
        <w:rPr>
          <w:color w:val="333333"/>
          <w:sz w:val="24"/>
          <w:szCs w:val="24"/>
          <w:shd w:val="clear" w:color="auto" w:fill="FFFFFF"/>
        </w:rPr>
        <w:t>residents w</w:t>
      </w:r>
      <w:r w:rsidR="00023A34">
        <w:rPr>
          <w:color w:val="333333"/>
          <w:sz w:val="24"/>
          <w:szCs w:val="24"/>
          <w:shd w:val="clear" w:color="auto" w:fill="FFFFFF"/>
        </w:rPr>
        <w:t>ere</w:t>
      </w:r>
      <w:r>
        <w:rPr>
          <w:color w:val="333333"/>
          <w:sz w:val="24"/>
          <w:szCs w:val="24"/>
          <w:shd w:val="clear" w:color="auto" w:fill="FFFFFF"/>
        </w:rPr>
        <w:t xml:space="preserve"> the lowest of the four groups</w:t>
      </w:r>
      <w:r w:rsidR="00F74BA8">
        <w:rPr>
          <w:color w:val="333333"/>
          <w:sz w:val="24"/>
          <w:szCs w:val="24"/>
          <w:shd w:val="clear" w:color="auto" w:fill="FFFFFF"/>
        </w:rPr>
        <w:t xml:space="preserve"> despite</w:t>
      </w:r>
      <w:r>
        <w:rPr>
          <w:color w:val="333333"/>
          <w:sz w:val="24"/>
          <w:szCs w:val="24"/>
          <w:shd w:val="clear" w:color="auto" w:fill="FFFFFF"/>
        </w:rPr>
        <w:t xml:space="preserve"> increas</w:t>
      </w:r>
      <w:r w:rsidR="00F74BA8">
        <w:rPr>
          <w:color w:val="333333"/>
          <w:sz w:val="24"/>
          <w:szCs w:val="24"/>
          <w:shd w:val="clear" w:color="auto" w:fill="FFFFFF"/>
        </w:rPr>
        <w:t>ing</w:t>
      </w:r>
      <w:r>
        <w:rPr>
          <w:color w:val="333333"/>
          <w:sz w:val="24"/>
          <w:szCs w:val="24"/>
          <w:shd w:val="clear" w:color="auto" w:fill="FFFFFF"/>
        </w:rPr>
        <w:t xml:space="preserve"> 67% from 2013 to 2021</w:t>
      </w:r>
      <w:r w:rsidR="00F74BA8">
        <w:rPr>
          <w:color w:val="333333"/>
          <w:sz w:val="24"/>
          <w:szCs w:val="24"/>
          <w:shd w:val="clear" w:color="auto" w:fill="FFFFFF"/>
        </w:rPr>
        <w:t>,</w:t>
      </w:r>
      <w:r>
        <w:rPr>
          <w:color w:val="333333"/>
          <w:sz w:val="24"/>
          <w:szCs w:val="24"/>
          <w:shd w:val="clear" w:color="auto" w:fill="FFFFFF"/>
        </w:rPr>
        <w:t xml:space="preserve"> ending at a rate of 20.7 per 100,000 in 2021. </w:t>
      </w:r>
    </w:p>
    <w:p w14:paraId="1EBBE5EC" w14:textId="0493EAB1" w:rsidR="00DB3FF4" w:rsidRDefault="0038619D" w:rsidP="00F0444A">
      <w:pPr>
        <w:spacing w:line="276" w:lineRule="auto"/>
        <w:rPr>
          <w:color w:val="333333"/>
          <w:sz w:val="24"/>
          <w:szCs w:val="24"/>
          <w:shd w:val="clear" w:color="auto" w:fill="FFFFFF"/>
        </w:rPr>
      </w:pPr>
      <w:r>
        <w:rPr>
          <w:noProof/>
        </w:rPr>
        <w:lastRenderedPageBreak/>
        <w:drawing>
          <wp:inline distT="0" distB="0" distL="0" distR="0" wp14:anchorId="399F4751" wp14:editId="1C06847B">
            <wp:extent cx="5943600" cy="3017520"/>
            <wp:effectExtent l="0" t="0" r="0" b="0"/>
            <wp:docPr id="242161151" name="Chart 1" descr="Figure 7B. Age-adjusted rate of non-fatal opioid overdose by race* and Hispanic ethnicity, MALE Figure 7B. Age-adjusted rate of non-fatal opioid overdose by race* and Hispanic ethnicity. Male Massachusetts residents, 2013-2021.&#10; A line chart with rates for white (green), Hispanic(blue), Black nH (orange) and Asian Pacific Islander nH (purple) shown by year. The rates for Asian are the lowest, Hispanic and Black nH increasing between 2013 and 20201and white nH increasing through 2016 and then decreasing to 2021 to a rate below Hispanic and Black nH.">
              <a:extLst xmlns:a="http://schemas.openxmlformats.org/drawingml/2006/main">
                <a:ext uri="{FF2B5EF4-FFF2-40B4-BE49-F238E27FC236}">
                  <a16:creationId xmlns:a16="http://schemas.microsoft.com/office/drawing/2014/main" id="{8FDA9A26-9F9D-4931-B444-8E60B37CB3E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19F9EC16" w14:textId="2889A331" w:rsidR="001D2A96" w:rsidRDefault="0094660F" w:rsidP="009F61F6">
      <w:pPr>
        <w:spacing w:line="276" w:lineRule="auto"/>
        <w:rPr>
          <w:color w:val="333333"/>
          <w:sz w:val="24"/>
          <w:szCs w:val="24"/>
        </w:rPr>
      </w:pPr>
      <w:r w:rsidRPr="00DC49A5">
        <w:rPr>
          <w:color w:val="333333"/>
          <w:sz w:val="24"/>
          <w:szCs w:val="24"/>
          <w:shd w:val="clear" w:color="auto" w:fill="FFFFFF"/>
        </w:rPr>
        <w:t xml:space="preserve">Figure 7C shows the </w:t>
      </w:r>
      <w:proofErr w:type="gramStart"/>
      <w:r w:rsidRPr="00DC49A5">
        <w:rPr>
          <w:color w:val="333333"/>
          <w:sz w:val="24"/>
          <w:szCs w:val="24"/>
          <w:shd w:val="clear" w:color="auto" w:fill="FFFFFF"/>
        </w:rPr>
        <w:t>age-adjusted</w:t>
      </w:r>
      <w:proofErr w:type="gramEnd"/>
      <w:r w:rsidRPr="00DC49A5">
        <w:rPr>
          <w:color w:val="333333"/>
          <w:sz w:val="24"/>
          <w:szCs w:val="24"/>
          <w:shd w:val="clear" w:color="auto" w:fill="FFFFFF"/>
        </w:rPr>
        <w:t xml:space="preserve"> NFO rate for female</w:t>
      </w:r>
      <w:r w:rsidRPr="00DC49A5" w:rsidDel="000600D3">
        <w:rPr>
          <w:color w:val="333333"/>
          <w:sz w:val="24"/>
          <w:szCs w:val="24"/>
          <w:shd w:val="clear" w:color="auto" w:fill="FFFFFF"/>
        </w:rPr>
        <w:t xml:space="preserve"> residents</w:t>
      </w:r>
      <w:r w:rsidRPr="00DC49A5">
        <w:rPr>
          <w:color w:val="333333"/>
          <w:sz w:val="24"/>
          <w:szCs w:val="24"/>
          <w:shd w:val="clear" w:color="auto" w:fill="FFFFFF"/>
        </w:rPr>
        <w:t xml:space="preserve"> by race and Hispanic ethnicity</w:t>
      </w:r>
      <w:r w:rsidRPr="00DC49A5" w:rsidDel="001A0ADC">
        <w:rPr>
          <w:color w:val="333333"/>
          <w:sz w:val="24"/>
          <w:szCs w:val="24"/>
          <w:shd w:val="clear" w:color="auto" w:fill="FFFFFF"/>
        </w:rPr>
        <w:t xml:space="preserve">. </w:t>
      </w:r>
      <w:r w:rsidR="0033118B">
        <w:rPr>
          <w:color w:val="333333"/>
          <w:sz w:val="24"/>
          <w:szCs w:val="24"/>
        </w:rPr>
        <w:t>T</w:t>
      </w:r>
      <w:r w:rsidR="0033118B" w:rsidRPr="00DC49A5">
        <w:rPr>
          <w:color w:val="333333"/>
          <w:sz w:val="24"/>
          <w:szCs w:val="24"/>
        </w:rPr>
        <w:t xml:space="preserve">he age-adjusted rate for white non-Hispanic female residents </w:t>
      </w:r>
      <w:r w:rsidR="003A4930">
        <w:rPr>
          <w:color w:val="333333"/>
          <w:sz w:val="24"/>
          <w:szCs w:val="24"/>
        </w:rPr>
        <w:t>was the highest of the groups</w:t>
      </w:r>
      <w:r w:rsidR="0029314F">
        <w:rPr>
          <w:color w:val="333333"/>
          <w:sz w:val="24"/>
          <w:szCs w:val="24"/>
        </w:rPr>
        <w:t xml:space="preserve">. The </w:t>
      </w:r>
      <w:r w:rsidR="00D87348">
        <w:rPr>
          <w:color w:val="333333"/>
          <w:sz w:val="24"/>
          <w:szCs w:val="24"/>
        </w:rPr>
        <w:t xml:space="preserve">rate for </w:t>
      </w:r>
      <w:r w:rsidR="0029314F">
        <w:rPr>
          <w:color w:val="333333"/>
          <w:sz w:val="24"/>
          <w:szCs w:val="24"/>
        </w:rPr>
        <w:t xml:space="preserve">white non-Hispanic </w:t>
      </w:r>
      <w:r w:rsidR="00D87348">
        <w:rPr>
          <w:color w:val="333333"/>
          <w:sz w:val="24"/>
          <w:szCs w:val="24"/>
        </w:rPr>
        <w:t>female residents</w:t>
      </w:r>
      <w:r w:rsidR="0029314F">
        <w:rPr>
          <w:color w:val="333333"/>
          <w:sz w:val="24"/>
          <w:szCs w:val="24"/>
        </w:rPr>
        <w:t xml:space="preserve"> </w:t>
      </w:r>
      <w:r w:rsidR="0033118B">
        <w:rPr>
          <w:color w:val="333333"/>
          <w:sz w:val="24"/>
          <w:szCs w:val="24"/>
        </w:rPr>
        <w:t xml:space="preserve">increased 95% from 2013 to 2016 </w:t>
      </w:r>
      <w:r w:rsidR="0033118B" w:rsidRPr="00DC49A5">
        <w:rPr>
          <w:color w:val="333333"/>
          <w:sz w:val="24"/>
          <w:szCs w:val="24"/>
        </w:rPr>
        <w:t xml:space="preserve">(from </w:t>
      </w:r>
      <w:r w:rsidR="0033118B">
        <w:rPr>
          <w:color w:val="333333"/>
          <w:sz w:val="24"/>
          <w:szCs w:val="24"/>
        </w:rPr>
        <w:t>98.6</w:t>
      </w:r>
      <w:r w:rsidR="0033118B" w:rsidRPr="00DC49A5">
        <w:rPr>
          <w:color w:val="333333"/>
          <w:sz w:val="24"/>
          <w:szCs w:val="24"/>
        </w:rPr>
        <w:t xml:space="preserve"> to 1</w:t>
      </w:r>
      <w:r w:rsidR="0033118B">
        <w:rPr>
          <w:color w:val="333333"/>
          <w:sz w:val="24"/>
          <w:szCs w:val="24"/>
        </w:rPr>
        <w:t>92.2</w:t>
      </w:r>
      <w:r w:rsidR="0033118B" w:rsidRPr="00DC49A5">
        <w:rPr>
          <w:color w:val="333333"/>
          <w:sz w:val="24"/>
          <w:szCs w:val="24"/>
        </w:rPr>
        <w:t xml:space="preserve"> per 100,000), </w:t>
      </w:r>
      <w:r w:rsidR="0033118B">
        <w:rPr>
          <w:color w:val="333333"/>
          <w:sz w:val="24"/>
          <w:szCs w:val="24"/>
        </w:rPr>
        <w:t xml:space="preserve">and then decreased steadily 38% to 2021. The </w:t>
      </w:r>
      <w:r w:rsidR="0033118B" w:rsidRPr="00DC49A5">
        <w:rPr>
          <w:color w:val="333333"/>
          <w:sz w:val="24"/>
          <w:szCs w:val="24"/>
        </w:rPr>
        <w:t xml:space="preserve">rate for Hispanic female residents </w:t>
      </w:r>
      <w:r w:rsidR="0033118B">
        <w:rPr>
          <w:color w:val="333333"/>
          <w:sz w:val="24"/>
          <w:szCs w:val="24"/>
        </w:rPr>
        <w:t>increased</w:t>
      </w:r>
      <w:r w:rsidR="0033118B" w:rsidRPr="00DC49A5">
        <w:rPr>
          <w:color w:val="333333"/>
          <w:sz w:val="24"/>
          <w:szCs w:val="24"/>
        </w:rPr>
        <w:t xml:space="preserve"> 12% (from </w:t>
      </w:r>
      <w:r w:rsidR="0033118B">
        <w:rPr>
          <w:color w:val="333333"/>
          <w:sz w:val="24"/>
          <w:szCs w:val="24"/>
        </w:rPr>
        <w:t xml:space="preserve">53.8 </w:t>
      </w:r>
      <w:r w:rsidR="0033118B" w:rsidRPr="00DC49A5">
        <w:rPr>
          <w:color w:val="333333"/>
          <w:sz w:val="24"/>
          <w:szCs w:val="24"/>
        </w:rPr>
        <w:t xml:space="preserve">to </w:t>
      </w:r>
      <w:r w:rsidR="0033118B">
        <w:rPr>
          <w:color w:val="333333"/>
          <w:sz w:val="24"/>
          <w:szCs w:val="24"/>
        </w:rPr>
        <w:t>8</w:t>
      </w:r>
      <w:r w:rsidR="00477168">
        <w:rPr>
          <w:color w:val="333333"/>
          <w:sz w:val="24"/>
          <w:szCs w:val="24"/>
        </w:rPr>
        <w:t>7</w:t>
      </w:r>
      <w:r w:rsidR="742C402B">
        <w:rPr>
          <w:color w:val="333333"/>
          <w:sz w:val="24"/>
          <w:szCs w:val="24"/>
        </w:rPr>
        <w:t>.</w:t>
      </w:r>
      <w:r w:rsidR="0033118B">
        <w:rPr>
          <w:color w:val="333333"/>
          <w:sz w:val="24"/>
          <w:szCs w:val="24"/>
        </w:rPr>
        <w:t>5</w:t>
      </w:r>
      <w:r w:rsidR="0033118B" w:rsidRPr="00DC49A5">
        <w:rPr>
          <w:color w:val="333333"/>
          <w:sz w:val="24"/>
          <w:szCs w:val="24"/>
        </w:rPr>
        <w:t xml:space="preserve"> per 100,000)</w:t>
      </w:r>
      <w:r w:rsidR="0033118B">
        <w:rPr>
          <w:color w:val="333333"/>
          <w:sz w:val="24"/>
          <w:szCs w:val="24"/>
        </w:rPr>
        <w:t xml:space="preserve"> between 2013 and 2016, and then decreased 5% to </w:t>
      </w:r>
      <w:r w:rsidR="00EF2A5D">
        <w:rPr>
          <w:color w:val="333333"/>
          <w:sz w:val="24"/>
          <w:szCs w:val="24"/>
        </w:rPr>
        <w:t>82.2</w:t>
      </w:r>
      <w:r w:rsidR="0075240E">
        <w:rPr>
          <w:color w:val="333333"/>
          <w:sz w:val="24"/>
          <w:szCs w:val="24"/>
        </w:rPr>
        <w:t xml:space="preserve"> per 100,000 in </w:t>
      </w:r>
      <w:r w:rsidR="0033118B">
        <w:rPr>
          <w:color w:val="333333"/>
          <w:sz w:val="24"/>
          <w:szCs w:val="24"/>
        </w:rPr>
        <w:t>2021</w:t>
      </w:r>
      <w:r w:rsidR="00451E67">
        <w:rPr>
          <w:color w:val="333333"/>
          <w:sz w:val="24"/>
          <w:szCs w:val="24"/>
        </w:rPr>
        <w:t>, ending as the highest rate of the groups</w:t>
      </w:r>
      <w:r w:rsidR="0033118B">
        <w:rPr>
          <w:color w:val="333333"/>
          <w:sz w:val="24"/>
          <w:szCs w:val="24"/>
        </w:rPr>
        <w:t xml:space="preserve">. </w:t>
      </w:r>
      <w:r w:rsidR="00F228EB" w:rsidRPr="1E7358A3">
        <w:rPr>
          <w:color w:val="333333"/>
          <w:sz w:val="24"/>
          <w:szCs w:val="24"/>
        </w:rPr>
        <w:t>From 201</w:t>
      </w:r>
      <w:r w:rsidR="00B77646">
        <w:rPr>
          <w:color w:val="333333"/>
          <w:sz w:val="24"/>
          <w:szCs w:val="24"/>
        </w:rPr>
        <w:t>3</w:t>
      </w:r>
      <w:r w:rsidR="00F228EB" w:rsidRPr="1E7358A3">
        <w:rPr>
          <w:color w:val="333333"/>
          <w:sz w:val="24"/>
          <w:szCs w:val="24"/>
        </w:rPr>
        <w:t xml:space="preserve"> through </w:t>
      </w:r>
      <w:r w:rsidR="00893EF6">
        <w:rPr>
          <w:color w:val="333333"/>
          <w:sz w:val="24"/>
          <w:szCs w:val="24"/>
        </w:rPr>
        <w:t>20</w:t>
      </w:r>
      <w:r w:rsidR="00B77646">
        <w:rPr>
          <w:color w:val="333333"/>
          <w:sz w:val="24"/>
          <w:szCs w:val="24"/>
        </w:rPr>
        <w:t>1</w:t>
      </w:r>
      <w:r w:rsidR="005444ED">
        <w:rPr>
          <w:color w:val="333333"/>
          <w:sz w:val="24"/>
          <w:szCs w:val="24"/>
        </w:rPr>
        <w:t>9</w:t>
      </w:r>
      <w:r w:rsidR="00F228EB" w:rsidRPr="1E7358A3">
        <w:rPr>
          <w:color w:val="333333"/>
          <w:sz w:val="24"/>
          <w:szCs w:val="24"/>
        </w:rPr>
        <w:t>, t</w:t>
      </w:r>
      <w:r w:rsidRPr="00DC49A5">
        <w:rPr>
          <w:color w:val="333333"/>
          <w:sz w:val="24"/>
          <w:szCs w:val="24"/>
          <w:shd w:val="clear" w:color="auto" w:fill="FFFFFF"/>
        </w:rPr>
        <w:t xml:space="preserve">he </w:t>
      </w:r>
      <w:proofErr w:type="gramStart"/>
      <w:r w:rsidRPr="00DC49A5">
        <w:rPr>
          <w:color w:val="333333"/>
          <w:sz w:val="24"/>
          <w:szCs w:val="24"/>
          <w:shd w:val="clear" w:color="auto" w:fill="FFFFFF"/>
        </w:rPr>
        <w:t>age-adjusted</w:t>
      </w:r>
      <w:proofErr w:type="gramEnd"/>
      <w:r w:rsidRPr="00DC49A5" w:rsidDel="001A0ADC">
        <w:rPr>
          <w:color w:val="333333"/>
          <w:sz w:val="24"/>
          <w:szCs w:val="24"/>
          <w:shd w:val="clear" w:color="auto" w:fill="FFFFFF"/>
        </w:rPr>
        <w:t xml:space="preserve"> </w:t>
      </w:r>
      <w:r w:rsidRPr="00DC49A5">
        <w:rPr>
          <w:color w:val="333333"/>
          <w:sz w:val="24"/>
          <w:szCs w:val="24"/>
          <w:shd w:val="clear" w:color="auto" w:fill="FFFFFF"/>
        </w:rPr>
        <w:t>NFO rate for Black non-Hispanic female residents</w:t>
      </w:r>
      <w:r w:rsidRPr="00DC49A5" w:rsidDel="001A0ADC">
        <w:rPr>
          <w:color w:val="333333"/>
          <w:sz w:val="24"/>
          <w:szCs w:val="24"/>
          <w:shd w:val="clear" w:color="auto" w:fill="FFFFFF"/>
        </w:rPr>
        <w:t xml:space="preserve"> increased </w:t>
      </w:r>
      <w:r w:rsidR="00F7416C">
        <w:rPr>
          <w:color w:val="333333"/>
          <w:sz w:val="24"/>
          <w:szCs w:val="24"/>
          <w:shd w:val="clear" w:color="auto" w:fill="FFFFFF"/>
        </w:rPr>
        <w:t xml:space="preserve">by </w:t>
      </w:r>
      <w:r w:rsidR="008237F9">
        <w:rPr>
          <w:color w:val="333333"/>
          <w:sz w:val="24"/>
          <w:szCs w:val="24"/>
          <w:shd w:val="clear" w:color="auto" w:fill="FFFFFF"/>
        </w:rPr>
        <w:t>1</w:t>
      </w:r>
      <w:r w:rsidR="00F846A5">
        <w:rPr>
          <w:color w:val="333333"/>
          <w:sz w:val="24"/>
          <w:szCs w:val="24"/>
          <w:shd w:val="clear" w:color="auto" w:fill="FFFFFF"/>
        </w:rPr>
        <w:t>42</w:t>
      </w:r>
      <w:r w:rsidRPr="00DC49A5" w:rsidDel="001A0ADC">
        <w:rPr>
          <w:color w:val="333333"/>
          <w:sz w:val="24"/>
          <w:szCs w:val="24"/>
          <w:shd w:val="clear" w:color="auto" w:fill="FFFFFF"/>
        </w:rPr>
        <w:t xml:space="preserve">% (from </w:t>
      </w:r>
      <w:r w:rsidR="00642086">
        <w:rPr>
          <w:color w:val="333333"/>
          <w:sz w:val="24"/>
          <w:szCs w:val="24"/>
          <w:shd w:val="clear" w:color="auto" w:fill="FFFFFF"/>
        </w:rPr>
        <w:t>43.5</w:t>
      </w:r>
      <w:r w:rsidRPr="00DC49A5" w:rsidDel="001A0ADC">
        <w:rPr>
          <w:color w:val="333333"/>
          <w:sz w:val="24"/>
          <w:szCs w:val="24"/>
          <w:shd w:val="clear" w:color="auto" w:fill="FFFFFF"/>
        </w:rPr>
        <w:t xml:space="preserve"> to </w:t>
      </w:r>
      <w:r w:rsidR="005444ED">
        <w:rPr>
          <w:color w:val="333333"/>
          <w:sz w:val="24"/>
          <w:szCs w:val="24"/>
          <w:shd w:val="clear" w:color="auto" w:fill="FFFFFF"/>
        </w:rPr>
        <w:t>105.2</w:t>
      </w:r>
      <w:r w:rsidRPr="00DC49A5" w:rsidDel="001A0ADC">
        <w:rPr>
          <w:color w:val="333333"/>
          <w:sz w:val="24"/>
          <w:szCs w:val="24"/>
          <w:shd w:val="clear" w:color="auto" w:fill="FFFFFF"/>
        </w:rPr>
        <w:t xml:space="preserve"> per 100,000)</w:t>
      </w:r>
      <w:r w:rsidR="00BA2D74">
        <w:rPr>
          <w:color w:val="333333"/>
          <w:sz w:val="24"/>
          <w:szCs w:val="24"/>
          <w:shd w:val="clear" w:color="auto" w:fill="FFFFFF"/>
        </w:rPr>
        <w:t xml:space="preserve"> and then stabilized until 2021. Notably the trend included </w:t>
      </w:r>
      <w:r w:rsidR="00732560">
        <w:rPr>
          <w:color w:val="333333"/>
          <w:sz w:val="24"/>
          <w:szCs w:val="24"/>
          <w:shd w:val="clear" w:color="auto" w:fill="FFFFFF"/>
        </w:rPr>
        <w:t xml:space="preserve">two </w:t>
      </w:r>
      <w:r w:rsidR="00BA2D74">
        <w:rPr>
          <w:color w:val="333333"/>
          <w:sz w:val="24"/>
          <w:szCs w:val="24"/>
          <w:shd w:val="clear" w:color="auto" w:fill="FFFFFF"/>
        </w:rPr>
        <w:t xml:space="preserve">years with </w:t>
      </w:r>
      <w:r w:rsidR="00732560">
        <w:rPr>
          <w:color w:val="333333"/>
          <w:sz w:val="24"/>
          <w:szCs w:val="24"/>
          <w:shd w:val="clear" w:color="auto" w:fill="FFFFFF"/>
        </w:rPr>
        <w:t>decrea</w:t>
      </w:r>
      <w:r w:rsidR="003A4930">
        <w:rPr>
          <w:color w:val="333333"/>
          <w:sz w:val="24"/>
          <w:szCs w:val="24"/>
          <w:shd w:val="clear" w:color="auto" w:fill="FFFFFF"/>
        </w:rPr>
        <w:t>sing rates</w:t>
      </w:r>
      <w:r w:rsidR="00BA2D74">
        <w:rPr>
          <w:color w:val="333333"/>
          <w:sz w:val="24"/>
          <w:szCs w:val="24"/>
          <w:shd w:val="clear" w:color="auto" w:fill="FFFFFF"/>
        </w:rPr>
        <w:t xml:space="preserve">: 6% from </w:t>
      </w:r>
      <w:r w:rsidR="00732560">
        <w:rPr>
          <w:color w:val="333333"/>
          <w:sz w:val="24"/>
          <w:szCs w:val="24"/>
          <w:shd w:val="clear" w:color="auto" w:fill="FFFFFF"/>
        </w:rPr>
        <w:t>2015 to 2016</w:t>
      </w:r>
      <w:r w:rsidR="008004BB">
        <w:rPr>
          <w:color w:val="333333"/>
          <w:sz w:val="24"/>
          <w:szCs w:val="24"/>
          <w:shd w:val="clear" w:color="auto" w:fill="FFFFFF"/>
        </w:rPr>
        <w:t>,</w:t>
      </w:r>
      <w:r w:rsidR="00732560">
        <w:rPr>
          <w:color w:val="333333"/>
          <w:sz w:val="24"/>
          <w:szCs w:val="24"/>
          <w:shd w:val="clear" w:color="auto" w:fill="FFFFFF"/>
        </w:rPr>
        <w:t xml:space="preserve"> </w:t>
      </w:r>
      <w:r w:rsidR="002E117A">
        <w:rPr>
          <w:color w:val="333333"/>
          <w:sz w:val="24"/>
          <w:szCs w:val="24"/>
          <w:shd w:val="clear" w:color="auto" w:fill="FFFFFF"/>
        </w:rPr>
        <w:t xml:space="preserve">and </w:t>
      </w:r>
      <w:r w:rsidR="00BA2D74">
        <w:rPr>
          <w:color w:val="333333"/>
          <w:sz w:val="24"/>
          <w:szCs w:val="24"/>
          <w:shd w:val="clear" w:color="auto" w:fill="FFFFFF"/>
        </w:rPr>
        <w:t xml:space="preserve">10% </w:t>
      </w:r>
      <w:r w:rsidR="002E117A">
        <w:rPr>
          <w:color w:val="333333"/>
          <w:sz w:val="24"/>
          <w:szCs w:val="24"/>
          <w:shd w:val="clear" w:color="auto" w:fill="FFFFFF"/>
        </w:rPr>
        <w:t>from 2017 to 2018</w:t>
      </w:r>
      <w:r w:rsidR="008F3AA5">
        <w:rPr>
          <w:color w:val="333333"/>
          <w:sz w:val="24"/>
          <w:szCs w:val="24"/>
          <w:shd w:val="clear" w:color="auto" w:fill="FFFFFF"/>
        </w:rPr>
        <w:t xml:space="preserve">. </w:t>
      </w:r>
      <w:r w:rsidR="008C3D7E">
        <w:rPr>
          <w:color w:val="333333"/>
          <w:sz w:val="24"/>
          <w:szCs w:val="24"/>
          <w:shd w:val="clear" w:color="auto" w:fill="FFFFFF"/>
        </w:rPr>
        <w:t xml:space="preserve">While experiencing the lowest rates of the four groups, </w:t>
      </w:r>
      <w:r w:rsidR="008C3D7E">
        <w:rPr>
          <w:color w:val="333333"/>
          <w:sz w:val="24"/>
          <w:szCs w:val="24"/>
        </w:rPr>
        <w:t>t</w:t>
      </w:r>
      <w:r w:rsidR="00833A32" w:rsidRPr="1E7358A3">
        <w:rPr>
          <w:color w:val="333333"/>
          <w:sz w:val="24"/>
          <w:szCs w:val="24"/>
        </w:rPr>
        <w:t>he</w:t>
      </w:r>
      <w:r w:rsidRPr="00DC49A5">
        <w:rPr>
          <w:color w:val="333333"/>
          <w:sz w:val="24"/>
          <w:szCs w:val="24"/>
          <w:shd w:val="clear" w:color="auto" w:fill="FFFFFF"/>
        </w:rPr>
        <w:t xml:space="preserve"> </w:t>
      </w:r>
      <w:r w:rsidRPr="00DC49A5">
        <w:rPr>
          <w:color w:val="333333"/>
          <w:sz w:val="24"/>
          <w:szCs w:val="24"/>
        </w:rPr>
        <w:t xml:space="preserve">age-adjusted rate for Asian/Pacific Islander female residents </w:t>
      </w:r>
      <w:r w:rsidR="00A07B4C">
        <w:rPr>
          <w:color w:val="333333"/>
          <w:sz w:val="24"/>
          <w:szCs w:val="24"/>
        </w:rPr>
        <w:t xml:space="preserve">increased </w:t>
      </w:r>
      <w:r w:rsidR="009C0F78">
        <w:rPr>
          <w:color w:val="333333"/>
          <w:sz w:val="24"/>
          <w:szCs w:val="24"/>
        </w:rPr>
        <w:t>253</w:t>
      </w:r>
      <w:r w:rsidR="000607E9">
        <w:rPr>
          <w:color w:val="333333"/>
          <w:sz w:val="24"/>
          <w:szCs w:val="24"/>
        </w:rPr>
        <w:t xml:space="preserve">% </w:t>
      </w:r>
      <w:r w:rsidR="008C3D7E">
        <w:rPr>
          <w:color w:val="333333"/>
          <w:sz w:val="24"/>
          <w:szCs w:val="24"/>
        </w:rPr>
        <w:t>from 2013</w:t>
      </w:r>
      <w:r w:rsidR="009C0F78">
        <w:rPr>
          <w:color w:val="333333"/>
          <w:sz w:val="24"/>
          <w:szCs w:val="24"/>
        </w:rPr>
        <w:t xml:space="preserve"> to </w:t>
      </w:r>
      <w:r w:rsidR="008C3D7E">
        <w:rPr>
          <w:color w:val="333333"/>
          <w:sz w:val="24"/>
          <w:szCs w:val="24"/>
        </w:rPr>
        <w:t>201</w:t>
      </w:r>
      <w:r w:rsidR="00683BAE">
        <w:rPr>
          <w:color w:val="333333"/>
          <w:sz w:val="24"/>
          <w:szCs w:val="24"/>
        </w:rPr>
        <w:t>9</w:t>
      </w:r>
      <w:r w:rsidR="00D8187E">
        <w:rPr>
          <w:color w:val="333333"/>
          <w:sz w:val="24"/>
          <w:szCs w:val="24"/>
        </w:rPr>
        <w:t xml:space="preserve"> </w:t>
      </w:r>
      <w:r w:rsidRPr="00DC49A5">
        <w:rPr>
          <w:color w:val="333333"/>
          <w:sz w:val="24"/>
          <w:szCs w:val="24"/>
        </w:rPr>
        <w:t xml:space="preserve">(from </w:t>
      </w:r>
      <w:r w:rsidR="008C3D7E">
        <w:rPr>
          <w:color w:val="333333"/>
          <w:sz w:val="24"/>
          <w:szCs w:val="24"/>
        </w:rPr>
        <w:t>4</w:t>
      </w:r>
      <w:r w:rsidR="00D276BD">
        <w:rPr>
          <w:color w:val="333333"/>
          <w:sz w:val="24"/>
          <w:szCs w:val="24"/>
        </w:rPr>
        <w:t>.8</w:t>
      </w:r>
      <w:r w:rsidRPr="00DC49A5">
        <w:rPr>
          <w:color w:val="333333"/>
          <w:sz w:val="24"/>
          <w:szCs w:val="24"/>
        </w:rPr>
        <w:t xml:space="preserve"> to </w:t>
      </w:r>
      <w:r w:rsidR="008C3D7E">
        <w:rPr>
          <w:color w:val="333333"/>
          <w:sz w:val="24"/>
          <w:szCs w:val="24"/>
        </w:rPr>
        <w:t>1</w:t>
      </w:r>
      <w:r w:rsidR="00683BAE">
        <w:rPr>
          <w:color w:val="333333"/>
          <w:sz w:val="24"/>
          <w:szCs w:val="24"/>
        </w:rPr>
        <w:t>6</w:t>
      </w:r>
      <w:r w:rsidR="008C3D7E">
        <w:rPr>
          <w:color w:val="333333"/>
          <w:sz w:val="24"/>
          <w:szCs w:val="24"/>
        </w:rPr>
        <w:t>.</w:t>
      </w:r>
      <w:r w:rsidR="00683BAE">
        <w:rPr>
          <w:color w:val="333333"/>
          <w:sz w:val="24"/>
          <w:szCs w:val="24"/>
        </w:rPr>
        <w:t>9</w:t>
      </w:r>
      <w:r w:rsidRPr="00DC49A5">
        <w:rPr>
          <w:color w:val="333333"/>
          <w:sz w:val="24"/>
          <w:szCs w:val="24"/>
        </w:rPr>
        <w:t xml:space="preserve"> per 100,000)</w:t>
      </w:r>
      <w:r w:rsidR="00481EAE">
        <w:rPr>
          <w:color w:val="333333"/>
          <w:sz w:val="24"/>
          <w:szCs w:val="24"/>
        </w:rPr>
        <w:t xml:space="preserve">, then decreased </w:t>
      </w:r>
      <w:r w:rsidR="00410D73">
        <w:rPr>
          <w:color w:val="333333"/>
          <w:sz w:val="24"/>
          <w:szCs w:val="24"/>
        </w:rPr>
        <w:t>50</w:t>
      </w:r>
      <w:r w:rsidR="00DF2881">
        <w:rPr>
          <w:color w:val="333333"/>
          <w:sz w:val="24"/>
          <w:szCs w:val="24"/>
        </w:rPr>
        <w:t>% from 201</w:t>
      </w:r>
      <w:r w:rsidR="00410D73">
        <w:rPr>
          <w:color w:val="333333"/>
          <w:sz w:val="24"/>
          <w:szCs w:val="24"/>
        </w:rPr>
        <w:t>9</w:t>
      </w:r>
      <w:r w:rsidR="00847E7D">
        <w:rPr>
          <w:color w:val="333333"/>
          <w:sz w:val="24"/>
          <w:szCs w:val="24"/>
        </w:rPr>
        <w:t xml:space="preserve"> </w:t>
      </w:r>
      <w:r w:rsidR="00DF2881">
        <w:rPr>
          <w:color w:val="333333"/>
          <w:sz w:val="24"/>
          <w:szCs w:val="24"/>
        </w:rPr>
        <w:t>to</w:t>
      </w:r>
      <w:r w:rsidR="009F2439">
        <w:rPr>
          <w:color w:val="333333"/>
          <w:sz w:val="24"/>
          <w:szCs w:val="24"/>
        </w:rPr>
        <w:t xml:space="preserve"> </w:t>
      </w:r>
      <w:r w:rsidR="00DF2881">
        <w:rPr>
          <w:color w:val="333333"/>
          <w:sz w:val="24"/>
          <w:szCs w:val="24"/>
        </w:rPr>
        <w:t>202</w:t>
      </w:r>
      <w:r w:rsidR="00410D73">
        <w:rPr>
          <w:color w:val="333333"/>
          <w:sz w:val="24"/>
          <w:szCs w:val="24"/>
        </w:rPr>
        <w:t>1</w:t>
      </w:r>
      <w:r w:rsidR="00DF2881">
        <w:rPr>
          <w:color w:val="333333"/>
          <w:sz w:val="24"/>
          <w:szCs w:val="24"/>
        </w:rPr>
        <w:t xml:space="preserve"> (to </w:t>
      </w:r>
      <w:r w:rsidR="00C66DD5">
        <w:rPr>
          <w:color w:val="333333"/>
          <w:sz w:val="24"/>
          <w:szCs w:val="24"/>
        </w:rPr>
        <w:t>8</w:t>
      </w:r>
      <w:r w:rsidR="00DF2881">
        <w:rPr>
          <w:color w:val="333333"/>
          <w:sz w:val="24"/>
          <w:szCs w:val="24"/>
        </w:rPr>
        <w:t>.</w:t>
      </w:r>
      <w:r w:rsidR="00C66DD5">
        <w:rPr>
          <w:color w:val="333333"/>
          <w:sz w:val="24"/>
          <w:szCs w:val="24"/>
        </w:rPr>
        <w:t>4</w:t>
      </w:r>
      <w:r w:rsidR="00DF2881">
        <w:rPr>
          <w:color w:val="333333"/>
          <w:sz w:val="24"/>
          <w:szCs w:val="24"/>
        </w:rPr>
        <w:t xml:space="preserve"> per 100,000)</w:t>
      </w:r>
      <w:r w:rsidR="00877C56">
        <w:rPr>
          <w:color w:val="333333"/>
          <w:sz w:val="24"/>
          <w:szCs w:val="24"/>
        </w:rPr>
        <w:t xml:space="preserve">. </w:t>
      </w:r>
    </w:p>
    <w:p w14:paraId="0F746427" w14:textId="6C14DA7D" w:rsidR="00372349" w:rsidRDefault="00A95609" w:rsidP="009F61F6">
      <w:pPr>
        <w:spacing w:line="276" w:lineRule="auto"/>
        <w:rPr>
          <w:color w:val="333333"/>
          <w:sz w:val="24"/>
          <w:szCs w:val="24"/>
        </w:rPr>
      </w:pPr>
      <w:r>
        <w:rPr>
          <w:noProof/>
        </w:rPr>
        <w:lastRenderedPageBreak/>
        <w:drawing>
          <wp:inline distT="0" distB="0" distL="0" distR="0" wp14:anchorId="770ED2B6" wp14:editId="067ACA9C">
            <wp:extent cx="5943600" cy="3017520"/>
            <wp:effectExtent l="0" t="0" r="0" b="0"/>
            <wp:docPr id="428061030" name="Chart 1" descr="Figure 7C. Age-adjusted rate of non-fatal opioid overdose by race* and Hispanic ethnicity, FEMALE  Massachusetts residents, 2013-2021. A line chart with rates for white (green), Hispanic(blue), Black nH (orange) and Asian Pacific Islander nH (purple) shown by year. The rates for Asian are the lowest, Hispanic and Black nH increasing between 2013 and 2020 and white nH increasing through 2016 and then decreasing to 2021. All rates are lower than the rates for males .">
              <a:extLst xmlns:a="http://schemas.openxmlformats.org/drawingml/2006/main">
                <a:ext uri="{FF2B5EF4-FFF2-40B4-BE49-F238E27FC236}">
                  <a16:creationId xmlns:a16="http://schemas.microsoft.com/office/drawing/2014/main" id="{C15614AC-3D9A-4AAF-A247-3109CCCB499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220B8B36" w14:textId="2868D7F0" w:rsidR="00BF749D" w:rsidRPr="00DC49A5" w:rsidRDefault="00BF749D" w:rsidP="009F61F6">
      <w:pPr>
        <w:spacing w:line="276" w:lineRule="auto"/>
        <w:rPr>
          <w:color w:val="333333"/>
          <w:sz w:val="24"/>
          <w:szCs w:val="24"/>
          <w:shd w:val="clear" w:color="auto" w:fill="FFFFFF"/>
        </w:rPr>
      </w:pPr>
      <w:r w:rsidRPr="00DC49A5">
        <w:rPr>
          <w:color w:val="333333"/>
          <w:sz w:val="24"/>
          <w:szCs w:val="24"/>
        </w:rPr>
        <w:t>Figure 8</w:t>
      </w:r>
      <w:r w:rsidRPr="00DC49A5">
        <w:rPr>
          <w:color w:val="333333"/>
          <w:sz w:val="24"/>
          <w:szCs w:val="24"/>
          <w:shd w:val="clear" w:color="auto" w:fill="FFFFFF"/>
        </w:rPr>
        <w:t xml:space="preserve"> shows the </w:t>
      </w:r>
      <w:proofErr w:type="gramStart"/>
      <w:r w:rsidRPr="00DC49A5">
        <w:rPr>
          <w:color w:val="333333"/>
          <w:sz w:val="24"/>
          <w:szCs w:val="24"/>
          <w:shd w:val="clear" w:color="auto" w:fill="FFFFFF"/>
        </w:rPr>
        <w:t>age-adjusted</w:t>
      </w:r>
      <w:proofErr w:type="gramEnd"/>
      <w:r w:rsidRPr="00DC49A5">
        <w:rPr>
          <w:color w:val="333333"/>
          <w:sz w:val="24"/>
          <w:szCs w:val="24"/>
          <w:shd w:val="clear" w:color="auto" w:fill="FFFFFF"/>
        </w:rPr>
        <w:t xml:space="preserve"> NFO rate by year and MA county of residence. Characterizing the NFOs by the county of residence highlights spatial differences across the state. Ten of the fourteen counties in M</w:t>
      </w:r>
      <w:r w:rsidR="00952416" w:rsidRPr="00DC49A5">
        <w:rPr>
          <w:color w:val="333333"/>
          <w:sz w:val="24"/>
          <w:szCs w:val="24"/>
          <w:shd w:val="clear" w:color="auto" w:fill="FFFFFF"/>
        </w:rPr>
        <w:t>A</w:t>
      </w:r>
      <w:r w:rsidRPr="00DC49A5">
        <w:rPr>
          <w:color w:val="333333"/>
          <w:sz w:val="24"/>
          <w:szCs w:val="24"/>
          <w:shd w:val="clear" w:color="auto" w:fill="FFFFFF"/>
        </w:rPr>
        <w:t xml:space="preserve"> had decreasing </w:t>
      </w:r>
      <w:proofErr w:type="gramStart"/>
      <w:r w:rsidRPr="00DC49A5">
        <w:rPr>
          <w:color w:val="333333"/>
          <w:sz w:val="24"/>
          <w:szCs w:val="24"/>
          <w:shd w:val="clear" w:color="auto" w:fill="FFFFFF"/>
        </w:rPr>
        <w:t>age-adjusted</w:t>
      </w:r>
      <w:proofErr w:type="gramEnd"/>
      <w:r w:rsidRPr="00DC49A5">
        <w:rPr>
          <w:color w:val="333333"/>
          <w:sz w:val="24"/>
          <w:szCs w:val="24"/>
        </w:rPr>
        <w:t xml:space="preserve"> NFO rates since the peak in 2017. Four western M</w:t>
      </w:r>
      <w:r w:rsidR="00952416" w:rsidRPr="00DC49A5">
        <w:rPr>
          <w:color w:val="333333"/>
          <w:sz w:val="24"/>
          <w:szCs w:val="24"/>
        </w:rPr>
        <w:t xml:space="preserve">A </w:t>
      </w:r>
      <w:r w:rsidRPr="00DC49A5">
        <w:rPr>
          <w:color w:val="333333"/>
          <w:sz w:val="24"/>
          <w:szCs w:val="24"/>
        </w:rPr>
        <w:t xml:space="preserve">counties saw large increases from 2017 to </w:t>
      </w:r>
      <w:r w:rsidR="00893EF6">
        <w:rPr>
          <w:color w:val="333333"/>
          <w:sz w:val="24"/>
          <w:szCs w:val="24"/>
        </w:rPr>
        <w:t>202</w:t>
      </w:r>
      <w:r w:rsidR="006F7428">
        <w:rPr>
          <w:color w:val="333333"/>
          <w:sz w:val="24"/>
          <w:szCs w:val="24"/>
        </w:rPr>
        <w:t>0</w:t>
      </w:r>
      <w:r w:rsidR="005B09C9">
        <w:rPr>
          <w:color w:val="333333"/>
          <w:sz w:val="24"/>
          <w:szCs w:val="24"/>
        </w:rPr>
        <w:t>, and then leveled or decreased between 2020 and 2021.</w:t>
      </w:r>
      <w:r w:rsidRPr="00DC49A5">
        <w:rPr>
          <w:color w:val="333333"/>
          <w:sz w:val="24"/>
          <w:szCs w:val="24"/>
        </w:rPr>
        <w:t xml:space="preserve"> </w:t>
      </w:r>
      <w:r w:rsidR="00820BD3">
        <w:rPr>
          <w:color w:val="333333"/>
          <w:sz w:val="24"/>
          <w:szCs w:val="24"/>
        </w:rPr>
        <w:t xml:space="preserve">Specifically, </w:t>
      </w:r>
      <w:r w:rsidR="00642E35">
        <w:rPr>
          <w:color w:val="333333"/>
          <w:sz w:val="24"/>
          <w:szCs w:val="24"/>
        </w:rPr>
        <w:t xml:space="preserve">the rate in </w:t>
      </w:r>
      <w:r w:rsidRPr="00DC49A5">
        <w:rPr>
          <w:color w:val="333333"/>
          <w:sz w:val="24"/>
          <w:szCs w:val="24"/>
        </w:rPr>
        <w:t xml:space="preserve">Berkshire </w:t>
      </w:r>
      <w:r w:rsidR="00642E35">
        <w:rPr>
          <w:color w:val="333333"/>
          <w:sz w:val="24"/>
          <w:szCs w:val="24"/>
        </w:rPr>
        <w:t xml:space="preserve">County </w:t>
      </w:r>
      <w:r w:rsidRPr="00DC49A5">
        <w:rPr>
          <w:color w:val="333333"/>
          <w:sz w:val="24"/>
          <w:szCs w:val="24"/>
        </w:rPr>
        <w:t xml:space="preserve">increased 57% </w:t>
      </w:r>
      <w:r w:rsidR="6DFD2B9F" w:rsidRPr="00DC49A5">
        <w:rPr>
          <w:color w:val="333333"/>
          <w:sz w:val="24"/>
          <w:szCs w:val="24"/>
        </w:rPr>
        <w:t xml:space="preserve">through 2020 </w:t>
      </w:r>
      <w:r w:rsidR="784075B8" w:rsidRPr="00DC49A5">
        <w:rPr>
          <w:color w:val="333333"/>
          <w:sz w:val="24"/>
          <w:szCs w:val="24"/>
        </w:rPr>
        <w:t>(</w:t>
      </w:r>
      <w:r w:rsidRPr="00DC49A5">
        <w:rPr>
          <w:color w:val="333333"/>
          <w:sz w:val="24"/>
          <w:szCs w:val="24"/>
        </w:rPr>
        <w:t>from 291.1 to 456.1 per 100,000</w:t>
      </w:r>
      <w:r w:rsidR="1CBA9A7E" w:rsidRPr="00DC49A5">
        <w:rPr>
          <w:color w:val="333333"/>
          <w:sz w:val="24"/>
          <w:szCs w:val="24"/>
        </w:rPr>
        <w:t>)</w:t>
      </w:r>
      <w:r w:rsidR="3B02F735" w:rsidRPr="00DC49A5">
        <w:rPr>
          <w:color w:val="333333"/>
          <w:sz w:val="24"/>
          <w:szCs w:val="24"/>
        </w:rPr>
        <w:t>, then declined</w:t>
      </w:r>
      <w:r w:rsidR="464DEC3C" w:rsidRPr="00DC49A5">
        <w:rPr>
          <w:color w:val="333333"/>
          <w:sz w:val="24"/>
          <w:szCs w:val="24"/>
        </w:rPr>
        <w:t xml:space="preserve"> 27%</w:t>
      </w:r>
      <w:r w:rsidR="007F4883">
        <w:rPr>
          <w:color w:val="333333"/>
          <w:sz w:val="24"/>
          <w:szCs w:val="24"/>
        </w:rPr>
        <w:t xml:space="preserve">. The rate in </w:t>
      </w:r>
      <w:r w:rsidRPr="00DC49A5">
        <w:rPr>
          <w:color w:val="333333"/>
          <w:sz w:val="24"/>
          <w:szCs w:val="24"/>
        </w:rPr>
        <w:t xml:space="preserve">Hampden </w:t>
      </w:r>
      <w:r w:rsidR="007F4883">
        <w:rPr>
          <w:color w:val="333333"/>
          <w:sz w:val="24"/>
          <w:szCs w:val="24"/>
        </w:rPr>
        <w:t xml:space="preserve">County </w:t>
      </w:r>
      <w:r w:rsidRPr="00DC49A5">
        <w:rPr>
          <w:color w:val="333333"/>
          <w:sz w:val="24"/>
          <w:szCs w:val="24"/>
        </w:rPr>
        <w:t xml:space="preserve">increased 65% </w:t>
      </w:r>
      <w:r w:rsidR="4E1D1335" w:rsidRPr="00DC49A5">
        <w:rPr>
          <w:color w:val="333333"/>
          <w:sz w:val="24"/>
          <w:szCs w:val="24"/>
        </w:rPr>
        <w:t>(</w:t>
      </w:r>
      <w:r w:rsidRPr="00DC49A5">
        <w:rPr>
          <w:color w:val="333333"/>
          <w:sz w:val="24"/>
          <w:szCs w:val="24"/>
        </w:rPr>
        <w:t>from 200.8 to 332.0 per 100,000</w:t>
      </w:r>
      <w:r w:rsidR="7AC948FA" w:rsidRPr="00DC49A5">
        <w:rPr>
          <w:color w:val="333333"/>
          <w:sz w:val="24"/>
          <w:szCs w:val="24"/>
        </w:rPr>
        <w:t>) then decreased 9%</w:t>
      </w:r>
      <w:r w:rsidR="007F4883">
        <w:rPr>
          <w:color w:val="333333"/>
          <w:sz w:val="24"/>
          <w:szCs w:val="24"/>
        </w:rPr>
        <w:t>. The rate in</w:t>
      </w:r>
      <w:r w:rsidRPr="00DC49A5">
        <w:rPr>
          <w:color w:val="333333"/>
          <w:sz w:val="24"/>
          <w:szCs w:val="24"/>
        </w:rPr>
        <w:t xml:space="preserve"> Franklin </w:t>
      </w:r>
      <w:r w:rsidR="007F4883">
        <w:rPr>
          <w:color w:val="333333"/>
          <w:sz w:val="24"/>
          <w:szCs w:val="24"/>
        </w:rPr>
        <w:t xml:space="preserve">County </w:t>
      </w:r>
      <w:r w:rsidRPr="00DC49A5">
        <w:rPr>
          <w:color w:val="333333"/>
          <w:sz w:val="24"/>
          <w:szCs w:val="24"/>
        </w:rPr>
        <w:t xml:space="preserve">increased 41% </w:t>
      </w:r>
      <w:r w:rsidR="26642E83" w:rsidRPr="00DC49A5">
        <w:rPr>
          <w:color w:val="333333"/>
          <w:sz w:val="24"/>
          <w:szCs w:val="24"/>
        </w:rPr>
        <w:t>(</w:t>
      </w:r>
      <w:r w:rsidRPr="00DC49A5">
        <w:rPr>
          <w:color w:val="333333"/>
          <w:sz w:val="24"/>
          <w:szCs w:val="24"/>
        </w:rPr>
        <w:t>from 142.0 to 198.9 per 100,000</w:t>
      </w:r>
      <w:r w:rsidR="25A8F4B7" w:rsidRPr="00DC49A5">
        <w:rPr>
          <w:color w:val="333333"/>
          <w:sz w:val="24"/>
          <w:szCs w:val="24"/>
        </w:rPr>
        <w:t>)</w:t>
      </w:r>
      <w:r w:rsidR="30E09F20" w:rsidRPr="00DC49A5">
        <w:rPr>
          <w:color w:val="333333"/>
          <w:sz w:val="24"/>
          <w:szCs w:val="24"/>
        </w:rPr>
        <w:t xml:space="preserve"> and then increased 10%</w:t>
      </w:r>
      <w:r w:rsidR="000469CE">
        <w:rPr>
          <w:color w:val="333333"/>
          <w:sz w:val="24"/>
          <w:szCs w:val="24"/>
        </w:rPr>
        <w:t>. The rate in</w:t>
      </w:r>
      <w:r w:rsidRPr="00DC49A5">
        <w:rPr>
          <w:color w:val="333333"/>
          <w:sz w:val="24"/>
          <w:szCs w:val="24"/>
        </w:rPr>
        <w:t xml:space="preserve"> Hampshire </w:t>
      </w:r>
      <w:r w:rsidR="000469CE">
        <w:rPr>
          <w:color w:val="333333"/>
          <w:sz w:val="24"/>
          <w:szCs w:val="24"/>
        </w:rPr>
        <w:t xml:space="preserve">County </w:t>
      </w:r>
      <w:r w:rsidRPr="00DC49A5">
        <w:rPr>
          <w:color w:val="333333"/>
          <w:sz w:val="24"/>
          <w:szCs w:val="24"/>
        </w:rPr>
        <w:t xml:space="preserve">increased 28% </w:t>
      </w:r>
      <w:r w:rsidR="5B4D447E" w:rsidRPr="00DC49A5">
        <w:rPr>
          <w:color w:val="333333"/>
          <w:sz w:val="24"/>
          <w:szCs w:val="24"/>
        </w:rPr>
        <w:t>(</w:t>
      </w:r>
      <w:r w:rsidRPr="00DC49A5">
        <w:rPr>
          <w:color w:val="333333"/>
          <w:sz w:val="24"/>
          <w:szCs w:val="24"/>
        </w:rPr>
        <w:t>from 143.2 to 184.0 per 100,000</w:t>
      </w:r>
      <w:r w:rsidR="07FA89B1" w:rsidRPr="00DC49A5">
        <w:rPr>
          <w:color w:val="333333"/>
          <w:sz w:val="24"/>
          <w:szCs w:val="24"/>
        </w:rPr>
        <w:t>)</w:t>
      </w:r>
      <w:r w:rsidR="728287D8" w:rsidRPr="00DC49A5">
        <w:rPr>
          <w:color w:val="333333"/>
          <w:sz w:val="24"/>
          <w:szCs w:val="24"/>
        </w:rPr>
        <w:t xml:space="preserve"> and then decreased 12%</w:t>
      </w:r>
      <w:r w:rsidRPr="00DC49A5">
        <w:rPr>
          <w:color w:val="333333"/>
          <w:sz w:val="24"/>
          <w:szCs w:val="24"/>
        </w:rPr>
        <w:t xml:space="preserve">. </w:t>
      </w:r>
      <w:r w:rsidR="00B06FCE">
        <w:rPr>
          <w:color w:val="333333"/>
          <w:sz w:val="24"/>
          <w:szCs w:val="24"/>
        </w:rPr>
        <w:t xml:space="preserve">While </w:t>
      </w:r>
      <w:r w:rsidR="002F038F">
        <w:rPr>
          <w:color w:val="333333"/>
          <w:sz w:val="24"/>
          <w:szCs w:val="24"/>
        </w:rPr>
        <w:t>most</w:t>
      </w:r>
      <w:r w:rsidR="00B06FCE">
        <w:rPr>
          <w:color w:val="333333"/>
          <w:sz w:val="24"/>
          <w:szCs w:val="24"/>
        </w:rPr>
        <w:t xml:space="preserve"> counties saw a rate decrease from 2020 to 2021</w:t>
      </w:r>
      <w:r w:rsidR="00570952">
        <w:rPr>
          <w:color w:val="333333"/>
          <w:sz w:val="24"/>
          <w:szCs w:val="24"/>
        </w:rPr>
        <w:t>,</w:t>
      </w:r>
      <w:r w:rsidR="4F122CDB">
        <w:rPr>
          <w:color w:val="333333"/>
          <w:sz w:val="24"/>
          <w:szCs w:val="24"/>
        </w:rPr>
        <w:t xml:space="preserve"> </w:t>
      </w:r>
      <w:r w:rsidR="00B06FCE">
        <w:rPr>
          <w:color w:val="333333"/>
          <w:sz w:val="24"/>
          <w:szCs w:val="24"/>
        </w:rPr>
        <w:t>Nantucket</w:t>
      </w:r>
      <w:r w:rsidR="0026703C">
        <w:rPr>
          <w:color w:val="333333"/>
          <w:sz w:val="24"/>
          <w:szCs w:val="24"/>
        </w:rPr>
        <w:t xml:space="preserve"> </w:t>
      </w:r>
      <w:r w:rsidR="6D3905DA">
        <w:rPr>
          <w:color w:val="333333"/>
          <w:sz w:val="24"/>
          <w:szCs w:val="24"/>
        </w:rPr>
        <w:t xml:space="preserve">County </w:t>
      </w:r>
      <w:r w:rsidR="0026703C">
        <w:rPr>
          <w:color w:val="333333"/>
          <w:sz w:val="24"/>
          <w:szCs w:val="24"/>
        </w:rPr>
        <w:t>(500%)</w:t>
      </w:r>
      <w:r w:rsidR="00B06FCE">
        <w:rPr>
          <w:color w:val="333333"/>
          <w:sz w:val="24"/>
          <w:szCs w:val="24"/>
        </w:rPr>
        <w:t>, Middlesex Count</w:t>
      </w:r>
      <w:r w:rsidR="7CC225F1">
        <w:rPr>
          <w:color w:val="333333"/>
          <w:sz w:val="24"/>
          <w:szCs w:val="24"/>
        </w:rPr>
        <w:t>y</w:t>
      </w:r>
      <w:r w:rsidR="002F038F">
        <w:rPr>
          <w:color w:val="333333"/>
          <w:sz w:val="24"/>
          <w:szCs w:val="24"/>
        </w:rPr>
        <w:t xml:space="preserve"> </w:t>
      </w:r>
      <w:r w:rsidR="00372657">
        <w:rPr>
          <w:color w:val="333333"/>
          <w:sz w:val="24"/>
          <w:szCs w:val="24"/>
        </w:rPr>
        <w:t>(6%)</w:t>
      </w:r>
      <w:r w:rsidR="00974157">
        <w:rPr>
          <w:color w:val="333333"/>
          <w:sz w:val="24"/>
          <w:szCs w:val="24"/>
        </w:rPr>
        <w:t>,</w:t>
      </w:r>
      <w:r w:rsidR="6943644F">
        <w:rPr>
          <w:color w:val="333333"/>
          <w:sz w:val="24"/>
          <w:szCs w:val="24"/>
        </w:rPr>
        <w:t xml:space="preserve"> Essex County (2%)</w:t>
      </w:r>
      <w:r w:rsidR="00504E60">
        <w:rPr>
          <w:color w:val="333333"/>
          <w:sz w:val="24"/>
          <w:szCs w:val="24"/>
        </w:rPr>
        <w:t>, and</w:t>
      </w:r>
      <w:r w:rsidR="6943644F" w:rsidRPr="7C1A0934">
        <w:rPr>
          <w:color w:val="333333"/>
          <w:sz w:val="24"/>
          <w:szCs w:val="24"/>
        </w:rPr>
        <w:t xml:space="preserve"> Franklin County</w:t>
      </w:r>
      <w:r w:rsidR="00504E60">
        <w:rPr>
          <w:color w:val="333333"/>
          <w:sz w:val="24"/>
          <w:szCs w:val="24"/>
        </w:rPr>
        <w:t xml:space="preserve"> (10%)</w:t>
      </w:r>
      <w:r w:rsidR="00372657">
        <w:rPr>
          <w:color w:val="333333"/>
          <w:sz w:val="24"/>
          <w:szCs w:val="24"/>
        </w:rPr>
        <w:t xml:space="preserve"> increase</w:t>
      </w:r>
      <w:r w:rsidR="00570952">
        <w:rPr>
          <w:color w:val="333333"/>
          <w:sz w:val="24"/>
          <w:szCs w:val="24"/>
        </w:rPr>
        <w:t>d</w:t>
      </w:r>
      <w:r w:rsidR="00372657">
        <w:rPr>
          <w:color w:val="333333"/>
          <w:sz w:val="24"/>
          <w:szCs w:val="24"/>
        </w:rPr>
        <w:t>.</w:t>
      </w:r>
      <w:r w:rsidR="00B06FCE" w:rsidRPr="00DC49A5">
        <w:rPr>
          <w:color w:val="333333"/>
          <w:sz w:val="24"/>
          <w:szCs w:val="24"/>
        </w:rPr>
        <w:t xml:space="preserve"> </w:t>
      </w:r>
      <w:r w:rsidRPr="7C1A0934">
        <w:rPr>
          <w:color w:val="333333"/>
          <w:sz w:val="24"/>
          <w:szCs w:val="24"/>
        </w:rPr>
        <w:t xml:space="preserve"> </w:t>
      </w:r>
    </w:p>
    <w:p w14:paraId="4B7939F5" w14:textId="00BADE2D" w:rsidR="009C2394" w:rsidRDefault="00BE26BF" w:rsidP="009F61F6">
      <w:pPr>
        <w:spacing w:line="276" w:lineRule="auto"/>
        <w:rPr>
          <w:color w:val="333333"/>
          <w:shd w:val="clear" w:color="auto" w:fill="FFFFFF"/>
        </w:rPr>
      </w:pPr>
      <w:r>
        <w:rPr>
          <w:noProof/>
        </w:rPr>
        <w:lastRenderedPageBreak/>
        <w:drawing>
          <wp:inline distT="0" distB="0" distL="0" distR="0" wp14:anchorId="1BEA1C19" wp14:editId="1DA3E7B7">
            <wp:extent cx="5943600" cy="3129915"/>
            <wp:effectExtent l="0" t="0" r="0" b="13335"/>
            <wp:docPr id="1660933214" name="Chart 1" descr="Figure 8. Age-adjusted rate of non-fatal opioid overdose by County, Massachusetts 2013-2021 A line chart showing the 15 MA county rates from 2013-2021. Bristol  ended with the highest rate (338) followed by Berkshire (332) Hampden (315) and Barnstable (313). 5532 records with missing zip code of residence are excluded. ">
              <a:extLst xmlns:a="http://schemas.openxmlformats.org/drawingml/2006/main">
                <a:ext uri="{FF2B5EF4-FFF2-40B4-BE49-F238E27FC236}">
                  <a16:creationId xmlns:a16="http://schemas.microsoft.com/office/drawing/2014/main" id="{5091CFB9-7B23-4C6B-961F-49F12190511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r w:rsidR="009C2394" w:rsidRPr="009C2394">
        <w:rPr>
          <w:noProof/>
        </w:rPr>
        <w:t xml:space="preserve"> </w:t>
      </w:r>
    </w:p>
    <w:p w14:paraId="2D3E9579" w14:textId="55419898" w:rsidR="00BF3C16" w:rsidRDefault="00B15CFD" w:rsidP="00BF3C16">
      <w:pPr>
        <w:spacing w:after="0" w:line="276" w:lineRule="auto"/>
        <w:rPr>
          <w:color w:val="333333"/>
          <w:sz w:val="24"/>
          <w:szCs w:val="24"/>
          <w:shd w:val="clear" w:color="auto" w:fill="FFFFFF"/>
        </w:rPr>
      </w:pPr>
      <w:r>
        <w:rPr>
          <w:color w:val="333333"/>
          <w:sz w:val="24"/>
          <w:szCs w:val="24"/>
          <w:shd w:val="clear" w:color="auto" w:fill="FFFFFF"/>
        </w:rPr>
        <w:t>To examine NFOs in rural communities we u</w:t>
      </w:r>
      <w:r w:rsidR="00BF749D" w:rsidRPr="00DC49A5">
        <w:rPr>
          <w:color w:val="333333"/>
          <w:sz w:val="24"/>
          <w:szCs w:val="24"/>
          <w:shd w:val="clear" w:color="auto" w:fill="FFFFFF"/>
        </w:rPr>
        <w:t>s</w:t>
      </w:r>
      <w:r>
        <w:rPr>
          <w:color w:val="333333"/>
          <w:sz w:val="24"/>
          <w:szCs w:val="24"/>
          <w:shd w:val="clear" w:color="auto" w:fill="FFFFFF"/>
        </w:rPr>
        <w:t xml:space="preserve">ed </w:t>
      </w:r>
      <w:r w:rsidR="00BF749D" w:rsidRPr="00DC49A5">
        <w:rPr>
          <w:color w:val="333333"/>
          <w:sz w:val="24"/>
          <w:szCs w:val="24"/>
          <w:shd w:val="clear" w:color="auto" w:fill="FFFFFF"/>
        </w:rPr>
        <w:t xml:space="preserve">definitions created by the </w:t>
      </w:r>
      <w:r w:rsidR="00BF749D" w:rsidRPr="00DC49A5">
        <w:rPr>
          <w:color w:val="333333"/>
          <w:sz w:val="24"/>
          <w:szCs w:val="24"/>
        </w:rPr>
        <w:t>M</w:t>
      </w:r>
      <w:r w:rsidR="00402413" w:rsidRPr="00DC49A5">
        <w:rPr>
          <w:color w:val="333333"/>
          <w:sz w:val="24"/>
          <w:szCs w:val="24"/>
        </w:rPr>
        <w:t>A</w:t>
      </w:r>
      <w:r w:rsidR="00BF749D" w:rsidRPr="00DC49A5">
        <w:rPr>
          <w:color w:val="333333"/>
          <w:sz w:val="24"/>
          <w:szCs w:val="24"/>
        </w:rPr>
        <w:t xml:space="preserve"> State Office of Rural Health</w:t>
      </w:r>
      <w:r w:rsidR="00C024E6">
        <w:rPr>
          <w:color w:val="333333"/>
          <w:sz w:val="24"/>
          <w:szCs w:val="24"/>
        </w:rPr>
        <w:t xml:space="preserve">. We </w:t>
      </w:r>
      <w:r w:rsidR="00BF749D" w:rsidRPr="00DC49A5">
        <w:rPr>
          <w:color w:val="333333"/>
          <w:sz w:val="24"/>
          <w:szCs w:val="24"/>
          <w:shd w:val="clear" w:color="auto" w:fill="FFFFFF"/>
        </w:rPr>
        <w:t>classif</w:t>
      </w:r>
      <w:r w:rsidR="00C024E6">
        <w:rPr>
          <w:color w:val="333333"/>
          <w:sz w:val="24"/>
          <w:szCs w:val="24"/>
          <w:shd w:val="clear" w:color="auto" w:fill="FFFFFF"/>
        </w:rPr>
        <w:t>ied</w:t>
      </w:r>
      <w:r>
        <w:rPr>
          <w:color w:val="333333"/>
          <w:sz w:val="24"/>
          <w:szCs w:val="24"/>
          <w:shd w:val="clear" w:color="auto" w:fill="FFFFFF"/>
        </w:rPr>
        <w:t xml:space="preserve"> </w:t>
      </w:r>
      <w:r w:rsidR="00BF749D" w:rsidRPr="00DC49A5">
        <w:rPr>
          <w:color w:val="333333"/>
          <w:sz w:val="24"/>
          <w:szCs w:val="24"/>
          <w:shd w:val="clear" w:color="auto" w:fill="FFFFFF"/>
        </w:rPr>
        <w:t xml:space="preserve">cities and towns as </w:t>
      </w:r>
      <w:r w:rsidR="00C31C90">
        <w:rPr>
          <w:color w:val="333333"/>
          <w:sz w:val="24"/>
          <w:szCs w:val="24"/>
          <w:shd w:val="clear" w:color="auto" w:fill="FFFFFF"/>
        </w:rPr>
        <w:t xml:space="preserve">urban, </w:t>
      </w:r>
      <w:r w:rsidR="00BF749D" w:rsidRPr="00DC49A5">
        <w:rPr>
          <w:color w:val="333333"/>
          <w:sz w:val="24"/>
          <w:szCs w:val="24"/>
          <w:shd w:val="clear" w:color="auto" w:fill="FFFFFF"/>
        </w:rPr>
        <w:t>rural</w:t>
      </w:r>
      <w:r w:rsidR="00970F1A">
        <w:rPr>
          <w:color w:val="333333"/>
          <w:sz w:val="24"/>
          <w:szCs w:val="24"/>
          <w:shd w:val="clear" w:color="auto" w:fill="FFFFFF"/>
        </w:rPr>
        <w:t xml:space="preserve">, </w:t>
      </w:r>
      <w:r w:rsidR="00C31C90">
        <w:rPr>
          <w:color w:val="333333"/>
          <w:sz w:val="24"/>
          <w:szCs w:val="24"/>
          <w:shd w:val="clear" w:color="auto" w:fill="FFFFFF"/>
        </w:rPr>
        <w:t xml:space="preserve">or </w:t>
      </w:r>
      <w:r w:rsidR="00BF749D" w:rsidRPr="00DC49A5">
        <w:rPr>
          <w:color w:val="333333"/>
          <w:sz w:val="24"/>
          <w:szCs w:val="24"/>
          <w:shd w:val="clear" w:color="auto" w:fill="FFFFFF"/>
        </w:rPr>
        <w:t>most</w:t>
      </w:r>
      <w:r w:rsidR="009B0927">
        <w:rPr>
          <w:color w:val="333333"/>
          <w:sz w:val="24"/>
          <w:szCs w:val="24"/>
          <w:shd w:val="clear" w:color="auto" w:fill="FFFFFF"/>
        </w:rPr>
        <w:t xml:space="preserve"> </w:t>
      </w:r>
      <w:r w:rsidR="00BF749D" w:rsidRPr="00DC49A5">
        <w:rPr>
          <w:color w:val="333333"/>
          <w:sz w:val="24"/>
          <w:szCs w:val="24"/>
          <w:shd w:val="clear" w:color="auto" w:fill="FFFFFF"/>
        </w:rPr>
        <w:t xml:space="preserve">rural.  </w:t>
      </w:r>
      <w:r w:rsidR="00F54051" w:rsidRPr="00DC49A5">
        <w:rPr>
          <w:color w:val="333333"/>
          <w:sz w:val="24"/>
          <w:szCs w:val="24"/>
          <w:shd w:val="clear" w:color="auto" w:fill="FFFFFF"/>
        </w:rPr>
        <w:t>Figure 9 shows the NFO rate by urban, rural</w:t>
      </w:r>
      <w:r w:rsidR="00C57840" w:rsidRPr="31FCC5D2">
        <w:rPr>
          <w:color w:val="333333"/>
          <w:sz w:val="24"/>
          <w:szCs w:val="24"/>
        </w:rPr>
        <w:t>,</w:t>
      </w:r>
      <w:r w:rsidR="00F54051" w:rsidRPr="00DC49A5">
        <w:rPr>
          <w:color w:val="333333"/>
          <w:sz w:val="24"/>
          <w:szCs w:val="24"/>
          <w:shd w:val="clear" w:color="auto" w:fill="FFFFFF"/>
        </w:rPr>
        <w:t xml:space="preserve"> and most </w:t>
      </w:r>
      <w:proofErr w:type="gramStart"/>
      <w:r w:rsidR="00F54051" w:rsidRPr="00DC49A5">
        <w:rPr>
          <w:color w:val="333333"/>
          <w:sz w:val="24"/>
          <w:szCs w:val="24"/>
          <w:shd w:val="clear" w:color="auto" w:fill="FFFFFF"/>
        </w:rPr>
        <w:t>rural</w:t>
      </w:r>
      <w:proofErr w:type="gramEnd"/>
      <w:r w:rsidR="00F54051" w:rsidRPr="00DC49A5">
        <w:rPr>
          <w:color w:val="333333"/>
          <w:sz w:val="24"/>
          <w:szCs w:val="24"/>
          <w:shd w:val="clear" w:color="auto" w:fill="FFFFFF"/>
        </w:rPr>
        <w:t xml:space="preserve"> from 2013 </w:t>
      </w:r>
      <w:r w:rsidR="00C57840">
        <w:rPr>
          <w:color w:val="333333"/>
          <w:sz w:val="24"/>
          <w:szCs w:val="24"/>
          <w:shd w:val="clear" w:color="auto" w:fill="FFFFFF"/>
        </w:rPr>
        <w:t>through</w:t>
      </w:r>
      <w:r w:rsidR="00F54051" w:rsidRPr="00DC49A5">
        <w:rPr>
          <w:color w:val="333333"/>
          <w:sz w:val="24"/>
          <w:szCs w:val="24"/>
          <w:shd w:val="clear" w:color="auto" w:fill="FFFFFF"/>
        </w:rPr>
        <w:t xml:space="preserve"> </w:t>
      </w:r>
      <w:r w:rsidR="00893EF6">
        <w:rPr>
          <w:color w:val="333333"/>
          <w:sz w:val="24"/>
          <w:szCs w:val="24"/>
          <w:shd w:val="clear" w:color="auto" w:fill="FFFFFF"/>
        </w:rPr>
        <w:t>2021</w:t>
      </w:r>
      <w:r w:rsidR="00F54051" w:rsidRPr="00DC49A5">
        <w:rPr>
          <w:color w:val="333333"/>
          <w:sz w:val="24"/>
          <w:szCs w:val="24"/>
          <w:shd w:val="clear" w:color="auto" w:fill="FFFFFF"/>
        </w:rPr>
        <w:t xml:space="preserve">. </w:t>
      </w:r>
      <w:r w:rsidR="00BF749D" w:rsidRPr="00DC49A5">
        <w:rPr>
          <w:color w:val="333333"/>
          <w:sz w:val="24"/>
          <w:szCs w:val="24"/>
          <w:shd w:val="clear" w:color="auto" w:fill="FFFFFF"/>
        </w:rPr>
        <w:t>From 2013 through 2017</w:t>
      </w:r>
      <w:r w:rsidR="00970F1A">
        <w:rPr>
          <w:color w:val="333333"/>
          <w:sz w:val="24"/>
          <w:szCs w:val="24"/>
          <w:shd w:val="clear" w:color="auto" w:fill="FFFFFF"/>
        </w:rPr>
        <w:t>,</w:t>
      </w:r>
      <w:r w:rsidR="00BF749D" w:rsidRPr="00DC49A5">
        <w:rPr>
          <w:color w:val="333333"/>
          <w:sz w:val="24"/>
          <w:szCs w:val="24"/>
          <w:shd w:val="clear" w:color="auto" w:fill="FFFFFF"/>
        </w:rPr>
        <w:t xml:space="preserve"> urban communities experienced the highest </w:t>
      </w:r>
      <w:proofErr w:type="gramStart"/>
      <w:r w:rsidR="00BF749D" w:rsidRPr="00DC49A5">
        <w:rPr>
          <w:color w:val="333333"/>
          <w:sz w:val="24"/>
          <w:szCs w:val="24"/>
          <w:shd w:val="clear" w:color="auto" w:fill="FFFFFF"/>
        </w:rPr>
        <w:t>age-adjusted</w:t>
      </w:r>
      <w:proofErr w:type="gramEnd"/>
      <w:r w:rsidR="00BF749D" w:rsidRPr="00DC49A5">
        <w:rPr>
          <w:color w:val="333333"/>
          <w:sz w:val="24"/>
          <w:szCs w:val="24"/>
          <w:shd w:val="clear" w:color="auto" w:fill="FFFFFF"/>
        </w:rPr>
        <w:t xml:space="preserve"> NFO rates, peaking in 2017 </w:t>
      </w:r>
      <w:r w:rsidR="00E47933">
        <w:rPr>
          <w:color w:val="333333"/>
          <w:sz w:val="24"/>
          <w:szCs w:val="24"/>
          <w:shd w:val="clear" w:color="auto" w:fill="FFFFFF"/>
        </w:rPr>
        <w:t>(</w:t>
      </w:r>
      <w:r w:rsidR="00BF749D" w:rsidRPr="00DC49A5">
        <w:rPr>
          <w:color w:val="333333"/>
          <w:sz w:val="24"/>
          <w:szCs w:val="24"/>
          <w:shd w:val="clear" w:color="auto" w:fill="FFFFFF"/>
        </w:rPr>
        <w:t>at 260.4 per 100,000</w:t>
      </w:r>
      <w:r w:rsidR="00E47933">
        <w:rPr>
          <w:color w:val="333333"/>
          <w:sz w:val="24"/>
          <w:szCs w:val="24"/>
          <w:shd w:val="clear" w:color="auto" w:fill="FFFFFF"/>
        </w:rPr>
        <w:t>)</w:t>
      </w:r>
      <w:r w:rsidR="00BF749D" w:rsidRPr="00DC49A5">
        <w:rPr>
          <w:color w:val="333333"/>
          <w:sz w:val="24"/>
          <w:szCs w:val="24"/>
          <w:shd w:val="clear" w:color="auto" w:fill="FFFFFF"/>
        </w:rPr>
        <w:t>.  Between 2017 and 2018</w:t>
      </w:r>
      <w:r w:rsidR="00F7416C">
        <w:rPr>
          <w:color w:val="333333"/>
          <w:sz w:val="24"/>
          <w:szCs w:val="24"/>
          <w:shd w:val="clear" w:color="auto" w:fill="FFFFFF"/>
        </w:rPr>
        <w:t>,</w:t>
      </w:r>
      <w:r w:rsidR="00BF749D" w:rsidRPr="00DC49A5">
        <w:rPr>
          <w:color w:val="333333"/>
          <w:sz w:val="24"/>
          <w:szCs w:val="24"/>
          <w:shd w:val="clear" w:color="auto" w:fill="FFFFFF"/>
        </w:rPr>
        <w:t xml:space="preserve"> the age-adjusted rate for the </w:t>
      </w:r>
      <w:r w:rsidR="00F7416C">
        <w:rPr>
          <w:color w:val="333333"/>
          <w:sz w:val="24"/>
          <w:szCs w:val="24"/>
          <w:shd w:val="clear" w:color="auto" w:fill="FFFFFF"/>
        </w:rPr>
        <w:t>most rural</w:t>
      </w:r>
      <w:r w:rsidR="00BF749D" w:rsidRPr="00DC49A5">
        <w:rPr>
          <w:color w:val="333333"/>
          <w:sz w:val="24"/>
          <w:szCs w:val="24"/>
          <w:shd w:val="clear" w:color="auto" w:fill="FFFFFF"/>
        </w:rPr>
        <w:t xml:space="preserve"> communities increased nearly 50% </w:t>
      </w:r>
      <w:r w:rsidR="00160395">
        <w:rPr>
          <w:color w:val="333333"/>
          <w:sz w:val="24"/>
          <w:szCs w:val="24"/>
          <w:shd w:val="clear" w:color="auto" w:fill="FFFFFF"/>
        </w:rPr>
        <w:t>(</w:t>
      </w:r>
      <w:r w:rsidR="00BF749D" w:rsidRPr="00DC49A5">
        <w:rPr>
          <w:color w:val="333333"/>
          <w:sz w:val="24"/>
          <w:szCs w:val="24"/>
          <w:shd w:val="clear" w:color="auto" w:fill="FFFFFF"/>
        </w:rPr>
        <w:t>from 217.9 to 310.1 per 100,000</w:t>
      </w:r>
      <w:r w:rsidR="00160395">
        <w:rPr>
          <w:color w:val="333333"/>
          <w:sz w:val="24"/>
          <w:szCs w:val="24"/>
          <w:shd w:val="clear" w:color="auto" w:fill="FFFFFF"/>
        </w:rPr>
        <w:t>)</w:t>
      </w:r>
      <w:r w:rsidR="001605B9">
        <w:rPr>
          <w:color w:val="333333"/>
          <w:sz w:val="24"/>
          <w:szCs w:val="24"/>
          <w:shd w:val="clear" w:color="auto" w:fill="FFFFFF"/>
        </w:rPr>
        <w:t xml:space="preserve">, to the highest rate of the three groupings from </w:t>
      </w:r>
      <w:r w:rsidR="00B425D2">
        <w:rPr>
          <w:color w:val="333333"/>
          <w:sz w:val="24"/>
          <w:szCs w:val="24"/>
          <w:shd w:val="clear" w:color="auto" w:fill="FFFFFF"/>
        </w:rPr>
        <w:t xml:space="preserve">2018 to 2021. </w:t>
      </w:r>
      <w:r w:rsidR="00BF749D" w:rsidRPr="00DC49A5">
        <w:rPr>
          <w:color w:val="333333"/>
          <w:sz w:val="24"/>
          <w:szCs w:val="24"/>
          <w:shd w:val="clear" w:color="auto" w:fill="FFFFFF"/>
        </w:rPr>
        <w:t xml:space="preserve"> </w:t>
      </w:r>
      <w:r w:rsidR="000B75BE" w:rsidRPr="00DC49A5">
        <w:rPr>
          <w:color w:val="333333"/>
          <w:sz w:val="24"/>
          <w:szCs w:val="24"/>
          <w:shd w:val="clear" w:color="auto" w:fill="FFFFFF"/>
        </w:rPr>
        <w:t xml:space="preserve">Across </w:t>
      </w:r>
      <w:r w:rsidR="00BF749D" w:rsidRPr="00DC49A5">
        <w:rPr>
          <w:color w:val="333333"/>
          <w:sz w:val="24"/>
          <w:szCs w:val="24"/>
          <w:shd w:val="clear" w:color="auto" w:fill="FFFFFF"/>
        </w:rPr>
        <w:t xml:space="preserve">the state, </w:t>
      </w:r>
      <w:r w:rsidR="00182019" w:rsidRPr="00DC49A5">
        <w:rPr>
          <w:color w:val="333333"/>
          <w:sz w:val="24"/>
          <w:szCs w:val="24"/>
          <w:shd w:val="clear" w:color="auto" w:fill="FFFFFF"/>
        </w:rPr>
        <w:t>rates</w:t>
      </w:r>
      <w:r w:rsidR="00B42ADE">
        <w:rPr>
          <w:color w:val="333333"/>
          <w:sz w:val="24"/>
          <w:szCs w:val="24"/>
          <w:shd w:val="clear" w:color="auto" w:fill="FFFFFF"/>
        </w:rPr>
        <w:t xml:space="preserve"> of NFOs</w:t>
      </w:r>
      <w:r w:rsidR="00182019" w:rsidRPr="00DC49A5">
        <w:rPr>
          <w:color w:val="333333"/>
          <w:sz w:val="24"/>
          <w:szCs w:val="24"/>
          <w:shd w:val="clear" w:color="auto" w:fill="FFFFFF"/>
        </w:rPr>
        <w:t xml:space="preserve"> </w:t>
      </w:r>
      <w:r w:rsidR="00BF749D" w:rsidRPr="00DC49A5">
        <w:rPr>
          <w:color w:val="333333"/>
          <w:sz w:val="24"/>
          <w:szCs w:val="24"/>
          <w:shd w:val="clear" w:color="auto" w:fill="FFFFFF"/>
        </w:rPr>
        <w:t>in all rural and urban classifications have declined</w:t>
      </w:r>
      <w:r w:rsidR="00B42ADE">
        <w:rPr>
          <w:color w:val="333333"/>
          <w:sz w:val="24"/>
          <w:szCs w:val="24"/>
          <w:shd w:val="clear" w:color="auto" w:fill="FFFFFF"/>
        </w:rPr>
        <w:t xml:space="preserve"> since their peak in 2017</w:t>
      </w:r>
      <w:r w:rsidR="00E156CD">
        <w:rPr>
          <w:color w:val="333333"/>
          <w:sz w:val="24"/>
          <w:szCs w:val="24"/>
          <w:shd w:val="clear" w:color="auto" w:fill="FFFFFF"/>
        </w:rPr>
        <w:t xml:space="preserve"> and </w:t>
      </w:r>
      <w:r w:rsidR="00B42ADE">
        <w:rPr>
          <w:color w:val="333333"/>
          <w:sz w:val="24"/>
          <w:szCs w:val="24"/>
          <w:shd w:val="clear" w:color="auto" w:fill="FFFFFF"/>
        </w:rPr>
        <w:t>2018</w:t>
      </w:r>
      <w:r w:rsidR="00BF749D" w:rsidRPr="00DC49A5">
        <w:rPr>
          <w:color w:val="333333"/>
          <w:sz w:val="24"/>
          <w:szCs w:val="24"/>
          <w:shd w:val="clear" w:color="auto" w:fill="FFFFFF"/>
        </w:rPr>
        <w:t>. The rate</w:t>
      </w:r>
      <w:r w:rsidR="00125DD6">
        <w:rPr>
          <w:color w:val="333333"/>
          <w:sz w:val="24"/>
          <w:szCs w:val="24"/>
          <w:shd w:val="clear" w:color="auto" w:fill="FFFFFF"/>
        </w:rPr>
        <w:t xml:space="preserve"> of NFOs</w:t>
      </w:r>
      <w:r w:rsidR="00BF749D" w:rsidRPr="00DC49A5">
        <w:rPr>
          <w:color w:val="333333"/>
          <w:sz w:val="24"/>
          <w:szCs w:val="24"/>
          <w:shd w:val="clear" w:color="auto" w:fill="FFFFFF"/>
        </w:rPr>
        <w:t xml:space="preserve"> </w:t>
      </w:r>
      <w:r w:rsidR="00125DD6">
        <w:rPr>
          <w:color w:val="333333"/>
          <w:sz w:val="24"/>
          <w:szCs w:val="24"/>
          <w:shd w:val="clear" w:color="auto" w:fill="FFFFFF"/>
        </w:rPr>
        <w:t>among</w:t>
      </w:r>
      <w:r w:rsidR="00125DD6" w:rsidRPr="00DC49A5">
        <w:rPr>
          <w:color w:val="333333"/>
          <w:sz w:val="24"/>
          <w:szCs w:val="24"/>
          <w:shd w:val="clear" w:color="auto" w:fill="FFFFFF"/>
        </w:rPr>
        <w:t xml:space="preserve"> </w:t>
      </w:r>
      <w:r w:rsidR="00BF749D" w:rsidRPr="00DC49A5">
        <w:rPr>
          <w:color w:val="333333"/>
          <w:sz w:val="24"/>
          <w:szCs w:val="24"/>
          <w:shd w:val="clear" w:color="auto" w:fill="FFFFFF"/>
        </w:rPr>
        <w:t xml:space="preserve">the most rural communities </w:t>
      </w:r>
      <w:r w:rsidR="00540AB3">
        <w:rPr>
          <w:color w:val="333333"/>
          <w:sz w:val="24"/>
          <w:szCs w:val="24"/>
          <w:shd w:val="clear" w:color="auto" w:fill="FFFFFF"/>
        </w:rPr>
        <w:t xml:space="preserve">have been </w:t>
      </w:r>
      <w:r w:rsidR="00BF749D" w:rsidRPr="00DC49A5">
        <w:rPr>
          <w:color w:val="333333"/>
          <w:sz w:val="24"/>
          <w:szCs w:val="24"/>
          <w:shd w:val="clear" w:color="auto" w:fill="FFFFFF"/>
        </w:rPr>
        <w:t>the highest</w:t>
      </w:r>
      <w:r w:rsidR="00540AB3">
        <w:rPr>
          <w:color w:val="333333"/>
          <w:sz w:val="24"/>
          <w:szCs w:val="24"/>
          <w:shd w:val="clear" w:color="auto" w:fill="FFFFFF"/>
        </w:rPr>
        <w:t xml:space="preserve"> </w:t>
      </w:r>
      <w:r w:rsidR="00125DD6">
        <w:rPr>
          <w:color w:val="333333"/>
          <w:sz w:val="24"/>
          <w:szCs w:val="24"/>
          <w:shd w:val="clear" w:color="auto" w:fill="FFFFFF"/>
        </w:rPr>
        <w:t xml:space="preserve">in the state </w:t>
      </w:r>
      <w:r w:rsidR="00540AB3">
        <w:rPr>
          <w:color w:val="333333"/>
          <w:sz w:val="24"/>
          <w:szCs w:val="24"/>
          <w:shd w:val="clear" w:color="auto" w:fill="FFFFFF"/>
        </w:rPr>
        <w:t>since 2018</w:t>
      </w:r>
      <w:r w:rsidR="00182019" w:rsidRPr="00DC49A5">
        <w:rPr>
          <w:color w:val="333333"/>
          <w:sz w:val="24"/>
          <w:szCs w:val="24"/>
          <w:shd w:val="clear" w:color="auto" w:fill="FFFFFF"/>
        </w:rPr>
        <w:t xml:space="preserve">; </w:t>
      </w:r>
      <w:r w:rsidR="00BF749D" w:rsidRPr="00DC49A5">
        <w:rPr>
          <w:color w:val="333333"/>
          <w:sz w:val="24"/>
          <w:szCs w:val="24"/>
          <w:shd w:val="clear" w:color="auto" w:fill="FFFFFF"/>
        </w:rPr>
        <w:t xml:space="preserve">by </w:t>
      </w:r>
      <w:r w:rsidR="00893EF6">
        <w:rPr>
          <w:color w:val="333333"/>
          <w:sz w:val="24"/>
          <w:szCs w:val="24"/>
          <w:shd w:val="clear" w:color="auto" w:fill="FFFFFF"/>
        </w:rPr>
        <w:t>2021</w:t>
      </w:r>
      <w:r w:rsidR="00F7416C">
        <w:rPr>
          <w:color w:val="333333"/>
          <w:sz w:val="24"/>
          <w:szCs w:val="24"/>
          <w:shd w:val="clear" w:color="auto" w:fill="FFFFFF"/>
        </w:rPr>
        <w:t>,</w:t>
      </w:r>
      <w:r w:rsidR="00BF749D" w:rsidRPr="00DC49A5">
        <w:rPr>
          <w:color w:val="333333"/>
          <w:sz w:val="24"/>
          <w:szCs w:val="24"/>
          <w:shd w:val="clear" w:color="auto" w:fill="FFFFFF"/>
        </w:rPr>
        <w:t xml:space="preserve"> they were </w:t>
      </w:r>
      <w:r w:rsidR="00610634">
        <w:rPr>
          <w:color w:val="333333"/>
          <w:sz w:val="24"/>
          <w:szCs w:val="24"/>
          <w:shd w:val="clear" w:color="auto" w:fill="FFFFFF"/>
        </w:rPr>
        <w:t>2</w:t>
      </w:r>
      <w:r w:rsidR="0036092E">
        <w:rPr>
          <w:color w:val="333333"/>
          <w:sz w:val="24"/>
          <w:szCs w:val="24"/>
          <w:shd w:val="clear" w:color="auto" w:fill="FFFFFF"/>
        </w:rPr>
        <w:t>4</w:t>
      </w:r>
      <w:r w:rsidR="00BF749D" w:rsidRPr="00DC49A5">
        <w:rPr>
          <w:color w:val="333333"/>
          <w:sz w:val="24"/>
          <w:szCs w:val="24"/>
          <w:shd w:val="clear" w:color="auto" w:fill="FFFFFF"/>
        </w:rPr>
        <w:t>% higher than the statewide</w:t>
      </w:r>
      <w:r w:rsidR="00FE42AE">
        <w:rPr>
          <w:color w:val="333333"/>
          <w:sz w:val="24"/>
          <w:szCs w:val="24"/>
          <w:shd w:val="clear" w:color="auto" w:fill="FFFFFF"/>
        </w:rPr>
        <w:t xml:space="preserve"> rurality</w:t>
      </w:r>
      <w:r w:rsidR="00BF749D" w:rsidRPr="00DC49A5">
        <w:rPr>
          <w:color w:val="333333"/>
          <w:sz w:val="24"/>
          <w:szCs w:val="24"/>
          <w:shd w:val="clear" w:color="auto" w:fill="FFFFFF"/>
        </w:rPr>
        <w:t xml:space="preserve"> average (2</w:t>
      </w:r>
      <w:r w:rsidR="004A49C3">
        <w:rPr>
          <w:color w:val="333333"/>
          <w:sz w:val="24"/>
          <w:szCs w:val="24"/>
          <w:shd w:val="clear" w:color="auto" w:fill="FFFFFF"/>
        </w:rPr>
        <w:t>52.6</w:t>
      </w:r>
      <w:r w:rsidR="00BF749D" w:rsidRPr="00DC49A5">
        <w:rPr>
          <w:color w:val="333333"/>
          <w:sz w:val="24"/>
          <w:szCs w:val="24"/>
          <w:shd w:val="clear" w:color="auto" w:fill="FFFFFF"/>
        </w:rPr>
        <w:t xml:space="preserve"> versus 20</w:t>
      </w:r>
      <w:r w:rsidR="00522C01">
        <w:rPr>
          <w:color w:val="333333"/>
          <w:sz w:val="24"/>
          <w:szCs w:val="24"/>
          <w:shd w:val="clear" w:color="auto" w:fill="FFFFFF"/>
        </w:rPr>
        <w:t>3</w:t>
      </w:r>
      <w:r w:rsidR="00BF749D" w:rsidRPr="00DC49A5">
        <w:rPr>
          <w:color w:val="333333"/>
          <w:sz w:val="24"/>
          <w:szCs w:val="24"/>
          <w:shd w:val="clear" w:color="auto" w:fill="FFFFFF"/>
        </w:rPr>
        <w:t>.</w:t>
      </w:r>
      <w:r w:rsidR="00522C01">
        <w:rPr>
          <w:color w:val="333333"/>
          <w:sz w:val="24"/>
          <w:szCs w:val="24"/>
          <w:shd w:val="clear" w:color="auto" w:fill="FFFFFF"/>
        </w:rPr>
        <w:t>6</w:t>
      </w:r>
      <w:r w:rsidR="00BF749D" w:rsidRPr="00DC49A5">
        <w:rPr>
          <w:color w:val="333333"/>
          <w:sz w:val="24"/>
          <w:szCs w:val="24"/>
          <w:shd w:val="clear" w:color="auto" w:fill="FFFFFF"/>
        </w:rPr>
        <w:t xml:space="preserve"> per 100,000). </w:t>
      </w:r>
    </w:p>
    <w:p w14:paraId="6AEA701D" w14:textId="0C12C9B9" w:rsidR="00535DDA" w:rsidRDefault="00535DDA" w:rsidP="00BF3C16">
      <w:pPr>
        <w:spacing w:after="0" w:line="276" w:lineRule="auto"/>
        <w:rPr>
          <w:color w:val="333333"/>
          <w:sz w:val="24"/>
          <w:szCs w:val="24"/>
          <w:shd w:val="clear" w:color="auto" w:fill="FFFFFF"/>
        </w:rPr>
      </w:pPr>
      <w:r>
        <w:rPr>
          <w:noProof/>
        </w:rPr>
        <w:drawing>
          <wp:inline distT="0" distB="0" distL="0" distR="0" wp14:anchorId="47D1719C" wp14:editId="5B48D90B">
            <wp:extent cx="5943600" cy="3022600"/>
            <wp:effectExtent l="0" t="0" r="0" b="6350"/>
            <wp:docPr id="320711301" name="Chart 1" descr="Figure 9. Age-adjusted rate of non-fatal opioid overdoses by rurality*. Massachusetts residents, 2013-2021. A line chart showing Urban NFO rates in Blue, rural in orange and &quot;most rural&quot; in gold. by 2021 the most rural category had the highest rates of 252.6, versus 191.7 urban and 139.3 rural.  5,532 records with missing Zip Code of residence are excluded.">
              <a:extLst xmlns:a="http://schemas.openxmlformats.org/drawingml/2006/main">
                <a:ext uri="{FF2B5EF4-FFF2-40B4-BE49-F238E27FC236}">
                  <a16:creationId xmlns:a16="http://schemas.microsoft.com/office/drawing/2014/main" id="{2DB1F834-D737-42DF-96FF-03C3D58AA8B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1CBBE734" w14:textId="3764BF6B" w:rsidR="00AD099D" w:rsidRDefault="00AD099D" w:rsidP="00BF3C16">
      <w:pPr>
        <w:spacing w:after="0" w:line="276" w:lineRule="auto"/>
        <w:rPr>
          <w:color w:val="333333"/>
          <w:sz w:val="24"/>
          <w:szCs w:val="24"/>
          <w:shd w:val="clear" w:color="auto" w:fill="FFFFFF"/>
        </w:rPr>
      </w:pPr>
      <w:r>
        <w:rPr>
          <w:color w:val="333333"/>
          <w:sz w:val="24"/>
          <w:szCs w:val="24"/>
          <w:shd w:val="clear" w:color="auto" w:fill="FFFFFF"/>
        </w:rPr>
        <w:lastRenderedPageBreak/>
        <w:t xml:space="preserve">Figure 10 shows the </w:t>
      </w:r>
      <w:proofErr w:type="gramStart"/>
      <w:r>
        <w:rPr>
          <w:color w:val="333333"/>
          <w:sz w:val="24"/>
          <w:szCs w:val="24"/>
          <w:shd w:val="clear" w:color="auto" w:fill="FFFFFF"/>
        </w:rPr>
        <w:t>age-adjusted</w:t>
      </w:r>
      <w:proofErr w:type="gramEnd"/>
      <w:r>
        <w:rPr>
          <w:color w:val="333333"/>
          <w:sz w:val="24"/>
          <w:szCs w:val="24"/>
          <w:shd w:val="clear" w:color="auto" w:fill="FFFFFF"/>
        </w:rPr>
        <w:t xml:space="preserve"> NFO rates </w:t>
      </w:r>
      <w:r w:rsidR="003751A7">
        <w:rPr>
          <w:color w:val="333333"/>
          <w:sz w:val="24"/>
          <w:szCs w:val="24"/>
          <w:shd w:val="clear" w:color="auto" w:fill="FFFFFF"/>
        </w:rPr>
        <w:t xml:space="preserve">from 2013 to 2021 </w:t>
      </w:r>
      <w:r>
        <w:rPr>
          <w:color w:val="333333"/>
          <w:sz w:val="24"/>
          <w:szCs w:val="24"/>
          <w:shd w:val="clear" w:color="auto" w:fill="FFFFFF"/>
        </w:rPr>
        <w:t>for the three largest cities in Massachusetts</w:t>
      </w:r>
      <w:r w:rsidR="00F220A8" w:rsidRPr="7C092436">
        <w:rPr>
          <w:color w:val="333333"/>
          <w:sz w:val="24"/>
          <w:szCs w:val="24"/>
        </w:rPr>
        <w:t>:</w:t>
      </w:r>
      <w:r>
        <w:rPr>
          <w:color w:val="333333"/>
          <w:sz w:val="24"/>
          <w:szCs w:val="24"/>
          <w:shd w:val="clear" w:color="auto" w:fill="FFFFFF"/>
        </w:rPr>
        <w:t xml:space="preserve"> Boston, </w:t>
      </w:r>
      <w:r w:rsidR="000F692B">
        <w:rPr>
          <w:color w:val="333333"/>
          <w:sz w:val="24"/>
          <w:szCs w:val="24"/>
          <w:shd w:val="clear" w:color="auto" w:fill="FFFFFF"/>
        </w:rPr>
        <w:t>Springfield,</w:t>
      </w:r>
      <w:r>
        <w:rPr>
          <w:color w:val="333333"/>
          <w:sz w:val="24"/>
          <w:szCs w:val="24"/>
          <w:shd w:val="clear" w:color="auto" w:fill="FFFFFF"/>
        </w:rPr>
        <w:t xml:space="preserve"> and Worcester.</w:t>
      </w:r>
      <w:r w:rsidR="00585927">
        <w:rPr>
          <w:color w:val="333333"/>
          <w:sz w:val="24"/>
          <w:szCs w:val="24"/>
          <w:shd w:val="clear" w:color="auto" w:fill="FFFFFF"/>
        </w:rPr>
        <w:t xml:space="preserve"> </w:t>
      </w:r>
      <w:r w:rsidR="00FC4366">
        <w:rPr>
          <w:color w:val="333333"/>
          <w:sz w:val="24"/>
          <w:szCs w:val="24"/>
          <w:shd w:val="clear" w:color="auto" w:fill="FFFFFF"/>
        </w:rPr>
        <w:t xml:space="preserve">NFO rates for all three </w:t>
      </w:r>
      <w:r w:rsidR="0058056A" w:rsidRPr="7C092436">
        <w:rPr>
          <w:color w:val="333333"/>
          <w:sz w:val="24"/>
          <w:szCs w:val="24"/>
        </w:rPr>
        <w:t xml:space="preserve">were </w:t>
      </w:r>
      <w:r w:rsidR="00FC4366">
        <w:rPr>
          <w:color w:val="333333"/>
          <w:sz w:val="24"/>
          <w:szCs w:val="24"/>
          <w:shd w:val="clear" w:color="auto" w:fill="FFFFFF"/>
        </w:rPr>
        <w:t xml:space="preserve">above the statewide average, and </w:t>
      </w:r>
      <w:r w:rsidR="000B4D08">
        <w:rPr>
          <w:color w:val="333333"/>
          <w:sz w:val="24"/>
          <w:szCs w:val="24"/>
          <w:shd w:val="clear" w:color="auto" w:fill="FFFFFF"/>
        </w:rPr>
        <w:t xml:space="preserve">there </w:t>
      </w:r>
      <w:r w:rsidR="00434621" w:rsidRPr="7C092436">
        <w:rPr>
          <w:color w:val="333333"/>
          <w:sz w:val="24"/>
          <w:szCs w:val="24"/>
        </w:rPr>
        <w:t xml:space="preserve">were </w:t>
      </w:r>
      <w:proofErr w:type="gramStart"/>
      <w:r w:rsidR="00435AA1">
        <w:rPr>
          <w:color w:val="333333"/>
          <w:sz w:val="24"/>
          <w:szCs w:val="24"/>
          <w:shd w:val="clear" w:color="auto" w:fill="FFFFFF"/>
        </w:rPr>
        <w:t>very different</w:t>
      </w:r>
      <w:proofErr w:type="gramEnd"/>
      <w:r w:rsidR="00435AA1">
        <w:rPr>
          <w:color w:val="333333"/>
          <w:sz w:val="24"/>
          <w:szCs w:val="24"/>
          <w:shd w:val="clear" w:color="auto" w:fill="FFFFFF"/>
        </w:rPr>
        <w:t xml:space="preserve"> </w:t>
      </w:r>
      <w:r w:rsidR="000B4D08">
        <w:rPr>
          <w:color w:val="333333"/>
          <w:sz w:val="24"/>
          <w:szCs w:val="24"/>
          <w:shd w:val="clear" w:color="auto" w:fill="FFFFFF"/>
        </w:rPr>
        <w:t>patterns in the NFO rates</w:t>
      </w:r>
      <w:r w:rsidR="00435AA1">
        <w:rPr>
          <w:color w:val="333333"/>
          <w:sz w:val="24"/>
          <w:szCs w:val="24"/>
          <w:shd w:val="clear" w:color="auto" w:fill="FFFFFF"/>
        </w:rPr>
        <w:t xml:space="preserve"> among the three cities</w:t>
      </w:r>
      <w:r w:rsidR="00B3045E" w:rsidRPr="7C092436">
        <w:rPr>
          <w:color w:val="333333"/>
          <w:sz w:val="24"/>
          <w:szCs w:val="24"/>
        </w:rPr>
        <w:t xml:space="preserve"> by year</w:t>
      </w:r>
      <w:r w:rsidR="00435AA1">
        <w:rPr>
          <w:color w:val="333333"/>
          <w:sz w:val="24"/>
          <w:szCs w:val="24"/>
          <w:shd w:val="clear" w:color="auto" w:fill="FFFFFF"/>
        </w:rPr>
        <w:t xml:space="preserve">. </w:t>
      </w:r>
      <w:r w:rsidR="00585927">
        <w:rPr>
          <w:color w:val="333333"/>
          <w:sz w:val="24"/>
          <w:szCs w:val="24"/>
          <w:shd w:val="clear" w:color="auto" w:fill="FFFFFF"/>
        </w:rPr>
        <w:t xml:space="preserve">Boston </w:t>
      </w:r>
      <w:r w:rsidR="000B4D08">
        <w:rPr>
          <w:color w:val="333333"/>
          <w:sz w:val="24"/>
          <w:szCs w:val="24"/>
          <w:shd w:val="clear" w:color="auto" w:fill="FFFFFF"/>
        </w:rPr>
        <w:t>ha</w:t>
      </w:r>
      <w:r w:rsidR="7A566CE4">
        <w:rPr>
          <w:color w:val="333333"/>
          <w:sz w:val="24"/>
          <w:szCs w:val="24"/>
          <w:shd w:val="clear" w:color="auto" w:fill="FFFFFF"/>
        </w:rPr>
        <w:t>d</w:t>
      </w:r>
      <w:r w:rsidR="000B4D08">
        <w:rPr>
          <w:color w:val="333333"/>
          <w:sz w:val="24"/>
          <w:szCs w:val="24"/>
          <w:shd w:val="clear" w:color="auto" w:fill="FFFFFF"/>
        </w:rPr>
        <w:t xml:space="preserve"> the lowest rates of the three cities. </w:t>
      </w:r>
      <w:r w:rsidR="001D1385">
        <w:rPr>
          <w:color w:val="333333"/>
          <w:sz w:val="24"/>
          <w:szCs w:val="24"/>
          <w:shd w:val="clear" w:color="auto" w:fill="FFFFFF"/>
        </w:rPr>
        <w:t xml:space="preserve">The rate in </w:t>
      </w:r>
      <w:r w:rsidR="000B4D08">
        <w:rPr>
          <w:color w:val="333333"/>
          <w:sz w:val="24"/>
          <w:szCs w:val="24"/>
          <w:shd w:val="clear" w:color="auto" w:fill="FFFFFF"/>
        </w:rPr>
        <w:t xml:space="preserve">Boston </w:t>
      </w:r>
      <w:r w:rsidR="00585927">
        <w:rPr>
          <w:color w:val="333333"/>
          <w:sz w:val="24"/>
          <w:szCs w:val="24"/>
          <w:shd w:val="clear" w:color="auto" w:fill="FFFFFF"/>
        </w:rPr>
        <w:t>increased 153% between 2013 and 2</w:t>
      </w:r>
      <w:r w:rsidR="004F1208">
        <w:rPr>
          <w:color w:val="333333"/>
          <w:sz w:val="24"/>
          <w:szCs w:val="24"/>
          <w:shd w:val="clear" w:color="auto" w:fill="FFFFFF"/>
        </w:rPr>
        <w:t xml:space="preserve">017 (from 103.6 to 262.2 per 100,000) then decreased 23% </w:t>
      </w:r>
      <w:r w:rsidR="000F205A">
        <w:rPr>
          <w:color w:val="333333"/>
          <w:sz w:val="24"/>
          <w:szCs w:val="24"/>
          <w:shd w:val="clear" w:color="auto" w:fill="FFFFFF"/>
        </w:rPr>
        <w:t xml:space="preserve">from 2017 to </w:t>
      </w:r>
      <w:r w:rsidR="004F1208">
        <w:rPr>
          <w:color w:val="333333"/>
          <w:sz w:val="24"/>
          <w:szCs w:val="24"/>
          <w:shd w:val="clear" w:color="auto" w:fill="FFFFFF"/>
        </w:rPr>
        <w:t xml:space="preserve">2021 </w:t>
      </w:r>
      <w:r w:rsidR="000F205A">
        <w:rPr>
          <w:color w:val="333333"/>
          <w:sz w:val="24"/>
          <w:szCs w:val="24"/>
          <w:shd w:val="clear" w:color="auto" w:fill="FFFFFF"/>
        </w:rPr>
        <w:t>(</w:t>
      </w:r>
      <w:r w:rsidR="004F1208">
        <w:rPr>
          <w:color w:val="333333"/>
          <w:sz w:val="24"/>
          <w:szCs w:val="24"/>
          <w:shd w:val="clear" w:color="auto" w:fill="FFFFFF"/>
        </w:rPr>
        <w:t>to 201.9 per 100,000</w:t>
      </w:r>
      <w:r w:rsidR="000F205A">
        <w:rPr>
          <w:color w:val="333333"/>
          <w:sz w:val="24"/>
          <w:szCs w:val="24"/>
          <w:shd w:val="clear" w:color="auto" w:fill="FFFFFF"/>
        </w:rPr>
        <w:t>)</w:t>
      </w:r>
      <w:r w:rsidR="004F1208">
        <w:rPr>
          <w:color w:val="333333"/>
          <w:sz w:val="24"/>
          <w:szCs w:val="24"/>
          <w:shd w:val="clear" w:color="auto" w:fill="FFFFFF"/>
        </w:rPr>
        <w:t xml:space="preserve">. </w:t>
      </w:r>
      <w:r w:rsidR="00D4432A">
        <w:rPr>
          <w:color w:val="333333"/>
          <w:sz w:val="24"/>
          <w:szCs w:val="24"/>
          <w:shd w:val="clear" w:color="auto" w:fill="FFFFFF"/>
        </w:rPr>
        <w:t xml:space="preserve">The rate in </w:t>
      </w:r>
      <w:r w:rsidR="004F1208">
        <w:rPr>
          <w:color w:val="333333"/>
          <w:sz w:val="24"/>
          <w:szCs w:val="24"/>
          <w:shd w:val="clear" w:color="auto" w:fill="FFFFFF"/>
        </w:rPr>
        <w:t>Springfield</w:t>
      </w:r>
      <w:r w:rsidR="009C2503">
        <w:rPr>
          <w:color w:val="333333"/>
          <w:sz w:val="24"/>
          <w:szCs w:val="24"/>
          <w:shd w:val="clear" w:color="auto" w:fill="FFFFFF"/>
        </w:rPr>
        <w:t xml:space="preserve"> </w:t>
      </w:r>
      <w:r w:rsidR="00C315FB">
        <w:rPr>
          <w:color w:val="333333"/>
          <w:sz w:val="24"/>
          <w:szCs w:val="24"/>
          <w:shd w:val="clear" w:color="auto" w:fill="FFFFFF"/>
        </w:rPr>
        <w:t>increased 130%</w:t>
      </w:r>
      <w:r w:rsidR="009C2503">
        <w:rPr>
          <w:color w:val="333333"/>
          <w:sz w:val="24"/>
          <w:szCs w:val="24"/>
          <w:shd w:val="clear" w:color="auto" w:fill="FFFFFF"/>
        </w:rPr>
        <w:t xml:space="preserve"> </w:t>
      </w:r>
      <w:r w:rsidR="00C315FB">
        <w:rPr>
          <w:color w:val="333333"/>
          <w:sz w:val="24"/>
          <w:szCs w:val="24"/>
          <w:shd w:val="clear" w:color="auto" w:fill="FFFFFF"/>
        </w:rPr>
        <w:t>from 2013 to 2016</w:t>
      </w:r>
      <w:r w:rsidR="00E25032">
        <w:rPr>
          <w:color w:val="333333"/>
          <w:sz w:val="24"/>
          <w:szCs w:val="24"/>
          <w:shd w:val="clear" w:color="auto" w:fill="FFFFFF"/>
        </w:rPr>
        <w:t xml:space="preserve">, decreased </w:t>
      </w:r>
      <w:r w:rsidR="00607EBE">
        <w:rPr>
          <w:color w:val="333333"/>
          <w:sz w:val="24"/>
          <w:szCs w:val="24"/>
          <w:shd w:val="clear" w:color="auto" w:fill="FFFFFF"/>
        </w:rPr>
        <w:t xml:space="preserve">8% </w:t>
      </w:r>
      <w:r w:rsidR="000F205A">
        <w:rPr>
          <w:color w:val="333333"/>
          <w:sz w:val="24"/>
          <w:szCs w:val="24"/>
          <w:shd w:val="clear" w:color="auto" w:fill="FFFFFF"/>
        </w:rPr>
        <w:t>f</w:t>
      </w:r>
      <w:r w:rsidR="5A056CF6">
        <w:rPr>
          <w:color w:val="333333"/>
          <w:sz w:val="24"/>
          <w:szCs w:val="24"/>
          <w:shd w:val="clear" w:color="auto" w:fill="FFFFFF"/>
        </w:rPr>
        <w:t xml:space="preserve">or one year, </w:t>
      </w:r>
      <w:r w:rsidR="00607EBE">
        <w:rPr>
          <w:color w:val="333333"/>
          <w:sz w:val="24"/>
          <w:szCs w:val="24"/>
          <w:shd w:val="clear" w:color="auto" w:fill="FFFFFF"/>
        </w:rPr>
        <w:t xml:space="preserve">2016 </w:t>
      </w:r>
      <w:r w:rsidR="000F205A">
        <w:rPr>
          <w:color w:val="333333"/>
          <w:sz w:val="24"/>
          <w:szCs w:val="24"/>
          <w:shd w:val="clear" w:color="auto" w:fill="FFFFFF"/>
        </w:rPr>
        <w:t xml:space="preserve">to </w:t>
      </w:r>
      <w:r w:rsidR="00607EBE">
        <w:rPr>
          <w:color w:val="333333"/>
          <w:sz w:val="24"/>
          <w:szCs w:val="24"/>
          <w:shd w:val="clear" w:color="auto" w:fill="FFFFFF"/>
        </w:rPr>
        <w:t>2017</w:t>
      </w:r>
      <w:r w:rsidR="000F692B">
        <w:rPr>
          <w:color w:val="333333"/>
          <w:sz w:val="24"/>
          <w:szCs w:val="24"/>
          <w:shd w:val="clear" w:color="auto" w:fill="FFFFFF"/>
        </w:rPr>
        <w:t xml:space="preserve">, </w:t>
      </w:r>
      <w:r w:rsidR="00607EBE">
        <w:rPr>
          <w:color w:val="333333"/>
          <w:sz w:val="24"/>
          <w:szCs w:val="24"/>
          <w:shd w:val="clear" w:color="auto" w:fill="FFFFFF"/>
        </w:rPr>
        <w:t>then increased</w:t>
      </w:r>
      <w:r w:rsidR="001773A0">
        <w:rPr>
          <w:color w:val="333333"/>
          <w:sz w:val="24"/>
          <w:szCs w:val="24"/>
          <w:shd w:val="clear" w:color="auto" w:fill="FFFFFF"/>
        </w:rPr>
        <w:t xml:space="preserve"> 97% between </w:t>
      </w:r>
      <w:r w:rsidR="001778DF">
        <w:rPr>
          <w:color w:val="333333"/>
          <w:sz w:val="24"/>
          <w:szCs w:val="24"/>
          <w:shd w:val="clear" w:color="auto" w:fill="FFFFFF"/>
        </w:rPr>
        <w:t xml:space="preserve">2017 and 2019 </w:t>
      </w:r>
      <w:r w:rsidR="00CB14E2">
        <w:rPr>
          <w:color w:val="333333"/>
          <w:sz w:val="24"/>
          <w:szCs w:val="24"/>
          <w:shd w:val="clear" w:color="auto" w:fill="FFFFFF"/>
        </w:rPr>
        <w:t>(</w:t>
      </w:r>
      <w:r w:rsidR="001778DF">
        <w:rPr>
          <w:color w:val="333333"/>
          <w:sz w:val="24"/>
          <w:szCs w:val="24"/>
          <w:shd w:val="clear" w:color="auto" w:fill="FFFFFF"/>
        </w:rPr>
        <w:t>to 530.2 per 100,000</w:t>
      </w:r>
      <w:r w:rsidR="00CB14E2">
        <w:rPr>
          <w:color w:val="333333"/>
          <w:sz w:val="24"/>
          <w:szCs w:val="24"/>
          <w:shd w:val="clear" w:color="auto" w:fill="FFFFFF"/>
        </w:rPr>
        <w:t>)</w:t>
      </w:r>
      <w:r w:rsidR="000F692B">
        <w:rPr>
          <w:color w:val="333333"/>
          <w:sz w:val="24"/>
          <w:szCs w:val="24"/>
          <w:shd w:val="clear" w:color="auto" w:fill="FFFFFF"/>
        </w:rPr>
        <w:t>,</w:t>
      </w:r>
      <w:r w:rsidR="00CB14E2">
        <w:rPr>
          <w:color w:val="333333"/>
          <w:sz w:val="24"/>
          <w:szCs w:val="24"/>
          <w:shd w:val="clear" w:color="auto" w:fill="FFFFFF"/>
        </w:rPr>
        <w:t xml:space="preserve"> and then dropped </w:t>
      </w:r>
      <w:r w:rsidR="00535B92">
        <w:rPr>
          <w:color w:val="333333"/>
          <w:sz w:val="24"/>
          <w:szCs w:val="24"/>
          <w:shd w:val="clear" w:color="auto" w:fill="FFFFFF"/>
        </w:rPr>
        <w:t xml:space="preserve">8% </w:t>
      </w:r>
      <w:r w:rsidR="008B0879">
        <w:rPr>
          <w:color w:val="333333"/>
          <w:sz w:val="24"/>
          <w:szCs w:val="24"/>
          <w:shd w:val="clear" w:color="auto" w:fill="FFFFFF"/>
        </w:rPr>
        <w:t>between 2019 and 2021 (</w:t>
      </w:r>
      <w:r w:rsidR="00535B92">
        <w:rPr>
          <w:color w:val="333333"/>
          <w:sz w:val="24"/>
          <w:szCs w:val="24"/>
          <w:shd w:val="clear" w:color="auto" w:fill="FFFFFF"/>
        </w:rPr>
        <w:t xml:space="preserve">to </w:t>
      </w:r>
      <w:r w:rsidR="002C4490">
        <w:rPr>
          <w:color w:val="333333"/>
          <w:sz w:val="24"/>
          <w:szCs w:val="24"/>
          <w:shd w:val="clear" w:color="auto" w:fill="FFFFFF"/>
        </w:rPr>
        <w:t xml:space="preserve">a rate of 485.7 per 100,000 in </w:t>
      </w:r>
      <w:r w:rsidR="00535B92">
        <w:rPr>
          <w:color w:val="333333"/>
          <w:sz w:val="24"/>
          <w:szCs w:val="24"/>
          <w:shd w:val="clear" w:color="auto" w:fill="FFFFFF"/>
        </w:rPr>
        <w:t>2021</w:t>
      </w:r>
      <w:r w:rsidR="008B0879">
        <w:rPr>
          <w:color w:val="333333"/>
          <w:sz w:val="24"/>
          <w:szCs w:val="24"/>
          <w:shd w:val="clear" w:color="auto" w:fill="FFFFFF"/>
        </w:rPr>
        <w:t>)</w:t>
      </w:r>
      <w:r w:rsidR="00373420">
        <w:rPr>
          <w:color w:val="333333"/>
          <w:sz w:val="24"/>
          <w:szCs w:val="24"/>
          <w:shd w:val="clear" w:color="auto" w:fill="FFFFFF"/>
        </w:rPr>
        <w:t xml:space="preserve">. In 2021 Springfield’s NFO rate </w:t>
      </w:r>
      <w:r w:rsidR="000F162C" w:rsidRPr="7C092436">
        <w:rPr>
          <w:color w:val="333333"/>
          <w:sz w:val="24"/>
          <w:szCs w:val="24"/>
        </w:rPr>
        <w:t>wa</w:t>
      </w:r>
      <w:r w:rsidR="00373420">
        <w:rPr>
          <w:color w:val="333333"/>
          <w:sz w:val="24"/>
          <w:szCs w:val="24"/>
          <w:shd w:val="clear" w:color="auto" w:fill="FFFFFF"/>
        </w:rPr>
        <w:t>s more than twice as high as Worcester</w:t>
      </w:r>
      <w:r w:rsidR="00A57455">
        <w:rPr>
          <w:color w:val="333333"/>
          <w:sz w:val="24"/>
          <w:szCs w:val="24"/>
          <w:shd w:val="clear" w:color="auto" w:fill="FFFFFF"/>
        </w:rPr>
        <w:t>’s</w:t>
      </w:r>
      <w:r w:rsidR="00373420">
        <w:rPr>
          <w:color w:val="333333"/>
          <w:sz w:val="24"/>
          <w:szCs w:val="24"/>
          <w:shd w:val="clear" w:color="auto" w:fill="FFFFFF"/>
        </w:rPr>
        <w:t xml:space="preserve"> and Boston’s. </w:t>
      </w:r>
      <w:r w:rsidR="0097375E">
        <w:rPr>
          <w:color w:val="333333"/>
          <w:sz w:val="24"/>
          <w:szCs w:val="24"/>
          <w:shd w:val="clear" w:color="auto" w:fill="FFFFFF"/>
        </w:rPr>
        <w:t xml:space="preserve">The NFO rate in </w:t>
      </w:r>
      <w:r w:rsidR="00312E0E">
        <w:rPr>
          <w:color w:val="333333"/>
          <w:sz w:val="24"/>
          <w:szCs w:val="24"/>
          <w:shd w:val="clear" w:color="auto" w:fill="FFFFFF"/>
        </w:rPr>
        <w:t>Worce</w:t>
      </w:r>
      <w:r w:rsidR="00E60F75">
        <w:rPr>
          <w:color w:val="333333"/>
          <w:sz w:val="24"/>
          <w:szCs w:val="24"/>
          <w:shd w:val="clear" w:color="auto" w:fill="FFFFFF"/>
        </w:rPr>
        <w:t xml:space="preserve">ster increased </w:t>
      </w:r>
      <w:r w:rsidR="00237418">
        <w:rPr>
          <w:color w:val="333333"/>
          <w:sz w:val="24"/>
          <w:szCs w:val="24"/>
          <w:shd w:val="clear" w:color="auto" w:fill="FFFFFF"/>
        </w:rPr>
        <w:t>160% from 2013 to 2016 (from 191.4 to 505.2</w:t>
      </w:r>
      <w:r w:rsidR="002C4490">
        <w:rPr>
          <w:color w:val="333333"/>
          <w:sz w:val="24"/>
          <w:szCs w:val="24"/>
          <w:shd w:val="clear" w:color="auto" w:fill="FFFFFF"/>
        </w:rPr>
        <w:t xml:space="preserve"> per 100,000</w:t>
      </w:r>
      <w:r w:rsidR="00237418">
        <w:rPr>
          <w:color w:val="333333"/>
          <w:sz w:val="24"/>
          <w:szCs w:val="24"/>
          <w:shd w:val="clear" w:color="auto" w:fill="FFFFFF"/>
        </w:rPr>
        <w:t>) then stabilized until 2019 and decreased</w:t>
      </w:r>
      <w:r w:rsidR="00435AA1">
        <w:rPr>
          <w:color w:val="333333"/>
          <w:sz w:val="24"/>
          <w:szCs w:val="24"/>
          <w:shd w:val="clear" w:color="auto" w:fill="FFFFFF"/>
        </w:rPr>
        <w:t xml:space="preserve"> 8% from 2019 to 2021 </w:t>
      </w:r>
      <w:r w:rsidR="002C4490">
        <w:rPr>
          <w:color w:val="333333"/>
          <w:sz w:val="24"/>
          <w:szCs w:val="24"/>
          <w:shd w:val="clear" w:color="auto" w:fill="FFFFFF"/>
        </w:rPr>
        <w:t>(</w:t>
      </w:r>
      <w:r w:rsidR="00435AA1">
        <w:rPr>
          <w:color w:val="333333"/>
          <w:sz w:val="24"/>
          <w:szCs w:val="24"/>
          <w:shd w:val="clear" w:color="auto" w:fill="FFFFFF"/>
        </w:rPr>
        <w:t>to 215.6 per 100,000</w:t>
      </w:r>
      <w:r w:rsidR="002C4490">
        <w:rPr>
          <w:color w:val="333333"/>
          <w:sz w:val="24"/>
          <w:szCs w:val="24"/>
          <w:shd w:val="clear" w:color="auto" w:fill="FFFFFF"/>
        </w:rPr>
        <w:t>)</w:t>
      </w:r>
      <w:r w:rsidR="00435AA1">
        <w:rPr>
          <w:color w:val="333333"/>
          <w:sz w:val="24"/>
          <w:szCs w:val="24"/>
          <w:shd w:val="clear" w:color="auto" w:fill="FFFFFF"/>
        </w:rPr>
        <w:t xml:space="preserve">. </w:t>
      </w:r>
    </w:p>
    <w:p w14:paraId="42CC595D" w14:textId="5D0528C1" w:rsidR="00DC0E37" w:rsidRDefault="003F0218" w:rsidP="00BF3C16">
      <w:pPr>
        <w:spacing w:after="0" w:line="276" w:lineRule="auto"/>
        <w:rPr>
          <w:color w:val="333333"/>
          <w:sz w:val="24"/>
          <w:szCs w:val="24"/>
          <w:shd w:val="clear" w:color="auto" w:fill="FFFFFF"/>
        </w:rPr>
      </w:pPr>
      <w:r>
        <w:rPr>
          <w:noProof/>
        </w:rPr>
        <w:drawing>
          <wp:inline distT="0" distB="0" distL="0" distR="0" wp14:anchorId="29F95107" wp14:editId="2D5541ED">
            <wp:extent cx="5943600" cy="2834640"/>
            <wp:effectExtent l="0" t="0" r="0" b="3810"/>
            <wp:docPr id="1627591667" name="Chart 1">
              <a:extLst xmlns:a="http://schemas.openxmlformats.org/drawingml/2006/main">
                <a:ext uri="{FF2B5EF4-FFF2-40B4-BE49-F238E27FC236}">
                  <a16:creationId xmlns:a16="http://schemas.microsoft.com/office/drawing/2014/main" id="{9946439A-6578-4C05-980D-FF91A6915B8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562E3D78" w14:textId="64AD42B8" w:rsidR="00BF3C16" w:rsidRDefault="0063702B" w:rsidP="00BF3C16">
      <w:pPr>
        <w:spacing w:after="0" w:line="276" w:lineRule="auto"/>
        <w:rPr>
          <w:color w:val="333333"/>
          <w:sz w:val="24"/>
          <w:szCs w:val="24"/>
          <w:shd w:val="clear" w:color="auto" w:fill="FFFFFF"/>
        </w:rPr>
      </w:pPr>
      <w:r w:rsidRPr="15B2EEF5">
        <w:rPr>
          <w:color w:val="333333"/>
          <w:sz w:val="24"/>
          <w:szCs w:val="24"/>
          <w:shd w:val="clear" w:color="auto" w:fill="FFFFFF"/>
        </w:rPr>
        <w:t>Figure 1</w:t>
      </w:r>
      <w:r w:rsidR="0097375E">
        <w:rPr>
          <w:color w:val="333333"/>
          <w:sz w:val="24"/>
          <w:szCs w:val="24"/>
          <w:shd w:val="clear" w:color="auto" w:fill="FFFFFF"/>
        </w:rPr>
        <w:t>1</w:t>
      </w:r>
      <w:r w:rsidRPr="15B2EEF5">
        <w:rPr>
          <w:color w:val="333333"/>
          <w:sz w:val="24"/>
          <w:szCs w:val="24"/>
          <w:shd w:val="clear" w:color="auto" w:fill="FFFFFF"/>
        </w:rPr>
        <w:t xml:space="preserve"> shows </w:t>
      </w:r>
      <w:r w:rsidR="00F7416C">
        <w:rPr>
          <w:color w:val="333333"/>
          <w:sz w:val="24"/>
          <w:szCs w:val="24"/>
          <w:shd w:val="clear" w:color="auto" w:fill="FFFFFF"/>
        </w:rPr>
        <w:t xml:space="preserve">the </w:t>
      </w:r>
      <w:r w:rsidR="00BA3A85">
        <w:rPr>
          <w:color w:val="333333"/>
          <w:sz w:val="24"/>
          <w:szCs w:val="24"/>
          <w:shd w:val="clear" w:color="auto" w:fill="FFFFFF"/>
        </w:rPr>
        <w:t xml:space="preserve">percent of the </w:t>
      </w:r>
      <w:r w:rsidRPr="15B2EEF5">
        <w:rPr>
          <w:color w:val="333333"/>
          <w:sz w:val="24"/>
          <w:szCs w:val="24"/>
          <w:shd w:val="clear" w:color="auto" w:fill="FFFFFF"/>
        </w:rPr>
        <w:t xml:space="preserve">NFO population </w:t>
      </w:r>
      <w:r w:rsidR="00BA3A85">
        <w:rPr>
          <w:color w:val="333333"/>
          <w:sz w:val="24"/>
          <w:szCs w:val="24"/>
          <w:shd w:val="clear" w:color="auto" w:fill="FFFFFF"/>
        </w:rPr>
        <w:t>versus all</w:t>
      </w:r>
      <w:r w:rsidR="00BA3A85" w:rsidRPr="15B2EEF5">
        <w:rPr>
          <w:color w:val="333333"/>
          <w:sz w:val="24"/>
          <w:szCs w:val="24"/>
          <w:shd w:val="clear" w:color="auto" w:fill="FFFFFF"/>
        </w:rPr>
        <w:t xml:space="preserve"> </w:t>
      </w:r>
      <w:r w:rsidR="00C413A3" w:rsidRPr="15B2EEF5">
        <w:rPr>
          <w:color w:val="333333"/>
          <w:sz w:val="24"/>
          <w:szCs w:val="24"/>
          <w:shd w:val="clear" w:color="auto" w:fill="FFFFFF"/>
        </w:rPr>
        <w:t xml:space="preserve">MA residents </w:t>
      </w:r>
      <w:r w:rsidR="00BA3A85">
        <w:rPr>
          <w:color w:val="333333"/>
          <w:sz w:val="24"/>
          <w:szCs w:val="24"/>
          <w:shd w:val="clear" w:color="auto" w:fill="FFFFFF"/>
        </w:rPr>
        <w:t>in</w:t>
      </w:r>
      <w:r w:rsidR="00C413A3" w:rsidRPr="15B2EEF5">
        <w:rPr>
          <w:color w:val="333333"/>
          <w:sz w:val="24"/>
          <w:szCs w:val="24"/>
          <w:shd w:val="clear" w:color="auto" w:fill="FFFFFF"/>
        </w:rPr>
        <w:t xml:space="preserve"> </w:t>
      </w:r>
      <w:r w:rsidR="0054479C" w:rsidRPr="15B2EEF5">
        <w:rPr>
          <w:color w:val="333333"/>
          <w:sz w:val="24"/>
          <w:szCs w:val="24"/>
          <w:shd w:val="clear" w:color="auto" w:fill="FFFFFF"/>
        </w:rPr>
        <w:t xml:space="preserve">selected </w:t>
      </w:r>
      <w:r w:rsidRPr="15B2EEF5">
        <w:rPr>
          <w:color w:val="333333"/>
          <w:sz w:val="24"/>
          <w:szCs w:val="24"/>
          <w:shd w:val="clear" w:color="auto" w:fill="FFFFFF"/>
        </w:rPr>
        <w:t>population group</w:t>
      </w:r>
      <w:r w:rsidR="0054479C" w:rsidRPr="15B2EEF5">
        <w:rPr>
          <w:color w:val="333333"/>
          <w:sz w:val="24"/>
          <w:szCs w:val="24"/>
          <w:shd w:val="clear" w:color="auto" w:fill="FFFFFF"/>
        </w:rPr>
        <w:t>s</w:t>
      </w:r>
      <w:r w:rsidRPr="15B2EEF5">
        <w:rPr>
          <w:color w:val="333333"/>
          <w:sz w:val="24"/>
          <w:szCs w:val="24"/>
          <w:shd w:val="clear" w:color="auto" w:fill="FFFFFF"/>
        </w:rPr>
        <w:t xml:space="preserve">. </w:t>
      </w:r>
      <w:r w:rsidR="00003EAA" w:rsidRPr="15B2EEF5">
        <w:rPr>
          <w:color w:val="333333"/>
          <w:sz w:val="24"/>
          <w:szCs w:val="24"/>
          <w:shd w:val="clear" w:color="auto" w:fill="FFFFFF"/>
        </w:rPr>
        <w:t xml:space="preserve"> </w:t>
      </w:r>
      <w:r w:rsidRPr="15B2EEF5">
        <w:rPr>
          <w:color w:val="333333"/>
          <w:sz w:val="24"/>
          <w:szCs w:val="24"/>
          <w:shd w:val="clear" w:color="auto" w:fill="FFFFFF"/>
        </w:rPr>
        <w:t xml:space="preserve">Nearly sixty percent of the </w:t>
      </w:r>
      <w:r w:rsidR="00AD69BA" w:rsidRPr="15B2EEF5">
        <w:rPr>
          <w:color w:val="333333"/>
          <w:sz w:val="24"/>
          <w:szCs w:val="24"/>
          <w:shd w:val="clear" w:color="auto" w:fill="FFFFFF"/>
        </w:rPr>
        <w:t xml:space="preserve">individuals who experienced </w:t>
      </w:r>
      <w:r w:rsidRPr="15B2EEF5">
        <w:rPr>
          <w:color w:val="333333"/>
          <w:sz w:val="24"/>
          <w:szCs w:val="24"/>
          <w:shd w:val="clear" w:color="auto" w:fill="FFFFFF"/>
        </w:rPr>
        <w:t>NFOs between 2013-</w:t>
      </w:r>
      <w:r w:rsidR="00893EF6">
        <w:rPr>
          <w:color w:val="333333"/>
          <w:sz w:val="24"/>
          <w:szCs w:val="24"/>
          <w:shd w:val="clear" w:color="auto" w:fill="FFFFFF"/>
        </w:rPr>
        <w:t>2021</w:t>
      </w:r>
      <w:r w:rsidRPr="15B2EEF5">
        <w:rPr>
          <w:color w:val="333333"/>
          <w:sz w:val="24"/>
          <w:szCs w:val="24"/>
          <w:shd w:val="clear" w:color="auto" w:fill="FFFFFF"/>
        </w:rPr>
        <w:t xml:space="preserve"> had been diagnosed with opioid-use disorder (OUD) before their first NFO, </w:t>
      </w:r>
      <w:r w:rsidR="00F7416C">
        <w:rPr>
          <w:color w:val="333333"/>
          <w:sz w:val="24"/>
          <w:szCs w:val="24"/>
          <w:shd w:val="clear" w:color="auto" w:fill="FFFFFF"/>
        </w:rPr>
        <w:t xml:space="preserve">and </w:t>
      </w:r>
      <w:r w:rsidRPr="15B2EEF5">
        <w:rPr>
          <w:color w:val="333333"/>
          <w:sz w:val="24"/>
          <w:szCs w:val="24"/>
          <w:shd w:val="clear" w:color="auto" w:fill="FFFFFF"/>
        </w:rPr>
        <w:t>18% were diagnosed following the first NFO</w:t>
      </w:r>
      <w:r w:rsidR="008A2FB9" w:rsidRPr="15B2EEF5">
        <w:rPr>
          <w:color w:val="333333"/>
          <w:sz w:val="24"/>
          <w:szCs w:val="24"/>
        </w:rPr>
        <w:t>. Overall</w:t>
      </w:r>
      <w:r w:rsidR="002163F7">
        <w:rPr>
          <w:color w:val="333333"/>
          <w:sz w:val="24"/>
          <w:szCs w:val="24"/>
        </w:rPr>
        <w:t xml:space="preserve">, </w:t>
      </w:r>
      <w:r w:rsidR="008A2FB9" w:rsidRPr="15B2EEF5">
        <w:rPr>
          <w:color w:val="333333"/>
          <w:sz w:val="24"/>
          <w:szCs w:val="24"/>
        </w:rPr>
        <w:t xml:space="preserve">77% of individuals who experienced </w:t>
      </w:r>
      <w:r w:rsidR="008A2FB9" w:rsidRPr="079BB20B">
        <w:rPr>
          <w:color w:val="333333"/>
          <w:sz w:val="24"/>
          <w:szCs w:val="24"/>
        </w:rPr>
        <w:t>a</w:t>
      </w:r>
      <w:r w:rsidR="396EA740" w:rsidRPr="079BB20B">
        <w:rPr>
          <w:color w:val="333333"/>
          <w:sz w:val="24"/>
          <w:szCs w:val="24"/>
        </w:rPr>
        <w:t xml:space="preserve"> documented </w:t>
      </w:r>
      <w:r w:rsidR="008A2FB9" w:rsidRPr="15B2EEF5">
        <w:rPr>
          <w:color w:val="333333"/>
          <w:sz w:val="24"/>
          <w:szCs w:val="24"/>
        </w:rPr>
        <w:t xml:space="preserve">NFO received an OUD diagnosis at </w:t>
      </w:r>
      <w:proofErr w:type="gramStart"/>
      <w:r w:rsidR="008A2FB9" w:rsidRPr="15B2EEF5">
        <w:rPr>
          <w:color w:val="333333"/>
          <w:sz w:val="24"/>
          <w:szCs w:val="24"/>
        </w:rPr>
        <w:t>some</w:t>
      </w:r>
      <w:proofErr w:type="gramEnd"/>
      <w:r w:rsidR="008A2FB9" w:rsidRPr="15B2EEF5">
        <w:rPr>
          <w:color w:val="333333"/>
          <w:sz w:val="24"/>
          <w:szCs w:val="24"/>
        </w:rPr>
        <w:t xml:space="preserve"> point,</w:t>
      </w:r>
      <w:r w:rsidRPr="15B2EEF5">
        <w:rPr>
          <w:color w:val="333333"/>
          <w:sz w:val="24"/>
          <w:szCs w:val="24"/>
          <w:shd w:val="clear" w:color="auto" w:fill="FFFFFF"/>
        </w:rPr>
        <w:t xml:space="preserve"> </w:t>
      </w:r>
      <w:r w:rsidR="00F7416C">
        <w:rPr>
          <w:color w:val="333333"/>
          <w:sz w:val="24"/>
          <w:szCs w:val="24"/>
          <w:shd w:val="clear" w:color="auto" w:fill="FFFFFF"/>
        </w:rPr>
        <w:t xml:space="preserve">almost twenty-six times higher than the 3% of MA residents </w:t>
      </w:r>
      <w:r w:rsidRPr="15B2EEF5">
        <w:rPr>
          <w:color w:val="333333"/>
          <w:sz w:val="24"/>
          <w:szCs w:val="24"/>
          <w:shd w:val="clear" w:color="auto" w:fill="FFFFFF"/>
        </w:rPr>
        <w:t>diagnosed with OUD. More than half (5</w:t>
      </w:r>
      <w:r w:rsidR="006D676B">
        <w:rPr>
          <w:color w:val="333333"/>
          <w:sz w:val="24"/>
          <w:szCs w:val="24"/>
          <w:shd w:val="clear" w:color="auto" w:fill="FFFFFF"/>
        </w:rPr>
        <w:t>5</w:t>
      </w:r>
      <w:r w:rsidRPr="15B2EEF5">
        <w:rPr>
          <w:color w:val="333333"/>
          <w:sz w:val="24"/>
          <w:szCs w:val="24"/>
          <w:shd w:val="clear" w:color="auto" w:fill="FFFFFF"/>
        </w:rPr>
        <w:t xml:space="preserve">%) of residents who experienced an NFO had been homeless at </w:t>
      </w:r>
      <w:proofErr w:type="gramStart"/>
      <w:r w:rsidRPr="15B2EEF5">
        <w:rPr>
          <w:color w:val="333333"/>
          <w:sz w:val="24"/>
          <w:szCs w:val="24"/>
          <w:shd w:val="clear" w:color="auto" w:fill="FFFFFF"/>
        </w:rPr>
        <w:t>some</w:t>
      </w:r>
      <w:proofErr w:type="gramEnd"/>
      <w:r w:rsidRPr="15B2EEF5">
        <w:rPr>
          <w:color w:val="333333"/>
          <w:sz w:val="24"/>
          <w:szCs w:val="24"/>
          <w:shd w:val="clear" w:color="auto" w:fill="FFFFFF"/>
        </w:rPr>
        <w:t xml:space="preserve"> time from </w:t>
      </w:r>
      <w:r w:rsidR="002333FB" w:rsidRPr="42A8BDB9">
        <w:rPr>
          <w:color w:val="333333"/>
          <w:sz w:val="24"/>
          <w:szCs w:val="24"/>
        </w:rPr>
        <w:t xml:space="preserve">2011 </w:t>
      </w:r>
      <w:r w:rsidR="00080769" w:rsidRPr="15B2EEF5">
        <w:rPr>
          <w:color w:val="333333"/>
          <w:sz w:val="24"/>
          <w:szCs w:val="24"/>
          <w:shd w:val="clear" w:color="auto" w:fill="FFFFFF"/>
        </w:rPr>
        <w:t>through</w:t>
      </w:r>
      <w:r w:rsidRPr="15B2EEF5">
        <w:rPr>
          <w:color w:val="333333"/>
          <w:sz w:val="24"/>
          <w:szCs w:val="24"/>
          <w:shd w:val="clear" w:color="auto" w:fill="FFFFFF"/>
        </w:rPr>
        <w:t xml:space="preserve"> </w:t>
      </w:r>
      <w:r w:rsidR="00893EF6">
        <w:rPr>
          <w:color w:val="333333"/>
          <w:sz w:val="24"/>
          <w:szCs w:val="24"/>
          <w:shd w:val="clear" w:color="auto" w:fill="FFFFFF"/>
        </w:rPr>
        <w:t>2021</w:t>
      </w:r>
      <w:r w:rsidR="00F7416C">
        <w:rPr>
          <w:color w:val="333333"/>
          <w:sz w:val="24"/>
          <w:szCs w:val="24"/>
          <w:shd w:val="clear" w:color="auto" w:fill="FFFFFF"/>
        </w:rPr>
        <w:t>,</w:t>
      </w:r>
      <w:r w:rsidRPr="15B2EEF5">
        <w:rPr>
          <w:color w:val="333333"/>
          <w:sz w:val="24"/>
          <w:szCs w:val="24"/>
          <w:shd w:val="clear" w:color="auto" w:fill="FFFFFF"/>
        </w:rPr>
        <w:t xml:space="preserve"> compared to 4% of </w:t>
      </w:r>
      <w:r w:rsidR="00E117F6">
        <w:rPr>
          <w:color w:val="333333"/>
          <w:sz w:val="24"/>
          <w:szCs w:val="24"/>
          <w:shd w:val="clear" w:color="auto" w:fill="FFFFFF"/>
        </w:rPr>
        <w:t xml:space="preserve">all </w:t>
      </w:r>
      <w:r w:rsidR="0011194A" w:rsidRPr="15B2EEF5">
        <w:rPr>
          <w:color w:val="333333"/>
          <w:sz w:val="24"/>
          <w:szCs w:val="24"/>
          <w:shd w:val="clear" w:color="auto" w:fill="FFFFFF"/>
        </w:rPr>
        <w:t xml:space="preserve">MA </w:t>
      </w:r>
      <w:r w:rsidRPr="15B2EEF5">
        <w:rPr>
          <w:color w:val="333333"/>
          <w:sz w:val="24"/>
          <w:szCs w:val="24"/>
          <w:shd w:val="clear" w:color="auto" w:fill="FFFFFF"/>
        </w:rPr>
        <w:t xml:space="preserve">residents during the same period.  </w:t>
      </w:r>
      <w:r w:rsidR="00F7416C">
        <w:rPr>
          <w:color w:val="333333"/>
          <w:sz w:val="24"/>
          <w:szCs w:val="24"/>
          <w:shd w:val="clear" w:color="auto" w:fill="FFFFFF"/>
        </w:rPr>
        <w:t>And o</w:t>
      </w:r>
      <w:r w:rsidRPr="15B2EEF5">
        <w:rPr>
          <w:color w:val="333333"/>
          <w:sz w:val="24"/>
          <w:szCs w:val="24"/>
          <w:shd w:val="clear" w:color="auto" w:fill="FFFFFF"/>
        </w:rPr>
        <w:t>ver a third (3</w:t>
      </w:r>
      <w:r w:rsidR="001E5BF3">
        <w:rPr>
          <w:color w:val="333333"/>
          <w:sz w:val="24"/>
          <w:szCs w:val="24"/>
          <w:shd w:val="clear" w:color="auto" w:fill="FFFFFF"/>
        </w:rPr>
        <w:t>9</w:t>
      </w:r>
      <w:r w:rsidRPr="15B2EEF5">
        <w:rPr>
          <w:color w:val="333333"/>
          <w:sz w:val="24"/>
          <w:szCs w:val="24"/>
          <w:shd w:val="clear" w:color="auto" w:fill="FFFFFF"/>
        </w:rPr>
        <w:t xml:space="preserve">%) of residents who experienced an NFO </w:t>
      </w:r>
      <w:r w:rsidR="009D43E1" w:rsidRPr="15B2EEF5">
        <w:rPr>
          <w:color w:val="333333"/>
          <w:sz w:val="24"/>
          <w:szCs w:val="24"/>
          <w:shd w:val="clear" w:color="auto" w:fill="FFFFFF"/>
        </w:rPr>
        <w:t xml:space="preserve">had been </w:t>
      </w:r>
      <w:r w:rsidRPr="15B2EEF5">
        <w:rPr>
          <w:color w:val="333333"/>
          <w:sz w:val="24"/>
          <w:szCs w:val="24"/>
          <w:shd w:val="clear" w:color="auto" w:fill="FFFFFF"/>
        </w:rPr>
        <w:t xml:space="preserve">incarcerated </w:t>
      </w:r>
      <w:r w:rsidR="009577E6" w:rsidRPr="15B2EEF5">
        <w:rPr>
          <w:color w:val="333333"/>
          <w:sz w:val="24"/>
          <w:szCs w:val="24"/>
          <w:shd w:val="clear" w:color="auto" w:fill="FFFFFF"/>
        </w:rPr>
        <w:t xml:space="preserve">between </w:t>
      </w:r>
      <w:r w:rsidR="00925F89" w:rsidRPr="42A8BDB9">
        <w:rPr>
          <w:color w:val="333333"/>
          <w:sz w:val="24"/>
          <w:szCs w:val="24"/>
        </w:rPr>
        <w:t xml:space="preserve">2011 </w:t>
      </w:r>
      <w:r w:rsidR="009577E6" w:rsidRPr="15B2EEF5">
        <w:rPr>
          <w:color w:val="333333"/>
          <w:sz w:val="24"/>
          <w:szCs w:val="24"/>
          <w:shd w:val="clear" w:color="auto" w:fill="FFFFFF"/>
        </w:rPr>
        <w:t xml:space="preserve">and </w:t>
      </w:r>
      <w:r w:rsidR="00893EF6">
        <w:rPr>
          <w:color w:val="333333"/>
          <w:sz w:val="24"/>
          <w:szCs w:val="24"/>
          <w:shd w:val="clear" w:color="auto" w:fill="FFFFFF"/>
        </w:rPr>
        <w:t>2021</w:t>
      </w:r>
      <w:r w:rsidRPr="15B2EEF5">
        <w:rPr>
          <w:color w:val="333333"/>
          <w:sz w:val="24"/>
          <w:szCs w:val="24"/>
          <w:shd w:val="clear" w:color="auto" w:fill="FFFFFF"/>
        </w:rPr>
        <w:t xml:space="preserve">, compared to 1.4% of </w:t>
      </w:r>
      <w:r w:rsidR="00FC32E5" w:rsidRPr="15B2EEF5">
        <w:rPr>
          <w:color w:val="333333"/>
          <w:sz w:val="24"/>
          <w:szCs w:val="24"/>
          <w:shd w:val="clear" w:color="auto" w:fill="FFFFFF"/>
        </w:rPr>
        <w:t xml:space="preserve">all MA </w:t>
      </w:r>
      <w:r w:rsidRPr="15B2EEF5">
        <w:rPr>
          <w:color w:val="333333"/>
          <w:sz w:val="24"/>
          <w:szCs w:val="24"/>
          <w:shd w:val="clear" w:color="auto" w:fill="FFFFFF"/>
        </w:rPr>
        <w:t xml:space="preserve">residents during the same period. </w:t>
      </w:r>
      <w:r w:rsidR="00971851" w:rsidRPr="15B2EEF5">
        <w:rPr>
          <w:color w:val="333333"/>
          <w:sz w:val="24"/>
          <w:szCs w:val="24"/>
          <w:shd w:val="clear" w:color="auto" w:fill="FFFFFF"/>
        </w:rPr>
        <w:t xml:space="preserve">Nearly 50% </w:t>
      </w:r>
      <w:r w:rsidR="00294BE5" w:rsidRPr="15B2EEF5">
        <w:rPr>
          <w:color w:val="333333"/>
          <w:sz w:val="24"/>
          <w:szCs w:val="24"/>
          <w:shd w:val="clear" w:color="auto" w:fill="FFFFFF"/>
        </w:rPr>
        <w:t xml:space="preserve">of the residents who experienced a documented NFO had less than a high school education, which is </w:t>
      </w:r>
      <w:r w:rsidR="00184D07" w:rsidRPr="15B2EEF5">
        <w:rPr>
          <w:color w:val="333333"/>
          <w:sz w:val="24"/>
          <w:szCs w:val="24"/>
          <w:shd w:val="clear" w:color="auto" w:fill="FFFFFF"/>
        </w:rPr>
        <w:t xml:space="preserve">almost four times higher than </w:t>
      </w:r>
      <w:r w:rsidR="00A5070F">
        <w:rPr>
          <w:color w:val="333333"/>
          <w:sz w:val="24"/>
          <w:szCs w:val="24"/>
          <w:shd w:val="clear" w:color="auto" w:fill="FFFFFF"/>
        </w:rPr>
        <w:t xml:space="preserve">the rate in all </w:t>
      </w:r>
      <w:r w:rsidR="00F11F56" w:rsidRPr="15B2EEF5">
        <w:rPr>
          <w:color w:val="333333"/>
          <w:sz w:val="24"/>
          <w:szCs w:val="24"/>
          <w:shd w:val="clear" w:color="auto" w:fill="FFFFFF"/>
        </w:rPr>
        <w:t>MA residents</w:t>
      </w:r>
      <w:r w:rsidR="00685671" w:rsidRPr="15B2EEF5">
        <w:rPr>
          <w:color w:val="333333"/>
          <w:sz w:val="24"/>
          <w:szCs w:val="24"/>
          <w:shd w:val="clear" w:color="auto" w:fill="FFFFFF"/>
        </w:rPr>
        <w:t xml:space="preserve"> with </w:t>
      </w:r>
      <w:r w:rsidR="00F7416C">
        <w:rPr>
          <w:color w:val="333333"/>
          <w:sz w:val="24"/>
          <w:szCs w:val="24"/>
          <w:shd w:val="clear" w:color="auto" w:fill="FFFFFF"/>
        </w:rPr>
        <w:t xml:space="preserve">a </w:t>
      </w:r>
      <w:r w:rsidR="00685671" w:rsidRPr="15B2EEF5">
        <w:rPr>
          <w:color w:val="333333"/>
          <w:sz w:val="24"/>
          <w:szCs w:val="24"/>
          <w:shd w:val="clear" w:color="auto" w:fill="FFFFFF"/>
        </w:rPr>
        <w:t xml:space="preserve">known education </w:t>
      </w:r>
      <w:r w:rsidR="006E0C38" w:rsidRPr="15B2EEF5">
        <w:rPr>
          <w:color w:val="333333"/>
          <w:sz w:val="24"/>
          <w:szCs w:val="24"/>
          <w:shd w:val="clear" w:color="auto" w:fill="FFFFFF"/>
        </w:rPr>
        <w:t xml:space="preserve">level </w:t>
      </w:r>
      <w:r w:rsidR="00685671" w:rsidRPr="15B2EEF5">
        <w:rPr>
          <w:color w:val="333333"/>
          <w:sz w:val="24"/>
          <w:szCs w:val="24"/>
          <w:shd w:val="clear" w:color="auto" w:fill="FFFFFF"/>
        </w:rPr>
        <w:t xml:space="preserve">in the PHD. </w:t>
      </w:r>
      <w:r w:rsidR="001E5BF3">
        <w:rPr>
          <w:color w:val="333333"/>
          <w:sz w:val="24"/>
          <w:szCs w:val="24"/>
          <w:shd w:val="clear" w:color="auto" w:fill="FFFFFF"/>
        </w:rPr>
        <w:t>Twelve</w:t>
      </w:r>
      <w:r w:rsidRPr="15B2EEF5">
        <w:rPr>
          <w:color w:val="333333"/>
          <w:sz w:val="24"/>
          <w:szCs w:val="24"/>
          <w:shd w:val="clear" w:color="auto" w:fill="FFFFFF"/>
        </w:rPr>
        <w:t xml:space="preserve"> percent of residents who experienced an NFO were known veterans, which is more than </w:t>
      </w:r>
      <w:r w:rsidR="001E5BF3">
        <w:rPr>
          <w:color w:val="333333"/>
          <w:sz w:val="24"/>
          <w:szCs w:val="24"/>
          <w:shd w:val="clear" w:color="auto" w:fill="FFFFFF"/>
        </w:rPr>
        <w:t xml:space="preserve">triple </w:t>
      </w:r>
      <w:r w:rsidRPr="15B2EEF5">
        <w:rPr>
          <w:color w:val="333333"/>
          <w:sz w:val="24"/>
          <w:szCs w:val="24"/>
          <w:shd w:val="clear" w:color="auto" w:fill="FFFFFF"/>
        </w:rPr>
        <w:t>the 3.4% of residents known to be veterans in the PHD.</w:t>
      </w:r>
    </w:p>
    <w:p w14:paraId="4EE560F2" w14:textId="4EECE62A" w:rsidR="003E648E" w:rsidRDefault="003E648E" w:rsidP="00BF3C16">
      <w:pPr>
        <w:spacing w:after="0" w:line="276" w:lineRule="auto"/>
        <w:rPr>
          <w:color w:val="333333"/>
          <w:sz w:val="24"/>
          <w:szCs w:val="24"/>
          <w:shd w:val="clear" w:color="auto" w:fill="FFFFFF"/>
        </w:rPr>
      </w:pPr>
      <w:r>
        <w:rPr>
          <w:noProof/>
        </w:rPr>
        <w:lastRenderedPageBreak/>
        <w:drawing>
          <wp:inline distT="0" distB="0" distL="0" distR="0" wp14:anchorId="7146BFD5" wp14:editId="42BEC106">
            <wp:extent cx="5943600" cy="2838450"/>
            <wp:effectExtent l="0" t="0" r="0" b="0"/>
            <wp:docPr id="1818295442" name="Chart 1" descr="Figure 11. Percent of NFO population and MA residents who are in select population groups, MA residents, 2013-2021. A bar chart showing the NFO and MA residents proportions within 5 population groups, those with prior OUD diagnosis (77% of NFO and 3% of MA) , Ever homeless(55% of NFO and 4% of MA) , Ever incarcerated (39% of NFO and 2% of MA), less than high school education (47% of NFO and 12% of MA) and veteran(12% of NFO and 3% of MA).">
              <a:extLst xmlns:a="http://schemas.openxmlformats.org/drawingml/2006/main">
                <a:ext uri="{FF2B5EF4-FFF2-40B4-BE49-F238E27FC236}">
                  <a16:creationId xmlns:a16="http://schemas.microsoft.com/office/drawing/2014/main" id="{F0B0A38F-7ABB-4E9E-841D-29FB3EB1ABF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24415D05" w14:textId="5EE616E2" w:rsidR="00DB1451" w:rsidRDefault="00446416" w:rsidP="6FF6E01A">
      <w:pPr>
        <w:spacing w:after="0" w:line="276" w:lineRule="auto"/>
        <w:rPr>
          <w:noProof/>
        </w:rPr>
      </w:pPr>
      <w:r w:rsidRPr="00446416">
        <w:rPr>
          <w:noProof/>
        </w:rPr>
        <w:t xml:space="preserve"> </w:t>
      </w:r>
      <w:r w:rsidR="05C0F37B" w:rsidRPr="6FF6E01A">
        <w:rPr>
          <w:color w:val="333333"/>
          <w:sz w:val="24"/>
          <w:szCs w:val="24"/>
          <w:shd w:val="clear" w:color="auto" w:fill="FFFFFF"/>
        </w:rPr>
        <w:t>Figure 1</w:t>
      </w:r>
      <w:r w:rsidR="00767934">
        <w:rPr>
          <w:color w:val="333333"/>
          <w:sz w:val="24"/>
          <w:szCs w:val="24"/>
          <w:shd w:val="clear" w:color="auto" w:fill="FFFFFF"/>
        </w:rPr>
        <w:t>2</w:t>
      </w:r>
      <w:r w:rsidR="05C0F37B" w:rsidRPr="6FF6E01A">
        <w:rPr>
          <w:color w:val="333333"/>
          <w:sz w:val="24"/>
          <w:szCs w:val="24"/>
          <w:shd w:val="clear" w:color="auto" w:fill="FFFFFF"/>
        </w:rPr>
        <w:t xml:space="preserve"> characterizes residents who experienced an NFO and were identified as having a disability in the PHD. People with disabilities are likely to experience structural ableism and barriers to accessing health care</w:t>
      </w:r>
      <w:r w:rsidR="1DC65829" w:rsidRPr="6FF6E01A">
        <w:rPr>
          <w:color w:val="333333"/>
          <w:sz w:val="24"/>
          <w:szCs w:val="24"/>
          <w:shd w:val="clear" w:color="auto" w:fill="FFFFFF"/>
        </w:rPr>
        <w:t>,</w:t>
      </w:r>
      <w:r w:rsidR="05C0F37B" w:rsidRPr="6FF6E01A">
        <w:rPr>
          <w:color w:val="333333"/>
          <w:sz w:val="24"/>
          <w:szCs w:val="24"/>
          <w:shd w:val="clear" w:color="auto" w:fill="FFFFFF"/>
        </w:rPr>
        <w:t xml:space="preserve"> which may hamper their ability to seek medical help and manage health issues</w:t>
      </w:r>
      <w:r w:rsidR="1DC65829" w:rsidRPr="6FF6E01A">
        <w:rPr>
          <w:color w:val="333333"/>
          <w:sz w:val="24"/>
          <w:szCs w:val="24"/>
          <w:shd w:val="clear" w:color="auto" w:fill="FFFFFF"/>
        </w:rPr>
        <w:t>,</w:t>
      </w:r>
      <w:r w:rsidR="05C0F37B" w:rsidRPr="6FF6E01A">
        <w:rPr>
          <w:color w:val="333333"/>
          <w:sz w:val="24"/>
          <w:szCs w:val="24"/>
          <w:shd w:val="clear" w:color="auto" w:fill="FFFFFF"/>
        </w:rPr>
        <w:t xml:space="preserve"> including chronic pain and substance use disorder. Among residents who experienced an NFO, </w:t>
      </w:r>
      <w:r w:rsidR="00D5036F">
        <w:rPr>
          <w:color w:val="333333"/>
          <w:sz w:val="24"/>
          <w:szCs w:val="24"/>
          <w:shd w:val="clear" w:color="auto" w:fill="FFFFFF"/>
        </w:rPr>
        <w:t>72%</w:t>
      </w:r>
      <w:r w:rsidR="00F9540C">
        <w:rPr>
          <w:color w:val="333333"/>
          <w:sz w:val="24"/>
          <w:szCs w:val="24"/>
          <w:shd w:val="clear" w:color="auto" w:fill="FFFFFF"/>
        </w:rPr>
        <w:t xml:space="preserve"> (52,198)</w:t>
      </w:r>
      <w:r w:rsidR="00D5036F">
        <w:rPr>
          <w:color w:val="333333"/>
          <w:sz w:val="24"/>
          <w:szCs w:val="24"/>
          <w:shd w:val="clear" w:color="auto" w:fill="FFFFFF"/>
        </w:rPr>
        <w:t xml:space="preserve"> had a mental health disability diagnosis</w:t>
      </w:r>
      <w:r w:rsidR="0094781B">
        <w:rPr>
          <w:color w:val="333333"/>
          <w:sz w:val="24"/>
          <w:szCs w:val="24"/>
          <w:shd w:val="clear" w:color="auto" w:fill="FFFFFF"/>
        </w:rPr>
        <w:t xml:space="preserve"> between 2013 and 2021</w:t>
      </w:r>
      <w:r w:rsidR="00D5036F">
        <w:rPr>
          <w:color w:val="333333"/>
          <w:sz w:val="24"/>
          <w:szCs w:val="24"/>
          <w:shd w:val="clear" w:color="auto" w:fill="FFFFFF"/>
        </w:rPr>
        <w:t xml:space="preserve"> which is </w:t>
      </w:r>
      <w:r w:rsidR="00B678DC">
        <w:rPr>
          <w:color w:val="333333"/>
          <w:sz w:val="24"/>
          <w:szCs w:val="24"/>
          <w:shd w:val="clear" w:color="auto" w:fill="FFFFFF"/>
        </w:rPr>
        <w:t xml:space="preserve">three times higher than the 23% of MA residents. </w:t>
      </w:r>
      <w:r w:rsidR="00560BDD">
        <w:rPr>
          <w:color w:val="333333"/>
          <w:sz w:val="24"/>
          <w:szCs w:val="24"/>
          <w:shd w:val="clear" w:color="auto" w:fill="FFFFFF"/>
        </w:rPr>
        <w:t>Sixty five percent</w:t>
      </w:r>
      <w:r w:rsidR="05C0F37B" w:rsidRPr="6FF6E01A">
        <w:rPr>
          <w:color w:val="333333"/>
          <w:sz w:val="24"/>
          <w:szCs w:val="24"/>
          <w:shd w:val="clear" w:color="auto" w:fill="FFFFFF"/>
        </w:rPr>
        <w:t xml:space="preserve"> (</w:t>
      </w:r>
      <w:r w:rsidR="7E2A74CF" w:rsidRPr="6FF6E01A">
        <w:rPr>
          <w:color w:val="333333"/>
          <w:sz w:val="24"/>
          <w:szCs w:val="24"/>
          <w:shd w:val="clear" w:color="auto" w:fill="FFFFFF"/>
        </w:rPr>
        <w:t>4</w:t>
      </w:r>
      <w:r w:rsidR="00F9540C">
        <w:rPr>
          <w:color w:val="333333"/>
          <w:sz w:val="24"/>
          <w:szCs w:val="24"/>
          <w:shd w:val="clear" w:color="auto" w:fill="FFFFFF"/>
        </w:rPr>
        <w:t>7,100</w:t>
      </w:r>
      <w:r w:rsidR="05C0F37B" w:rsidRPr="6FF6E01A">
        <w:rPr>
          <w:color w:val="333333"/>
          <w:sz w:val="24"/>
          <w:szCs w:val="24"/>
          <w:shd w:val="clear" w:color="auto" w:fill="FFFFFF"/>
        </w:rPr>
        <w:t>) had a</w:t>
      </w:r>
      <w:r w:rsidR="7956820B" w:rsidRPr="6FF6E01A">
        <w:rPr>
          <w:color w:val="333333"/>
          <w:sz w:val="24"/>
          <w:szCs w:val="24"/>
          <w:shd w:val="clear" w:color="auto" w:fill="FFFFFF"/>
        </w:rPr>
        <w:t xml:space="preserve"> mobility </w:t>
      </w:r>
      <w:r w:rsidR="05C0F37B" w:rsidRPr="6FF6E01A">
        <w:rPr>
          <w:color w:val="333333"/>
          <w:sz w:val="24"/>
          <w:szCs w:val="24"/>
          <w:shd w:val="clear" w:color="auto" w:fill="FFFFFF"/>
        </w:rPr>
        <w:t>disability diagnosis</w:t>
      </w:r>
      <w:r w:rsidR="5B1A3955" w:rsidRPr="6FF6E01A">
        <w:rPr>
          <w:color w:val="333333"/>
          <w:sz w:val="24"/>
          <w:szCs w:val="24"/>
          <w:shd w:val="clear" w:color="auto" w:fill="FFFFFF"/>
        </w:rPr>
        <w:t xml:space="preserve">, </w:t>
      </w:r>
      <w:r w:rsidR="00A22211">
        <w:rPr>
          <w:color w:val="333333"/>
          <w:sz w:val="24"/>
          <w:szCs w:val="24"/>
          <w:shd w:val="clear" w:color="auto" w:fill="FFFFFF"/>
        </w:rPr>
        <w:t xml:space="preserve">more than double the </w:t>
      </w:r>
      <w:r w:rsidR="40BAB1B3" w:rsidRPr="6FF6E01A">
        <w:rPr>
          <w:color w:val="333333"/>
          <w:sz w:val="24"/>
          <w:szCs w:val="24"/>
          <w:shd w:val="clear" w:color="auto" w:fill="FFFFFF"/>
        </w:rPr>
        <w:t>31% of all MA</w:t>
      </w:r>
      <w:r w:rsidR="34348AD9" w:rsidRPr="6FF6E01A">
        <w:rPr>
          <w:color w:val="333333"/>
          <w:sz w:val="24"/>
          <w:szCs w:val="24"/>
          <w:shd w:val="clear" w:color="auto" w:fill="FFFFFF"/>
        </w:rPr>
        <w:t xml:space="preserve"> residents.</w:t>
      </w:r>
      <w:r w:rsidR="6409319C" w:rsidRPr="6FF6E01A">
        <w:rPr>
          <w:color w:val="333333"/>
          <w:sz w:val="24"/>
          <w:szCs w:val="24"/>
          <w:shd w:val="clear" w:color="auto" w:fill="FFFFFF"/>
        </w:rPr>
        <w:t xml:space="preserve"> </w:t>
      </w:r>
      <w:r w:rsidR="05C0F37B" w:rsidRPr="6FF6E01A">
        <w:rPr>
          <w:color w:val="333333"/>
          <w:sz w:val="24"/>
          <w:szCs w:val="24"/>
          <w:shd w:val="clear" w:color="auto" w:fill="FFFFFF"/>
        </w:rPr>
        <w:t>Twenty-s</w:t>
      </w:r>
      <w:r w:rsidR="00CD79DC">
        <w:rPr>
          <w:color w:val="333333"/>
          <w:sz w:val="24"/>
          <w:szCs w:val="24"/>
          <w:shd w:val="clear" w:color="auto" w:fill="FFFFFF"/>
        </w:rPr>
        <w:t>ix</w:t>
      </w:r>
      <w:r w:rsidR="05C0F37B" w:rsidRPr="6FF6E01A">
        <w:rPr>
          <w:color w:val="333333"/>
          <w:sz w:val="24"/>
          <w:szCs w:val="24"/>
          <w:shd w:val="clear" w:color="auto" w:fill="FFFFFF"/>
        </w:rPr>
        <w:t xml:space="preserve"> percent (1</w:t>
      </w:r>
      <w:r w:rsidR="00692DCC">
        <w:rPr>
          <w:color w:val="333333"/>
          <w:sz w:val="24"/>
          <w:szCs w:val="24"/>
          <w:shd w:val="clear" w:color="auto" w:fill="FFFFFF"/>
        </w:rPr>
        <w:t>8,928</w:t>
      </w:r>
      <w:r w:rsidR="05C0F37B" w:rsidRPr="6FF6E01A">
        <w:rPr>
          <w:color w:val="333333"/>
          <w:sz w:val="24"/>
          <w:szCs w:val="24"/>
          <w:shd w:val="clear" w:color="auto" w:fill="FFFFFF"/>
        </w:rPr>
        <w:t xml:space="preserve">) of residents experiencing an NFO </w:t>
      </w:r>
      <w:r w:rsidR="0000178B">
        <w:rPr>
          <w:color w:val="333333"/>
          <w:sz w:val="24"/>
          <w:szCs w:val="24"/>
          <w:shd w:val="clear" w:color="auto" w:fill="FFFFFF"/>
        </w:rPr>
        <w:t xml:space="preserve">were diagnosed with </w:t>
      </w:r>
      <w:r w:rsidR="05C0F37B" w:rsidRPr="6FF6E01A">
        <w:rPr>
          <w:color w:val="333333"/>
          <w:sz w:val="24"/>
          <w:szCs w:val="24"/>
          <w:shd w:val="clear" w:color="auto" w:fill="FFFFFF"/>
        </w:rPr>
        <w:t xml:space="preserve">developmental disabilities, more than three times the </w:t>
      </w:r>
      <w:r w:rsidR="5EEB8456" w:rsidRPr="6FF6E01A">
        <w:rPr>
          <w:color w:val="333333"/>
          <w:sz w:val="24"/>
          <w:szCs w:val="24"/>
          <w:shd w:val="clear" w:color="auto" w:fill="FFFFFF"/>
        </w:rPr>
        <w:t xml:space="preserve">rate </w:t>
      </w:r>
      <w:r w:rsidR="05C0F37B" w:rsidRPr="6FF6E01A">
        <w:rPr>
          <w:color w:val="333333"/>
          <w:sz w:val="24"/>
          <w:szCs w:val="24"/>
          <w:shd w:val="clear" w:color="auto" w:fill="FFFFFF"/>
        </w:rPr>
        <w:t xml:space="preserve">of </w:t>
      </w:r>
      <w:r w:rsidR="00331791">
        <w:rPr>
          <w:color w:val="333333"/>
          <w:sz w:val="24"/>
          <w:szCs w:val="24"/>
          <w:shd w:val="clear" w:color="auto" w:fill="FFFFFF"/>
        </w:rPr>
        <w:t xml:space="preserve">all MA </w:t>
      </w:r>
      <w:r w:rsidR="05C0F37B" w:rsidRPr="6FF6E01A">
        <w:rPr>
          <w:color w:val="333333"/>
          <w:sz w:val="24"/>
          <w:szCs w:val="24"/>
          <w:shd w:val="clear" w:color="auto" w:fill="FFFFFF"/>
        </w:rPr>
        <w:t>residents in the PHD</w:t>
      </w:r>
      <w:r w:rsidR="00331791">
        <w:rPr>
          <w:color w:val="333333"/>
          <w:sz w:val="24"/>
          <w:szCs w:val="24"/>
          <w:shd w:val="clear" w:color="auto" w:fill="FFFFFF"/>
        </w:rPr>
        <w:t xml:space="preserve"> (8%)</w:t>
      </w:r>
      <w:r w:rsidR="774032E6" w:rsidRPr="6FF6E01A">
        <w:rPr>
          <w:color w:val="333333"/>
          <w:sz w:val="24"/>
          <w:szCs w:val="24"/>
          <w:shd w:val="clear" w:color="auto" w:fill="FFFFFF"/>
        </w:rPr>
        <w:t>.</w:t>
      </w:r>
      <w:r w:rsidR="5EEB8456" w:rsidRPr="6FF6E01A">
        <w:rPr>
          <w:color w:val="333333"/>
          <w:sz w:val="24"/>
          <w:szCs w:val="24"/>
          <w:shd w:val="clear" w:color="auto" w:fill="FFFFFF"/>
        </w:rPr>
        <w:t xml:space="preserve"> </w:t>
      </w:r>
      <w:r w:rsidR="00CD79DC">
        <w:rPr>
          <w:color w:val="333333"/>
          <w:sz w:val="24"/>
          <w:szCs w:val="24"/>
          <w:shd w:val="clear" w:color="auto" w:fill="FFFFFF"/>
        </w:rPr>
        <w:t>Thirteen</w:t>
      </w:r>
      <w:r w:rsidR="05C0F37B" w:rsidRPr="6FF6E01A">
        <w:rPr>
          <w:color w:val="333333"/>
          <w:sz w:val="24"/>
          <w:szCs w:val="24"/>
          <w:shd w:val="clear" w:color="auto" w:fill="FFFFFF"/>
        </w:rPr>
        <w:t xml:space="preserve"> percent (</w:t>
      </w:r>
      <w:r w:rsidR="00692DCC">
        <w:rPr>
          <w:color w:val="333333"/>
          <w:sz w:val="24"/>
          <w:szCs w:val="24"/>
          <w:shd w:val="clear" w:color="auto" w:fill="FFFFFF"/>
        </w:rPr>
        <w:t>9,380</w:t>
      </w:r>
      <w:r w:rsidR="05C0F37B" w:rsidRPr="6FF6E01A">
        <w:rPr>
          <w:color w:val="333333"/>
          <w:sz w:val="24"/>
          <w:szCs w:val="24"/>
          <w:shd w:val="clear" w:color="auto" w:fill="FFFFFF"/>
        </w:rPr>
        <w:t xml:space="preserve">) of residents experiencing an NFO had </w:t>
      </w:r>
      <w:r w:rsidR="0000178B">
        <w:rPr>
          <w:color w:val="333333"/>
          <w:sz w:val="24"/>
          <w:szCs w:val="24"/>
          <w:shd w:val="clear" w:color="auto" w:fill="FFFFFF"/>
        </w:rPr>
        <w:t xml:space="preserve">a </w:t>
      </w:r>
      <w:r w:rsidR="05C0F37B" w:rsidRPr="6FF6E01A">
        <w:rPr>
          <w:color w:val="333333"/>
          <w:sz w:val="24"/>
          <w:szCs w:val="24"/>
          <w:shd w:val="clear" w:color="auto" w:fill="FFFFFF"/>
        </w:rPr>
        <w:t>hearing disabilit</w:t>
      </w:r>
      <w:r w:rsidR="0000178B">
        <w:rPr>
          <w:color w:val="333333"/>
          <w:sz w:val="24"/>
          <w:szCs w:val="24"/>
          <w:shd w:val="clear" w:color="auto" w:fill="FFFFFF"/>
        </w:rPr>
        <w:t>y diagnosis</w:t>
      </w:r>
      <w:r w:rsidR="05C0F37B" w:rsidRPr="6FF6E01A">
        <w:rPr>
          <w:color w:val="333333"/>
          <w:sz w:val="24"/>
          <w:szCs w:val="24"/>
          <w:shd w:val="clear" w:color="auto" w:fill="FFFFFF"/>
        </w:rPr>
        <w:t xml:space="preserve">, nearly double the </w:t>
      </w:r>
      <w:r w:rsidR="0DB2A640" w:rsidRPr="6FF6E01A">
        <w:rPr>
          <w:color w:val="333333"/>
          <w:sz w:val="24"/>
          <w:szCs w:val="24"/>
          <w:shd w:val="clear" w:color="auto" w:fill="FFFFFF"/>
        </w:rPr>
        <w:t>8</w:t>
      </w:r>
      <w:r w:rsidR="05C0F37B" w:rsidRPr="6FF6E01A">
        <w:rPr>
          <w:color w:val="333333"/>
          <w:sz w:val="24"/>
          <w:szCs w:val="24"/>
          <w:shd w:val="clear" w:color="auto" w:fill="FFFFFF"/>
        </w:rPr>
        <w:t xml:space="preserve">% of </w:t>
      </w:r>
      <w:r w:rsidR="00331791" w:rsidRPr="42A8BDB9">
        <w:rPr>
          <w:color w:val="333333"/>
          <w:sz w:val="24"/>
          <w:szCs w:val="24"/>
        </w:rPr>
        <w:t xml:space="preserve">MA </w:t>
      </w:r>
      <w:r w:rsidR="05C0F37B" w:rsidRPr="6FF6E01A">
        <w:rPr>
          <w:color w:val="333333"/>
          <w:sz w:val="24"/>
          <w:szCs w:val="24"/>
          <w:shd w:val="clear" w:color="auto" w:fill="FFFFFF"/>
        </w:rPr>
        <w:t xml:space="preserve">residents in the PHD. </w:t>
      </w:r>
      <w:r w:rsidR="1DC65829" w:rsidRPr="6FF6E01A">
        <w:rPr>
          <w:color w:val="333333"/>
          <w:sz w:val="24"/>
          <w:szCs w:val="24"/>
          <w:shd w:val="clear" w:color="auto" w:fill="FFFFFF"/>
        </w:rPr>
        <w:t>Twenty-one</w:t>
      </w:r>
      <w:r w:rsidR="05C0F37B" w:rsidRPr="6FF6E01A">
        <w:rPr>
          <w:color w:val="333333"/>
          <w:sz w:val="24"/>
          <w:szCs w:val="24"/>
          <w:shd w:val="clear" w:color="auto" w:fill="FFFFFF"/>
        </w:rPr>
        <w:t xml:space="preserve"> percent </w:t>
      </w:r>
      <w:r w:rsidR="00CD79DC">
        <w:rPr>
          <w:color w:val="333333"/>
          <w:sz w:val="24"/>
          <w:szCs w:val="24"/>
          <w:shd w:val="clear" w:color="auto" w:fill="FFFFFF"/>
        </w:rPr>
        <w:t xml:space="preserve">(15,265) </w:t>
      </w:r>
      <w:r w:rsidR="05C0F37B" w:rsidRPr="6FF6E01A">
        <w:rPr>
          <w:color w:val="333333"/>
          <w:sz w:val="24"/>
          <w:szCs w:val="24"/>
          <w:shd w:val="clear" w:color="auto" w:fill="FFFFFF"/>
        </w:rPr>
        <w:t xml:space="preserve">of residents experiencing an NFO had vision disabilities, which is </w:t>
      </w:r>
      <w:r w:rsidR="1A8B29DF" w:rsidRPr="6FF6E01A">
        <w:rPr>
          <w:color w:val="333333"/>
          <w:sz w:val="24"/>
          <w:szCs w:val="24"/>
          <w:shd w:val="clear" w:color="auto" w:fill="FFFFFF"/>
        </w:rPr>
        <w:t xml:space="preserve">slightly </w:t>
      </w:r>
      <w:r w:rsidR="05C0F37B" w:rsidRPr="6FF6E01A">
        <w:rPr>
          <w:color w:val="333333"/>
          <w:sz w:val="24"/>
          <w:szCs w:val="24"/>
          <w:shd w:val="clear" w:color="auto" w:fill="FFFFFF"/>
        </w:rPr>
        <w:t>higher than the 1</w:t>
      </w:r>
      <w:r w:rsidR="0DB2A640" w:rsidRPr="6FF6E01A">
        <w:rPr>
          <w:color w:val="333333"/>
          <w:sz w:val="24"/>
          <w:szCs w:val="24"/>
          <w:shd w:val="clear" w:color="auto" w:fill="FFFFFF"/>
        </w:rPr>
        <w:t>8</w:t>
      </w:r>
      <w:r w:rsidR="05C0F37B" w:rsidRPr="6FF6E01A">
        <w:rPr>
          <w:color w:val="333333"/>
          <w:sz w:val="24"/>
          <w:szCs w:val="24"/>
          <w:shd w:val="clear" w:color="auto" w:fill="FFFFFF"/>
        </w:rPr>
        <w:t>% of</w:t>
      </w:r>
      <w:r w:rsidR="00FE1881">
        <w:rPr>
          <w:color w:val="333333"/>
          <w:sz w:val="24"/>
          <w:szCs w:val="24"/>
          <w:shd w:val="clear" w:color="auto" w:fill="FFFFFF"/>
        </w:rPr>
        <w:t xml:space="preserve"> all </w:t>
      </w:r>
      <w:r w:rsidR="00331791">
        <w:rPr>
          <w:color w:val="333333"/>
          <w:sz w:val="24"/>
          <w:szCs w:val="24"/>
          <w:shd w:val="clear" w:color="auto" w:fill="FFFFFF"/>
        </w:rPr>
        <w:t xml:space="preserve">MA </w:t>
      </w:r>
      <w:r w:rsidR="05C0F37B" w:rsidRPr="6FF6E01A">
        <w:rPr>
          <w:color w:val="333333"/>
          <w:sz w:val="24"/>
          <w:szCs w:val="24"/>
          <w:shd w:val="clear" w:color="auto" w:fill="FFFFFF"/>
        </w:rPr>
        <w:t xml:space="preserve">residents in the PHD. </w:t>
      </w:r>
      <w:r w:rsidR="00DB1451">
        <w:rPr>
          <w:noProof/>
        </w:rPr>
        <w:drawing>
          <wp:inline distT="0" distB="0" distL="0" distR="0" wp14:anchorId="65927336" wp14:editId="6F59A1C6">
            <wp:extent cx="5943600" cy="3017520"/>
            <wp:effectExtent l="0" t="0" r="0" b="11430"/>
            <wp:docPr id="20265193" name="Chart 1" descr="Figure 12. Percent of NFO population and MA residents who have been diagnosed with select disabilities, 2013-2021. A bar chart showing the percent of NFO and MA resident population within four types of disability diagnosis: Mental health disability (72% and 23% og MA residents); mobility disability (65% NFO and 23% MA), Developmental disability (26% NFO and 8% MA population) Hearing disability (13% NFO and 8% MA population) and Vision disability (21% NFO and 18% MA population) ">
              <a:extLst xmlns:a="http://schemas.openxmlformats.org/drawingml/2006/main">
                <a:ext uri="{FF2B5EF4-FFF2-40B4-BE49-F238E27FC236}">
                  <a16:creationId xmlns:a16="http://schemas.microsoft.com/office/drawing/2014/main" id="{F8C03F08-2E59-4EF1-A502-C9986F94024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6729890E" w14:textId="146E4B27" w:rsidR="00F93E72" w:rsidRDefault="00F93E72" w:rsidP="6FF6E01A">
      <w:pPr>
        <w:spacing w:after="0" w:line="276" w:lineRule="auto"/>
        <w:rPr>
          <w:color w:val="333333"/>
          <w:shd w:val="clear" w:color="auto" w:fill="FFFFFF"/>
        </w:rPr>
      </w:pPr>
    </w:p>
    <w:p w14:paraId="25FF89A5" w14:textId="480B7B91" w:rsidR="001B721D" w:rsidRDefault="001B721D" w:rsidP="001B721D">
      <w:pPr>
        <w:spacing w:line="276" w:lineRule="auto"/>
        <w:rPr>
          <w:rFonts w:asciiTheme="majorHAnsi" w:hAnsiTheme="majorHAnsi" w:cstheme="majorHAnsi"/>
          <w:b/>
          <w:bCs/>
          <w:color w:val="2F5496" w:themeColor="accent1" w:themeShade="BF"/>
          <w:sz w:val="28"/>
          <w:szCs w:val="28"/>
          <w:shd w:val="clear" w:color="auto" w:fill="FFFFFF"/>
        </w:rPr>
      </w:pPr>
      <w:r>
        <w:rPr>
          <w:rFonts w:asciiTheme="majorHAnsi" w:hAnsiTheme="majorHAnsi" w:cstheme="majorHAnsi"/>
          <w:b/>
          <w:bCs/>
          <w:color w:val="2F5496" w:themeColor="accent1" w:themeShade="BF"/>
          <w:sz w:val="28"/>
          <w:szCs w:val="28"/>
          <w:shd w:val="clear" w:color="auto" w:fill="FFFFFF"/>
        </w:rPr>
        <w:t xml:space="preserve">Data to Action </w:t>
      </w:r>
    </w:p>
    <w:p w14:paraId="58C8E344" w14:textId="7D456FB2" w:rsidR="001E4140" w:rsidRPr="00491A2F" w:rsidRDefault="00702770" w:rsidP="00491A2F">
      <w:pPr>
        <w:spacing w:line="276" w:lineRule="auto"/>
        <w:rPr>
          <w:sz w:val="24"/>
          <w:szCs w:val="24"/>
        </w:rPr>
      </w:pPr>
      <w:r w:rsidRPr="00491A2F">
        <w:rPr>
          <w:sz w:val="24"/>
          <w:szCs w:val="24"/>
        </w:rPr>
        <w:t>Considering</w:t>
      </w:r>
      <w:r w:rsidR="6144B2D1" w:rsidRPr="00491A2F">
        <w:rPr>
          <w:sz w:val="24"/>
          <w:szCs w:val="24"/>
        </w:rPr>
        <w:t xml:space="preserve"> the risk associated with an opioid-related overdose and the importance of health </w:t>
      </w:r>
      <w:r w:rsidR="3F5FA941" w:rsidRPr="00491A2F">
        <w:rPr>
          <w:sz w:val="24"/>
          <w:szCs w:val="24"/>
        </w:rPr>
        <w:t xml:space="preserve">system response </w:t>
      </w:r>
      <w:r w:rsidR="77210E92" w:rsidRPr="00491A2F">
        <w:rPr>
          <w:sz w:val="24"/>
          <w:szCs w:val="24"/>
        </w:rPr>
        <w:t xml:space="preserve">with life-saving measures, the following are </w:t>
      </w:r>
      <w:proofErr w:type="gramStart"/>
      <w:r w:rsidR="77210E92" w:rsidRPr="00491A2F">
        <w:rPr>
          <w:sz w:val="24"/>
          <w:szCs w:val="24"/>
        </w:rPr>
        <w:t xml:space="preserve">important </w:t>
      </w:r>
      <w:r w:rsidR="1AB78411" w:rsidRPr="00491A2F">
        <w:rPr>
          <w:sz w:val="24"/>
          <w:szCs w:val="24"/>
        </w:rPr>
        <w:t>areas</w:t>
      </w:r>
      <w:proofErr w:type="gramEnd"/>
      <w:r w:rsidR="1AB78411" w:rsidRPr="00491A2F">
        <w:rPr>
          <w:sz w:val="24"/>
          <w:szCs w:val="24"/>
        </w:rPr>
        <w:t xml:space="preserve"> for promotion and expansion in Massachusetts:</w:t>
      </w:r>
    </w:p>
    <w:p w14:paraId="527C87C5" w14:textId="33676976" w:rsidR="001E4140" w:rsidRPr="00491A2F" w:rsidRDefault="00000000" w:rsidP="00491A2F">
      <w:pPr>
        <w:pStyle w:val="ListParagraph"/>
        <w:numPr>
          <w:ilvl w:val="0"/>
          <w:numId w:val="1"/>
        </w:numPr>
        <w:spacing w:line="276" w:lineRule="auto"/>
        <w:rPr>
          <w:sz w:val="24"/>
          <w:szCs w:val="24"/>
          <w:shd w:val="clear" w:color="auto" w:fill="FFFFFF"/>
        </w:rPr>
      </w:pPr>
      <w:hyperlink r:id="rId28">
        <w:r w:rsidR="5FE4A89B" w:rsidRPr="00491A2F">
          <w:rPr>
            <w:rStyle w:val="Hyperlink"/>
            <w:sz w:val="24"/>
            <w:szCs w:val="24"/>
          </w:rPr>
          <w:t>EMS naloxone leave-behind programs</w:t>
        </w:r>
      </w:hyperlink>
      <w:r w:rsidR="4F4BDBF1" w:rsidRPr="00491A2F">
        <w:rPr>
          <w:sz w:val="24"/>
          <w:szCs w:val="24"/>
        </w:rPr>
        <w:t xml:space="preserve"> </w:t>
      </w:r>
      <w:r w:rsidR="041CC445" w:rsidRPr="00491A2F">
        <w:rPr>
          <w:sz w:val="24"/>
          <w:szCs w:val="24"/>
        </w:rPr>
        <w:t xml:space="preserve">can improve </w:t>
      </w:r>
      <w:r w:rsidR="727F22E5" w:rsidRPr="00491A2F">
        <w:rPr>
          <w:sz w:val="24"/>
          <w:szCs w:val="24"/>
        </w:rPr>
        <w:t>access to</w:t>
      </w:r>
      <w:r w:rsidR="3D06E30B" w:rsidRPr="00491A2F">
        <w:rPr>
          <w:sz w:val="24"/>
          <w:szCs w:val="24"/>
        </w:rPr>
        <w:t xml:space="preserve"> naloxone </w:t>
      </w:r>
      <w:r w:rsidR="570A0ADA" w:rsidRPr="00491A2F">
        <w:rPr>
          <w:sz w:val="24"/>
          <w:szCs w:val="24"/>
        </w:rPr>
        <w:t xml:space="preserve">for people who experience a non-fatal </w:t>
      </w:r>
      <w:r w:rsidR="00DE7633">
        <w:rPr>
          <w:sz w:val="24"/>
          <w:szCs w:val="24"/>
        </w:rPr>
        <w:t xml:space="preserve">opioid </w:t>
      </w:r>
      <w:r w:rsidR="570A0ADA" w:rsidRPr="00491A2F">
        <w:rPr>
          <w:sz w:val="24"/>
          <w:szCs w:val="24"/>
        </w:rPr>
        <w:t xml:space="preserve">overdose and call 911 while </w:t>
      </w:r>
      <w:r w:rsidR="041CC445" w:rsidRPr="00491A2F">
        <w:rPr>
          <w:sz w:val="24"/>
          <w:szCs w:val="24"/>
        </w:rPr>
        <w:t>reduc</w:t>
      </w:r>
      <w:r w:rsidR="088A2849" w:rsidRPr="00491A2F">
        <w:rPr>
          <w:sz w:val="24"/>
          <w:szCs w:val="24"/>
        </w:rPr>
        <w:t>ing</w:t>
      </w:r>
      <w:r w:rsidR="041CC445" w:rsidRPr="00491A2F">
        <w:rPr>
          <w:sz w:val="24"/>
          <w:szCs w:val="24"/>
        </w:rPr>
        <w:t xml:space="preserve"> future</w:t>
      </w:r>
      <w:r w:rsidR="00AF574F">
        <w:rPr>
          <w:sz w:val="24"/>
          <w:szCs w:val="24"/>
        </w:rPr>
        <w:t xml:space="preserve"> opioid</w:t>
      </w:r>
      <w:r w:rsidR="041CC445" w:rsidRPr="00491A2F">
        <w:rPr>
          <w:sz w:val="24"/>
          <w:szCs w:val="24"/>
        </w:rPr>
        <w:t xml:space="preserve"> overdose</w:t>
      </w:r>
      <w:r w:rsidR="465C7D01" w:rsidRPr="00491A2F">
        <w:rPr>
          <w:sz w:val="24"/>
          <w:szCs w:val="24"/>
        </w:rPr>
        <w:t xml:space="preserve"> deaths</w:t>
      </w:r>
      <w:r w:rsidR="0BF797A9" w:rsidRPr="00491A2F">
        <w:rPr>
          <w:sz w:val="24"/>
          <w:szCs w:val="24"/>
        </w:rPr>
        <w:t xml:space="preserve">. </w:t>
      </w:r>
      <w:r w:rsidR="715D6651" w:rsidRPr="00491A2F">
        <w:rPr>
          <w:sz w:val="24"/>
          <w:szCs w:val="24"/>
        </w:rPr>
        <w:t xml:space="preserve">This is particularly important in </w:t>
      </w:r>
      <w:r w:rsidR="60FB285B" w:rsidRPr="00491A2F">
        <w:rPr>
          <w:sz w:val="24"/>
          <w:szCs w:val="24"/>
        </w:rPr>
        <w:t xml:space="preserve">the most </w:t>
      </w:r>
      <w:r w:rsidR="715D6651" w:rsidRPr="00491A2F">
        <w:rPr>
          <w:sz w:val="24"/>
          <w:szCs w:val="24"/>
        </w:rPr>
        <w:t>rural areas where we are seeing high rates of non</w:t>
      </w:r>
      <w:r w:rsidR="37340F54" w:rsidRPr="00491A2F">
        <w:rPr>
          <w:sz w:val="24"/>
          <w:szCs w:val="24"/>
        </w:rPr>
        <w:t>-</w:t>
      </w:r>
      <w:r w:rsidR="715D6651" w:rsidRPr="00491A2F">
        <w:rPr>
          <w:sz w:val="24"/>
          <w:szCs w:val="24"/>
        </w:rPr>
        <w:t xml:space="preserve">fatal </w:t>
      </w:r>
      <w:r w:rsidR="00984D78">
        <w:rPr>
          <w:sz w:val="24"/>
          <w:szCs w:val="24"/>
        </w:rPr>
        <w:t xml:space="preserve">opioid </w:t>
      </w:r>
      <w:r w:rsidR="715D6651" w:rsidRPr="00491A2F">
        <w:rPr>
          <w:sz w:val="24"/>
          <w:szCs w:val="24"/>
        </w:rPr>
        <w:t>overdose</w:t>
      </w:r>
      <w:r w:rsidR="00984D78">
        <w:rPr>
          <w:sz w:val="24"/>
          <w:szCs w:val="24"/>
        </w:rPr>
        <w:t>.</w:t>
      </w:r>
    </w:p>
    <w:p w14:paraId="796066D5" w14:textId="674FE9D9" w:rsidR="001B721D" w:rsidRPr="00491A2F" w:rsidRDefault="00000000" w:rsidP="00491A2F">
      <w:pPr>
        <w:pStyle w:val="ListParagraph"/>
        <w:numPr>
          <w:ilvl w:val="0"/>
          <w:numId w:val="1"/>
        </w:numPr>
        <w:spacing w:line="276" w:lineRule="auto"/>
        <w:rPr>
          <w:sz w:val="24"/>
          <w:szCs w:val="24"/>
        </w:rPr>
      </w:pPr>
      <w:hyperlink r:id="rId29">
        <w:r w:rsidR="7A89AF63" w:rsidRPr="00491A2F">
          <w:rPr>
            <w:rStyle w:val="Hyperlink"/>
            <w:sz w:val="24"/>
            <w:szCs w:val="24"/>
          </w:rPr>
          <w:t xml:space="preserve">EMS </w:t>
        </w:r>
        <w:r w:rsidR="1D98E94C" w:rsidRPr="00491A2F">
          <w:rPr>
            <w:rStyle w:val="Hyperlink"/>
            <w:sz w:val="24"/>
            <w:szCs w:val="24"/>
          </w:rPr>
          <w:t>u</w:t>
        </w:r>
        <w:r w:rsidR="00C4711D">
          <w:rPr>
            <w:rStyle w:val="Hyperlink"/>
            <w:sz w:val="24"/>
            <w:szCs w:val="24"/>
          </w:rPr>
          <w:t>se</w:t>
        </w:r>
        <w:r w:rsidR="1D98E94C" w:rsidRPr="00491A2F">
          <w:rPr>
            <w:rStyle w:val="Hyperlink"/>
            <w:sz w:val="24"/>
            <w:szCs w:val="24"/>
          </w:rPr>
          <w:t xml:space="preserve"> of </w:t>
        </w:r>
        <w:r w:rsidR="00442135" w:rsidRPr="00491A2F">
          <w:rPr>
            <w:rStyle w:val="Hyperlink"/>
            <w:sz w:val="24"/>
            <w:szCs w:val="24"/>
          </w:rPr>
          <w:t>b</w:t>
        </w:r>
        <w:r w:rsidR="1D98E94C" w:rsidRPr="00491A2F">
          <w:rPr>
            <w:rStyle w:val="Hyperlink"/>
            <w:sz w:val="24"/>
            <w:szCs w:val="24"/>
          </w:rPr>
          <w:t xml:space="preserve">uprenorphine to treat </w:t>
        </w:r>
        <w:r w:rsidR="002C3C76" w:rsidRPr="00491A2F">
          <w:rPr>
            <w:rStyle w:val="Hyperlink"/>
            <w:sz w:val="24"/>
            <w:szCs w:val="24"/>
          </w:rPr>
          <w:t>o</w:t>
        </w:r>
        <w:r w:rsidR="1D98E94C" w:rsidRPr="00491A2F">
          <w:rPr>
            <w:rStyle w:val="Hyperlink"/>
            <w:sz w:val="24"/>
            <w:szCs w:val="24"/>
          </w:rPr>
          <w:t xml:space="preserve">pioid </w:t>
        </w:r>
        <w:r w:rsidR="002C3C76" w:rsidRPr="00491A2F">
          <w:rPr>
            <w:rStyle w:val="Hyperlink"/>
            <w:sz w:val="24"/>
            <w:szCs w:val="24"/>
          </w:rPr>
          <w:t>w</w:t>
        </w:r>
        <w:r w:rsidR="1D98E94C" w:rsidRPr="00491A2F">
          <w:rPr>
            <w:rStyle w:val="Hyperlink"/>
            <w:sz w:val="24"/>
            <w:szCs w:val="24"/>
          </w:rPr>
          <w:t>ithdrawal symptoms</w:t>
        </w:r>
      </w:hyperlink>
      <w:r w:rsidR="1D98E94C" w:rsidRPr="00491A2F">
        <w:rPr>
          <w:sz w:val="24"/>
          <w:szCs w:val="24"/>
        </w:rPr>
        <w:t xml:space="preserve"> </w:t>
      </w:r>
      <w:r w:rsidR="5516A39B" w:rsidRPr="00491A2F">
        <w:rPr>
          <w:sz w:val="24"/>
          <w:szCs w:val="24"/>
        </w:rPr>
        <w:t xml:space="preserve">post overdose </w:t>
      </w:r>
      <w:r w:rsidR="1FE0D7F2" w:rsidRPr="00491A2F">
        <w:rPr>
          <w:sz w:val="24"/>
          <w:szCs w:val="24"/>
        </w:rPr>
        <w:t>t</w:t>
      </w:r>
      <w:r w:rsidR="6AC2ECB1" w:rsidRPr="00491A2F">
        <w:rPr>
          <w:sz w:val="24"/>
          <w:szCs w:val="24"/>
        </w:rPr>
        <w:t xml:space="preserve">o increase patient comfort and </w:t>
      </w:r>
      <w:r w:rsidR="532C2823" w:rsidRPr="00491A2F">
        <w:rPr>
          <w:sz w:val="24"/>
          <w:szCs w:val="24"/>
        </w:rPr>
        <w:t>potential</w:t>
      </w:r>
      <w:r w:rsidR="6AC2ECB1" w:rsidRPr="00491A2F">
        <w:rPr>
          <w:sz w:val="24"/>
          <w:szCs w:val="24"/>
        </w:rPr>
        <w:t xml:space="preserve"> </w:t>
      </w:r>
      <w:r w:rsidR="29F161FC" w:rsidRPr="00491A2F">
        <w:rPr>
          <w:sz w:val="24"/>
          <w:szCs w:val="24"/>
        </w:rPr>
        <w:t>for</w:t>
      </w:r>
      <w:r w:rsidR="6AC2ECB1" w:rsidRPr="00491A2F">
        <w:rPr>
          <w:sz w:val="24"/>
          <w:szCs w:val="24"/>
        </w:rPr>
        <w:t xml:space="preserve"> engage</w:t>
      </w:r>
      <w:r w:rsidR="2C0918F8" w:rsidRPr="00491A2F">
        <w:rPr>
          <w:sz w:val="24"/>
          <w:szCs w:val="24"/>
        </w:rPr>
        <w:t>ment</w:t>
      </w:r>
      <w:r w:rsidR="6AC2ECB1" w:rsidRPr="00491A2F">
        <w:rPr>
          <w:sz w:val="24"/>
          <w:szCs w:val="24"/>
        </w:rPr>
        <w:t xml:space="preserve"> in care and treatment.</w:t>
      </w:r>
      <w:r w:rsidR="00D3294D" w:rsidRPr="00491A2F">
        <w:rPr>
          <w:sz w:val="24"/>
          <w:szCs w:val="24"/>
        </w:rPr>
        <w:t xml:space="preserve"> A training module</w:t>
      </w:r>
      <w:r w:rsidR="006B4D32" w:rsidRPr="00491A2F">
        <w:rPr>
          <w:sz w:val="24"/>
          <w:szCs w:val="24"/>
        </w:rPr>
        <w:t xml:space="preserve"> for EMTs</w:t>
      </w:r>
      <w:r w:rsidR="00D3294D" w:rsidRPr="00491A2F">
        <w:rPr>
          <w:sz w:val="24"/>
          <w:szCs w:val="24"/>
        </w:rPr>
        <w:t xml:space="preserve"> on working with people who use drugs is available </w:t>
      </w:r>
      <w:hyperlink r:id="rId30" w:history="1">
        <w:r w:rsidR="00D3294D" w:rsidRPr="00491A2F">
          <w:rPr>
            <w:rStyle w:val="Hyperlink"/>
            <w:sz w:val="24"/>
            <w:szCs w:val="24"/>
          </w:rPr>
          <w:t>here</w:t>
        </w:r>
      </w:hyperlink>
      <w:r w:rsidR="00D3294D" w:rsidRPr="00491A2F">
        <w:rPr>
          <w:sz w:val="24"/>
          <w:szCs w:val="24"/>
        </w:rPr>
        <w:t xml:space="preserve">. </w:t>
      </w:r>
    </w:p>
    <w:p w14:paraId="10519CF8" w14:textId="2585B603" w:rsidR="001B721D" w:rsidRPr="00491A2F" w:rsidRDefault="7C90ED45" w:rsidP="00491A2F">
      <w:pPr>
        <w:pStyle w:val="ListParagraph"/>
        <w:numPr>
          <w:ilvl w:val="0"/>
          <w:numId w:val="1"/>
        </w:numPr>
        <w:spacing w:line="276" w:lineRule="auto"/>
        <w:rPr>
          <w:sz w:val="24"/>
          <w:szCs w:val="24"/>
        </w:rPr>
      </w:pPr>
      <w:r w:rsidRPr="00491A2F">
        <w:rPr>
          <w:sz w:val="24"/>
          <w:szCs w:val="24"/>
        </w:rPr>
        <w:t xml:space="preserve">Implementation of </w:t>
      </w:r>
      <w:r w:rsidR="00442135" w:rsidRPr="00491A2F">
        <w:rPr>
          <w:sz w:val="24"/>
          <w:szCs w:val="24"/>
        </w:rPr>
        <w:t>h</w:t>
      </w:r>
      <w:r w:rsidR="7313624A" w:rsidRPr="00491A2F">
        <w:rPr>
          <w:sz w:val="24"/>
          <w:szCs w:val="24"/>
        </w:rPr>
        <w:t>ospital-based addiction consult teams and b</w:t>
      </w:r>
      <w:r w:rsidR="76834A89" w:rsidRPr="00491A2F">
        <w:rPr>
          <w:sz w:val="24"/>
          <w:szCs w:val="24"/>
        </w:rPr>
        <w:t>r</w:t>
      </w:r>
      <w:r w:rsidR="7313624A" w:rsidRPr="00491A2F">
        <w:rPr>
          <w:sz w:val="24"/>
          <w:szCs w:val="24"/>
        </w:rPr>
        <w:t xml:space="preserve">idge clinics to </w:t>
      </w:r>
      <w:r w:rsidR="478C6D2B" w:rsidRPr="00491A2F">
        <w:rPr>
          <w:sz w:val="24"/>
          <w:szCs w:val="24"/>
        </w:rPr>
        <w:t xml:space="preserve">improve access to and engagement in </w:t>
      </w:r>
      <w:r w:rsidR="6FFC1853" w:rsidRPr="00491A2F">
        <w:rPr>
          <w:sz w:val="24"/>
          <w:szCs w:val="24"/>
        </w:rPr>
        <w:t>substance use related</w:t>
      </w:r>
      <w:r w:rsidR="478C6D2B" w:rsidRPr="00491A2F">
        <w:rPr>
          <w:sz w:val="24"/>
          <w:szCs w:val="24"/>
        </w:rPr>
        <w:t xml:space="preserve"> </w:t>
      </w:r>
      <w:r w:rsidR="6D957730" w:rsidRPr="00491A2F">
        <w:rPr>
          <w:sz w:val="24"/>
          <w:szCs w:val="24"/>
        </w:rPr>
        <w:t xml:space="preserve">care and </w:t>
      </w:r>
      <w:r w:rsidR="478C6D2B" w:rsidRPr="00491A2F">
        <w:rPr>
          <w:sz w:val="24"/>
          <w:szCs w:val="24"/>
        </w:rPr>
        <w:t xml:space="preserve">treatment </w:t>
      </w:r>
      <w:r w:rsidR="6C69CCDE" w:rsidRPr="00491A2F">
        <w:rPr>
          <w:sz w:val="24"/>
          <w:szCs w:val="24"/>
        </w:rPr>
        <w:t>for those exp</w:t>
      </w:r>
      <w:r w:rsidR="478C6D2B" w:rsidRPr="00491A2F">
        <w:rPr>
          <w:sz w:val="24"/>
          <w:szCs w:val="24"/>
        </w:rPr>
        <w:t>er</w:t>
      </w:r>
      <w:r w:rsidR="6C69CCDE" w:rsidRPr="00491A2F">
        <w:rPr>
          <w:sz w:val="24"/>
          <w:szCs w:val="24"/>
        </w:rPr>
        <w:t xml:space="preserve">iencing non-fatal </w:t>
      </w:r>
      <w:r w:rsidR="00A22460">
        <w:rPr>
          <w:sz w:val="24"/>
          <w:szCs w:val="24"/>
        </w:rPr>
        <w:t xml:space="preserve">opioid </w:t>
      </w:r>
      <w:r w:rsidR="6C69CCDE" w:rsidRPr="00491A2F">
        <w:rPr>
          <w:sz w:val="24"/>
          <w:szCs w:val="24"/>
        </w:rPr>
        <w:t>overdoses.</w:t>
      </w:r>
      <w:r w:rsidR="478C6D2B" w:rsidRPr="00491A2F">
        <w:rPr>
          <w:sz w:val="24"/>
          <w:szCs w:val="24"/>
        </w:rPr>
        <w:t xml:space="preserve"> </w:t>
      </w:r>
      <w:r w:rsidR="47F51D0C" w:rsidRPr="00491A2F">
        <w:rPr>
          <w:sz w:val="24"/>
          <w:szCs w:val="24"/>
        </w:rPr>
        <w:t>This can include</w:t>
      </w:r>
      <w:r w:rsidR="3B90868A" w:rsidRPr="00491A2F">
        <w:rPr>
          <w:sz w:val="24"/>
          <w:szCs w:val="24"/>
        </w:rPr>
        <w:t xml:space="preserve"> engagement of </w:t>
      </w:r>
      <w:r w:rsidR="350140F2" w:rsidRPr="00491A2F">
        <w:rPr>
          <w:sz w:val="24"/>
          <w:szCs w:val="24"/>
        </w:rPr>
        <w:t xml:space="preserve">the </w:t>
      </w:r>
      <w:r w:rsidR="3B90868A" w:rsidRPr="00491A2F">
        <w:rPr>
          <w:sz w:val="24"/>
          <w:szCs w:val="24"/>
        </w:rPr>
        <w:t xml:space="preserve">populations </w:t>
      </w:r>
      <w:r w:rsidR="00B75E4F" w:rsidRPr="00491A2F">
        <w:rPr>
          <w:sz w:val="24"/>
          <w:szCs w:val="24"/>
        </w:rPr>
        <w:t>of focus</w:t>
      </w:r>
      <w:r w:rsidR="3B90868A" w:rsidRPr="00491A2F">
        <w:rPr>
          <w:sz w:val="24"/>
          <w:szCs w:val="24"/>
        </w:rPr>
        <w:t xml:space="preserve"> </w:t>
      </w:r>
      <w:r w:rsidR="26264749" w:rsidRPr="00491A2F">
        <w:rPr>
          <w:sz w:val="24"/>
          <w:szCs w:val="24"/>
        </w:rPr>
        <w:t>identified in this report along with</w:t>
      </w:r>
      <w:r w:rsidR="3B90868A" w:rsidRPr="00491A2F">
        <w:rPr>
          <w:sz w:val="24"/>
          <w:szCs w:val="24"/>
        </w:rPr>
        <w:t xml:space="preserve"> </w:t>
      </w:r>
      <w:r w:rsidR="7313624A" w:rsidRPr="00491A2F">
        <w:rPr>
          <w:sz w:val="24"/>
          <w:szCs w:val="24"/>
        </w:rPr>
        <w:t>community follow-up</w:t>
      </w:r>
      <w:r w:rsidR="1E1AC827" w:rsidRPr="00491A2F">
        <w:rPr>
          <w:sz w:val="24"/>
          <w:szCs w:val="24"/>
        </w:rPr>
        <w:t xml:space="preserve"> </w:t>
      </w:r>
      <w:r w:rsidR="34727017" w:rsidRPr="00491A2F">
        <w:rPr>
          <w:sz w:val="24"/>
          <w:szCs w:val="24"/>
        </w:rPr>
        <w:t xml:space="preserve">and </w:t>
      </w:r>
      <w:r w:rsidR="001C7E01" w:rsidRPr="00491A2F">
        <w:rPr>
          <w:sz w:val="24"/>
          <w:szCs w:val="24"/>
        </w:rPr>
        <w:t xml:space="preserve">peer </w:t>
      </w:r>
      <w:r w:rsidR="34727017" w:rsidRPr="00491A2F">
        <w:rPr>
          <w:sz w:val="24"/>
          <w:szCs w:val="24"/>
        </w:rPr>
        <w:t xml:space="preserve">support. </w:t>
      </w:r>
    </w:p>
    <w:p w14:paraId="0213728C" w14:textId="4F31F372" w:rsidR="3219EB73" w:rsidRPr="00491A2F" w:rsidRDefault="00000000" w:rsidP="00491A2F">
      <w:pPr>
        <w:pStyle w:val="ListParagraph"/>
        <w:numPr>
          <w:ilvl w:val="0"/>
          <w:numId w:val="1"/>
        </w:numPr>
        <w:spacing w:line="276" w:lineRule="auto"/>
        <w:rPr>
          <w:sz w:val="24"/>
          <w:szCs w:val="24"/>
        </w:rPr>
      </w:pPr>
      <w:hyperlink r:id="rId31">
        <w:r w:rsidR="1B90918E" w:rsidRPr="00491A2F">
          <w:rPr>
            <w:rStyle w:val="Hyperlink"/>
            <w:sz w:val="24"/>
            <w:szCs w:val="24"/>
          </w:rPr>
          <w:t>A</w:t>
        </w:r>
        <w:r w:rsidR="067E20EE" w:rsidRPr="00491A2F">
          <w:rPr>
            <w:rStyle w:val="Hyperlink"/>
            <w:sz w:val="24"/>
            <w:szCs w:val="24"/>
          </w:rPr>
          <w:t>ccess to naloxone</w:t>
        </w:r>
      </w:hyperlink>
      <w:r w:rsidR="49FD86BE" w:rsidRPr="00491A2F">
        <w:rPr>
          <w:sz w:val="24"/>
          <w:szCs w:val="24"/>
        </w:rPr>
        <w:t>, which is</w:t>
      </w:r>
      <w:r w:rsidR="067E20EE" w:rsidRPr="00491A2F">
        <w:rPr>
          <w:sz w:val="24"/>
          <w:szCs w:val="24"/>
        </w:rPr>
        <w:t xml:space="preserve"> now available </w:t>
      </w:r>
      <w:hyperlink r:id="rId32">
        <w:r w:rsidR="773AA027" w:rsidRPr="00491A2F">
          <w:rPr>
            <w:rStyle w:val="Hyperlink"/>
            <w:sz w:val="24"/>
            <w:szCs w:val="24"/>
          </w:rPr>
          <w:t xml:space="preserve">in the pharmacy </w:t>
        </w:r>
        <w:r w:rsidR="067E20EE" w:rsidRPr="00491A2F">
          <w:rPr>
            <w:rStyle w:val="Hyperlink"/>
            <w:sz w:val="24"/>
            <w:szCs w:val="24"/>
          </w:rPr>
          <w:t>over the counter</w:t>
        </w:r>
      </w:hyperlink>
      <w:r w:rsidR="39D7C3C6" w:rsidRPr="00491A2F">
        <w:rPr>
          <w:sz w:val="24"/>
          <w:szCs w:val="24"/>
        </w:rPr>
        <w:t xml:space="preserve"> as well as via prescription or statewide standing order. </w:t>
      </w:r>
    </w:p>
    <w:p w14:paraId="785946CC" w14:textId="59114E8D" w:rsidR="4F8F36C8" w:rsidRPr="00491A2F" w:rsidRDefault="4F8F36C8" w:rsidP="00491A2F">
      <w:pPr>
        <w:pStyle w:val="ListParagraph"/>
        <w:numPr>
          <w:ilvl w:val="0"/>
          <w:numId w:val="1"/>
        </w:numPr>
        <w:spacing w:line="276" w:lineRule="auto"/>
        <w:rPr>
          <w:sz w:val="24"/>
          <w:szCs w:val="24"/>
        </w:rPr>
      </w:pPr>
      <w:r w:rsidRPr="00491A2F">
        <w:rPr>
          <w:sz w:val="24"/>
          <w:szCs w:val="24"/>
        </w:rPr>
        <w:t xml:space="preserve">Increased access to </w:t>
      </w:r>
      <w:r w:rsidR="764D9A39" w:rsidRPr="00491A2F">
        <w:rPr>
          <w:sz w:val="24"/>
          <w:szCs w:val="24"/>
        </w:rPr>
        <w:t xml:space="preserve">FDA-approved </w:t>
      </w:r>
      <w:r w:rsidR="002850F0" w:rsidRPr="00491A2F">
        <w:rPr>
          <w:sz w:val="24"/>
          <w:szCs w:val="24"/>
        </w:rPr>
        <w:t>M</w:t>
      </w:r>
      <w:r w:rsidRPr="00491A2F">
        <w:rPr>
          <w:sz w:val="24"/>
          <w:szCs w:val="24"/>
        </w:rPr>
        <w:t>edication</w:t>
      </w:r>
      <w:r w:rsidR="62200F22" w:rsidRPr="00491A2F">
        <w:rPr>
          <w:sz w:val="24"/>
          <w:szCs w:val="24"/>
        </w:rPr>
        <w:t>s</w:t>
      </w:r>
      <w:r w:rsidRPr="00491A2F">
        <w:rPr>
          <w:sz w:val="24"/>
          <w:szCs w:val="24"/>
        </w:rPr>
        <w:t xml:space="preserve"> for Opioid Use Disorder</w:t>
      </w:r>
      <w:r w:rsidR="7BAD951C" w:rsidRPr="00491A2F">
        <w:rPr>
          <w:sz w:val="24"/>
          <w:szCs w:val="24"/>
        </w:rPr>
        <w:t xml:space="preserve">. Training for prescribers is available </w:t>
      </w:r>
      <w:hyperlink r:id="rId33">
        <w:r w:rsidR="7BAD951C" w:rsidRPr="00491A2F">
          <w:rPr>
            <w:rStyle w:val="Hyperlink"/>
            <w:sz w:val="24"/>
            <w:szCs w:val="24"/>
          </w:rPr>
          <w:t>here</w:t>
        </w:r>
      </w:hyperlink>
      <w:r w:rsidR="7BAD951C" w:rsidRPr="00491A2F">
        <w:rPr>
          <w:sz w:val="24"/>
          <w:szCs w:val="24"/>
        </w:rPr>
        <w:t>.</w:t>
      </w:r>
    </w:p>
    <w:p w14:paraId="2E8A89C9" w14:textId="705D6A66" w:rsidR="00B53E57" w:rsidRPr="00491A2F" w:rsidRDefault="003B498F" w:rsidP="00491A2F">
      <w:pPr>
        <w:pStyle w:val="ListParagraph"/>
        <w:numPr>
          <w:ilvl w:val="0"/>
          <w:numId w:val="1"/>
        </w:numPr>
        <w:spacing w:line="276" w:lineRule="auto"/>
        <w:rPr>
          <w:sz w:val="24"/>
          <w:szCs w:val="24"/>
        </w:rPr>
      </w:pPr>
      <w:r w:rsidRPr="00491A2F">
        <w:rPr>
          <w:sz w:val="24"/>
          <w:szCs w:val="24"/>
        </w:rPr>
        <w:t xml:space="preserve">Promotion of harm reduction resources at each non-fatal </w:t>
      </w:r>
      <w:r w:rsidR="00891B00">
        <w:rPr>
          <w:sz w:val="24"/>
          <w:szCs w:val="24"/>
        </w:rPr>
        <w:t xml:space="preserve">opioid </w:t>
      </w:r>
      <w:r w:rsidRPr="00491A2F">
        <w:rPr>
          <w:sz w:val="24"/>
          <w:szCs w:val="24"/>
        </w:rPr>
        <w:t xml:space="preserve">overdose </w:t>
      </w:r>
      <w:r w:rsidR="005301CC" w:rsidRPr="00491A2F">
        <w:rPr>
          <w:sz w:val="24"/>
          <w:szCs w:val="24"/>
        </w:rPr>
        <w:t xml:space="preserve">health system touchpoint </w:t>
      </w:r>
      <w:r w:rsidR="00F71349" w:rsidRPr="00491A2F">
        <w:rPr>
          <w:sz w:val="24"/>
          <w:szCs w:val="24"/>
        </w:rPr>
        <w:t>including both directly providing resources</w:t>
      </w:r>
      <w:r w:rsidR="009B308A" w:rsidRPr="00491A2F">
        <w:rPr>
          <w:sz w:val="24"/>
          <w:szCs w:val="24"/>
        </w:rPr>
        <w:t xml:space="preserve"> such as naloxone, fentanyl test strips, </w:t>
      </w:r>
      <w:r w:rsidR="00A610C4" w:rsidRPr="00491A2F">
        <w:rPr>
          <w:sz w:val="24"/>
          <w:szCs w:val="24"/>
        </w:rPr>
        <w:t>and safer consumption supplies,</w:t>
      </w:r>
      <w:r w:rsidR="00F71349" w:rsidRPr="00491A2F">
        <w:rPr>
          <w:sz w:val="24"/>
          <w:szCs w:val="24"/>
        </w:rPr>
        <w:t xml:space="preserve"> </w:t>
      </w:r>
      <w:r w:rsidR="00A610C4" w:rsidRPr="00491A2F">
        <w:rPr>
          <w:sz w:val="24"/>
          <w:szCs w:val="24"/>
        </w:rPr>
        <w:t xml:space="preserve">as well as </w:t>
      </w:r>
      <w:r w:rsidR="00F71349" w:rsidRPr="00491A2F">
        <w:rPr>
          <w:sz w:val="24"/>
          <w:szCs w:val="24"/>
        </w:rPr>
        <w:t xml:space="preserve">making strong referrals </w:t>
      </w:r>
      <w:r w:rsidR="00A610C4" w:rsidRPr="00491A2F">
        <w:rPr>
          <w:sz w:val="24"/>
          <w:szCs w:val="24"/>
        </w:rPr>
        <w:t xml:space="preserve">to </w:t>
      </w:r>
      <w:hyperlink r:id="rId34" w:history="1">
        <w:r w:rsidR="00A610C4" w:rsidRPr="00491A2F">
          <w:rPr>
            <w:rStyle w:val="Hyperlink"/>
            <w:sz w:val="24"/>
            <w:szCs w:val="24"/>
          </w:rPr>
          <w:t>local harm reduction programs</w:t>
        </w:r>
      </w:hyperlink>
      <w:r w:rsidR="00A610C4" w:rsidRPr="00491A2F">
        <w:rPr>
          <w:sz w:val="24"/>
          <w:szCs w:val="24"/>
        </w:rPr>
        <w:t xml:space="preserve"> and statewide services </w:t>
      </w:r>
      <w:r w:rsidR="00F71349" w:rsidRPr="00491A2F">
        <w:rPr>
          <w:sz w:val="24"/>
          <w:szCs w:val="24"/>
        </w:rPr>
        <w:t xml:space="preserve">such as to the </w:t>
      </w:r>
      <w:hyperlink r:id="rId35" w:history="1">
        <w:r w:rsidR="00F71349" w:rsidRPr="00491A2F">
          <w:rPr>
            <w:rStyle w:val="Hyperlink"/>
            <w:sz w:val="24"/>
            <w:szCs w:val="24"/>
          </w:rPr>
          <w:t>Massachusetts Overdose Prevention Helpline</w:t>
        </w:r>
      </w:hyperlink>
      <w:r w:rsidR="00A610C4" w:rsidRPr="00491A2F">
        <w:rPr>
          <w:sz w:val="24"/>
          <w:szCs w:val="24"/>
        </w:rPr>
        <w:t>.</w:t>
      </w:r>
    </w:p>
    <w:p w14:paraId="207ECB20" w14:textId="1266E450" w:rsidR="007C199D" w:rsidRPr="006410E9" w:rsidRDefault="007C199D" w:rsidP="009F61F6">
      <w:pPr>
        <w:spacing w:line="276" w:lineRule="auto"/>
        <w:rPr>
          <w:rFonts w:asciiTheme="majorHAnsi" w:hAnsiTheme="majorHAnsi" w:cstheme="majorHAnsi"/>
          <w:b/>
          <w:bCs/>
          <w:color w:val="2F5496" w:themeColor="accent1" w:themeShade="BF"/>
          <w:sz w:val="28"/>
          <w:szCs w:val="28"/>
          <w:shd w:val="clear" w:color="auto" w:fill="FFFFFF"/>
        </w:rPr>
      </w:pPr>
      <w:r w:rsidRPr="006410E9">
        <w:rPr>
          <w:rFonts w:asciiTheme="majorHAnsi" w:hAnsiTheme="majorHAnsi" w:cstheme="majorHAnsi"/>
          <w:b/>
          <w:bCs/>
          <w:color w:val="2F5496" w:themeColor="accent1" w:themeShade="BF"/>
          <w:sz w:val="28"/>
          <w:szCs w:val="28"/>
          <w:shd w:val="clear" w:color="auto" w:fill="FFFFFF"/>
        </w:rPr>
        <w:t>Methods</w:t>
      </w:r>
    </w:p>
    <w:p w14:paraId="1C91C81B" w14:textId="725913C0" w:rsidR="00BF3C16" w:rsidRDefault="4D89A4C9" w:rsidP="00DC49A5">
      <w:pPr>
        <w:spacing w:line="276" w:lineRule="auto"/>
        <w:rPr>
          <w:rFonts w:cstheme="minorHAnsi"/>
          <w:color w:val="333333"/>
          <w:sz w:val="24"/>
          <w:szCs w:val="24"/>
          <w:shd w:val="clear" w:color="auto" w:fill="FFFFFF"/>
        </w:rPr>
      </w:pPr>
      <w:r w:rsidRPr="00DC49A5">
        <w:rPr>
          <w:rStyle w:val="normaltextrun"/>
          <w:rFonts w:cstheme="minorHAnsi"/>
          <w:color w:val="000000"/>
          <w:sz w:val="24"/>
          <w:szCs w:val="24"/>
          <w:shd w:val="clear" w:color="auto" w:fill="FFFFFF"/>
        </w:rPr>
        <w:t xml:space="preserve">We used </w:t>
      </w:r>
      <w:r w:rsidR="00B20B3A" w:rsidRPr="00DC49A5">
        <w:rPr>
          <w:rStyle w:val="normaltextrun"/>
          <w:rFonts w:cstheme="minorHAnsi"/>
          <w:color w:val="000000"/>
          <w:sz w:val="24"/>
          <w:szCs w:val="24"/>
          <w:shd w:val="clear" w:color="auto" w:fill="FFFFFF"/>
        </w:rPr>
        <w:t xml:space="preserve">the </w:t>
      </w:r>
      <w:r w:rsidRPr="00DC49A5">
        <w:rPr>
          <w:rStyle w:val="normaltextrun"/>
          <w:rFonts w:cstheme="minorHAnsi"/>
          <w:color w:val="000000"/>
          <w:sz w:val="24"/>
          <w:szCs w:val="24"/>
          <w:shd w:val="clear" w:color="auto" w:fill="FFFFFF"/>
        </w:rPr>
        <w:t xml:space="preserve">Massachusetts Department of Public Health’s Public Health Data Warehouse (PHD) to conduct a </w:t>
      </w:r>
      <w:r w:rsidR="00F76E7C" w:rsidRPr="00DC49A5">
        <w:rPr>
          <w:rStyle w:val="normaltextrun"/>
          <w:rFonts w:cstheme="minorHAnsi"/>
          <w:color w:val="000000"/>
          <w:sz w:val="24"/>
          <w:szCs w:val="24"/>
          <w:shd w:val="clear" w:color="auto" w:fill="FFFFFF"/>
        </w:rPr>
        <w:t>retrospective analysis of non-fatal opioid overdoses</w:t>
      </w:r>
      <w:r w:rsidRPr="00DC49A5">
        <w:rPr>
          <w:rStyle w:val="normaltextrun"/>
          <w:rFonts w:cstheme="minorHAnsi"/>
          <w:color w:val="000000"/>
          <w:sz w:val="24"/>
          <w:szCs w:val="24"/>
          <w:shd w:val="clear" w:color="auto" w:fill="FFFFFF"/>
        </w:rPr>
        <w:t xml:space="preserve"> between 2013 and </w:t>
      </w:r>
      <w:r w:rsidR="00893EF6">
        <w:rPr>
          <w:rStyle w:val="normaltextrun"/>
          <w:rFonts w:cstheme="minorHAnsi"/>
          <w:color w:val="000000"/>
          <w:sz w:val="24"/>
          <w:szCs w:val="24"/>
          <w:shd w:val="clear" w:color="auto" w:fill="FFFFFF"/>
        </w:rPr>
        <w:t>2021</w:t>
      </w:r>
      <w:r w:rsidRPr="00DC49A5">
        <w:rPr>
          <w:rStyle w:val="normaltextrun"/>
          <w:rFonts w:cstheme="minorHAnsi"/>
          <w:color w:val="000000"/>
          <w:sz w:val="24"/>
          <w:szCs w:val="24"/>
          <w:shd w:val="clear" w:color="auto" w:fill="FFFFFF"/>
        </w:rPr>
        <w:t xml:space="preserve">. These data were made available through special legislation,  </w:t>
      </w:r>
      <w:hyperlink r:id="rId36" w:tgtFrame="_blank" w:history="1">
        <w:r w:rsidRPr="00DC49A5">
          <w:rPr>
            <w:rStyle w:val="normaltextrun"/>
            <w:rFonts w:cstheme="minorHAnsi"/>
            <w:color w:val="0000FF"/>
            <w:sz w:val="24"/>
            <w:szCs w:val="24"/>
            <w:u w:val="single"/>
            <w:shd w:val="clear" w:color="auto" w:fill="FFFFFF"/>
          </w:rPr>
          <w:t>M.G.L c. 111 s. 237</w:t>
        </w:r>
      </w:hyperlink>
      <w:r w:rsidRPr="00DC49A5">
        <w:rPr>
          <w:rStyle w:val="normaltextrun"/>
          <w:rFonts w:cstheme="minorHAnsi"/>
          <w:color w:val="000000"/>
          <w:sz w:val="24"/>
          <w:szCs w:val="24"/>
          <w:shd w:val="clear" w:color="auto" w:fill="FFFFFF"/>
        </w:rPr>
        <w:t xml:space="preserve"> of 2017.</w:t>
      </w:r>
      <w:r w:rsidR="04DCCE62" w:rsidRPr="00DC49A5">
        <w:rPr>
          <w:rStyle w:val="normaltextrun"/>
          <w:rFonts w:cstheme="minorHAnsi"/>
          <w:color w:val="000000"/>
          <w:sz w:val="24"/>
          <w:szCs w:val="24"/>
          <w:shd w:val="clear" w:color="auto" w:fill="FFFFFF"/>
        </w:rPr>
        <w:t xml:space="preserve"> </w:t>
      </w:r>
      <w:r w:rsidR="01F29284" w:rsidRPr="004C5C98">
        <w:rPr>
          <w:rFonts w:cstheme="minorHAnsi"/>
          <w:sz w:val="24"/>
          <w:szCs w:val="24"/>
          <w:shd w:val="clear" w:color="auto" w:fill="FFFFFF"/>
        </w:rPr>
        <w:t xml:space="preserve">Non-fatal opioid overdose is defined as any individual with an ambulance response related to </w:t>
      </w:r>
      <w:r w:rsidR="00A32D65" w:rsidRPr="004C5C98">
        <w:rPr>
          <w:rFonts w:cstheme="minorHAnsi"/>
          <w:sz w:val="24"/>
          <w:szCs w:val="24"/>
        </w:rPr>
        <w:t xml:space="preserve">an acute </w:t>
      </w:r>
      <w:r w:rsidR="01F29284" w:rsidRPr="004C5C98">
        <w:rPr>
          <w:rFonts w:cstheme="minorHAnsi"/>
          <w:sz w:val="24"/>
          <w:szCs w:val="24"/>
          <w:shd w:val="clear" w:color="auto" w:fill="FFFFFF"/>
        </w:rPr>
        <w:t>opioid</w:t>
      </w:r>
      <w:r w:rsidR="00A32D65" w:rsidRPr="004C5C98">
        <w:rPr>
          <w:rFonts w:cstheme="minorHAnsi"/>
          <w:sz w:val="24"/>
          <w:szCs w:val="24"/>
        </w:rPr>
        <w:t xml:space="preserve"> overdose</w:t>
      </w:r>
      <w:r w:rsidR="00C94A30" w:rsidRPr="004C5C98">
        <w:rPr>
          <w:rFonts w:cstheme="minorHAnsi"/>
          <w:sz w:val="24"/>
          <w:szCs w:val="24"/>
          <w:shd w:val="clear" w:color="auto" w:fill="FFFFFF"/>
        </w:rPr>
        <w:t>,</w:t>
      </w:r>
      <w:r w:rsidR="01F29284" w:rsidRPr="004C5C98">
        <w:rPr>
          <w:rFonts w:cstheme="minorHAnsi"/>
          <w:sz w:val="24"/>
          <w:szCs w:val="24"/>
          <w:shd w:val="clear" w:color="auto" w:fill="FFFFFF"/>
        </w:rPr>
        <w:t xml:space="preserve"> or any emergency department, outpatient observation, or inpatient hospital discharge with an ICD-9-CM</w:t>
      </w:r>
      <w:r w:rsidR="00044281" w:rsidRPr="004C5C98">
        <w:rPr>
          <w:rFonts w:cstheme="minorHAnsi"/>
          <w:sz w:val="24"/>
          <w:szCs w:val="24"/>
          <w:shd w:val="clear" w:color="auto" w:fill="FFFFFF"/>
        </w:rPr>
        <w:t xml:space="preserve"> or ICD-10</w:t>
      </w:r>
      <w:r w:rsidR="004A2F28" w:rsidRPr="004C5C98">
        <w:rPr>
          <w:rFonts w:cstheme="minorHAnsi"/>
          <w:sz w:val="24"/>
          <w:szCs w:val="24"/>
          <w:shd w:val="clear" w:color="auto" w:fill="FFFFFF"/>
        </w:rPr>
        <w:t>-</w:t>
      </w:r>
      <w:r w:rsidR="00044281" w:rsidRPr="004C5C98">
        <w:rPr>
          <w:rFonts w:cstheme="minorHAnsi"/>
          <w:sz w:val="24"/>
          <w:szCs w:val="24"/>
          <w:shd w:val="clear" w:color="auto" w:fill="FFFFFF"/>
        </w:rPr>
        <w:t>CM</w:t>
      </w:r>
      <w:r w:rsidR="001E62AB" w:rsidRPr="004C5C98">
        <w:rPr>
          <w:rFonts w:cstheme="minorHAnsi"/>
          <w:sz w:val="24"/>
          <w:szCs w:val="24"/>
          <w:shd w:val="clear" w:color="auto" w:fill="FFFFFF"/>
        </w:rPr>
        <w:t xml:space="preserve"> c</w:t>
      </w:r>
      <w:r w:rsidR="01F29284" w:rsidRPr="004C5C98">
        <w:rPr>
          <w:rFonts w:cstheme="minorHAnsi"/>
          <w:sz w:val="24"/>
          <w:szCs w:val="24"/>
          <w:shd w:val="clear" w:color="auto" w:fill="FFFFFF"/>
        </w:rPr>
        <w:t>ode for opioid poisoning, with no subsequent death record</w:t>
      </w:r>
      <w:r w:rsidR="00044281" w:rsidRPr="004C5C98">
        <w:rPr>
          <w:rFonts w:cstheme="minorHAnsi"/>
          <w:sz w:val="24"/>
          <w:szCs w:val="24"/>
          <w:shd w:val="clear" w:color="auto" w:fill="FFFFFF"/>
        </w:rPr>
        <w:t xml:space="preserve"> within </w:t>
      </w:r>
      <w:r w:rsidR="00F7416C" w:rsidRPr="004C5C98">
        <w:rPr>
          <w:rFonts w:cstheme="minorHAnsi"/>
          <w:sz w:val="24"/>
          <w:szCs w:val="24"/>
          <w:shd w:val="clear" w:color="auto" w:fill="FFFFFF"/>
        </w:rPr>
        <w:t xml:space="preserve">three </w:t>
      </w:r>
      <w:r w:rsidR="00044281" w:rsidRPr="004C5C98">
        <w:rPr>
          <w:rFonts w:cstheme="minorHAnsi"/>
          <w:sz w:val="24"/>
          <w:szCs w:val="24"/>
          <w:shd w:val="clear" w:color="auto" w:fill="FFFFFF"/>
        </w:rPr>
        <w:t>days</w:t>
      </w:r>
      <w:r w:rsidR="01F29284" w:rsidRPr="004C5C98">
        <w:rPr>
          <w:rFonts w:cstheme="minorHAnsi"/>
          <w:sz w:val="24"/>
          <w:szCs w:val="24"/>
          <w:shd w:val="clear" w:color="auto" w:fill="FFFFFF"/>
        </w:rPr>
        <w:t xml:space="preserve">. </w:t>
      </w:r>
      <w:r w:rsidR="04DCCE62" w:rsidRPr="004C5C98">
        <w:rPr>
          <w:rFonts w:cstheme="minorHAnsi"/>
          <w:sz w:val="24"/>
          <w:szCs w:val="24"/>
          <w:shd w:val="clear" w:color="auto" w:fill="FFFFFF"/>
        </w:rPr>
        <w:t xml:space="preserve">We used </w:t>
      </w:r>
      <w:r w:rsidR="20EA51CB" w:rsidRPr="004C5C98">
        <w:rPr>
          <w:rFonts w:cstheme="minorHAnsi"/>
          <w:sz w:val="24"/>
          <w:szCs w:val="24"/>
          <w:shd w:val="clear" w:color="auto" w:fill="FFFFFF"/>
        </w:rPr>
        <w:t xml:space="preserve">the </w:t>
      </w:r>
      <w:r w:rsidR="04DCCE62" w:rsidRPr="004C5C98">
        <w:rPr>
          <w:rFonts w:cstheme="minorHAnsi"/>
          <w:sz w:val="24"/>
          <w:szCs w:val="24"/>
          <w:shd w:val="clear" w:color="auto" w:fill="FFFFFF"/>
        </w:rPr>
        <w:t>Bureau of Substance Addiction Services (BSAS) treatment records</w:t>
      </w:r>
      <w:r w:rsidR="00AC0AD2" w:rsidRPr="004C5C98">
        <w:rPr>
          <w:rFonts w:cstheme="minorHAnsi"/>
          <w:sz w:val="24"/>
          <w:szCs w:val="24"/>
          <w:shd w:val="clear" w:color="auto" w:fill="FFFFFF"/>
        </w:rPr>
        <w:t xml:space="preserve">, prescription monitoring program, </w:t>
      </w:r>
      <w:r w:rsidR="00F7416C" w:rsidRPr="004C5C98">
        <w:rPr>
          <w:rFonts w:cstheme="minorHAnsi"/>
          <w:sz w:val="24"/>
          <w:szCs w:val="24"/>
          <w:shd w:val="clear" w:color="auto" w:fill="FFFFFF"/>
        </w:rPr>
        <w:t xml:space="preserve">Department </w:t>
      </w:r>
      <w:r w:rsidR="00AC0AD2" w:rsidRPr="004C5C98">
        <w:rPr>
          <w:rFonts w:cstheme="minorHAnsi"/>
          <w:sz w:val="24"/>
          <w:szCs w:val="24"/>
          <w:shd w:val="clear" w:color="auto" w:fill="FFFFFF"/>
        </w:rPr>
        <w:t xml:space="preserve">of </w:t>
      </w:r>
      <w:r w:rsidR="00F7416C" w:rsidRPr="004C5C98">
        <w:rPr>
          <w:rFonts w:cstheme="minorHAnsi"/>
          <w:sz w:val="24"/>
          <w:szCs w:val="24"/>
          <w:shd w:val="clear" w:color="auto" w:fill="FFFFFF"/>
        </w:rPr>
        <w:t>Mental Health,</w:t>
      </w:r>
      <w:r w:rsidR="04DCCE62" w:rsidRPr="004C5C98">
        <w:rPr>
          <w:rFonts w:cstheme="minorHAnsi"/>
          <w:sz w:val="24"/>
          <w:szCs w:val="24"/>
          <w:shd w:val="clear" w:color="auto" w:fill="FFFFFF"/>
        </w:rPr>
        <w:t xml:space="preserve"> and </w:t>
      </w:r>
      <w:r w:rsidR="00F7416C" w:rsidRPr="004C5C98">
        <w:rPr>
          <w:rFonts w:cstheme="minorHAnsi"/>
          <w:sz w:val="24"/>
          <w:szCs w:val="24"/>
          <w:shd w:val="clear" w:color="auto" w:fill="FFFFFF"/>
        </w:rPr>
        <w:t>Medical Insurance</w:t>
      </w:r>
      <w:r w:rsidR="00243668" w:rsidRPr="004C5C98">
        <w:rPr>
          <w:rFonts w:cstheme="minorHAnsi"/>
          <w:sz w:val="24"/>
          <w:szCs w:val="24"/>
          <w:shd w:val="clear" w:color="auto" w:fill="FFFFFF"/>
        </w:rPr>
        <w:t xml:space="preserve"> </w:t>
      </w:r>
      <w:r w:rsidR="04DCCE62" w:rsidRPr="004C5C98">
        <w:rPr>
          <w:rFonts w:cstheme="minorHAnsi"/>
          <w:sz w:val="24"/>
          <w:szCs w:val="24"/>
          <w:shd w:val="clear" w:color="auto" w:fill="FFFFFF"/>
        </w:rPr>
        <w:t>records</w:t>
      </w:r>
      <w:r w:rsidR="387B2520" w:rsidRPr="004C5C98">
        <w:rPr>
          <w:rFonts w:cstheme="minorHAnsi"/>
          <w:sz w:val="24"/>
          <w:szCs w:val="24"/>
          <w:shd w:val="clear" w:color="auto" w:fill="FFFFFF"/>
        </w:rPr>
        <w:t xml:space="preserve"> to identify opioid use disorder (OUD)</w:t>
      </w:r>
      <w:r w:rsidR="00AC0AD2" w:rsidRPr="004C5C98">
        <w:rPr>
          <w:rFonts w:cstheme="minorHAnsi"/>
          <w:sz w:val="24"/>
          <w:szCs w:val="24"/>
          <w:shd w:val="clear" w:color="auto" w:fill="FFFFFF"/>
        </w:rPr>
        <w:t xml:space="preserve"> and </w:t>
      </w:r>
      <w:r w:rsidR="00D25242">
        <w:rPr>
          <w:rFonts w:cstheme="minorHAnsi"/>
          <w:sz w:val="24"/>
          <w:szCs w:val="24"/>
          <w:shd w:val="clear" w:color="auto" w:fill="FFFFFF"/>
        </w:rPr>
        <w:t xml:space="preserve">MOUD </w:t>
      </w:r>
      <w:r w:rsidR="00AC0AD2" w:rsidRPr="000240B8">
        <w:rPr>
          <w:rFonts w:cstheme="minorHAnsi"/>
          <w:sz w:val="24"/>
          <w:szCs w:val="24"/>
          <w:shd w:val="clear" w:color="auto" w:fill="FFFFFF"/>
        </w:rPr>
        <w:t>prescriptions</w:t>
      </w:r>
      <w:r w:rsidR="387B2520" w:rsidRPr="000240B8">
        <w:rPr>
          <w:rFonts w:cstheme="minorHAnsi"/>
          <w:sz w:val="24"/>
          <w:szCs w:val="24"/>
          <w:shd w:val="clear" w:color="auto" w:fill="FFFFFF"/>
        </w:rPr>
        <w:t xml:space="preserve">, and </w:t>
      </w:r>
      <w:r w:rsidR="009E516C" w:rsidRPr="000240B8">
        <w:rPr>
          <w:rFonts w:cstheme="minorHAnsi"/>
          <w:sz w:val="24"/>
          <w:szCs w:val="24"/>
        </w:rPr>
        <w:t xml:space="preserve">a combined </w:t>
      </w:r>
      <w:r w:rsidR="387B2520" w:rsidRPr="000240B8">
        <w:rPr>
          <w:rFonts w:cstheme="minorHAnsi"/>
          <w:sz w:val="24"/>
          <w:szCs w:val="24"/>
          <w:shd w:val="clear" w:color="auto" w:fill="FFFFFF"/>
        </w:rPr>
        <w:t xml:space="preserve">demographic dataset to identify priority population groups. </w:t>
      </w:r>
    </w:p>
    <w:p w14:paraId="7DA702AB" w14:textId="74E55243" w:rsidR="009277DE" w:rsidRPr="00DC49A5" w:rsidRDefault="009277DE" w:rsidP="00DC49A5">
      <w:pPr>
        <w:spacing w:line="276" w:lineRule="auto"/>
        <w:rPr>
          <w:rFonts w:asciiTheme="majorHAnsi" w:hAnsiTheme="majorHAnsi" w:cstheme="majorHAnsi"/>
          <w:b/>
          <w:color w:val="2F5496" w:themeColor="accent1" w:themeShade="BF"/>
          <w:sz w:val="28"/>
          <w:szCs w:val="28"/>
          <w:shd w:val="clear" w:color="auto" w:fill="FFFFFF"/>
        </w:rPr>
      </w:pPr>
      <w:r w:rsidRPr="00DC49A5">
        <w:rPr>
          <w:rFonts w:asciiTheme="majorHAnsi" w:hAnsiTheme="majorHAnsi" w:cstheme="majorHAnsi"/>
          <w:b/>
          <w:color w:val="2F5496" w:themeColor="accent1" w:themeShade="BF"/>
          <w:sz w:val="28"/>
          <w:szCs w:val="28"/>
          <w:shd w:val="clear" w:color="auto" w:fill="FFFFFF"/>
        </w:rPr>
        <w:lastRenderedPageBreak/>
        <w:t>Detailed Definitions</w:t>
      </w:r>
    </w:p>
    <w:p w14:paraId="414E995A" w14:textId="77777777" w:rsidR="00D24C5D" w:rsidRDefault="00FE4D9A" w:rsidP="00D24C5D">
      <w:pPr>
        <w:pStyle w:val="FootnoteText"/>
        <w:numPr>
          <w:ilvl w:val="0"/>
          <w:numId w:val="11"/>
        </w:numPr>
        <w:spacing w:after="40"/>
        <w:rPr>
          <w:rFonts w:cstheme="minorHAnsi"/>
          <w:sz w:val="24"/>
          <w:szCs w:val="24"/>
        </w:rPr>
      </w:pPr>
      <w:r w:rsidRPr="00BF7611">
        <w:rPr>
          <w:rFonts w:cstheme="minorHAnsi"/>
          <w:b/>
          <w:bCs/>
          <w:color w:val="333333"/>
          <w:sz w:val="24"/>
          <w:szCs w:val="24"/>
          <w:shd w:val="clear" w:color="auto" w:fill="FFFFFF"/>
        </w:rPr>
        <w:t>Opioid-related overdose</w:t>
      </w:r>
      <w:r w:rsidRPr="00BF7611">
        <w:rPr>
          <w:rFonts w:cstheme="minorHAnsi"/>
          <w:color w:val="333333"/>
          <w:sz w:val="24"/>
          <w:szCs w:val="24"/>
          <w:shd w:val="clear" w:color="auto" w:fill="FFFFFF"/>
        </w:rPr>
        <w:t xml:space="preserve"> </w:t>
      </w:r>
      <w:r w:rsidR="00BF7611" w:rsidRPr="00BF7611">
        <w:rPr>
          <w:rFonts w:cstheme="minorHAnsi"/>
          <w:sz w:val="24"/>
          <w:szCs w:val="24"/>
          <w:shd w:val="clear" w:color="auto" w:fill="FFFFFF"/>
        </w:rPr>
        <w:t xml:space="preserve">in the Acute Care Hospital Case Mix data </w:t>
      </w:r>
      <w:r w:rsidRPr="00BF7611">
        <w:rPr>
          <w:rFonts w:cstheme="minorHAnsi"/>
          <w:sz w:val="24"/>
          <w:szCs w:val="24"/>
          <w:shd w:val="clear" w:color="auto" w:fill="FFFFFF"/>
        </w:rPr>
        <w:t xml:space="preserve">was identified using </w:t>
      </w:r>
      <w:r w:rsidR="00015ACF" w:rsidRPr="00BF7611">
        <w:rPr>
          <w:rFonts w:cstheme="minorHAnsi"/>
          <w:sz w:val="24"/>
          <w:szCs w:val="24"/>
        </w:rPr>
        <w:t>ICD-9 and ICD-10 Overdose search codes: T400X1A, T400X2A, T400X3A, T400X4A, T400X1D, T400X2D, T400X3D, T400X4D, T401X1A, T401X2A, T401X3A, T401X4A, T401X1D, T401X2D, T401X3D, T401X4D, T402X1A, T402X2A, T402X3A, T402X4A, T402X1D, T402X2D, T402X3D, T402X4D, T403X1A, T403X2A, T403X3A, T403X4A, T403X1D, T403X2D, T403X3D,</w:t>
      </w:r>
      <w:r w:rsidR="00712B59" w:rsidRPr="00BF7611">
        <w:rPr>
          <w:rFonts w:cstheme="minorHAnsi"/>
          <w:sz w:val="24"/>
          <w:szCs w:val="24"/>
        </w:rPr>
        <w:t xml:space="preserve"> </w:t>
      </w:r>
      <w:r w:rsidR="00015ACF" w:rsidRPr="00BF7611">
        <w:rPr>
          <w:rFonts w:cstheme="minorHAnsi"/>
          <w:sz w:val="24"/>
          <w:szCs w:val="24"/>
        </w:rPr>
        <w:t>T403X4D, T404X1A, T404X2A, T404X3A, T404X4A, T404X1D, T404X2D, T404X3D, T404X4D, T40601A, T40601D, T40602A,T40602D, T40603A, T40603D, T40604A, T40604D, T40691A,  T40692A, T40693A, T40694A, T40691D, T40692D, T40693D,T40694D, 96500, 96501, 96502, 96509,  9701, E8500, E8501, E8502</w:t>
      </w:r>
    </w:p>
    <w:p w14:paraId="1FB65BE4" w14:textId="690F0F03" w:rsidR="00AB017A" w:rsidRDefault="00942D4C" w:rsidP="00D24C5D">
      <w:pPr>
        <w:pStyle w:val="FootnoteText"/>
        <w:numPr>
          <w:ilvl w:val="0"/>
          <w:numId w:val="11"/>
        </w:numPr>
        <w:spacing w:after="40"/>
        <w:rPr>
          <w:rFonts w:cstheme="minorHAnsi"/>
          <w:sz w:val="24"/>
          <w:szCs w:val="24"/>
        </w:rPr>
      </w:pPr>
      <w:r w:rsidRPr="00D24C5D">
        <w:rPr>
          <w:rFonts w:cstheme="minorHAnsi"/>
          <w:b/>
          <w:bCs/>
          <w:color w:val="333333"/>
          <w:sz w:val="24"/>
          <w:szCs w:val="24"/>
          <w:shd w:val="clear" w:color="auto" w:fill="FFFFFF"/>
        </w:rPr>
        <w:t xml:space="preserve">Opioid-related overdose </w:t>
      </w:r>
      <w:r w:rsidRPr="00D24C5D">
        <w:rPr>
          <w:rFonts w:cstheme="minorHAnsi"/>
          <w:color w:val="333333"/>
          <w:sz w:val="24"/>
          <w:szCs w:val="24"/>
          <w:shd w:val="clear" w:color="auto" w:fill="FFFFFF"/>
        </w:rPr>
        <w:t xml:space="preserve">in the MATRIS data </w:t>
      </w:r>
      <w:r w:rsidR="00002809" w:rsidRPr="00D24C5D">
        <w:rPr>
          <w:rFonts w:cstheme="minorHAnsi"/>
          <w:sz w:val="24"/>
          <w:szCs w:val="24"/>
        </w:rPr>
        <w:t xml:space="preserve">includes all runs where the patient would most likely have died if medical intervention was </w:t>
      </w:r>
      <w:r w:rsidR="00F7416C">
        <w:rPr>
          <w:rFonts w:cstheme="minorHAnsi"/>
          <w:sz w:val="24"/>
          <w:szCs w:val="24"/>
        </w:rPr>
        <w:t>unavailable</w:t>
      </w:r>
      <w:r w:rsidR="00002809" w:rsidRPr="00D24C5D">
        <w:rPr>
          <w:rFonts w:cstheme="minorHAnsi"/>
          <w:sz w:val="24"/>
          <w:szCs w:val="24"/>
        </w:rPr>
        <w:t xml:space="preserve">. It captures patients </w:t>
      </w:r>
      <w:r w:rsidR="00F7416C">
        <w:rPr>
          <w:rFonts w:cstheme="minorHAnsi"/>
          <w:sz w:val="24"/>
          <w:szCs w:val="24"/>
        </w:rPr>
        <w:t>who</w:t>
      </w:r>
      <w:r w:rsidR="00F7416C" w:rsidRPr="00D24C5D">
        <w:rPr>
          <w:rFonts w:cstheme="minorHAnsi"/>
          <w:sz w:val="24"/>
          <w:szCs w:val="24"/>
        </w:rPr>
        <w:t xml:space="preserve"> </w:t>
      </w:r>
      <w:r w:rsidR="00002809" w:rsidRPr="00D24C5D">
        <w:rPr>
          <w:rFonts w:cstheme="minorHAnsi"/>
          <w:sz w:val="24"/>
          <w:szCs w:val="24"/>
        </w:rPr>
        <w:t xml:space="preserve">display symptoms of an acute overdose </w:t>
      </w:r>
      <w:r w:rsidR="00F7416C">
        <w:rPr>
          <w:rFonts w:cstheme="minorHAnsi"/>
          <w:sz w:val="24"/>
          <w:szCs w:val="24"/>
        </w:rPr>
        <w:t>of</w:t>
      </w:r>
      <w:r w:rsidR="00F7416C" w:rsidRPr="00D24C5D">
        <w:rPr>
          <w:rFonts w:cstheme="minorHAnsi"/>
          <w:sz w:val="24"/>
          <w:szCs w:val="24"/>
        </w:rPr>
        <w:t xml:space="preserve"> </w:t>
      </w:r>
      <w:r w:rsidR="00002809" w:rsidRPr="00D24C5D">
        <w:rPr>
          <w:rFonts w:cstheme="minorHAnsi"/>
          <w:sz w:val="24"/>
          <w:szCs w:val="24"/>
        </w:rPr>
        <w:t>opioids, such as respiratory depression, loss of consciousness, blue/pale/cold skin</w:t>
      </w:r>
      <w:r w:rsidR="00F7416C">
        <w:rPr>
          <w:rFonts w:cstheme="minorHAnsi"/>
          <w:sz w:val="24"/>
          <w:szCs w:val="24"/>
        </w:rPr>
        <w:t>,</w:t>
      </w:r>
      <w:r w:rsidR="00002809" w:rsidRPr="00D24C5D">
        <w:rPr>
          <w:rFonts w:cstheme="minorHAnsi"/>
          <w:sz w:val="24"/>
          <w:szCs w:val="24"/>
        </w:rPr>
        <w:t xml:space="preserve"> and/or cardiac arrest following opioid use. Another indicator includes patients with improving symptoms following EMS or bystander naloxone administration. </w:t>
      </w:r>
    </w:p>
    <w:p w14:paraId="3F545B42" w14:textId="01BFD00B" w:rsidR="00D24C5D" w:rsidRPr="00D24C5D" w:rsidRDefault="00D24C5D" w:rsidP="00D24C5D">
      <w:pPr>
        <w:pStyle w:val="FootnoteText"/>
        <w:numPr>
          <w:ilvl w:val="0"/>
          <w:numId w:val="11"/>
        </w:numPr>
        <w:spacing w:after="40"/>
        <w:rPr>
          <w:rFonts w:cstheme="minorHAnsi"/>
          <w:sz w:val="24"/>
          <w:szCs w:val="24"/>
        </w:rPr>
      </w:pPr>
      <w:r>
        <w:rPr>
          <w:rFonts w:cstheme="minorHAnsi"/>
          <w:b/>
          <w:bCs/>
          <w:color w:val="333333"/>
          <w:sz w:val="24"/>
          <w:szCs w:val="24"/>
          <w:shd w:val="clear" w:color="auto" w:fill="FFFFFF"/>
        </w:rPr>
        <w:t>Fatal opioid overdose</w:t>
      </w:r>
      <w:r>
        <w:rPr>
          <w:rFonts w:cstheme="minorHAnsi"/>
          <w:color w:val="333333"/>
          <w:sz w:val="24"/>
          <w:szCs w:val="24"/>
          <w:shd w:val="clear" w:color="auto" w:fill="FFFFFF"/>
        </w:rPr>
        <w:t xml:space="preserve">: </w:t>
      </w:r>
      <w:r w:rsidR="00F7416C">
        <w:rPr>
          <w:rFonts w:cstheme="minorHAnsi"/>
          <w:color w:val="333333"/>
          <w:sz w:val="24"/>
          <w:szCs w:val="24"/>
          <w:shd w:val="clear" w:color="auto" w:fill="FFFFFF"/>
        </w:rPr>
        <w:t xml:space="preserve">Death </w:t>
      </w:r>
      <w:r w:rsidR="0052125E">
        <w:rPr>
          <w:rFonts w:cstheme="minorHAnsi"/>
          <w:color w:val="333333"/>
          <w:sz w:val="24"/>
          <w:szCs w:val="24"/>
          <w:shd w:val="clear" w:color="auto" w:fill="FFFFFF"/>
        </w:rPr>
        <w:t xml:space="preserve">certificates were searched for </w:t>
      </w:r>
      <w:r>
        <w:rPr>
          <w:rFonts w:cstheme="minorHAnsi"/>
          <w:color w:val="333333"/>
          <w:sz w:val="24"/>
          <w:szCs w:val="24"/>
          <w:shd w:val="clear" w:color="auto" w:fill="FFFFFF"/>
        </w:rPr>
        <w:t xml:space="preserve">the following </w:t>
      </w:r>
      <w:r w:rsidR="00160190">
        <w:rPr>
          <w:rFonts w:cstheme="minorHAnsi"/>
          <w:color w:val="333333"/>
          <w:sz w:val="24"/>
          <w:szCs w:val="24"/>
          <w:shd w:val="clear" w:color="auto" w:fill="FFFFFF"/>
        </w:rPr>
        <w:t xml:space="preserve">International </w:t>
      </w:r>
      <w:r w:rsidR="0052125E">
        <w:rPr>
          <w:rFonts w:cstheme="minorHAnsi"/>
          <w:color w:val="333333"/>
          <w:sz w:val="24"/>
          <w:szCs w:val="24"/>
          <w:shd w:val="clear" w:color="auto" w:fill="FFFFFF"/>
        </w:rPr>
        <w:t>Classification of Disease (ICD-10) codes for mortality</w:t>
      </w:r>
      <w:r w:rsidR="00CF56A8">
        <w:rPr>
          <w:rFonts w:cstheme="minorHAnsi"/>
          <w:color w:val="333333"/>
          <w:sz w:val="24"/>
          <w:szCs w:val="24"/>
          <w:shd w:val="clear" w:color="auto" w:fill="FFFFFF"/>
        </w:rPr>
        <w:t xml:space="preserve"> from </w:t>
      </w:r>
      <w:r w:rsidR="007B35C1">
        <w:rPr>
          <w:rFonts w:cstheme="minorHAnsi"/>
          <w:color w:val="333333"/>
          <w:sz w:val="24"/>
          <w:szCs w:val="24"/>
          <w:shd w:val="clear" w:color="auto" w:fill="FFFFFF"/>
        </w:rPr>
        <w:t xml:space="preserve">the underlying cause of death field to identify poisoning/overdose: </w:t>
      </w:r>
      <w:r w:rsidR="00673122">
        <w:rPr>
          <w:rFonts w:cstheme="minorHAnsi"/>
          <w:color w:val="333333"/>
          <w:sz w:val="24"/>
          <w:szCs w:val="24"/>
          <w:shd w:val="clear" w:color="auto" w:fill="FFFFFF"/>
        </w:rPr>
        <w:t xml:space="preserve">X40-X44, X60-X64, X85, and Y10-Y14. All multiple cause of death fields </w:t>
      </w:r>
      <w:r w:rsidR="008F73DD">
        <w:rPr>
          <w:rFonts w:cstheme="minorHAnsi"/>
          <w:color w:val="333333"/>
          <w:sz w:val="24"/>
          <w:szCs w:val="24"/>
          <w:shd w:val="clear" w:color="auto" w:fill="FFFFFF"/>
        </w:rPr>
        <w:t xml:space="preserve">were then used to identify an opioid overdose death: T40.0, T40.1, </w:t>
      </w:r>
      <w:r w:rsidR="005F54B4">
        <w:rPr>
          <w:rFonts w:cstheme="minorHAnsi"/>
          <w:color w:val="333333"/>
          <w:sz w:val="24"/>
          <w:szCs w:val="24"/>
          <w:shd w:val="clear" w:color="auto" w:fill="FFFFFF"/>
        </w:rPr>
        <w:t xml:space="preserve">T40.2, T40.3, T40.4, and T40.6. </w:t>
      </w:r>
    </w:p>
    <w:p w14:paraId="732494B4" w14:textId="136A847E" w:rsidR="000C503B" w:rsidRDefault="005E2A14" w:rsidP="00BF7611">
      <w:pPr>
        <w:pStyle w:val="FootnoteText"/>
        <w:numPr>
          <w:ilvl w:val="0"/>
          <w:numId w:val="11"/>
        </w:numPr>
        <w:spacing w:after="40"/>
        <w:rPr>
          <w:rFonts w:cstheme="minorHAnsi"/>
          <w:color w:val="333333"/>
          <w:sz w:val="24"/>
          <w:szCs w:val="24"/>
          <w:shd w:val="clear" w:color="auto" w:fill="FFFFFF"/>
        </w:rPr>
      </w:pPr>
      <w:r w:rsidRPr="00BF7611">
        <w:rPr>
          <w:rFonts w:cstheme="minorHAnsi"/>
          <w:b/>
          <w:bCs/>
          <w:color w:val="333333"/>
          <w:sz w:val="24"/>
          <w:szCs w:val="24"/>
          <w:shd w:val="clear" w:color="auto" w:fill="FFFFFF"/>
        </w:rPr>
        <w:t>Opioid Use Disorder (OUD)</w:t>
      </w:r>
      <w:r w:rsidR="00741E6C" w:rsidRPr="00DC49A5">
        <w:rPr>
          <w:rFonts w:cstheme="minorHAnsi"/>
          <w:color w:val="333333"/>
          <w:sz w:val="24"/>
          <w:szCs w:val="24"/>
          <w:shd w:val="clear" w:color="auto" w:fill="FFFFFF"/>
        </w:rPr>
        <w:t xml:space="preserve"> was identified where an individual had any indication of MOUD treatment</w:t>
      </w:r>
      <w:r w:rsidR="007B75DD" w:rsidRPr="00DC49A5">
        <w:rPr>
          <w:rFonts w:cstheme="minorHAnsi"/>
          <w:color w:val="333333"/>
          <w:sz w:val="24"/>
          <w:szCs w:val="24"/>
          <w:shd w:val="clear" w:color="auto" w:fill="FFFFFF"/>
        </w:rPr>
        <w:t xml:space="preserve"> (found in </w:t>
      </w:r>
      <w:r w:rsidR="007E414E" w:rsidRPr="00DC49A5">
        <w:rPr>
          <w:rFonts w:cstheme="minorHAnsi"/>
          <w:color w:val="333333"/>
          <w:sz w:val="24"/>
          <w:szCs w:val="24"/>
          <w:shd w:val="clear" w:color="auto" w:fill="FFFFFF"/>
        </w:rPr>
        <w:t>the Bureau of Substance Addiction Services (</w:t>
      </w:r>
      <w:r w:rsidR="007B75DD" w:rsidRPr="00DC49A5">
        <w:rPr>
          <w:rFonts w:cstheme="minorHAnsi"/>
          <w:color w:val="333333"/>
          <w:sz w:val="24"/>
          <w:szCs w:val="24"/>
          <w:shd w:val="clear" w:color="auto" w:fill="FFFFFF"/>
        </w:rPr>
        <w:t>BSAS</w:t>
      </w:r>
      <w:r w:rsidR="007E414E" w:rsidRPr="00DC49A5">
        <w:rPr>
          <w:rFonts w:cstheme="minorHAnsi"/>
          <w:color w:val="333333"/>
          <w:sz w:val="24"/>
          <w:szCs w:val="24"/>
          <w:shd w:val="clear" w:color="auto" w:fill="FFFFFF"/>
        </w:rPr>
        <w:t>)</w:t>
      </w:r>
      <w:r w:rsidR="007B75DD" w:rsidRPr="00DC49A5">
        <w:rPr>
          <w:rFonts w:cstheme="minorHAnsi"/>
          <w:color w:val="333333"/>
          <w:sz w:val="24"/>
          <w:szCs w:val="24"/>
          <w:shd w:val="clear" w:color="auto" w:fill="FFFFFF"/>
        </w:rPr>
        <w:t>, the All-Payer Claims Database</w:t>
      </w:r>
      <w:r w:rsidR="007E414E" w:rsidRPr="00DC49A5">
        <w:rPr>
          <w:rFonts w:cstheme="minorHAnsi"/>
          <w:color w:val="333333"/>
          <w:sz w:val="24"/>
          <w:szCs w:val="24"/>
          <w:shd w:val="clear" w:color="auto" w:fill="FFFFFF"/>
        </w:rPr>
        <w:t xml:space="preserve"> (APCD), or the Prescription Monitoring Program)</w:t>
      </w:r>
      <w:r w:rsidR="00741E6C" w:rsidRPr="00DC49A5">
        <w:rPr>
          <w:rFonts w:cstheme="minorHAnsi"/>
          <w:color w:val="333333"/>
          <w:sz w:val="24"/>
          <w:szCs w:val="24"/>
          <w:shd w:val="clear" w:color="auto" w:fill="FFFFFF"/>
        </w:rPr>
        <w:t>,</w:t>
      </w:r>
      <w:r w:rsidR="007E414E" w:rsidRPr="00DC49A5">
        <w:rPr>
          <w:rFonts w:cstheme="minorHAnsi"/>
          <w:color w:val="333333"/>
          <w:sz w:val="24"/>
          <w:szCs w:val="24"/>
          <w:shd w:val="clear" w:color="auto" w:fill="FFFFFF"/>
        </w:rPr>
        <w:t xml:space="preserve"> or OUD treatment (found in BSAS and the Department of Mental Health (DMH) records),</w:t>
      </w:r>
      <w:r w:rsidR="00741E6C" w:rsidRPr="00DC49A5">
        <w:rPr>
          <w:rFonts w:cstheme="minorHAnsi"/>
          <w:color w:val="333333"/>
          <w:sz w:val="24"/>
          <w:szCs w:val="24"/>
          <w:shd w:val="clear" w:color="auto" w:fill="FFFFFF"/>
        </w:rPr>
        <w:t xml:space="preserve"> </w:t>
      </w:r>
      <w:r w:rsidR="00774311" w:rsidRPr="00DC49A5">
        <w:rPr>
          <w:rFonts w:cstheme="minorHAnsi"/>
          <w:color w:val="333333"/>
          <w:sz w:val="24"/>
          <w:szCs w:val="24"/>
          <w:shd w:val="clear" w:color="auto" w:fill="FFFFFF"/>
        </w:rPr>
        <w:t xml:space="preserve">two or more self-reported </w:t>
      </w:r>
      <w:r w:rsidR="00E33711">
        <w:rPr>
          <w:rFonts w:cstheme="minorHAnsi"/>
          <w:color w:val="333333"/>
          <w:sz w:val="24"/>
          <w:szCs w:val="24"/>
          <w:shd w:val="clear" w:color="auto" w:fill="FFFFFF"/>
        </w:rPr>
        <w:t xml:space="preserve">opioid </w:t>
      </w:r>
      <w:r w:rsidR="00774311" w:rsidRPr="00DC49A5">
        <w:rPr>
          <w:rFonts w:cstheme="minorHAnsi"/>
          <w:color w:val="333333"/>
          <w:sz w:val="24"/>
          <w:szCs w:val="24"/>
          <w:shd w:val="clear" w:color="auto" w:fill="FFFFFF"/>
        </w:rPr>
        <w:t>overdoses in BSAS</w:t>
      </w:r>
      <w:r w:rsidR="006C4AEF" w:rsidRPr="00DC49A5">
        <w:rPr>
          <w:rStyle w:val="CommentReference"/>
          <w:rFonts w:cstheme="minorHAnsi"/>
          <w:sz w:val="24"/>
          <w:szCs w:val="24"/>
        </w:rPr>
        <w:t xml:space="preserve">, </w:t>
      </w:r>
      <w:r w:rsidR="001E05C5" w:rsidRPr="00DC49A5">
        <w:rPr>
          <w:rFonts w:cstheme="minorHAnsi"/>
          <w:color w:val="333333"/>
          <w:sz w:val="24"/>
          <w:szCs w:val="24"/>
          <w:shd w:val="clear" w:color="auto" w:fill="FFFFFF"/>
        </w:rPr>
        <w:t xml:space="preserve">or </w:t>
      </w:r>
      <w:r w:rsidR="00741E6C" w:rsidRPr="00DC49A5">
        <w:rPr>
          <w:rFonts w:cstheme="minorHAnsi"/>
          <w:color w:val="333333"/>
          <w:sz w:val="24"/>
          <w:szCs w:val="24"/>
          <w:shd w:val="clear" w:color="auto" w:fill="FFFFFF"/>
        </w:rPr>
        <w:t>a diagnosis of opioid abuse or de</w:t>
      </w:r>
      <w:r w:rsidR="00774311" w:rsidRPr="00DC49A5">
        <w:rPr>
          <w:rFonts w:cstheme="minorHAnsi"/>
          <w:color w:val="333333"/>
          <w:sz w:val="24"/>
          <w:szCs w:val="24"/>
          <w:shd w:val="clear" w:color="auto" w:fill="FFFFFF"/>
        </w:rPr>
        <w:t>p</w:t>
      </w:r>
      <w:r w:rsidR="00741E6C" w:rsidRPr="00DC49A5">
        <w:rPr>
          <w:rFonts w:cstheme="minorHAnsi"/>
          <w:color w:val="333333"/>
          <w:sz w:val="24"/>
          <w:szCs w:val="24"/>
          <w:shd w:val="clear" w:color="auto" w:fill="FFFFFF"/>
        </w:rPr>
        <w:t>e</w:t>
      </w:r>
      <w:r w:rsidR="00C12354" w:rsidRPr="00DC49A5">
        <w:rPr>
          <w:rFonts w:cstheme="minorHAnsi"/>
          <w:color w:val="333333"/>
          <w:sz w:val="24"/>
          <w:szCs w:val="24"/>
          <w:shd w:val="clear" w:color="auto" w:fill="FFFFFF"/>
        </w:rPr>
        <w:t>n</w:t>
      </w:r>
      <w:r w:rsidR="00741E6C" w:rsidRPr="00DC49A5">
        <w:rPr>
          <w:rFonts w:cstheme="minorHAnsi"/>
          <w:color w:val="333333"/>
          <w:sz w:val="24"/>
          <w:szCs w:val="24"/>
          <w:shd w:val="clear" w:color="auto" w:fill="FFFFFF"/>
        </w:rPr>
        <w:t>de</w:t>
      </w:r>
      <w:r w:rsidR="00774311" w:rsidRPr="00DC49A5">
        <w:rPr>
          <w:rFonts w:cstheme="minorHAnsi"/>
          <w:color w:val="333333"/>
          <w:sz w:val="24"/>
          <w:szCs w:val="24"/>
          <w:shd w:val="clear" w:color="auto" w:fill="FFFFFF"/>
        </w:rPr>
        <w:t>n</w:t>
      </w:r>
      <w:r w:rsidR="00741E6C" w:rsidRPr="00DC49A5">
        <w:rPr>
          <w:rFonts w:cstheme="minorHAnsi"/>
          <w:color w:val="333333"/>
          <w:sz w:val="24"/>
          <w:szCs w:val="24"/>
          <w:shd w:val="clear" w:color="auto" w:fill="FFFFFF"/>
        </w:rPr>
        <w:t>ce</w:t>
      </w:r>
      <w:r w:rsidR="00C221C4" w:rsidRPr="00DC49A5">
        <w:rPr>
          <w:rFonts w:cstheme="minorHAnsi"/>
          <w:color w:val="333333"/>
          <w:sz w:val="24"/>
          <w:szCs w:val="24"/>
          <w:shd w:val="clear" w:color="auto" w:fill="FFFFFF"/>
        </w:rPr>
        <w:t xml:space="preserve"> </w:t>
      </w:r>
      <w:r w:rsidR="00741E6C" w:rsidRPr="00DC49A5">
        <w:rPr>
          <w:rFonts w:cstheme="minorHAnsi"/>
          <w:color w:val="333333"/>
          <w:sz w:val="24"/>
          <w:szCs w:val="24"/>
          <w:shd w:val="clear" w:color="auto" w:fill="FFFFFF"/>
        </w:rPr>
        <w:t xml:space="preserve">in </w:t>
      </w:r>
      <w:r w:rsidR="00243668" w:rsidRPr="00DC49A5">
        <w:rPr>
          <w:rFonts w:cstheme="minorHAnsi"/>
          <w:color w:val="333333"/>
          <w:sz w:val="24"/>
          <w:szCs w:val="24"/>
          <w:shd w:val="clear" w:color="auto" w:fill="FFFFFF"/>
        </w:rPr>
        <w:t xml:space="preserve">the </w:t>
      </w:r>
      <w:r w:rsidR="007E414E" w:rsidRPr="00DC49A5">
        <w:rPr>
          <w:rFonts w:cstheme="minorHAnsi"/>
          <w:color w:val="333333"/>
          <w:sz w:val="24"/>
          <w:szCs w:val="24"/>
          <w:shd w:val="clear" w:color="auto" w:fill="FFFFFF"/>
        </w:rPr>
        <w:t xml:space="preserve">APCD, </w:t>
      </w:r>
      <w:r w:rsidR="00741E6C" w:rsidRPr="00DC49A5">
        <w:rPr>
          <w:rFonts w:cstheme="minorHAnsi"/>
          <w:color w:val="333333"/>
          <w:sz w:val="24"/>
          <w:szCs w:val="24"/>
          <w:shd w:val="clear" w:color="auto" w:fill="FFFFFF"/>
        </w:rPr>
        <w:t xml:space="preserve">Case Mix or </w:t>
      </w:r>
      <w:r w:rsidR="005D6A54" w:rsidRPr="00DC49A5">
        <w:rPr>
          <w:rFonts w:cstheme="minorHAnsi"/>
          <w:color w:val="333333"/>
          <w:sz w:val="24"/>
          <w:szCs w:val="24"/>
          <w:shd w:val="clear" w:color="auto" w:fill="FFFFFF"/>
        </w:rPr>
        <w:t xml:space="preserve">the </w:t>
      </w:r>
      <w:r w:rsidR="00F91486" w:rsidRPr="00DC49A5">
        <w:rPr>
          <w:rFonts w:cstheme="minorHAnsi"/>
          <w:color w:val="333333"/>
          <w:sz w:val="24"/>
          <w:szCs w:val="24"/>
          <w:shd w:val="clear" w:color="auto" w:fill="FFFFFF"/>
        </w:rPr>
        <w:t xml:space="preserve">DMH </w:t>
      </w:r>
      <w:r w:rsidR="00D67300" w:rsidRPr="00DC49A5">
        <w:rPr>
          <w:rFonts w:cstheme="minorHAnsi"/>
          <w:color w:val="333333"/>
          <w:sz w:val="24"/>
          <w:szCs w:val="24"/>
          <w:shd w:val="clear" w:color="auto" w:fill="FFFFFF"/>
        </w:rPr>
        <w:t xml:space="preserve">datasets, characterized by the </w:t>
      </w:r>
      <w:r w:rsidR="00780A24" w:rsidRPr="00DC49A5">
        <w:rPr>
          <w:rFonts w:cstheme="minorHAnsi"/>
          <w:color w:val="333333"/>
          <w:sz w:val="24"/>
          <w:szCs w:val="24"/>
          <w:shd w:val="clear" w:color="auto" w:fill="FFFFFF"/>
        </w:rPr>
        <w:t xml:space="preserve">ICD 9 or </w:t>
      </w:r>
      <w:r w:rsidR="00D67300" w:rsidRPr="00DC49A5">
        <w:rPr>
          <w:rFonts w:cstheme="minorHAnsi"/>
          <w:color w:val="333333"/>
          <w:sz w:val="24"/>
          <w:szCs w:val="24"/>
          <w:shd w:val="clear" w:color="auto" w:fill="FFFFFF"/>
        </w:rPr>
        <w:t>ICD</w:t>
      </w:r>
      <w:r w:rsidR="00780A24" w:rsidRPr="00DC49A5">
        <w:rPr>
          <w:rFonts w:cstheme="minorHAnsi"/>
          <w:color w:val="333333"/>
          <w:sz w:val="24"/>
          <w:szCs w:val="24"/>
          <w:shd w:val="clear" w:color="auto" w:fill="FFFFFF"/>
        </w:rPr>
        <w:t xml:space="preserve"> </w:t>
      </w:r>
      <w:r w:rsidR="00D67300" w:rsidRPr="00DC49A5">
        <w:rPr>
          <w:rFonts w:cstheme="minorHAnsi"/>
          <w:color w:val="333333"/>
          <w:sz w:val="24"/>
          <w:szCs w:val="24"/>
          <w:shd w:val="clear" w:color="auto" w:fill="FFFFFF"/>
        </w:rPr>
        <w:t>10 diagnosis codes</w:t>
      </w:r>
      <w:r w:rsidR="00002809">
        <w:rPr>
          <w:rFonts w:cstheme="minorHAnsi"/>
          <w:color w:val="333333"/>
          <w:sz w:val="24"/>
          <w:szCs w:val="24"/>
          <w:shd w:val="clear" w:color="auto" w:fill="FFFFFF"/>
        </w:rPr>
        <w:t xml:space="preserve">: </w:t>
      </w:r>
      <w:r w:rsidR="00C705D8" w:rsidRPr="00DC49A5">
        <w:rPr>
          <w:rFonts w:cstheme="minorHAnsi"/>
          <w:sz w:val="24"/>
          <w:szCs w:val="24"/>
        </w:rPr>
        <w:t>304.00,304.01,304.02,304.70,304.71,304.72,305.50,305.51,305.52, F11.10, F11.120, F11.121, F11.122, F11.129, F11.13, F11.14,  F11.150, F11.151, F11.159, F11.181, F11.182, F11.188, F11.19, F11.20,  F11.220, F11.221, F11.222, F11.229, F11.23, F11.24, F11.250, F11.251, F11.259, F11.281, F11.282, F11.288, F11.29</w:t>
      </w:r>
      <w:r w:rsidR="00D71A1B" w:rsidRPr="00DC49A5">
        <w:rPr>
          <w:rFonts w:cstheme="minorHAnsi"/>
          <w:sz w:val="24"/>
          <w:szCs w:val="24"/>
        </w:rPr>
        <w:t>.</w:t>
      </w:r>
      <w:r w:rsidR="00FE0844" w:rsidRPr="00DC49A5">
        <w:rPr>
          <w:rFonts w:cstheme="minorHAnsi"/>
          <w:color w:val="333333"/>
          <w:sz w:val="24"/>
          <w:szCs w:val="24"/>
          <w:shd w:val="clear" w:color="auto" w:fill="FFFFFF"/>
        </w:rPr>
        <w:t xml:space="preserve"> </w:t>
      </w:r>
    </w:p>
    <w:p w14:paraId="1C6456D3" w14:textId="7E213E51" w:rsidR="00BF7611" w:rsidRPr="00BF7611" w:rsidRDefault="00DC52B9" w:rsidP="00BF7611">
      <w:pPr>
        <w:pStyle w:val="FootnoteText"/>
        <w:numPr>
          <w:ilvl w:val="0"/>
          <w:numId w:val="11"/>
        </w:numPr>
        <w:spacing w:after="40"/>
        <w:rPr>
          <w:rFonts w:cstheme="minorHAnsi"/>
          <w:color w:val="333333"/>
          <w:sz w:val="24"/>
          <w:szCs w:val="24"/>
          <w:shd w:val="clear" w:color="auto" w:fill="FFFFFF"/>
        </w:rPr>
      </w:pPr>
      <w:r w:rsidRPr="00BF7611">
        <w:rPr>
          <w:rFonts w:cstheme="minorHAnsi"/>
          <w:b/>
          <w:bCs/>
          <w:sz w:val="24"/>
          <w:szCs w:val="24"/>
        </w:rPr>
        <w:t>Opioid Treatment:</w:t>
      </w:r>
      <w:r w:rsidRPr="00DC49A5">
        <w:rPr>
          <w:rFonts w:cstheme="minorHAnsi"/>
          <w:sz w:val="24"/>
          <w:szCs w:val="24"/>
        </w:rPr>
        <w:t xml:space="preserve">  J0570, J0571, J0572, J0573, J0574, J0575, J0592, S0109</w:t>
      </w:r>
      <w:r w:rsidR="00002809">
        <w:rPr>
          <w:rFonts w:cstheme="minorHAnsi"/>
          <w:sz w:val="24"/>
          <w:szCs w:val="24"/>
        </w:rPr>
        <w:t>,</w:t>
      </w:r>
      <w:r w:rsidRPr="00DC49A5">
        <w:rPr>
          <w:rFonts w:cstheme="minorHAnsi"/>
          <w:sz w:val="24"/>
          <w:szCs w:val="24"/>
        </w:rPr>
        <w:t xml:space="preserve"> </w:t>
      </w:r>
      <w:r w:rsidR="00644E29" w:rsidRPr="00644E29">
        <w:rPr>
          <w:rFonts w:cstheme="minorHAnsi"/>
          <w:sz w:val="24"/>
          <w:szCs w:val="24"/>
        </w:rPr>
        <w:t xml:space="preserve">G2067, G2068, G2069, G2070, G2071, G2072, G2078, G2079, </w:t>
      </w:r>
      <w:r w:rsidR="00C11A90">
        <w:rPr>
          <w:rFonts w:cstheme="minorHAnsi"/>
          <w:sz w:val="24"/>
          <w:szCs w:val="24"/>
        </w:rPr>
        <w:t>H0</w:t>
      </w:r>
      <w:r w:rsidR="00667B3E">
        <w:rPr>
          <w:rFonts w:cstheme="minorHAnsi"/>
          <w:sz w:val="24"/>
          <w:szCs w:val="24"/>
        </w:rPr>
        <w:t>0</w:t>
      </w:r>
      <w:r w:rsidR="00C11A90">
        <w:rPr>
          <w:rFonts w:cstheme="minorHAnsi"/>
          <w:sz w:val="24"/>
          <w:szCs w:val="24"/>
        </w:rPr>
        <w:t>20</w:t>
      </w:r>
      <w:r w:rsidR="00392273">
        <w:rPr>
          <w:rFonts w:cstheme="minorHAnsi"/>
          <w:sz w:val="24"/>
          <w:szCs w:val="24"/>
        </w:rPr>
        <w:t>,</w:t>
      </w:r>
      <w:r w:rsidR="00644E29" w:rsidRPr="00644E29">
        <w:rPr>
          <w:rFonts w:cstheme="minorHAnsi"/>
          <w:sz w:val="24"/>
          <w:szCs w:val="24"/>
        </w:rPr>
        <w:t xml:space="preserve"> HZ9</w:t>
      </w:r>
      <w:r w:rsidR="00504978">
        <w:rPr>
          <w:rFonts w:cstheme="minorHAnsi"/>
          <w:sz w:val="24"/>
          <w:szCs w:val="24"/>
        </w:rPr>
        <w:t>4</w:t>
      </w:r>
      <w:r w:rsidR="00644E29" w:rsidRPr="00644E29">
        <w:rPr>
          <w:rFonts w:cstheme="minorHAnsi"/>
          <w:sz w:val="24"/>
          <w:szCs w:val="24"/>
        </w:rPr>
        <w:t>ZZZ, HZ8</w:t>
      </w:r>
      <w:r w:rsidR="00BA0D15">
        <w:rPr>
          <w:rFonts w:cstheme="minorHAnsi"/>
          <w:sz w:val="24"/>
          <w:szCs w:val="24"/>
        </w:rPr>
        <w:t>4</w:t>
      </w:r>
      <w:r w:rsidR="00644E29" w:rsidRPr="00644E29">
        <w:rPr>
          <w:rFonts w:cstheme="minorHAnsi"/>
          <w:sz w:val="24"/>
          <w:szCs w:val="24"/>
        </w:rPr>
        <w:t xml:space="preserve">ZZZ; </w:t>
      </w:r>
      <w:r w:rsidR="006F735F" w:rsidRPr="006F735F">
        <w:rPr>
          <w:rFonts w:cstheme="minorHAnsi"/>
          <w:sz w:val="24"/>
          <w:szCs w:val="24"/>
        </w:rPr>
        <w:t>Q9991</w:t>
      </w:r>
      <w:r w:rsidR="006F735F">
        <w:rPr>
          <w:rFonts w:cstheme="minorHAnsi"/>
          <w:sz w:val="24"/>
          <w:szCs w:val="24"/>
        </w:rPr>
        <w:t>,</w:t>
      </w:r>
      <w:r w:rsidR="00085A1F">
        <w:rPr>
          <w:rFonts w:cstheme="minorHAnsi"/>
          <w:sz w:val="24"/>
          <w:szCs w:val="24"/>
        </w:rPr>
        <w:t xml:space="preserve"> </w:t>
      </w:r>
      <w:r w:rsidR="006F735F" w:rsidRPr="006F735F">
        <w:rPr>
          <w:rFonts w:cstheme="minorHAnsi"/>
          <w:sz w:val="24"/>
          <w:szCs w:val="24"/>
        </w:rPr>
        <w:t>Q9992</w:t>
      </w:r>
      <w:r w:rsidR="00644E29" w:rsidRPr="00644E29">
        <w:rPr>
          <w:rFonts w:cstheme="minorHAnsi"/>
          <w:sz w:val="24"/>
          <w:szCs w:val="24"/>
        </w:rPr>
        <w:t xml:space="preserve">              </w:t>
      </w:r>
    </w:p>
    <w:p w14:paraId="1D7FC7B6" w14:textId="77777777" w:rsidR="00BF7611" w:rsidRPr="00BF7611" w:rsidRDefault="009277DE" w:rsidP="00BF7611">
      <w:pPr>
        <w:pStyle w:val="FootnoteText"/>
        <w:numPr>
          <w:ilvl w:val="0"/>
          <w:numId w:val="11"/>
        </w:numPr>
        <w:spacing w:after="40"/>
        <w:rPr>
          <w:rStyle w:val="eop"/>
          <w:rFonts w:cstheme="minorHAnsi"/>
          <w:color w:val="333333"/>
          <w:sz w:val="24"/>
          <w:szCs w:val="24"/>
          <w:shd w:val="clear" w:color="auto" w:fill="FFFFFF"/>
        </w:rPr>
      </w:pPr>
      <w:r w:rsidRPr="00BF7611">
        <w:rPr>
          <w:rStyle w:val="normaltextrun"/>
          <w:rFonts w:cstheme="minorHAnsi"/>
          <w:b/>
          <w:bCs/>
          <w:sz w:val="24"/>
          <w:szCs w:val="24"/>
        </w:rPr>
        <w:t>Developmental disabilities</w:t>
      </w:r>
      <w:r w:rsidRPr="00BF7611">
        <w:rPr>
          <w:rStyle w:val="normaltextrun"/>
          <w:rFonts w:cstheme="minorHAnsi"/>
          <w:sz w:val="24"/>
          <w:szCs w:val="24"/>
        </w:rPr>
        <w:t xml:space="preserve"> are a group of conditions, beginning before age 22 </w:t>
      </w:r>
      <w:r w:rsidR="00A43BAE" w:rsidRPr="00BF7611">
        <w:rPr>
          <w:rStyle w:val="normaltextrun"/>
          <w:rFonts w:cstheme="minorHAnsi"/>
          <w:sz w:val="24"/>
          <w:szCs w:val="24"/>
        </w:rPr>
        <w:t>(</w:t>
      </w:r>
      <w:r w:rsidRPr="00BF7611">
        <w:rPr>
          <w:rStyle w:val="normaltextrun"/>
          <w:rFonts w:cstheme="minorHAnsi"/>
          <w:sz w:val="24"/>
          <w:szCs w:val="24"/>
        </w:rPr>
        <w:t>often at birth</w:t>
      </w:r>
      <w:r w:rsidR="008862AB" w:rsidRPr="00BF7611">
        <w:rPr>
          <w:rStyle w:val="normaltextrun"/>
          <w:rFonts w:cstheme="minorHAnsi"/>
          <w:sz w:val="24"/>
          <w:szCs w:val="24"/>
        </w:rPr>
        <w:t xml:space="preserve"> or </w:t>
      </w:r>
      <w:r w:rsidRPr="00BF7611">
        <w:rPr>
          <w:rStyle w:val="normaltextrun"/>
          <w:rFonts w:cstheme="minorHAnsi"/>
          <w:sz w:val="24"/>
          <w:szCs w:val="24"/>
        </w:rPr>
        <w:t xml:space="preserve">early childhood), </w:t>
      </w:r>
      <w:r w:rsidR="00DC52B9" w:rsidRPr="00BF7611">
        <w:rPr>
          <w:rStyle w:val="normaltextrun"/>
          <w:rFonts w:cstheme="minorHAnsi"/>
          <w:sz w:val="24"/>
          <w:szCs w:val="24"/>
        </w:rPr>
        <w:t xml:space="preserve">which </w:t>
      </w:r>
      <w:r w:rsidRPr="00BF7611">
        <w:rPr>
          <w:rStyle w:val="normaltextrun"/>
          <w:rFonts w:cstheme="minorHAnsi"/>
          <w:sz w:val="24"/>
          <w:szCs w:val="24"/>
        </w:rPr>
        <w:t>delay or alter the typical course of development in bodily function, learning, language, sensation, or behavior.</w:t>
      </w:r>
      <w:r w:rsidRPr="00BF7611">
        <w:rPr>
          <w:rStyle w:val="eop"/>
          <w:rFonts w:cstheme="minorHAnsi"/>
          <w:sz w:val="24"/>
          <w:szCs w:val="24"/>
        </w:rPr>
        <w:t> </w:t>
      </w:r>
    </w:p>
    <w:p w14:paraId="257237D1" w14:textId="369CE354" w:rsidR="00BF7611" w:rsidRPr="00BF7611" w:rsidRDefault="00BF7611" w:rsidP="00BF7611">
      <w:pPr>
        <w:pStyle w:val="FootnoteText"/>
        <w:numPr>
          <w:ilvl w:val="0"/>
          <w:numId w:val="11"/>
        </w:numPr>
        <w:spacing w:after="40"/>
        <w:rPr>
          <w:rStyle w:val="normaltextrun"/>
          <w:rFonts w:cstheme="minorHAnsi"/>
          <w:color w:val="333333"/>
          <w:sz w:val="24"/>
          <w:szCs w:val="24"/>
          <w:shd w:val="clear" w:color="auto" w:fill="FFFFFF"/>
        </w:rPr>
      </w:pPr>
      <w:r>
        <w:rPr>
          <w:rStyle w:val="normaltextrun"/>
          <w:rFonts w:cstheme="minorHAnsi"/>
          <w:b/>
          <w:bCs/>
          <w:sz w:val="24"/>
          <w:szCs w:val="24"/>
        </w:rPr>
        <w:t>H</w:t>
      </w:r>
      <w:r w:rsidR="009277DE" w:rsidRPr="00BF7611">
        <w:rPr>
          <w:rStyle w:val="normaltextrun"/>
          <w:rFonts w:cstheme="minorHAnsi"/>
          <w:b/>
          <w:bCs/>
          <w:sz w:val="24"/>
          <w:szCs w:val="24"/>
        </w:rPr>
        <w:t>earing disabilit</w:t>
      </w:r>
      <w:r>
        <w:rPr>
          <w:rStyle w:val="normaltextrun"/>
          <w:rFonts w:cstheme="minorHAnsi"/>
          <w:b/>
          <w:bCs/>
          <w:sz w:val="24"/>
          <w:szCs w:val="24"/>
        </w:rPr>
        <w:t>ies</w:t>
      </w:r>
      <w:r w:rsidR="009277DE" w:rsidRPr="00BF7611">
        <w:rPr>
          <w:rStyle w:val="normaltextrun"/>
          <w:rFonts w:cstheme="minorHAnsi"/>
          <w:sz w:val="24"/>
          <w:szCs w:val="24"/>
        </w:rPr>
        <w:t xml:space="preserve"> includes anyone with a total or partial inability to perceive and/or process sounds at the same volume or frequency as </w:t>
      </w:r>
      <w:r w:rsidR="00EC72F7" w:rsidRPr="00BF7611">
        <w:rPr>
          <w:rStyle w:val="normaltextrun"/>
          <w:rFonts w:cstheme="minorHAnsi"/>
          <w:sz w:val="24"/>
          <w:szCs w:val="24"/>
        </w:rPr>
        <w:t xml:space="preserve">a person </w:t>
      </w:r>
      <w:r w:rsidR="009277DE" w:rsidRPr="00BF7611">
        <w:rPr>
          <w:rStyle w:val="normaltextrun"/>
          <w:rFonts w:cstheme="minorHAnsi"/>
          <w:sz w:val="24"/>
          <w:szCs w:val="24"/>
        </w:rPr>
        <w:t>with typical hearing. This includes people whose hearing is augmented by technologies</w:t>
      </w:r>
      <w:r w:rsidR="00DF4A80" w:rsidRPr="00BF7611">
        <w:rPr>
          <w:rStyle w:val="normaltextrun"/>
          <w:rFonts w:cstheme="minorHAnsi"/>
          <w:sz w:val="24"/>
          <w:szCs w:val="24"/>
        </w:rPr>
        <w:t xml:space="preserve"> such as </w:t>
      </w:r>
      <w:r w:rsidR="009277DE" w:rsidRPr="00BF7611">
        <w:rPr>
          <w:rStyle w:val="normaltextrun"/>
          <w:rFonts w:cstheme="minorHAnsi"/>
          <w:sz w:val="24"/>
          <w:szCs w:val="24"/>
        </w:rPr>
        <w:t xml:space="preserve">hearing aids and cochlear implants. </w:t>
      </w:r>
      <w:r w:rsidR="00C02B0D" w:rsidRPr="00BF7611">
        <w:rPr>
          <w:rStyle w:val="normaltextrun"/>
          <w:rFonts w:cstheme="minorHAnsi"/>
          <w:sz w:val="24"/>
          <w:szCs w:val="24"/>
        </w:rPr>
        <w:t xml:space="preserve">Hearing disability </w:t>
      </w:r>
      <w:r w:rsidR="009277DE" w:rsidRPr="00BF7611">
        <w:rPr>
          <w:rStyle w:val="normaltextrun"/>
          <w:rFonts w:cstheme="minorHAnsi"/>
          <w:sz w:val="24"/>
          <w:szCs w:val="24"/>
        </w:rPr>
        <w:t xml:space="preserve">does not distinguish between people </w:t>
      </w:r>
      <w:r w:rsidR="00F7416C">
        <w:rPr>
          <w:rStyle w:val="normaltextrun"/>
          <w:rFonts w:cstheme="minorHAnsi"/>
          <w:sz w:val="24"/>
          <w:szCs w:val="24"/>
        </w:rPr>
        <w:t xml:space="preserve">primarily </w:t>
      </w:r>
      <w:r w:rsidR="00F7416C">
        <w:rPr>
          <w:rStyle w:val="normaltextrun"/>
          <w:rFonts w:cstheme="minorHAnsi"/>
          <w:sz w:val="24"/>
          <w:szCs w:val="24"/>
        </w:rPr>
        <w:lastRenderedPageBreak/>
        <w:t>using ASL (or another signed language or manual communication system) and those primarily using</w:t>
      </w:r>
      <w:r w:rsidR="009277DE" w:rsidRPr="00BF7611">
        <w:rPr>
          <w:rStyle w:val="normaltextrun"/>
          <w:rFonts w:cstheme="minorHAnsi"/>
          <w:sz w:val="24"/>
          <w:szCs w:val="24"/>
        </w:rPr>
        <w:t xml:space="preserve"> spoken or written English. </w:t>
      </w:r>
    </w:p>
    <w:p w14:paraId="4A592FDC" w14:textId="0D601AA3" w:rsidR="00BF7611" w:rsidRPr="00BF7611" w:rsidRDefault="00BF7611" w:rsidP="00BF7611">
      <w:pPr>
        <w:pStyle w:val="FootnoteText"/>
        <w:numPr>
          <w:ilvl w:val="0"/>
          <w:numId w:val="11"/>
        </w:numPr>
        <w:spacing w:after="40"/>
        <w:rPr>
          <w:rStyle w:val="normaltextrun"/>
          <w:rFonts w:cstheme="minorHAnsi"/>
          <w:color w:val="333333"/>
          <w:sz w:val="24"/>
          <w:szCs w:val="24"/>
          <w:shd w:val="clear" w:color="auto" w:fill="FFFFFF"/>
        </w:rPr>
      </w:pPr>
      <w:r>
        <w:rPr>
          <w:rStyle w:val="normaltextrun"/>
          <w:rFonts w:cstheme="minorHAnsi"/>
          <w:b/>
          <w:bCs/>
          <w:sz w:val="24"/>
          <w:szCs w:val="24"/>
        </w:rPr>
        <w:t>M</w:t>
      </w:r>
      <w:r w:rsidR="009277DE" w:rsidRPr="00BF7611">
        <w:rPr>
          <w:rStyle w:val="normaltextrun"/>
          <w:rFonts w:cstheme="minorHAnsi"/>
          <w:b/>
          <w:bCs/>
          <w:sz w:val="24"/>
          <w:szCs w:val="24"/>
        </w:rPr>
        <w:t>obility disability</w:t>
      </w:r>
      <w:r w:rsidR="009277DE" w:rsidRPr="00BF7611">
        <w:rPr>
          <w:rStyle w:val="normaltextrun"/>
          <w:rFonts w:cstheme="minorHAnsi"/>
          <w:sz w:val="24"/>
          <w:szCs w:val="24"/>
        </w:rPr>
        <w:t xml:space="preserve"> </w:t>
      </w:r>
      <w:r w:rsidR="00F7416C">
        <w:rPr>
          <w:rStyle w:val="normaltextrun"/>
          <w:rFonts w:cstheme="minorHAnsi"/>
          <w:sz w:val="24"/>
          <w:szCs w:val="24"/>
        </w:rPr>
        <w:t>affects</w:t>
      </w:r>
      <w:r w:rsidR="009277DE" w:rsidRPr="00BF7611">
        <w:rPr>
          <w:rStyle w:val="normaltextrun"/>
          <w:rFonts w:cstheme="minorHAnsi"/>
          <w:sz w:val="24"/>
          <w:szCs w:val="24"/>
        </w:rPr>
        <w:t xml:space="preserve"> movement, particularly </w:t>
      </w:r>
      <w:r w:rsidR="007D172F" w:rsidRPr="00BF7611">
        <w:rPr>
          <w:rStyle w:val="normaltextrun"/>
          <w:rFonts w:cstheme="minorHAnsi"/>
          <w:sz w:val="24"/>
          <w:szCs w:val="24"/>
        </w:rPr>
        <w:t xml:space="preserve">but not always </w:t>
      </w:r>
      <w:r w:rsidR="009277DE" w:rsidRPr="00BF7611">
        <w:rPr>
          <w:rStyle w:val="normaltextrun"/>
          <w:rFonts w:cstheme="minorHAnsi"/>
          <w:sz w:val="24"/>
          <w:szCs w:val="24"/>
        </w:rPr>
        <w:t>ambulation</w:t>
      </w:r>
      <w:r w:rsidR="007D172F" w:rsidRPr="00BF7611">
        <w:rPr>
          <w:rStyle w:val="normaltextrun"/>
          <w:rFonts w:cstheme="minorHAnsi"/>
          <w:sz w:val="24"/>
          <w:szCs w:val="24"/>
        </w:rPr>
        <w:t xml:space="preserve">. </w:t>
      </w:r>
      <w:r w:rsidR="009277DE" w:rsidRPr="00BF7611">
        <w:rPr>
          <w:rStyle w:val="normaltextrun"/>
          <w:rFonts w:cstheme="minorHAnsi"/>
          <w:sz w:val="24"/>
          <w:szCs w:val="24"/>
        </w:rPr>
        <w:t xml:space="preserve">The presence of a mobility disability does not denote </w:t>
      </w:r>
      <w:r w:rsidR="00F7416C">
        <w:rPr>
          <w:rStyle w:val="normaltextrun"/>
          <w:rFonts w:cstheme="minorHAnsi"/>
          <w:sz w:val="24"/>
          <w:szCs w:val="24"/>
        </w:rPr>
        <w:t xml:space="preserve">a </w:t>
      </w:r>
      <w:r w:rsidR="009277DE" w:rsidRPr="00BF7611">
        <w:rPr>
          <w:rStyle w:val="normaltextrun"/>
          <w:rFonts w:cstheme="minorHAnsi"/>
          <w:sz w:val="24"/>
          <w:szCs w:val="24"/>
        </w:rPr>
        <w:t>complete inability to move or even to walk; a mobility disability may, for example, affect a person's breathing or balance in such a way as to make walking difficult without affecting the legs at all. </w:t>
      </w:r>
    </w:p>
    <w:p w14:paraId="593F2D05" w14:textId="0584951D" w:rsidR="009277DE" w:rsidRPr="00BF7611" w:rsidRDefault="009277DE" w:rsidP="00BF7611">
      <w:pPr>
        <w:pStyle w:val="FootnoteText"/>
        <w:numPr>
          <w:ilvl w:val="0"/>
          <w:numId w:val="11"/>
        </w:numPr>
        <w:spacing w:after="40"/>
        <w:rPr>
          <w:rStyle w:val="normaltextrun"/>
          <w:rFonts w:cstheme="minorHAnsi"/>
          <w:color w:val="333333"/>
          <w:sz w:val="24"/>
          <w:szCs w:val="24"/>
          <w:shd w:val="clear" w:color="auto" w:fill="FFFFFF"/>
        </w:rPr>
      </w:pPr>
      <w:r w:rsidRPr="00BF7611">
        <w:rPr>
          <w:rStyle w:val="normaltextrun"/>
          <w:rFonts w:cstheme="minorHAnsi"/>
          <w:b/>
          <w:bCs/>
          <w:sz w:val="24"/>
          <w:szCs w:val="24"/>
        </w:rPr>
        <w:t>Vision disability</w:t>
      </w:r>
      <w:r w:rsidRPr="00BF7611">
        <w:rPr>
          <w:rStyle w:val="normaltextrun"/>
          <w:rFonts w:cstheme="minorHAnsi"/>
          <w:sz w:val="24"/>
          <w:szCs w:val="24"/>
        </w:rPr>
        <w:t xml:space="preserve"> is </w:t>
      </w:r>
      <w:r w:rsidR="00287AF4" w:rsidRPr="00BF7611">
        <w:rPr>
          <w:rStyle w:val="normaltextrun"/>
          <w:rFonts w:cstheme="minorHAnsi"/>
          <w:sz w:val="24"/>
          <w:szCs w:val="24"/>
        </w:rPr>
        <w:t xml:space="preserve">defined as </w:t>
      </w:r>
      <w:r w:rsidRPr="00BF7611">
        <w:rPr>
          <w:rStyle w:val="normaltextrun"/>
          <w:rFonts w:cstheme="minorHAnsi"/>
          <w:sz w:val="24"/>
          <w:szCs w:val="24"/>
        </w:rPr>
        <w:t xml:space="preserve">eyesight which cannot be corrected to a “normal” level. This may present as an impairment in visual acuity (where the eye does not perceive objects with typical clarity at standard distances), or in visual field (where the eye cannot see as wide an area as usual without moving the eyes or turning the head). This category does not include differences in visual perception </w:t>
      </w:r>
      <w:r w:rsidR="005C15FA" w:rsidRPr="00BF7611">
        <w:rPr>
          <w:rStyle w:val="normaltextrun"/>
          <w:rFonts w:cstheme="minorHAnsi"/>
          <w:sz w:val="24"/>
          <w:szCs w:val="24"/>
        </w:rPr>
        <w:t xml:space="preserve">such as </w:t>
      </w:r>
      <w:r w:rsidRPr="00BF7611">
        <w:rPr>
          <w:rStyle w:val="normaltextrun"/>
          <w:rFonts w:cstheme="minorHAnsi"/>
          <w:sz w:val="24"/>
          <w:szCs w:val="24"/>
        </w:rPr>
        <w:t xml:space="preserve">myopia or presbyopia that </w:t>
      </w:r>
      <w:r w:rsidR="005C15FA" w:rsidRPr="00BF7611">
        <w:rPr>
          <w:rStyle w:val="normaltextrun"/>
          <w:rFonts w:cstheme="minorHAnsi"/>
          <w:sz w:val="24"/>
          <w:szCs w:val="24"/>
        </w:rPr>
        <w:t xml:space="preserve">can be </w:t>
      </w:r>
      <w:r w:rsidRPr="00BF7611">
        <w:rPr>
          <w:rStyle w:val="normaltextrun"/>
          <w:rFonts w:cstheme="minorHAnsi"/>
          <w:sz w:val="24"/>
          <w:szCs w:val="24"/>
        </w:rPr>
        <w:t>corrected with eyeglasses or contact lenses. </w:t>
      </w:r>
    </w:p>
    <w:p w14:paraId="0B13D4AA" w14:textId="0B26D79A" w:rsidR="00E17B54" w:rsidRPr="00DC49A5" w:rsidRDefault="00E17B54" w:rsidP="00813374">
      <w:pPr>
        <w:rPr>
          <w:rFonts w:cstheme="minorHAnsi"/>
          <w:sz w:val="24"/>
          <w:szCs w:val="24"/>
        </w:rPr>
      </w:pPr>
    </w:p>
    <w:sectPr w:rsidR="00E17B54" w:rsidRPr="00DC49A5" w:rsidSect="003E7A35">
      <w:headerReference w:type="default" r:id="rId37"/>
      <w:footerReference w:type="default" r:id="rId38"/>
      <w:type w:val="continuous"/>
      <w:pgSz w:w="12240" w:h="15840"/>
      <w:pgMar w:top="1152" w:right="1440" w:bottom="720" w:left="1440" w:header="720"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96A99DF" w14:textId="77777777" w:rsidR="00AE080C" w:rsidRDefault="00AE080C" w:rsidP="00790607">
      <w:pPr>
        <w:spacing w:after="0" w:line="240" w:lineRule="auto"/>
      </w:pPr>
      <w:r>
        <w:separator/>
      </w:r>
    </w:p>
  </w:endnote>
  <w:endnote w:type="continuationSeparator" w:id="0">
    <w:p w14:paraId="59A9BB9F" w14:textId="77777777" w:rsidR="00AE080C" w:rsidRDefault="00AE080C" w:rsidP="00790607">
      <w:pPr>
        <w:spacing w:after="0" w:line="240" w:lineRule="auto"/>
      </w:pPr>
      <w:r>
        <w:continuationSeparator/>
      </w:r>
    </w:p>
  </w:endnote>
  <w:endnote w:type="continuationNotice" w:id="1">
    <w:p w14:paraId="2668AFBC" w14:textId="77777777" w:rsidR="00AE080C" w:rsidRDefault="00AE080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734823675"/>
      <w:docPartObj>
        <w:docPartGallery w:val="Page Numbers (Bottom of Page)"/>
        <w:docPartUnique/>
      </w:docPartObj>
    </w:sdtPr>
    <w:sdtEndPr>
      <w:rPr>
        <w:noProof/>
      </w:rPr>
    </w:sdtEndPr>
    <w:sdtContent>
      <w:p w14:paraId="56BF61C9" w14:textId="2082AA35" w:rsidR="00EF7853" w:rsidRDefault="00EF7853">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25FA6C5" w14:textId="77777777" w:rsidR="00EF7853" w:rsidRDefault="00EF78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9F00B25" w14:textId="77777777" w:rsidR="00AE080C" w:rsidRDefault="00AE080C" w:rsidP="00790607">
      <w:pPr>
        <w:spacing w:after="0" w:line="240" w:lineRule="auto"/>
      </w:pPr>
      <w:r>
        <w:separator/>
      </w:r>
    </w:p>
  </w:footnote>
  <w:footnote w:type="continuationSeparator" w:id="0">
    <w:p w14:paraId="47C61F88" w14:textId="77777777" w:rsidR="00AE080C" w:rsidRDefault="00AE080C" w:rsidP="00790607">
      <w:pPr>
        <w:spacing w:after="0" w:line="240" w:lineRule="auto"/>
      </w:pPr>
      <w:r>
        <w:continuationSeparator/>
      </w:r>
    </w:p>
  </w:footnote>
  <w:footnote w:type="continuationNotice" w:id="1">
    <w:p w14:paraId="27F6EA8F" w14:textId="77777777" w:rsidR="00AE080C" w:rsidRDefault="00AE080C">
      <w:pPr>
        <w:spacing w:after="0" w:line="240" w:lineRule="auto"/>
      </w:pPr>
    </w:p>
  </w:footnote>
  <w:footnote w:id="2">
    <w:p w14:paraId="5F1664C3" w14:textId="30CC1C79" w:rsidR="00E60323" w:rsidRPr="005A4A14" w:rsidRDefault="00E60323">
      <w:pPr>
        <w:pStyle w:val="FootnoteText"/>
        <w:rPr>
          <w:rFonts w:cstheme="minorHAnsi"/>
          <w:sz w:val="18"/>
          <w:szCs w:val="18"/>
        </w:rPr>
      </w:pPr>
      <w:r w:rsidRPr="005A4A14">
        <w:rPr>
          <w:rStyle w:val="FootnoteReference"/>
          <w:sz w:val="18"/>
          <w:szCs w:val="18"/>
        </w:rPr>
        <w:footnoteRef/>
      </w:r>
      <w:r w:rsidR="005A4A14" w:rsidRPr="005A4A14">
        <w:rPr>
          <w:rFonts w:cstheme="minorHAnsi"/>
          <w:sz w:val="18"/>
          <w:szCs w:val="18"/>
        </w:rPr>
        <w:t xml:space="preserve"> Massachusetts Department of Public Health. (2023 June). Data Brief: Opioid-Related Overdose Deaths among Massachusetts Residents. Mass.gov.</w:t>
      </w:r>
    </w:p>
  </w:footnote>
  <w:footnote w:id="3">
    <w:p w14:paraId="16F6B69A" w14:textId="4F3DC768" w:rsidR="3B4D92DF" w:rsidRPr="005A4A14" w:rsidRDefault="3B4D92DF" w:rsidP="002D7A08">
      <w:pPr>
        <w:spacing w:after="0" w:line="240" w:lineRule="auto"/>
        <w:rPr>
          <w:rFonts w:cstheme="minorHAnsi"/>
          <w:color w:val="0563C1" w:themeColor="hyperlink"/>
          <w:sz w:val="18"/>
          <w:szCs w:val="18"/>
          <w:u w:val="single"/>
          <w:shd w:val="clear" w:color="auto" w:fill="FFFFFF"/>
        </w:rPr>
      </w:pPr>
      <w:r w:rsidRPr="005A4A14">
        <w:rPr>
          <w:rStyle w:val="FootnoteReference"/>
          <w:rFonts w:cstheme="minorHAnsi"/>
          <w:sz w:val="18"/>
          <w:szCs w:val="18"/>
        </w:rPr>
        <w:footnoteRef/>
      </w:r>
      <w:r w:rsidRPr="005A4A14">
        <w:rPr>
          <w:rFonts w:cstheme="minorHAnsi"/>
          <w:sz w:val="18"/>
          <w:szCs w:val="18"/>
        </w:rPr>
        <w:t xml:space="preserve"> </w:t>
      </w:r>
      <w:r w:rsidR="006E348A" w:rsidRPr="005A4A14">
        <w:rPr>
          <w:rFonts w:cstheme="minorHAnsi"/>
          <w:color w:val="333333"/>
          <w:sz w:val="18"/>
          <w:szCs w:val="18"/>
          <w:shd w:val="clear" w:color="auto" w:fill="FFFFFF"/>
        </w:rPr>
        <w:t xml:space="preserve">Shrestha, S., Stopka, T.J., </w:t>
      </w:r>
      <w:proofErr w:type="spellStart"/>
      <w:r w:rsidR="006E348A" w:rsidRPr="005A4A14">
        <w:rPr>
          <w:rFonts w:cstheme="minorHAnsi"/>
          <w:color w:val="333333"/>
          <w:sz w:val="18"/>
          <w:szCs w:val="18"/>
          <w:shd w:val="clear" w:color="auto" w:fill="FFFFFF"/>
        </w:rPr>
        <w:t>Hughto</w:t>
      </w:r>
      <w:proofErr w:type="spellEnd"/>
      <w:r w:rsidR="006E348A" w:rsidRPr="005A4A14">
        <w:rPr>
          <w:rFonts w:cstheme="minorHAnsi"/>
          <w:color w:val="333333"/>
          <w:sz w:val="18"/>
          <w:szCs w:val="18"/>
          <w:shd w:val="clear" w:color="auto" w:fill="FFFFFF"/>
        </w:rPr>
        <w:t>, J.M.W. </w:t>
      </w:r>
      <w:r w:rsidR="006E348A" w:rsidRPr="005A4A14">
        <w:rPr>
          <w:rFonts w:cstheme="minorHAnsi"/>
          <w:i/>
          <w:iCs/>
          <w:color w:val="333333"/>
          <w:sz w:val="18"/>
          <w:szCs w:val="18"/>
          <w:shd w:val="clear" w:color="auto" w:fill="FFFFFF"/>
        </w:rPr>
        <w:t>et al.</w:t>
      </w:r>
      <w:r w:rsidR="006E348A" w:rsidRPr="005A4A14">
        <w:rPr>
          <w:rFonts w:cstheme="minorHAnsi"/>
          <w:color w:val="333333"/>
          <w:sz w:val="18"/>
          <w:szCs w:val="18"/>
          <w:shd w:val="clear" w:color="auto" w:fill="FFFFFF"/>
        </w:rPr>
        <w:t> Prevalence and correlates of non-fatal overdose among people who use drugs: findings from rapid assessments in Massachusetts, 2017–2019. </w:t>
      </w:r>
      <w:r w:rsidR="006E348A" w:rsidRPr="005A4A14">
        <w:rPr>
          <w:rFonts w:cstheme="minorHAnsi"/>
          <w:i/>
          <w:iCs/>
          <w:color w:val="333333"/>
          <w:sz w:val="18"/>
          <w:szCs w:val="18"/>
          <w:shd w:val="clear" w:color="auto" w:fill="FFFFFF"/>
        </w:rPr>
        <w:t xml:space="preserve">Harm </w:t>
      </w:r>
      <w:proofErr w:type="spellStart"/>
      <w:r w:rsidR="006E348A" w:rsidRPr="005A4A14">
        <w:rPr>
          <w:rFonts w:cstheme="minorHAnsi"/>
          <w:i/>
          <w:iCs/>
          <w:color w:val="333333"/>
          <w:sz w:val="18"/>
          <w:szCs w:val="18"/>
          <w:shd w:val="clear" w:color="auto" w:fill="FFFFFF"/>
        </w:rPr>
        <w:t>Reduct</w:t>
      </w:r>
      <w:proofErr w:type="spellEnd"/>
      <w:r w:rsidR="006E348A" w:rsidRPr="005A4A14">
        <w:rPr>
          <w:rFonts w:cstheme="minorHAnsi"/>
          <w:i/>
          <w:iCs/>
          <w:color w:val="333333"/>
          <w:sz w:val="18"/>
          <w:szCs w:val="18"/>
          <w:shd w:val="clear" w:color="auto" w:fill="FFFFFF"/>
        </w:rPr>
        <w:t xml:space="preserve"> J</w:t>
      </w:r>
      <w:r w:rsidR="006E348A" w:rsidRPr="005A4A14">
        <w:rPr>
          <w:rFonts w:cstheme="minorHAnsi"/>
          <w:color w:val="333333"/>
          <w:sz w:val="18"/>
          <w:szCs w:val="18"/>
          <w:shd w:val="clear" w:color="auto" w:fill="FFFFFF"/>
        </w:rPr>
        <w:t> </w:t>
      </w:r>
      <w:r w:rsidR="006E348A" w:rsidRPr="005A4A14">
        <w:rPr>
          <w:rFonts w:cstheme="minorHAnsi"/>
          <w:b/>
          <w:bCs/>
          <w:color w:val="333333"/>
          <w:sz w:val="18"/>
          <w:szCs w:val="18"/>
          <w:shd w:val="clear" w:color="auto" w:fill="FFFFFF"/>
        </w:rPr>
        <w:t>18</w:t>
      </w:r>
      <w:r w:rsidR="006E348A" w:rsidRPr="005A4A14">
        <w:rPr>
          <w:rFonts w:cstheme="minorHAnsi"/>
          <w:color w:val="333333"/>
          <w:sz w:val="18"/>
          <w:szCs w:val="18"/>
          <w:shd w:val="clear" w:color="auto" w:fill="FFFFFF"/>
        </w:rPr>
        <w:t xml:space="preserve">, 93 (2021). </w:t>
      </w:r>
    </w:p>
  </w:footnote>
  <w:footnote w:id="4">
    <w:p w14:paraId="3C48B199" w14:textId="44C8B459" w:rsidR="00E24C7A" w:rsidRPr="009A381C" w:rsidRDefault="00E24C7A" w:rsidP="009A381C">
      <w:pPr>
        <w:spacing w:after="0" w:line="240" w:lineRule="auto"/>
        <w:rPr>
          <w:rFonts w:cstheme="minorHAnsi"/>
          <w:color w:val="0563C1" w:themeColor="hyperlink"/>
          <w:sz w:val="18"/>
          <w:szCs w:val="18"/>
          <w:u w:val="single"/>
          <w:shd w:val="clear" w:color="auto" w:fill="FFFFFF"/>
        </w:rPr>
      </w:pPr>
      <w:r w:rsidRPr="005A4A14">
        <w:rPr>
          <w:rStyle w:val="FootnoteReference"/>
          <w:rFonts w:cstheme="minorHAnsi"/>
          <w:sz w:val="18"/>
          <w:szCs w:val="18"/>
        </w:rPr>
        <w:footnoteRef/>
      </w:r>
      <w:r w:rsidRPr="005A4A14">
        <w:rPr>
          <w:rFonts w:cstheme="minorHAnsi"/>
          <w:sz w:val="18"/>
          <w:szCs w:val="18"/>
        </w:rPr>
        <w:t xml:space="preserve"> </w:t>
      </w:r>
      <w:r w:rsidR="009F198E" w:rsidRPr="005A4A14">
        <w:rPr>
          <w:rFonts w:cstheme="minorHAnsi"/>
          <w:color w:val="212121"/>
          <w:sz w:val="18"/>
          <w:szCs w:val="18"/>
          <w:shd w:val="clear" w:color="auto" w:fill="FFFFFF"/>
        </w:rPr>
        <w:t xml:space="preserve">Suffoletto B, Zeigler A. Risk and protective factors for repeated overdose after opioid overdose survival. Drug Alcohol Depend. 2020 Apr </w:t>
      </w:r>
      <w:proofErr w:type="gramStart"/>
      <w:r w:rsidR="009F198E" w:rsidRPr="005A4A14">
        <w:rPr>
          <w:rFonts w:cstheme="minorHAnsi"/>
          <w:color w:val="212121"/>
          <w:sz w:val="18"/>
          <w:szCs w:val="18"/>
          <w:shd w:val="clear" w:color="auto" w:fill="FFFFFF"/>
        </w:rPr>
        <w:t>1;209:107890</w:t>
      </w:r>
      <w:proofErr w:type="gramEnd"/>
      <w:r w:rsidR="009F198E" w:rsidRPr="005A4A14">
        <w:rPr>
          <w:rFonts w:cstheme="minorHAnsi"/>
          <w:color w:val="212121"/>
          <w:sz w:val="18"/>
          <w:szCs w:val="18"/>
          <w:shd w:val="clear" w:color="auto" w:fill="FFFFFF"/>
        </w:rPr>
        <w:t>.</w:t>
      </w:r>
    </w:p>
  </w:footnote>
  <w:footnote w:id="5">
    <w:p w14:paraId="01C6CA77" w14:textId="70098C90" w:rsidR="003346A9" w:rsidRDefault="00EC4680" w:rsidP="003346A9">
      <w:pPr>
        <w:spacing w:after="0" w:line="240" w:lineRule="auto"/>
      </w:pPr>
      <w:r w:rsidRPr="00880A95">
        <w:rPr>
          <w:rStyle w:val="FootnoteReference"/>
          <w:sz w:val="18"/>
          <w:szCs w:val="18"/>
        </w:rPr>
        <w:footnoteRef/>
      </w:r>
      <w:r w:rsidRPr="00880A95">
        <w:rPr>
          <w:sz w:val="18"/>
          <w:szCs w:val="18"/>
        </w:rPr>
        <w:t xml:space="preserve"> </w:t>
      </w:r>
      <w:r w:rsidR="003346A9" w:rsidRPr="003346A9">
        <w:t xml:space="preserve"> </w:t>
      </w:r>
      <w:r w:rsidR="003346A9" w:rsidRPr="006D7635">
        <w:rPr>
          <w:sz w:val="18"/>
          <w:szCs w:val="18"/>
        </w:rPr>
        <w:t>Kim, JK et al., 2019. “Factors associated with help seeking by community responders trained in overdose prevention and naloxone administration in Massachusetts”, Drug and Alcohol Dependence, Volume 204,2019,</w:t>
      </w:r>
      <w:proofErr w:type="gramStart"/>
      <w:r w:rsidR="003346A9" w:rsidRPr="006D7635">
        <w:rPr>
          <w:sz w:val="18"/>
          <w:szCs w:val="18"/>
        </w:rPr>
        <w:t>107531,ISSN</w:t>
      </w:r>
      <w:proofErr w:type="gramEnd"/>
      <w:r w:rsidR="003346A9" w:rsidRPr="006D7635">
        <w:rPr>
          <w:sz w:val="18"/>
          <w:szCs w:val="18"/>
        </w:rPr>
        <w:t xml:space="preserve"> 0376-8716, https://doi.org/10.1016/j.drugalcdep.2019.06.033</w:t>
      </w:r>
      <w:r w:rsidR="003346A9">
        <w:t>.</w:t>
      </w:r>
    </w:p>
    <w:p w14:paraId="6FF232B3" w14:textId="4251E23D" w:rsidR="00EC4680" w:rsidRPr="00880A95" w:rsidRDefault="00EC4680" w:rsidP="000D08B7">
      <w:pPr>
        <w:pStyle w:val="FootnoteText"/>
        <w:rPr>
          <w:sz w:val="18"/>
          <w:szCs w:val="18"/>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120"/>
      <w:gridCol w:w="3120"/>
      <w:gridCol w:w="3120"/>
    </w:tblGrid>
    <w:tr w:rsidR="4BEF7DA4" w14:paraId="1818E4E0" w14:textId="77777777" w:rsidTr="4BEF7DA4">
      <w:trPr>
        <w:trHeight w:val="300"/>
      </w:trPr>
      <w:tc>
        <w:tcPr>
          <w:tcW w:w="3120" w:type="dxa"/>
        </w:tcPr>
        <w:p w14:paraId="4EEBAF26" w14:textId="4CB08734" w:rsidR="4BEF7DA4" w:rsidRDefault="4BEF7DA4" w:rsidP="4BEF7DA4">
          <w:pPr>
            <w:pStyle w:val="Header"/>
            <w:ind w:left="-115"/>
          </w:pPr>
        </w:p>
      </w:tc>
      <w:tc>
        <w:tcPr>
          <w:tcW w:w="3120" w:type="dxa"/>
        </w:tcPr>
        <w:p w14:paraId="6FB4B647" w14:textId="63DFF21A" w:rsidR="4BEF7DA4" w:rsidRDefault="4BEF7DA4" w:rsidP="4BEF7DA4">
          <w:pPr>
            <w:pStyle w:val="Header"/>
            <w:jc w:val="center"/>
          </w:pPr>
        </w:p>
      </w:tc>
      <w:tc>
        <w:tcPr>
          <w:tcW w:w="3120" w:type="dxa"/>
        </w:tcPr>
        <w:p w14:paraId="040FCFB2" w14:textId="16EB065B" w:rsidR="4BEF7DA4" w:rsidRDefault="4BEF7DA4" w:rsidP="4BEF7DA4">
          <w:pPr>
            <w:pStyle w:val="Header"/>
            <w:ind w:right="-115"/>
            <w:jc w:val="right"/>
          </w:pPr>
        </w:p>
      </w:tc>
    </w:tr>
  </w:tbl>
  <w:p w14:paraId="106DF5B7" w14:textId="4C606204" w:rsidR="4BEF7DA4" w:rsidRDefault="4BEF7DA4" w:rsidP="4BEF7DA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A73C9B"/>
    <w:multiLevelType w:val="hybridMultilevel"/>
    <w:tmpl w:val="71089FD6"/>
    <w:lvl w:ilvl="0" w:tplc="3C0C26D6">
      <w:start w:val="1"/>
      <w:numFmt w:val="bullet"/>
      <w:lvlText w:val="o"/>
      <w:lvlJc w:val="left"/>
      <w:pPr>
        <w:tabs>
          <w:tab w:val="num" w:pos="720"/>
        </w:tabs>
        <w:ind w:left="720" w:hanging="360"/>
      </w:pPr>
      <w:rPr>
        <w:rFonts w:ascii="Courier New" w:hAnsi="Courier New" w:hint="default"/>
      </w:rPr>
    </w:lvl>
    <w:lvl w:ilvl="1" w:tplc="66E00BA2" w:tentative="1">
      <w:start w:val="1"/>
      <w:numFmt w:val="bullet"/>
      <w:lvlText w:val="o"/>
      <w:lvlJc w:val="left"/>
      <w:pPr>
        <w:tabs>
          <w:tab w:val="num" w:pos="1440"/>
        </w:tabs>
        <w:ind w:left="1440" w:hanging="360"/>
      </w:pPr>
      <w:rPr>
        <w:rFonts w:ascii="Courier New" w:hAnsi="Courier New" w:hint="default"/>
      </w:rPr>
    </w:lvl>
    <w:lvl w:ilvl="2" w:tplc="BEC66578" w:tentative="1">
      <w:start w:val="1"/>
      <w:numFmt w:val="bullet"/>
      <w:lvlText w:val="o"/>
      <w:lvlJc w:val="left"/>
      <w:pPr>
        <w:tabs>
          <w:tab w:val="num" w:pos="2160"/>
        </w:tabs>
        <w:ind w:left="2160" w:hanging="360"/>
      </w:pPr>
      <w:rPr>
        <w:rFonts w:ascii="Courier New" w:hAnsi="Courier New" w:hint="default"/>
      </w:rPr>
    </w:lvl>
    <w:lvl w:ilvl="3" w:tplc="10F625EC" w:tentative="1">
      <w:start w:val="1"/>
      <w:numFmt w:val="bullet"/>
      <w:lvlText w:val="o"/>
      <w:lvlJc w:val="left"/>
      <w:pPr>
        <w:tabs>
          <w:tab w:val="num" w:pos="2880"/>
        </w:tabs>
        <w:ind w:left="2880" w:hanging="360"/>
      </w:pPr>
      <w:rPr>
        <w:rFonts w:ascii="Courier New" w:hAnsi="Courier New" w:hint="default"/>
      </w:rPr>
    </w:lvl>
    <w:lvl w:ilvl="4" w:tplc="4030D488" w:tentative="1">
      <w:start w:val="1"/>
      <w:numFmt w:val="bullet"/>
      <w:lvlText w:val="o"/>
      <w:lvlJc w:val="left"/>
      <w:pPr>
        <w:tabs>
          <w:tab w:val="num" w:pos="3600"/>
        </w:tabs>
        <w:ind w:left="3600" w:hanging="360"/>
      </w:pPr>
      <w:rPr>
        <w:rFonts w:ascii="Courier New" w:hAnsi="Courier New" w:hint="default"/>
      </w:rPr>
    </w:lvl>
    <w:lvl w:ilvl="5" w:tplc="E57A1472" w:tentative="1">
      <w:start w:val="1"/>
      <w:numFmt w:val="bullet"/>
      <w:lvlText w:val="o"/>
      <w:lvlJc w:val="left"/>
      <w:pPr>
        <w:tabs>
          <w:tab w:val="num" w:pos="4320"/>
        </w:tabs>
        <w:ind w:left="4320" w:hanging="360"/>
      </w:pPr>
      <w:rPr>
        <w:rFonts w:ascii="Courier New" w:hAnsi="Courier New" w:hint="default"/>
      </w:rPr>
    </w:lvl>
    <w:lvl w:ilvl="6" w:tplc="98765208" w:tentative="1">
      <w:start w:val="1"/>
      <w:numFmt w:val="bullet"/>
      <w:lvlText w:val="o"/>
      <w:lvlJc w:val="left"/>
      <w:pPr>
        <w:tabs>
          <w:tab w:val="num" w:pos="5040"/>
        </w:tabs>
        <w:ind w:left="5040" w:hanging="360"/>
      </w:pPr>
      <w:rPr>
        <w:rFonts w:ascii="Courier New" w:hAnsi="Courier New" w:hint="default"/>
      </w:rPr>
    </w:lvl>
    <w:lvl w:ilvl="7" w:tplc="8B92F8BE" w:tentative="1">
      <w:start w:val="1"/>
      <w:numFmt w:val="bullet"/>
      <w:lvlText w:val="o"/>
      <w:lvlJc w:val="left"/>
      <w:pPr>
        <w:tabs>
          <w:tab w:val="num" w:pos="5760"/>
        </w:tabs>
        <w:ind w:left="5760" w:hanging="360"/>
      </w:pPr>
      <w:rPr>
        <w:rFonts w:ascii="Courier New" w:hAnsi="Courier New" w:hint="default"/>
      </w:rPr>
    </w:lvl>
    <w:lvl w:ilvl="8" w:tplc="27EC0D5A" w:tentative="1">
      <w:start w:val="1"/>
      <w:numFmt w:val="bullet"/>
      <w:lvlText w:val="o"/>
      <w:lvlJc w:val="left"/>
      <w:pPr>
        <w:tabs>
          <w:tab w:val="num" w:pos="6480"/>
        </w:tabs>
        <w:ind w:left="6480" w:hanging="360"/>
      </w:pPr>
      <w:rPr>
        <w:rFonts w:ascii="Courier New" w:hAnsi="Courier New" w:hint="default"/>
      </w:rPr>
    </w:lvl>
  </w:abstractNum>
  <w:abstractNum w:abstractNumId="1" w15:restartNumberingAfterBreak="0">
    <w:nsid w:val="051C1FE8"/>
    <w:multiLevelType w:val="multilevel"/>
    <w:tmpl w:val="771849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FA07ADA"/>
    <w:multiLevelType w:val="hybridMultilevel"/>
    <w:tmpl w:val="8AC62D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4BE334B"/>
    <w:multiLevelType w:val="hybridMultilevel"/>
    <w:tmpl w:val="1B12FE66"/>
    <w:lvl w:ilvl="0" w:tplc="DA6E26CE">
      <w:start w:val="3"/>
      <w:numFmt w:val="bullet"/>
      <w:lvlText w:val=""/>
      <w:lvlJc w:val="left"/>
      <w:pPr>
        <w:ind w:left="420" w:hanging="360"/>
      </w:pPr>
      <w:rPr>
        <w:rFonts w:ascii="Symbol" w:eastAsiaTheme="minorHAnsi" w:hAnsi="Symbol" w:cs="Helvetica"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4" w15:restartNumberingAfterBreak="0">
    <w:nsid w:val="294B5318"/>
    <w:multiLevelType w:val="multilevel"/>
    <w:tmpl w:val="EEA61E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9507C76"/>
    <w:multiLevelType w:val="hybridMultilevel"/>
    <w:tmpl w:val="DAEE61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F667482"/>
    <w:multiLevelType w:val="hybridMultilevel"/>
    <w:tmpl w:val="FFFFFFFF"/>
    <w:lvl w:ilvl="0" w:tplc="E0665AF8">
      <w:start w:val="1"/>
      <w:numFmt w:val="bullet"/>
      <w:lvlText w:val=""/>
      <w:lvlJc w:val="left"/>
      <w:pPr>
        <w:ind w:left="720" w:hanging="360"/>
      </w:pPr>
      <w:rPr>
        <w:rFonts w:ascii="Symbol" w:hAnsi="Symbol" w:hint="default"/>
      </w:rPr>
    </w:lvl>
    <w:lvl w:ilvl="1" w:tplc="554CC9B6">
      <w:start w:val="1"/>
      <w:numFmt w:val="bullet"/>
      <w:lvlText w:val="o"/>
      <w:lvlJc w:val="left"/>
      <w:pPr>
        <w:ind w:left="1440" w:hanging="360"/>
      </w:pPr>
      <w:rPr>
        <w:rFonts w:ascii="Courier New" w:hAnsi="Courier New" w:hint="default"/>
      </w:rPr>
    </w:lvl>
    <w:lvl w:ilvl="2" w:tplc="E204734E">
      <w:start w:val="1"/>
      <w:numFmt w:val="bullet"/>
      <w:lvlText w:val=""/>
      <w:lvlJc w:val="left"/>
      <w:pPr>
        <w:ind w:left="2160" w:hanging="360"/>
      </w:pPr>
      <w:rPr>
        <w:rFonts w:ascii="Wingdings" w:hAnsi="Wingdings" w:hint="default"/>
      </w:rPr>
    </w:lvl>
    <w:lvl w:ilvl="3" w:tplc="0820F8F0">
      <w:start w:val="1"/>
      <w:numFmt w:val="bullet"/>
      <w:lvlText w:val=""/>
      <w:lvlJc w:val="left"/>
      <w:pPr>
        <w:ind w:left="2880" w:hanging="360"/>
      </w:pPr>
      <w:rPr>
        <w:rFonts w:ascii="Symbol" w:hAnsi="Symbol" w:hint="default"/>
      </w:rPr>
    </w:lvl>
    <w:lvl w:ilvl="4" w:tplc="B1FECF2E">
      <w:start w:val="1"/>
      <w:numFmt w:val="bullet"/>
      <w:lvlText w:val="o"/>
      <w:lvlJc w:val="left"/>
      <w:pPr>
        <w:ind w:left="3600" w:hanging="360"/>
      </w:pPr>
      <w:rPr>
        <w:rFonts w:ascii="Courier New" w:hAnsi="Courier New" w:hint="default"/>
      </w:rPr>
    </w:lvl>
    <w:lvl w:ilvl="5" w:tplc="9BFA511A">
      <w:start w:val="1"/>
      <w:numFmt w:val="bullet"/>
      <w:lvlText w:val=""/>
      <w:lvlJc w:val="left"/>
      <w:pPr>
        <w:ind w:left="4320" w:hanging="360"/>
      </w:pPr>
      <w:rPr>
        <w:rFonts w:ascii="Wingdings" w:hAnsi="Wingdings" w:hint="default"/>
      </w:rPr>
    </w:lvl>
    <w:lvl w:ilvl="6" w:tplc="AE068B44">
      <w:start w:val="1"/>
      <w:numFmt w:val="bullet"/>
      <w:lvlText w:val=""/>
      <w:lvlJc w:val="left"/>
      <w:pPr>
        <w:ind w:left="5040" w:hanging="360"/>
      </w:pPr>
      <w:rPr>
        <w:rFonts w:ascii="Symbol" w:hAnsi="Symbol" w:hint="default"/>
      </w:rPr>
    </w:lvl>
    <w:lvl w:ilvl="7" w:tplc="2780DA68">
      <w:start w:val="1"/>
      <w:numFmt w:val="bullet"/>
      <w:lvlText w:val="o"/>
      <w:lvlJc w:val="left"/>
      <w:pPr>
        <w:ind w:left="5760" w:hanging="360"/>
      </w:pPr>
      <w:rPr>
        <w:rFonts w:ascii="Courier New" w:hAnsi="Courier New" w:hint="default"/>
      </w:rPr>
    </w:lvl>
    <w:lvl w:ilvl="8" w:tplc="43BA9D80">
      <w:start w:val="1"/>
      <w:numFmt w:val="bullet"/>
      <w:lvlText w:val=""/>
      <w:lvlJc w:val="left"/>
      <w:pPr>
        <w:ind w:left="6480" w:hanging="360"/>
      </w:pPr>
      <w:rPr>
        <w:rFonts w:ascii="Wingdings" w:hAnsi="Wingdings" w:hint="default"/>
      </w:rPr>
    </w:lvl>
  </w:abstractNum>
  <w:abstractNum w:abstractNumId="7" w15:restartNumberingAfterBreak="0">
    <w:nsid w:val="5EA074D0"/>
    <w:multiLevelType w:val="multilevel"/>
    <w:tmpl w:val="2404F8FE"/>
    <w:lvl w:ilvl="0">
      <w:start w:val="1"/>
      <w:numFmt w:val="bullet"/>
      <w:lvlText w:val=""/>
      <w:lvlJc w:val="left"/>
      <w:pPr>
        <w:tabs>
          <w:tab w:val="num" w:pos="0"/>
        </w:tabs>
        <w:ind w:left="0" w:hanging="360"/>
      </w:pPr>
      <w:rPr>
        <w:rFonts w:ascii="Symbol" w:hAnsi="Symbol" w:hint="default"/>
        <w:sz w:val="20"/>
      </w:rPr>
    </w:lvl>
    <w:lvl w:ilvl="1" w:tentative="1">
      <w:start w:val="1"/>
      <w:numFmt w:val="bullet"/>
      <w:lvlText w:val=""/>
      <w:lvlJc w:val="left"/>
      <w:pPr>
        <w:tabs>
          <w:tab w:val="num" w:pos="720"/>
        </w:tabs>
        <w:ind w:left="720" w:hanging="360"/>
      </w:pPr>
      <w:rPr>
        <w:rFonts w:ascii="Symbol" w:hAnsi="Symbol" w:hint="default"/>
        <w:sz w:val="20"/>
      </w:rPr>
    </w:lvl>
    <w:lvl w:ilvl="2" w:tentative="1">
      <w:start w:val="1"/>
      <w:numFmt w:val="bullet"/>
      <w:lvlText w:val=""/>
      <w:lvlJc w:val="left"/>
      <w:pPr>
        <w:tabs>
          <w:tab w:val="num" w:pos="1440"/>
        </w:tabs>
        <w:ind w:left="1440" w:hanging="360"/>
      </w:pPr>
      <w:rPr>
        <w:rFonts w:ascii="Symbol" w:hAnsi="Symbol" w:hint="default"/>
        <w:sz w:val="20"/>
      </w:rPr>
    </w:lvl>
    <w:lvl w:ilvl="3" w:tentative="1">
      <w:start w:val="1"/>
      <w:numFmt w:val="bullet"/>
      <w:lvlText w:val=""/>
      <w:lvlJc w:val="left"/>
      <w:pPr>
        <w:tabs>
          <w:tab w:val="num" w:pos="2160"/>
        </w:tabs>
        <w:ind w:left="2160" w:hanging="360"/>
      </w:pPr>
      <w:rPr>
        <w:rFonts w:ascii="Symbol" w:hAnsi="Symbol" w:hint="default"/>
        <w:sz w:val="20"/>
      </w:rPr>
    </w:lvl>
    <w:lvl w:ilvl="4" w:tentative="1">
      <w:start w:val="1"/>
      <w:numFmt w:val="bullet"/>
      <w:lvlText w:val=""/>
      <w:lvlJc w:val="left"/>
      <w:pPr>
        <w:tabs>
          <w:tab w:val="num" w:pos="2880"/>
        </w:tabs>
        <w:ind w:left="2880" w:hanging="360"/>
      </w:pPr>
      <w:rPr>
        <w:rFonts w:ascii="Symbol" w:hAnsi="Symbol" w:hint="default"/>
        <w:sz w:val="20"/>
      </w:rPr>
    </w:lvl>
    <w:lvl w:ilvl="5" w:tentative="1">
      <w:start w:val="1"/>
      <w:numFmt w:val="bullet"/>
      <w:lvlText w:val=""/>
      <w:lvlJc w:val="left"/>
      <w:pPr>
        <w:tabs>
          <w:tab w:val="num" w:pos="3600"/>
        </w:tabs>
        <w:ind w:left="3600" w:hanging="360"/>
      </w:pPr>
      <w:rPr>
        <w:rFonts w:ascii="Symbol" w:hAnsi="Symbol" w:hint="default"/>
        <w:sz w:val="20"/>
      </w:rPr>
    </w:lvl>
    <w:lvl w:ilvl="6" w:tentative="1">
      <w:start w:val="1"/>
      <w:numFmt w:val="bullet"/>
      <w:lvlText w:val=""/>
      <w:lvlJc w:val="left"/>
      <w:pPr>
        <w:tabs>
          <w:tab w:val="num" w:pos="4320"/>
        </w:tabs>
        <w:ind w:left="4320" w:hanging="360"/>
      </w:pPr>
      <w:rPr>
        <w:rFonts w:ascii="Symbol" w:hAnsi="Symbol" w:hint="default"/>
        <w:sz w:val="20"/>
      </w:rPr>
    </w:lvl>
    <w:lvl w:ilvl="7" w:tentative="1">
      <w:start w:val="1"/>
      <w:numFmt w:val="bullet"/>
      <w:lvlText w:val=""/>
      <w:lvlJc w:val="left"/>
      <w:pPr>
        <w:tabs>
          <w:tab w:val="num" w:pos="5040"/>
        </w:tabs>
        <w:ind w:left="5040" w:hanging="360"/>
      </w:pPr>
      <w:rPr>
        <w:rFonts w:ascii="Symbol" w:hAnsi="Symbol" w:hint="default"/>
        <w:sz w:val="20"/>
      </w:rPr>
    </w:lvl>
    <w:lvl w:ilvl="8" w:tentative="1">
      <w:start w:val="1"/>
      <w:numFmt w:val="bullet"/>
      <w:lvlText w:val=""/>
      <w:lvlJc w:val="left"/>
      <w:pPr>
        <w:tabs>
          <w:tab w:val="num" w:pos="5760"/>
        </w:tabs>
        <w:ind w:left="5760" w:hanging="360"/>
      </w:pPr>
      <w:rPr>
        <w:rFonts w:ascii="Symbol" w:hAnsi="Symbol" w:hint="default"/>
        <w:sz w:val="20"/>
      </w:rPr>
    </w:lvl>
  </w:abstractNum>
  <w:abstractNum w:abstractNumId="8" w15:restartNumberingAfterBreak="0">
    <w:nsid w:val="600C7624"/>
    <w:multiLevelType w:val="hybridMultilevel"/>
    <w:tmpl w:val="046C155E"/>
    <w:lvl w:ilvl="0" w:tplc="FFF60E3A">
      <w:start w:val="1"/>
      <w:numFmt w:val="bullet"/>
      <w:lvlText w:val="o"/>
      <w:lvlJc w:val="left"/>
      <w:pPr>
        <w:tabs>
          <w:tab w:val="num" w:pos="720"/>
        </w:tabs>
        <w:ind w:left="720" w:hanging="360"/>
      </w:pPr>
      <w:rPr>
        <w:rFonts w:ascii="Courier New" w:hAnsi="Courier New" w:hint="default"/>
      </w:rPr>
    </w:lvl>
    <w:lvl w:ilvl="1" w:tplc="0470B4C4" w:tentative="1">
      <w:start w:val="1"/>
      <w:numFmt w:val="bullet"/>
      <w:lvlText w:val="o"/>
      <w:lvlJc w:val="left"/>
      <w:pPr>
        <w:tabs>
          <w:tab w:val="num" w:pos="1440"/>
        </w:tabs>
        <w:ind w:left="1440" w:hanging="360"/>
      </w:pPr>
      <w:rPr>
        <w:rFonts w:ascii="Courier New" w:hAnsi="Courier New" w:hint="default"/>
      </w:rPr>
    </w:lvl>
    <w:lvl w:ilvl="2" w:tplc="5598FB90" w:tentative="1">
      <w:start w:val="1"/>
      <w:numFmt w:val="bullet"/>
      <w:lvlText w:val="o"/>
      <w:lvlJc w:val="left"/>
      <w:pPr>
        <w:tabs>
          <w:tab w:val="num" w:pos="2160"/>
        </w:tabs>
        <w:ind w:left="2160" w:hanging="360"/>
      </w:pPr>
      <w:rPr>
        <w:rFonts w:ascii="Courier New" w:hAnsi="Courier New" w:hint="default"/>
      </w:rPr>
    </w:lvl>
    <w:lvl w:ilvl="3" w:tplc="88442E9C" w:tentative="1">
      <w:start w:val="1"/>
      <w:numFmt w:val="bullet"/>
      <w:lvlText w:val="o"/>
      <w:lvlJc w:val="left"/>
      <w:pPr>
        <w:tabs>
          <w:tab w:val="num" w:pos="2880"/>
        </w:tabs>
        <w:ind w:left="2880" w:hanging="360"/>
      </w:pPr>
      <w:rPr>
        <w:rFonts w:ascii="Courier New" w:hAnsi="Courier New" w:hint="default"/>
      </w:rPr>
    </w:lvl>
    <w:lvl w:ilvl="4" w:tplc="73C49DE6" w:tentative="1">
      <w:start w:val="1"/>
      <w:numFmt w:val="bullet"/>
      <w:lvlText w:val="o"/>
      <w:lvlJc w:val="left"/>
      <w:pPr>
        <w:tabs>
          <w:tab w:val="num" w:pos="3600"/>
        </w:tabs>
        <w:ind w:left="3600" w:hanging="360"/>
      </w:pPr>
      <w:rPr>
        <w:rFonts w:ascii="Courier New" w:hAnsi="Courier New" w:hint="default"/>
      </w:rPr>
    </w:lvl>
    <w:lvl w:ilvl="5" w:tplc="1BE4602C" w:tentative="1">
      <w:start w:val="1"/>
      <w:numFmt w:val="bullet"/>
      <w:lvlText w:val="o"/>
      <w:lvlJc w:val="left"/>
      <w:pPr>
        <w:tabs>
          <w:tab w:val="num" w:pos="4320"/>
        </w:tabs>
        <w:ind w:left="4320" w:hanging="360"/>
      </w:pPr>
      <w:rPr>
        <w:rFonts w:ascii="Courier New" w:hAnsi="Courier New" w:hint="default"/>
      </w:rPr>
    </w:lvl>
    <w:lvl w:ilvl="6" w:tplc="D102D406" w:tentative="1">
      <w:start w:val="1"/>
      <w:numFmt w:val="bullet"/>
      <w:lvlText w:val="o"/>
      <w:lvlJc w:val="left"/>
      <w:pPr>
        <w:tabs>
          <w:tab w:val="num" w:pos="5040"/>
        </w:tabs>
        <w:ind w:left="5040" w:hanging="360"/>
      </w:pPr>
      <w:rPr>
        <w:rFonts w:ascii="Courier New" w:hAnsi="Courier New" w:hint="default"/>
      </w:rPr>
    </w:lvl>
    <w:lvl w:ilvl="7" w:tplc="82D8088A" w:tentative="1">
      <w:start w:val="1"/>
      <w:numFmt w:val="bullet"/>
      <w:lvlText w:val="o"/>
      <w:lvlJc w:val="left"/>
      <w:pPr>
        <w:tabs>
          <w:tab w:val="num" w:pos="5760"/>
        </w:tabs>
        <w:ind w:left="5760" w:hanging="360"/>
      </w:pPr>
      <w:rPr>
        <w:rFonts w:ascii="Courier New" w:hAnsi="Courier New" w:hint="default"/>
      </w:rPr>
    </w:lvl>
    <w:lvl w:ilvl="8" w:tplc="1B029B20" w:tentative="1">
      <w:start w:val="1"/>
      <w:numFmt w:val="bullet"/>
      <w:lvlText w:val="o"/>
      <w:lvlJc w:val="left"/>
      <w:pPr>
        <w:tabs>
          <w:tab w:val="num" w:pos="6480"/>
        </w:tabs>
        <w:ind w:left="6480" w:hanging="360"/>
      </w:pPr>
      <w:rPr>
        <w:rFonts w:ascii="Courier New" w:hAnsi="Courier New" w:hint="default"/>
      </w:rPr>
    </w:lvl>
  </w:abstractNum>
  <w:abstractNum w:abstractNumId="9" w15:restartNumberingAfterBreak="0">
    <w:nsid w:val="634945FA"/>
    <w:multiLevelType w:val="hybridMultilevel"/>
    <w:tmpl w:val="050257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8B40C94"/>
    <w:multiLevelType w:val="hybridMultilevel"/>
    <w:tmpl w:val="51522666"/>
    <w:lvl w:ilvl="0" w:tplc="654EBF2E">
      <w:start w:val="1"/>
      <w:numFmt w:val="bullet"/>
      <w:lvlText w:val="o"/>
      <w:lvlJc w:val="left"/>
      <w:pPr>
        <w:tabs>
          <w:tab w:val="num" w:pos="720"/>
        </w:tabs>
        <w:ind w:left="720" w:hanging="360"/>
      </w:pPr>
      <w:rPr>
        <w:rFonts w:ascii="Courier New" w:hAnsi="Courier New" w:hint="default"/>
      </w:rPr>
    </w:lvl>
    <w:lvl w:ilvl="1" w:tplc="BA96AABA" w:tentative="1">
      <w:start w:val="1"/>
      <w:numFmt w:val="bullet"/>
      <w:lvlText w:val="o"/>
      <w:lvlJc w:val="left"/>
      <w:pPr>
        <w:tabs>
          <w:tab w:val="num" w:pos="1440"/>
        </w:tabs>
        <w:ind w:left="1440" w:hanging="360"/>
      </w:pPr>
      <w:rPr>
        <w:rFonts w:ascii="Courier New" w:hAnsi="Courier New" w:hint="default"/>
      </w:rPr>
    </w:lvl>
    <w:lvl w:ilvl="2" w:tplc="548AB5E4" w:tentative="1">
      <w:start w:val="1"/>
      <w:numFmt w:val="bullet"/>
      <w:lvlText w:val="o"/>
      <w:lvlJc w:val="left"/>
      <w:pPr>
        <w:tabs>
          <w:tab w:val="num" w:pos="2160"/>
        </w:tabs>
        <w:ind w:left="2160" w:hanging="360"/>
      </w:pPr>
      <w:rPr>
        <w:rFonts w:ascii="Courier New" w:hAnsi="Courier New" w:hint="default"/>
      </w:rPr>
    </w:lvl>
    <w:lvl w:ilvl="3" w:tplc="6790A10A" w:tentative="1">
      <w:start w:val="1"/>
      <w:numFmt w:val="bullet"/>
      <w:lvlText w:val="o"/>
      <w:lvlJc w:val="left"/>
      <w:pPr>
        <w:tabs>
          <w:tab w:val="num" w:pos="2880"/>
        </w:tabs>
        <w:ind w:left="2880" w:hanging="360"/>
      </w:pPr>
      <w:rPr>
        <w:rFonts w:ascii="Courier New" w:hAnsi="Courier New" w:hint="default"/>
      </w:rPr>
    </w:lvl>
    <w:lvl w:ilvl="4" w:tplc="6DD851C0" w:tentative="1">
      <w:start w:val="1"/>
      <w:numFmt w:val="bullet"/>
      <w:lvlText w:val="o"/>
      <w:lvlJc w:val="left"/>
      <w:pPr>
        <w:tabs>
          <w:tab w:val="num" w:pos="3600"/>
        </w:tabs>
        <w:ind w:left="3600" w:hanging="360"/>
      </w:pPr>
      <w:rPr>
        <w:rFonts w:ascii="Courier New" w:hAnsi="Courier New" w:hint="default"/>
      </w:rPr>
    </w:lvl>
    <w:lvl w:ilvl="5" w:tplc="B8E483F4" w:tentative="1">
      <w:start w:val="1"/>
      <w:numFmt w:val="bullet"/>
      <w:lvlText w:val="o"/>
      <w:lvlJc w:val="left"/>
      <w:pPr>
        <w:tabs>
          <w:tab w:val="num" w:pos="4320"/>
        </w:tabs>
        <w:ind w:left="4320" w:hanging="360"/>
      </w:pPr>
      <w:rPr>
        <w:rFonts w:ascii="Courier New" w:hAnsi="Courier New" w:hint="default"/>
      </w:rPr>
    </w:lvl>
    <w:lvl w:ilvl="6" w:tplc="A8C64578" w:tentative="1">
      <w:start w:val="1"/>
      <w:numFmt w:val="bullet"/>
      <w:lvlText w:val="o"/>
      <w:lvlJc w:val="left"/>
      <w:pPr>
        <w:tabs>
          <w:tab w:val="num" w:pos="5040"/>
        </w:tabs>
        <w:ind w:left="5040" w:hanging="360"/>
      </w:pPr>
      <w:rPr>
        <w:rFonts w:ascii="Courier New" w:hAnsi="Courier New" w:hint="default"/>
      </w:rPr>
    </w:lvl>
    <w:lvl w:ilvl="7" w:tplc="7A128C90" w:tentative="1">
      <w:start w:val="1"/>
      <w:numFmt w:val="bullet"/>
      <w:lvlText w:val="o"/>
      <w:lvlJc w:val="left"/>
      <w:pPr>
        <w:tabs>
          <w:tab w:val="num" w:pos="5760"/>
        </w:tabs>
        <w:ind w:left="5760" w:hanging="360"/>
      </w:pPr>
      <w:rPr>
        <w:rFonts w:ascii="Courier New" w:hAnsi="Courier New" w:hint="default"/>
      </w:rPr>
    </w:lvl>
    <w:lvl w:ilvl="8" w:tplc="09647F0E" w:tentative="1">
      <w:start w:val="1"/>
      <w:numFmt w:val="bullet"/>
      <w:lvlText w:val="o"/>
      <w:lvlJc w:val="left"/>
      <w:pPr>
        <w:tabs>
          <w:tab w:val="num" w:pos="6480"/>
        </w:tabs>
        <w:ind w:left="6480" w:hanging="360"/>
      </w:pPr>
      <w:rPr>
        <w:rFonts w:ascii="Courier New" w:hAnsi="Courier New" w:hint="default"/>
      </w:rPr>
    </w:lvl>
  </w:abstractNum>
  <w:abstractNum w:abstractNumId="11" w15:restartNumberingAfterBreak="0">
    <w:nsid w:val="7B1C41EA"/>
    <w:multiLevelType w:val="hybridMultilevel"/>
    <w:tmpl w:val="BDCE292E"/>
    <w:lvl w:ilvl="0" w:tplc="0DF860AA">
      <w:start w:val="1"/>
      <w:numFmt w:val="decimal"/>
      <w:lvlText w:val="%1."/>
      <w:lvlJc w:val="left"/>
      <w:pPr>
        <w:tabs>
          <w:tab w:val="num" w:pos="720"/>
        </w:tabs>
        <w:ind w:left="720" w:hanging="360"/>
      </w:pPr>
    </w:lvl>
    <w:lvl w:ilvl="1" w:tplc="DCB0FD1C" w:tentative="1">
      <w:start w:val="1"/>
      <w:numFmt w:val="decimal"/>
      <w:lvlText w:val="%2."/>
      <w:lvlJc w:val="left"/>
      <w:pPr>
        <w:tabs>
          <w:tab w:val="num" w:pos="1440"/>
        </w:tabs>
        <w:ind w:left="1440" w:hanging="360"/>
      </w:pPr>
    </w:lvl>
    <w:lvl w:ilvl="2" w:tplc="D056F7FE" w:tentative="1">
      <w:start w:val="1"/>
      <w:numFmt w:val="decimal"/>
      <w:lvlText w:val="%3."/>
      <w:lvlJc w:val="left"/>
      <w:pPr>
        <w:tabs>
          <w:tab w:val="num" w:pos="2160"/>
        </w:tabs>
        <w:ind w:left="2160" w:hanging="360"/>
      </w:pPr>
    </w:lvl>
    <w:lvl w:ilvl="3" w:tplc="61BABA44" w:tentative="1">
      <w:start w:val="1"/>
      <w:numFmt w:val="decimal"/>
      <w:lvlText w:val="%4."/>
      <w:lvlJc w:val="left"/>
      <w:pPr>
        <w:tabs>
          <w:tab w:val="num" w:pos="2880"/>
        </w:tabs>
        <w:ind w:left="2880" w:hanging="360"/>
      </w:pPr>
    </w:lvl>
    <w:lvl w:ilvl="4" w:tplc="7BD05AE8" w:tentative="1">
      <w:start w:val="1"/>
      <w:numFmt w:val="decimal"/>
      <w:lvlText w:val="%5."/>
      <w:lvlJc w:val="left"/>
      <w:pPr>
        <w:tabs>
          <w:tab w:val="num" w:pos="3600"/>
        </w:tabs>
        <w:ind w:left="3600" w:hanging="360"/>
      </w:pPr>
    </w:lvl>
    <w:lvl w:ilvl="5" w:tplc="141E3DB8" w:tentative="1">
      <w:start w:val="1"/>
      <w:numFmt w:val="decimal"/>
      <w:lvlText w:val="%6."/>
      <w:lvlJc w:val="left"/>
      <w:pPr>
        <w:tabs>
          <w:tab w:val="num" w:pos="4320"/>
        </w:tabs>
        <w:ind w:left="4320" w:hanging="360"/>
      </w:pPr>
    </w:lvl>
    <w:lvl w:ilvl="6" w:tplc="25D02660" w:tentative="1">
      <w:start w:val="1"/>
      <w:numFmt w:val="decimal"/>
      <w:lvlText w:val="%7."/>
      <w:lvlJc w:val="left"/>
      <w:pPr>
        <w:tabs>
          <w:tab w:val="num" w:pos="5040"/>
        </w:tabs>
        <w:ind w:left="5040" w:hanging="360"/>
      </w:pPr>
    </w:lvl>
    <w:lvl w:ilvl="7" w:tplc="B186EFB2" w:tentative="1">
      <w:start w:val="1"/>
      <w:numFmt w:val="decimal"/>
      <w:lvlText w:val="%8."/>
      <w:lvlJc w:val="left"/>
      <w:pPr>
        <w:tabs>
          <w:tab w:val="num" w:pos="5760"/>
        </w:tabs>
        <w:ind w:left="5760" w:hanging="360"/>
      </w:pPr>
    </w:lvl>
    <w:lvl w:ilvl="8" w:tplc="074E7D32" w:tentative="1">
      <w:start w:val="1"/>
      <w:numFmt w:val="decimal"/>
      <w:lvlText w:val="%9."/>
      <w:lvlJc w:val="left"/>
      <w:pPr>
        <w:tabs>
          <w:tab w:val="num" w:pos="6480"/>
        </w:tabs>
        <w:ind w:left="6480" w:hanging="360"/>
      </w:pPr>
    </w:lvl>
  </w:abstractNum>
  <w:num w:numId="1" w16cid:durableId="924413309">
    <w:abstractNumId w:val="6"/>
  </w:num>
  <w:num w:numId="2" w16cid:durableId="275136414">
    <w:abstractNumId w:val="11"/>
  </w:num>
  <w:num w:numId="3" w16cid:durableId="1293558612">
    <w:abstractNumId w:val="0"/>
  </w:num>
  <w:num w:numId="4" w16cid:durableId="2015645908">
    <w:abstractNumId w:val="8"/>
  </w:num>
  <w:num w:numId="5" w16cid:durableId="629475630">
    <w:abstractNumId w:val="2"/>
  </w:num>
  <w:num w:numId="6" w16cid:durableId="1749840726">
    <w:abstractNumId w:val="10"/>
  </w:num>
  <w:num w:numId="7" w16cid:durableId="2110662018">
    <w:abstractNumId w:val="7"/>
  </w:num>
  <w:num w:numId="8" w16cid:durableId="534931581">
    <w:abstractNumId w:val="4"/>
  </w:num>
  <w:num w:numId="9" w16cid:durableId="1523668882">
    <w:abstractNumId w:val="3"/>
  </w:num>
  <w:num w:numId="10" w16cid:durableId="1328826527">
    <w:abstractNumId w:val="1"/>
  </w:num>
  <w:num w:numId="11" w16cid:durableId="1055130356">
    <w:abstractNumId w:val="5"/>
  </w:num>
  <w:num w:numId="12" w16cid:durableId="213918032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598F"/>
    <w:rsid w:val="00000742"/>
    <w:rsid w:val="00000783"/>
    <w:rsid w:val="0000158B"/>
    <w:rsid w:val="00001648"/>
    <w:rsid w:val="0000178B"/>
    <w:rsid w:val="00002382"/>
    <w:rsid w:val="00002809"/>
    <w:rsid w:val="000028A5"/>
    <w:rsid w:val="00003058"/>
    <w:rsid w:val="0000312B"/>
    <w:rsid w:val="00003EAA"/>
    <w:rsid w:val="000040BF"/>
    <w:rsid w:val="000042AF"/>
    <w:rsid w:val="00004C01"/>
    <w:rsid w:val="000051E7"/>
    <w:rsid w:val="00005B77"/>
    <w:rsid w:val="00006598"/>
    <w:rsid w:val="00006DE3"/>
    <w:rsid w:val="00006F96"/>
    <w:rsid w:val="0000759D"/>
    <w:rsid w:val="000075E0"/>
    <w:rsid w:val="000100A5"/>
    <w:rsid w:val="00011C15"/>
    <w:rsid w:val="00011DEA"/>
    <w:rsid w:val="00011FD2"/>
    <w:rsid w:val="00012264"/>
    <w:rsid w:val="00012778"/>
    <w:rsid w:val="0001277A"/>
    <w:rsid w:val="00013717"/>
    <w:rsid w:val="00013AC5"/>
    <w:rsid w:val="000145E1"/>
    <w:rsid w:val="000149C5"/>
    <w:rsid w:val="000152B3"/>
    <w:rsid w:val="00015ACF"/>
    <w:rsid w:val="000162C7"/>
    <w:rsid w:val="000165C7"/>
    <w:rsid w:val="00017B05"/>
    <w:rsid w:val="00020ADB"/>
    <w:rsid w:val="00020D0A"/>
    <w:rsid w:val="000215E4"/>
    <w:rsid w:val="0002191B"/>
    <w:rsid w:val="00021E71"/>
    <w:rsid w:val="0002229B"/>
    <w:rsid w:val="00022BFE"/>
    <w:rsid w:val="0002316A"/>
    <w:rsid w:val="00023A34"/>
    <w:rsid w:val="00023DD7"/>
    <w:rsid w:val="000240B8"/>
    <w:rsid w:val="000259E8"/>
    <w:rsid w:val="00025B21"/>
    <w:rsid w:val="0002708D"/>
    <w:rsid w:val="00030806"/>
    <w:rsid w:val="00031087"/>
    <w:rsid w:val="000312EE"/>
    <w:rsid w:val="000316C1"/>
    <w:rsid w:val="0003198D"/>
    <w:rsid w:val="000320FF"/>
    <w:rsid w:val="000331D0"/>
    <w:rsid w:val="00033AD1"/>
    <w:rsid w:val="00033D76"/>
    <w:rsid w:val="00034C46"/>
    <w:rsid w:val="0003564E"/>
    <w:rsid w:val="00035E86"/>
    <w:rsid w:val="00037777"/>
    <w:rsid w:val="00037935"/>
    <w:rsid w:val="0004000C"/>
    <w:rsid w:val="00040E05"/>
    <w:rsid w:val="0004119B"/>
    <w:rsid w:val="0004161F"/>
    <w:rsid w:val="00042170"/>
    <w:rsid w:val="000425B0"/>
    <w:rsid w:val="00043527"/>
    <w:rsid w:val="0004372F"/>
    <w:rsid w:val="00043AAB"/>
    <w:rsid w:val="00043B25"/>
    <w:rsid w:val="0004400D"/>
    <w:rsid w:val="00044121"/>
    <w:rsid w:val="00044281"/>
    <w:rsid w:val="00045402"/>
    <w:rsid w:val="000454BC"/>
    <w:rsid w:val="000469CE"/>
    <w:rsid w:val="00046E7D"/>
    <w:rsid w:val="00047A79"/>
    <w:rsid w:val="00051499"/>
    <w:rsid w:val="0005174B"/>
    <w:rsid w:val="00051E96"/>
    <w:rsid w:val="0005207F"/>
    <w:rsid w:val="00052300"/>
    <w:rsid w:val="00052644"/>
    <w:rsid w:val="0005427D"/>
    <w:rsid w:val="000549EE"/>
    <w:rsid w:val="00054D50"/>
    <w:rsid w:val="00054F5C"/>
    <w:rsid w:val="00054F91"/>
    <w:rsid w:val="00055233"/>
    <w:rsid w:val="000552B5"/>
    <w:rsid w:val="00055F78"/>
    <w:rsid w:val="000565FC"/>
    <w:rsid w:val="000600D3"/>
    <w:rsid w:val="000603AB"/>
    <w:rsid w:val="000607E9"/>
    <w:rsid w:val="000617ED"/>
    <w:rsid w:val="00061B93"/>
    <w:rsid w:val="0006221C"/>
    <w:rsid w:val="000628F0"/>
    <w:rsid w:val="000631A1"/>
    <w:rsid w:val="0006370D"/>
    <w:rsid w:val="0006462A"/>
    <w:rsid w:val="0006490B"/>
    <w:rsid w:val="00064B26"/>
    <w:rsid w:val="00064BA8"/>
    <w:rsid w:val="00064C83"/>
    <w:rsid w:val="000656A8"/>
    <w:rsid w:val="00065C3C"/>
    <w:rsid w:val="00066593"/>
    <w:rsid w:val="00066E8E"/>
    <w:rsid w:val="0006788A"/>
    <w:rsid w:val="00067989"/>
    <w:rsid w:val="00071340"/>
    <w:rsid w:val="0007237C"/>
    <w:rsid w:val="0007239D"/>
    <w:rsid w:val="00073B66"/>
    <w:rsid w:val="0007409A"/>
    <w:rsid w:val="000753BC"/>
    <w:rsid w:val="00076A5D"/>
    <w:rsid w:val="00077A09"/>
    <w:rsid w:val="0008006C"/>
    <w:rsid w:val="00080769"/>
    <w:rsid w:val="00080E8B"/>
    <w:rsid w:val="00081453"/>
    <w:rsid w:val="00082138"/>
    <w:rsid w:val="0008224F"/>
    <w:rsid w:val="00082933"/>
    <w:rsid w:val="00082F3B"/>
    <w:rsid w:val="000841E8"/>
    <w:rsid w:val="000843B8"/>
    <w:rsid w:val="00084FBC"/>
    <w:rsid w:val="00085A1F"/>
    <w:rsid w:val="00085DB8"/>
    <w:rsid w:val="00086753"/>
    <w:rsid w:val="00086C0C"/>
    <w:rsid w:val="000877C6"/>
    <w:rsid w:val="000903DC"/>
    <w:rsid w:val="00090649"/>
    <w:rsid w:val="00090D10"/>
    <w:rsid w:val="00092059"/>
    <w:rsid w:val="000927B9"/>
    <w:rsid w:val="00093C64"/>
    <w:rsid w:val="000944FB"/>
    <w:rsid w:val="00094779"/>
    <w:rsid w:val="00095214"/>
    <w:rsid w:val="00095231"/>
    <w:rsid w:val="00095267"/>
    <w:rsid w:val="00095608"/>
    <w:rsid w:val="00095865"/>
    <w:rsid w:val="00095878"/>
    <w:rsid w:val="00095A81"/>
    <w:rsid w:val="00096CFB"/>
    <w:rsid w:val="00097053"/>
    <w:rsid w:val="000972EB"/>
    <w:rsid w:val="000A0A78"/>
    <w:rsid w:val="000A0B4C"/>
    <w:rsid w:val="000A1E25"/>
    <w:rsid w:val="000A1E45"/>
    <w:rsid w:val="000A2756"/>
    <w:rsid w:val="000A2B18"/>
    <w:rsid w:val="000A37C6"/>
    <w:rsid w:val="000A3AA3"/>
    <w:rsid w:val="000A49F5"/>
    <w:rsid w:val="000A581A"/>
    <w:rsid w:val="000A5CAF"/>
    <w:rsid w:val="000A6710"/>
    <w:rsid w:val="000A6C53"/>
    <w:rsid w:val="000A765B"/>
    <w:rsid w:val="000A90E7"/>
    <w:rsid w:val="000B00A0"/>
    <w:rsid w:val="000B1AEA"/>
    <w:rsid w:val="000B1AFE"/>
    <w:rsid w:val="000B2939"/>
    <w:rsid w:val="000B4BB5"/>
    <w:rsid w:val="000B4D08"/>
    <w:rsid w:val="000B4EDA"/>
    <w:rsid w:val="000B50B1"/>
    <w:rsid w:val="000B5349"/>
    <w:rsid w:val="000B5B4B"/>
    <w:rsid w:val="000B6023"/>
    <w:rsid w:val="000B61C9"/>
    <w:rsid w:val="000B6E0C"/>
    <w:rsid w:val="000B6E72"/>
    <w:rsid w:val="000B74BC"/>
    <w:rsid w:val="000B75BE"/>
    <w:rsid w:val="000B794A"/>
    <w:rsid w:val="000B79C9"/>
    <w:rsid w:val="000C0570"/>
    <w:rsid w:val="000C06E9"/>
    <w:rsid w:val="000C1071"/>
    <w:rsid w:val="000C1669"/>
    <w:rsid w:val="000C235B"/>
    <w:rsid w:val="000C26F9"/>
    <w:rsid w:val="000C2ED0"/>
    <w:rsid w:val="000C3591"/>
    <w:rsid w:val="000C35FA"/>
    <w:rsid w:val="000C4CC6"/>
    <w:rsid w:val="000C4F23"/>
    <w:rsid w:val="000C503B"/>
    <w:rsid w:val="000C54DA"/>
    <w:rsid w:val="000C6BD4"/>
    <w:rsid w:val="000C7312"/>
    <w:rsid w:val="000C7794"/>
    <w:rsid w:val="000D0833"/>
    <w:rsid w:val="000D08B7"/>
    <w:rsid w:val="000D0AD2"/>
    <w:rsid w:val="000D0EF5"/>
    <w:rsid w:val="000D0F29"/>
    <w:rsid w:val="000D0F98"/>
    <w:rsid w:val="000D10C2"/>
    <w:rsid w:val="000D1715"/>
    <w:rsid w:val="000D1C4A"/>
    <w:rsid w:val="000D1CD4"/>
    <w:rsid w:val="000D1FBC"/>
    <w:rsid w:val="000D28F6"/>
    <w:rsid w:val="000D3564"/>
    <w:rsid w:val="000D3B82"/>
    <w:rsid w:val="000D451B"/>
    <w:rsid w:val="000D4CEB"/>
    <w:rsid w:val="000D4F1A"/>
    <w:rsid w:val="000D54A5"/>
    <w:rsid w:val="000D5851"/>
    <w:rsid w:val="000D5B92"/>
    <w:rsid w:val="000D5DB9"/>
    <w:rsid w:val="000D62C6"/>
    <w:rsid w:val="000D6760"/>
    <w:rsid w:val="000D6CC1"/>
    <w:rsid w:val="000E0687"/>
    <w:rsid w:val="000E1044"/>
    <w:rsid w:val="000E11D9"/>
    <w:rsid w:val="000E19FC"/>
    <w:rsid w:val="000E1AA9"/>
    <w:rsid w:val="000E1AAA"/>
    <w:rsid w:val="000E1EE0"/>
    <w:rsid w:val="000E245D"/>
    <w:rsid w:val="000E24D8"/>
    <w:rsid w:val="000E287C"/>
    <w:rsid w:val="000E3749"/>
    <w:rsid w:val="000E40C4"/>
    <w:rsid w:val="000E4FBF"/>
    <w:rsid w:val="000E5FD5"/>
    <w:rsid w:val="000E6192"/>
    <w:rsid w:val="000E6626"/>
    <w:rsid w:val="000E72AF"/>
    <w:rsid w:val="000F0230"/>
    <w:rsid w:val="000F1473"/>
    <w:rsid w:val="000F162C"/>
    <w:rsid w:val="000F1704"/>
    <w:rsid w:val="000F17CB"/>
    <w:rsid w:val="000F1BDF"/>
    <w:rsid w:val="000F205A"/>
    <w:rsid w:val="000F2B8D"/>
    <w:rsid w:val="000F2C5C"/>
    <w:rsid w:val="000F2D82"/>
    <w:rsid w:val="000F2E85"/>
    <w:rsid w:val="000F4022"/>
    <w:rsid w:val="000F4609"/>
    <w:rsid w:val="000F4F2B"/>
    <w:rsid w:val="000F5162"/>
    <w:rsid w:val="000F56E6"/>
    <w:rsid w:val="000F6594"/>
    <w:rsid w:val="000F692B"/>
    <w:rsid w:val="000F77E9"/>
    <w:rsid w:val="000F7F04"/>
    <w:rsid w:val="00100186"/>
    <w:rsid w:val="0010021E"/>
    <w:rsid w:val="00100258"/>
    <w:rsid w:val="00100771"/>
    <w:rsid w:val="00101480"/>
    <w:rsid w:val="00102717"/>
    <w:rsid w:val="001040F7"/>
    <w:rsid w:val="001049A8"/>
    <w:rsid w:val="001054C2"/>
    <w:rsid w:val="0010563A"/>
    <w:rsid w:val="00105981"/>
    <w:rsid w:val="00105B50"/>
    <w:rsid w:val="00106B95"/>
    <w:rsid w:val="00107142"/>
    <w:rsid w:val="001072D9"/>
    <w:rsid w:val="00107713"/>
    <w:rsid w:val="00110DA1"/>
    <w:rsid w:val="001112CA"/>
    <w:rsid w:val="0011194A"/>
    <w:rsid w:val="00111C33"/>
    <w:rsid w:val="00112457"/>
    <w:rsid w:val="0011274C"/>
    <w:rsid w:val="00112A11"/>
    <w:rsid w:val="001132AC"/>
    <w:rsid w:val="00113B46"/>
    <w:rsid w:val="00113F60"/>
    <w:rsid w:val="0011465F"/>
    <w:rsid w:val="00114685"/>
    <w:rsid w:val="001153B2"/>
    <w:rsid w:val="001156D8"/>
    <w:rsid w:val="00115C12"/>
    <w:rsid w:val="0011797D"/>
    <w:rsid w:val="00117F8D"/>
    <w:rsid w:val="0012009F"/>
    <w:rsid w:val="00120A0A"/>
    <w:rsid w:val="00121050"/>
    <w:rsid w:val="00121B6A"/>
    <w:rsid w:val="00122C24"/>
    <w:rsid w:val="00122D19"/>
    <w:rsid w:val="00122D62"/>
    <w:rsid w:val="00123709"/>
    <w:rsid w:val="00124194"/>
    <w:rsid w:val="00124947"/>
    <w:rsid w:val="00124ACB"/>
    <w:rsid w:val="00125DD6"/>
    <w:rsid w:val="00125F72"/>
    <w:rsid w:val="00126061"/>
    <w:rsid w:val="0012643A"/>
    <w:rsid w:val="001271F1"/>
    <w:rsid w:val="001273FA"/>
    <w:rsid w:val="0012788A"/>
    <w:rsid w:val="00127EA6"/>
    <w:rsid w:val="00130344"/>
    <w:rsid w:val="001305D0"/>
    <w:rsid w:val="00131FB5"/>
    <w:rsid w:val="001322BE"/>
    <w:rsid w:val="00133CCA"/>
    <w:rsid w:val="00134014"/>
    <w:rsid w:val="001340A8"/>
    <w:rsid w:val="001342EA"/>
    <w:rsid w:val="00134317"/>
    <w:rsid w:val="00135214"/>
    <w:rsid w:val="00135B63"/>
    <w:rsid w:val="00135C8C"/>
    <w:rsid w:val="0013735F"/>
    <w:rsid w:val="00137685"/>
    <w:rsid w:val="00141C4D"/>
    <w:rsid w:val="00142206"/>
    <w:rsid w:val="00143BB2"/>
    <w:rsid w:val="00145A2F"/>
    <w:rsid w:val="00145E3A"/>
    <w:rsid w:val="0014625F"/>
    <w:rsid w:val="00146AA8"/>
    <w:rsid w:val="00147496"/>
    <w:rsid w:val="00147931"/>
    <w:rsid w:val="00150043"/>
    <w:rsid w:val="00150980"/>
    <w:rsid w:val="0015099A"/>
    <w:rsid w:val="001513EE"/>
    <w:rsid w:val="00151D61"/>
    <w:rsid w:val="00151E37"/>
    <w:rsid w:val="00152550"/>
    <w:rsid w:val="00152ADD"/>
    <w:rsid w:val="00153394"/>
    <w:rsid w:val="001536FF"/>
    <w:rsid w:val="00155746"/>
    <w:rsid w:val="0015593B"/>
    <w:rsid w:val="00156374"/>
    <w:rsid w:val="001570D0"/>
    <w:rsid w:val="001576CD"/>
    <w:rsid w:val="0015779D"/>
    <w:rsid w:val="00157995"/>
    <w:rsid w:val="00160190"/>
    <w:rsid w:val="00160395"/>
    <w:rsid w:val="001605B9"/>
    <w:rsid w:val="00161326"/>
    <w:rsid w:val="00162C28"/>
    <w:rsid w:val="00162C5E"/>
    <w:rsid w:val="00162DB0"/>
    <w:rsid w:val="00162F9D"/>
    <w:rsid w:val="00163087"/>
    <w:rsid w:val="001634EB"/>
    <w:rsid w:val="001639E5"/>
    <w:rsid w:val="0016425C"/>
    <w:rsid w:val="001643ED"/>
    <w:rsid w:val="00165FD4"/>
    <w:rsid w:val="0016653B"/>
    <w:rsid w:val="00170B2A"/>
    <w:rsid w:val="00170CE4"/>
    <w:rsid w:val="00171079"/>
    <w:rsid w:val="001710A8"/>
    <w:rsid w:val="00171602"/>
    <w:rsid w:val="001720BE"/>
    <w:rsid w:val="001724FA"/>
    <w:rsid w:val="0017291F"/>
    <w:rsid w:val="00172C0F"/>
    <w:rsid w:val="00172D7C"/>
    <w:rsid w:val="00173C03"/>
    <w:rsid w:val="00173F89"/>
    <w:rsid w:val="00175725"/>
    <w:rsid w:val="00176236"/>
    <w:rsid w:val="001763C4"/>
    <w:rsid w:val="001764F3"/>
    <w:rsid w:val="00176B68"/>
    <w:rsid w:val="001773A0"/>
    <w:rsid w:val="001774C5"/>
    <w:rsid w:val="001778DF"/>
    <w:rsid w:val="00177BF8"/>
    <w:rsid w:val="0018023E"/>
    <w:rsid w:val="001803A2"/>
    <w:rsid w:val="001814F6"/>
    <w:rsid w:val="00181719"/>
    <w:rsid w:val="00181D92"/>
    <w:rsid w:val="00182019"/>
    <w:rsid w:val="00182075"/>
    <w:rsid w:val="00182262"/>
    <w:rsid w:val="00182345"/>
    <w:rsid w:val="00182521"/>
    <w:rsid w:val="00182B5F"/>
    <w:rsid w:val="00182C07"/>
    <w:rsid w:val="00183105"/>
    <w:rsid w:val="00184512"/>
    <w:rsid w:val="00184D07"/>
    <w:rsid w:val="001858D6"/>
    <w:rsid w:val="00185C8C"/>
    <w:rsid w:val="00186671"/>
    <w:rsid w:val="00186F2B"/>
    <w:rsid w:val="0019010E"/>
    <w:rsid w:val="0019032A"/>
    <w:rsid w:val="001908C5"/>
    <w:rsid w:val="00190D2B"/>
    <w:rsid w:val="0019122F"/>
    <w:rsid w:val="00191336"/>
    <w:rsid w:val="00191BC9"/>
    <w:rsid w:val="00192208"/>
    <w:rsid w:val="00192576"/>
    <w:rsid w:val="00193393"/>
    <w:rsid w:val="00193688"/>
    <w:rsid w:val="001939F5"/>
    <w:rsid w:val="001956BB"/>
    <w:rsid w:val="00195FB9"/>
    <w:rsid w:val="001966BC"/>
    <w:rsid w:val="00196B86"/>
    <w:rsid w:val="001972BB"/>
    <w:rsid w:val="00197393"/>
    <w:rsid w:val="00197826"/>
    <w:rsid w:val="00197870"/>
    <w:rsid w:val="00197929"/>
    <w:rsid w:val="001A04CC"/>
    <w:rsid w:val="001A0A3D"/>
    <w:rsid w:val="001A0ADC"/>
    <w:rsid w:val="001A0F50"/>
    <w:rsid w:val="001A1174"/>
    <w:rsid w:val="001A1585"/>
    <w:rsid w:val="001A191F"/>
    <w:rsid w:val="001A2369"/>
    <w:rsid w:val="001A2B2F"/>
    <w:rsid w:val="001A4339"/>
    <w:rsid w:val="001A441D"/>
    <w:rsid w:val="001A4635"/>
    <w:rsid w:val="001A4912"/>
    <w:rsid w:val="001A5B59"/>
    <w:rsid w:val="001A5D2E"/>
    <w:rsid w:val="001A66B6"/>
    <w:rsid w:val="001A76EE"/>
    <w:rsid w:val="001A7E11"/>
    <w:rsid w:val="001A7E2D"/>
    <w:rsid w:val="001B0732"/>
    <w:rsid w:val="001B1030"/>
    <w:rsid w:val="001B1323"/>
    <w:rsid w:val="001B1F66"/>
    <w:rsid w:val="001B29BA"/>
    <w:rsid w:val="001B2B75"/>
    <w:rsid w:val="001B2DA9"/>
    <w:rsid w:val="001B30FD"/>
    <w:rsid w:val="001B32E1"/>
    <w:rsid w:val="001B3F16"/>
    <w:rsid w:val="001B3F3B"/>
    <w:rsid w:val="001B4DCA"/>
    <w:rsid w:val="001B4E03"/>
    <w:rsid w:val="001B5675"/>
    <w:rsid w:val="001B567A"/>
    <w:rsid w:val="001B603E"/>
    <w:rsid w:val="001B6BDD"/>
    <w:rsid w:val="001B721D"/>
    <w:rsid w:val="001B78CF"/>
    <w:rsid w:val="001B78F8"/>
    <w:rsid w:val="001B7ED6"/>
    <w:rsid w:val="001C3E07"/>
    <w:rsid w:val="001C3E97"/>
    <w:rsid w:val="001C4BC4"/>
    <w:rsid w:val="001C4C03"/>
    <w:rsid w:val="001C506C"/>
    <w:rsid w:val="001C62A6"/>
    <w:rsid w:val="001C6DA9"/>
    <w:rsid w:val="001C71B5"/>
    <w:rsid w:val="001C74AA"/>
    <w:rsid w:val="001C7E01"/>
    <w:rsid w:val="001D00F1"/>
    <w:rsid w:val="001D05E6"/>
    <w:rsid w:val="001D0810"/>
    <w:rsid w:val="001D0FBA"/>
    <w:rsid w:val="001D1385"/>
    <w:rsid w:val="001D1431"/>
    <w:rsid w:val="001D2158"/>
    <w:rsid w:val="001D2A96"/>
    <w:rsid w:val="001D2BDF"/>
    <w:rsid w:val="001D3E56"/>
    <w:rsid w:val="001D4291"/>
    <w:rsid w:val="001D4495"/>
    <w:rsid w:val="001D4E94"/>
    <w:rsid w:val="001D54FD"/>
    <w:rsid w:val="001D62D3"/>
    <w:rsid w:val="001D75E4"/>
    <w:rsid w:val="001D7B51"/>
    <w:rsid w:val="001D7C7C"/>
    <w:rsid w:val="001E0026"/>
    <w:rsid w:val="001E05C5"/>
    <w:rsid w:val="001E11B9"/>
    <w:rsid w:val="001E19BE"/>
    <w:rsid w:val="001E1B10"/>
    <w:rsid w:val="001E1EB4"/>
    <w:rsid w:val="001E2E2B"/>
    <w:rsid w:val="001E3AAF"/>
    <w:rsid w:val="001E3E75"/>
    <w:rsid w:val="001E4140"/>
    <w:rsid w:val="001E4BF4"/>
    <w:rsid w:val="001E5BF3"/>
    <w:rsid w:val="001E5D38"/>
    <w:rsid w:val="001E62AB"/>
    <w:rsid w:val="001E75D6"/>
    <w:rsid w:val="001E77E0"/>
    <w:rsid w:val="001F1321"/>
    <w:rsid w:val="001F1E4C"/>
    <w:rsid w:val="001F2044"/>
    <w:rsid w:val="001F2395"/>
    <w:rsid w:val="001F2788"/>
    <w:rsid w:val="001F2914"/>
    <w:rsid w:val="001F35C8"/>
    <w:rsid w:val="001F44AC"/>
    <w:rsid w:val="001F6237"/>
    <w:rsid w:val="001F6BB4"/>
    <w:rsid w:val="001F6FF9"/>
    <w:rsid w:val="0020023C"/>
    <w:rsid w:val="002006F1"/>
    <w:rsid w:val="0020084B"/>
    <w:rsid w:val="00200BD3"/>
    <w:rsid w:val="00200D37"/>
    <w:rsid w:val="00201B9B"/>
    <w:rsid w:val="00202489"/>
    <w:rsid w:val="0020262D"/>
    <w:rsid w:val="00202DCB"/>
    <w:rsid w:val="00203C63"/>
    <w:rsid w:val="00203DE9"/>
    <w:rsid w:val="0020466F"/>
    <w:rsid w:val="00205A3E"/>
    <w:rsid w:val="002060F4"/>
    <w:rsid w:val="00206387"/>
    <w:rsid w:val="00206627"/>
    <w:rsid w:val="00206E68"/>
    <w:rsid w:val="00210C83"/>
    <w:rsid w:val="00211CDB"/>
    <w:rsid w:val="00211F27"/>
    <w:rsid w:val="00212077"/>
    <w:rsid w:val="00213492"/>
    <w:rsid w:val="0021561F"/>
    <w:rsid w:val="00215992"/>
    <w:rsid w:val="00216206"/>
    <w:rsid w:val="0021621F"/>
    <w:rsid w:val="002163F7"/>
    <w:rsid w:val="002167B5"/>
    <w:rsid w:val="00216AAC"/>
    <w:rsid w:val="00216FBE"/>
    <w:rsid w:val="002200F0"/>
    <w:rsid w:val="00220712"/>
    <w:rsid w:val="0022108B"/>
    <w:rsid w:val="0022205F"/>
    <w:rsid w:val="002222D8"/>
    <w:rsid w:val="00222B7B"/>
    <w:rsid w:val="00222EEE"/>
    <w:rsid w:val="00223BF6"/>
    <w:rsid w:val="00223CA6"/>
    <w:rsid w:val="00223D4B"/>
    <w:rsid w:val="002243AE"/>
    <w:rsid w:val="00224D56"/>
    <w:rsid w:val="002269FF"/>
    <w:rsid w:val="00226BAA"/>
    <w:rsid w:val="00226CEC"/>
    <w:rsid w:val="00227D7B"/>
    <w:rsid w:val="00227FCA"/>
    <w:rsid w:val="0023299C"/>
    <w:rsid w:val="002333FB"/>
    <w:rsid w:val="0023367E"/>
    <w:rsid w:val="0023430B"/>
    <w:rsid w:val="0023434F"/>
    <w:rsid w:val="002348EA"/>
    <w:rsid w:val="0023717D"/>
    <w:rsid w:val="00237418"/>
    <w:rsid w:val="00237472"/>
    <w:rsid w:val="00237512"/>
    <w:rsid w:val="00237D2F"/>
    <w:rsid w:val="00241015"/>
    <w:rsid w:val="00241F69"/>
    <w:rsid w:val="00242235"/>
    <w:rsid w:val="002429A6"/>
    <w:rsid w:val="00242CB9"/>
    <w:rsid w:val="00242D04"/>
    <w:rsid w:val="00242FE1"/>
    <w:rsid w:val="002430F7"/>
    <w:rsid w:val="002432B8"/>
    <w:rsid w:val="00243668"/>
    <w:rsid w:val="00243DCE"/>
    <w:rsid w:val="00244277"/>
    <w:rsid w:val="002446B6"/>
    <w:rsid w:val="002456A0"/>
    <w:rsid w:val="002459A3"/>
    <w:rsid w:val="00245B99"/>
    <w:rsid w:val="00245F8D"/>
    <w:rsid w:val="0024627C"/>
    <w:rsid w:val="00246407"/>
    <w:rsid w:val="00247162"/>
    <w:rsid w:val="0024742E"/>
    <w:rsid w:val="00247C01"/>
    <w:rsid w:val="00250742"/>
    <w:rsid w:val="00250A7F"/>
    <w:rsid w:val="00252556"/>
    <w:rsid w:val="002528BB"/>
    <w:rsid w:val="002529EA"/>
    <w:rsid w:val="00253143"/>
    <w:rsid w:val="0025320B"/>
    <w:rsid w:val="002532EC"/>
    <w:rsid w:val="0025376A"/>
    <w:rsid w:val="00253D1E"/>
    <w:rsid w:val="00254702"/>
    <w:rsid w:val="0025671E"/>
    <w:rsid w:val="002567E9"/>
    <w:rsid w:val="00256816"/>
    <w:rsid w:val="00256E8B"/>
    <w:rsid w:val="0026032E"/>
    <w:rsid w:val="00260DAD"/>
    <w:rsid w:val="002612B0"/>
    <w:rsid w:val="0026193C"/>
    <w:rsid w:val="00261F5F"/>
    <w:rsid w:val="0026267D"/>
    <w:rsid w:val="0026280B"/>
    <w:rsid w:val="00264FB3"/>
    <w:rsid w:val="00265096"/>
    <w:rsid w:val="002650BA"/>
    <w:rsid w:val="00265C39"/>
    <w:rsid w:val="00266323"/>
    <w:rsid w:val="0026703C"/>
    <w:rsid w:val="00270195"/>
    <w:rsid w:val="00270246"/>
    <w:rsid w:val="0027028A"/>
    <w:rsid w:val="00270377"/>
    <w:rsid w:val="0027048C"/>
    <w:rsid w:val="00270641"/>
    <w:rsid w:val="00271640"/>
    <w:rsid w:val="00272285"/>
    <w:rsid w:val="00272321"/>
    <w:rsid w:val="002725C8"/>
    <w:rsid w:val="00272AB4"/>
    <w:rsid w:val="00273445"/>
    <w:rsid w:val="00273F9F"/>
    <w:rsid w:val="0027427B"/>
    <w:rsid w:val="00274312"/>
    <w:rsid w:val="00275DC1"/>
    <w:rsid w:val="002763F1"/>
    <w:rsid w:val="00276494"/>
    <w:rsid w:val="00276FEA"/>
    <w:rsid w:val="002773B7"/>
    <w:rsid w:val="0027757A"/>
    <w:rsid w:val="00280084"/>
    <w:rsid w:val="00280B08"/>
    <w:rsid w:val="00281160"/>
    <w:rsid w:val="00281195"/>
    <w:rsid w:val="00282BBD"/>
    <w:rsid w:val="00282FC9"/>
    <w:rsid w:val="002842CF"/>
    <w:rsid w:val="0028481E"/>
    <w:rsid w:val="002850F0"/>
    <w:rsid w:val="00286620"/>
    <w:rsid w:val="002875D7"/>
    <w:rsid w:val="00287AF4"/>
    <w:rsid w:val="00287D71"/>
    <w:rsid w:val="00287FEF"/>
    <w:rsid w:val="00290097"/>
    <w:rsid w:val="00290494"/>
    <w:rsid w:val="0029058D"/>
    <w:rsid w:val="0029083B"/>
    <w:rsid w:val="00291051"/>
    <w:rsid w:val="002913EF"/>
    <w:rsid w:val="002914F8"/>
    <w:rsid w:val="00292B1B"/>
    <w:rsid w:val="0029314F"/>
    <w:rsid w:val="00294BE5"/>
    <w:rsid w:val="00295341"/>
    <w:rsid w:val="002954C8"/>
    <w:rsid w:val="0029579B"/>
    <w:rsid w:val="00295EEC"/>
    <w:rsid w:val="002962E3"/>
    <w:rsid w:val="00296ACD"/>
    <w:rsid w:val="00296C72"/>
    <w:rsid w:val="00296D01"/>
    <w:rsid w:val="00296DF8"/>
    <w:rsid w:val="0029711A"/>
    <w:rsid w:val="00297F8A"/>
    <w:rsid w:val="002A0204"/>
    <w:rsid w:val="002A101A"/>
    <w:rsid w:val="002A18EF"/>
    <w:rsid w:val="002A1A27"/>
    <w:rsid w:val="002A1A8B"/>
    <w:rsid w:val="002A1C08"/>
    <w:rsid w:val="002A2E1F"/>
    <w:rsid w:val="002A377D"/>
    <w:rsid w:val="002A3929"/>
    <w:rsid w:val="002A40B4"/>
    <w:rsid w:val="002A4E7A"/>
    <w:rsid w:val="002A4EF3"/>
    <w:rsid w:val="002A5AE9"/>
    <w:rsid w:val="002A5B78"/>
    <w:rsid w:val="002A5C9E"/>
    <w:rsid w:val="002A6582"/>
    <w:rsid w:val="002A65D3"/>
    <w:rsid w:val="002A668E"/>
    <w:rsid w:val="002B05BB"/>
    <w:rsid w:val="002B0653"/>
    <w:rsid w:val="002B075B"/>
    <w:rsid w:val="002B1176"/>
    <w:rsid w:val="002B1205"/>
    <w:rsid w:val="002B2644"/>
    <w:rsid w:val="002B32A6"/>
    <w:rsid w:val="002B3917"/>
    <w:rsid w:val="002B3E62"/>
    <w:rsid w:val="002B3E6C"/>
    <w:rsid w:val="002B511C"/>
    <w:rsid w:val="002B5177"/>
    <w:rsid w:val="002B5919"/>
    <w:rsid w:val="002B5BA1"/>
    <w:rsid w:val="002B5E79"/>
    <w:rsid w:val="002B6971"/>
    <w:rsid w:val="002C2115"/>
    <w:rsid w:val="002C21BA"/>
    <w:rsid w:val="002C2473"/>
    <w:rsid w:val="002C3C76"/>
    <w:rsid w:val="002C3F2B"/>
    <w:rsid w:val="002C4490"/>
    <w:rsid w:val="002C4CB5"/>
    <w:rsid w:val="002C5E32"/>
    <w:rsid w:val="002C7B92"/>
    <w:rsid w:val="002D0DC4"/>
    <w:rsid w:val="002D1B2A"/>
    <w:rsid w:val="002D2260"/>
    <w:rsid w:val="002D2BF7"/>
    <w:rsid w:val="002D2DC5"/>
    <w:rsid w:val="002D2EF0"/>
    <w:rsid w:val="002D316B"/>
    <w:rsid w:val="002D3622"/>
    <w:rsid w:val="002D4453"/>
    <w:rsid w:val="002D47D2"/>
    <w:rsid w:val="002D4C0E"/>
    <w:rsid w:val="002D4E19"/>
    <w:rsid w:val="002D5811"/>
    <w:rsid w:val="002D5E00"/>
    <w:rsid w:val="002D67F9"/>
    <w:rsid w:val="002D6956"/>
    <w:rsid w:val="002D6B15"/>
    <w:rsid w:val="002D712E"/>
    <w:rsid w:val="002D766E"/>
    <w:rsid w:val="002D7748"/>
    <w:rsid w:val="002D7A08"/>
    <w:rsid w:val="002DCE87"/>
    <w:rsid w:val="002E0B22"/>
    <w:rsid w:val="002E0B69"/>
    <w:rsid w:val="002E117A"/>
    <w:rsid w:val="002E2F4E"/>
    <w:rsid w:val="002E3B46"/>
    <w:rsid w:val="002E4053"/>
    <w:rsid w:val="002E4A44"/>
    <w:rsid w:val="002E533C"/>
    <w:rsid w:val="002E580E"/>
    <w:rsid w:val="002E59DB"/>
    <w:rsid w:val="002E5C5F"/>
    <w:rsid w:val="002E77EF"/>
    <w:rsid w:val="002E77F7"/>
    <w:rsid w:val="002F00CF"/>
    <w:rsid w:val="002F038F"/>
    <w:rsid w:val="002F0A8A"/>
    <w:rsid w:val="002F11A6"/>
    <w:rsid w:val="002F1539"/>
    <w:rsid w:val="002F1682"/>
    <w:rsid w:val="002F24CE"/>
    <w:rsid w:val="002F2A8B"/>
    <w:rsid w:val="002F3437"/>
    <w:rsid w:val="002F3C7C"/>
    <w:rsid w:val="002F3ECD"/>
    <w:rsid w:val="002F4421"/>
    <w:rsid w:val="002F4AA7"/>
    <w:rsid w:val="002F56C8"/>
    <w:rsid w:val="002F5E69"/>
    <w:rsid w:val="002F61D0"/>
    <w:rsid w:val="002F68DF"/>
    <w:rsid w:val="002F78C9"/>
    <w:rsid w:val="002F7AAA"/>
    <w:rsid w:val="0030068A"/>
    <w:rsid w:val="00300F80"/>
    <w:rsid w:val="00301C1C"/>
    <w:rsid w:val="003021B3"/>
    <w:rsid w:val="00302205"/>
    <w:rsid w:val="0030243C"/>
    <w:rsid w:val="00303154"/>
    <w:rsid w:val="003039CA"/>
    <w:rsid w:val="00304932"/>
    <w:rsid w:val="00304B85"/>
    <w:rsid w:val="00304DFC"/>
    <w:rsid w:val="00305567"/>
    <w:rsid w:val="00305588"/>
    <w:rsid w:val="00305C42"/>
    <w:rsid w:val="00305C7C"/>
    <w:rsid w:val="003068B8"/>
    <w:rsid w:val="00306B12"/>
    <w:rsid w:val="00307391"/>
    <w:rsid w:val="003079C3"/>
    <w:rsid w:val="0031030A"/>
    <w:rsid w:val="00311C53"/>
    <w:rsid w:val="00311EA5"/>
    <w:rsid w:val="00312E0E"/>
    <w:rsid w:val="003134E2"/>
    <w:rsid w:val="0031383D"/>
    <w:rsid w:val="00313B99"/>
    <w:rsid w:val="00313E9C"/>
    <w:rsid w:val="00314150"/>
    <w:rsid w:val="0031447F"/>
    <w:rsid w:val="003146B4"/>
    <w:rsid w:val="0031497F"/>
    <w:rsid w:val="00314DAF"/>
    <w:rsid w:val="0031503E"/>
    <w:rsid w:val="003150EF"/>
    <w:rsid w:val="003161C3"/>
    <w:rsid w:val="0031788F"/>
    <w:rsid w:val="0032044F"/>
    <w:rsid w:val="00321349"/>
    <w:rsid w:val="003219CE"/>
    <w:rsid w:val="00321BF8"/>
    <w:rsid w:val="00321FA9"/>
    <w:rsid w:val="00322A65"/>
    <w:rsid w:val="003231DD"/>
    <w:rsid w:val="00323374"/>
    <w:rsid w:val="0032353C"/>
    <w:rsid w:val="00324469"/>
    <w:rsid w:val="0032453F"/>
    <w:rsid w:val="00324C0D"/>
    <w:rsid w:val="003260D6"/>
    <w:rsid w:val="00326D13"/>
    <w:rsid w:val="003274DC"/>
    <w:rsid w:val="0032778E"/>
    <w:rsid w:val="0032785D"/>
    <w:rsid w:val="00330486"/>
    <w:rsid w:val="0033073E"/>
    <w:rsid w:val="0033118B"/>
    <w:rsid w:val="003314C7"/>
    <w:rsid w:val="00331791"/>
    <w:rsid w:val="00331BD8"/>
    <w:rsid w:val="00331E39"/>
    <w:rsid w:val="003323A1"/>
    <w:rsid w:val="00332936"/>
    <w:rsid w:val="00332CE0"/>
    <w:rsid w:val="00332CF3"/>
    <w:rsid w:val="00333289"/>
    <w:rsid w:val="003337AD"/>
    <w:rsid w:val="00333D39"/>
    <w:rsid w:val="003346A9"/>
    <w:rsid w:val="00334D8F"/>
    <w:rsid w:val="0033567F"/>
    <w:rsid w:val="00335C2E"/>
    <w:rsid w:val="00336CE4"/>
    <w:rsid w:val="00336F7E"/>
    <w:rsid w:val="00337C1D"/>
    <w:rsid w:val="00340872"/>
    <w:rsid w:val="003414A5"/>
    <w:rsid w:val="003415EC"/>
    <w:rsid w:val="003417DA"/>
    <w:rsid w:val="003418C9"/>
    <w:rsid w:val="003418E1"/>
    <w:rsid w:val="00341BCB"/>
    <w:rsid w:val="00341E12"/>
    <w:rsid w:val="00341FA9"/>
    <w:rsid w:val="00342451"/>
    <w:rsid w:val="00342782"/>
    <w:rsid w:val="00343963"/>
    <w:rsid w:val="00343C5A"/>
    <w:rsid w:val="003455EA"/>
    <w:rsid w:val="00346208"/>
    <w:rsid w:val="00347178"/>
    <w:rsid w:val="0034739B"/>
    <w:rsid w:val="003475A4"/>
    <w:rsid w:val="003477E9"/>
    <w:rsid w:val="00350156"/>
    <w:rsid w:val="003501BE"/>
    <w:rsid w:val="0035028A"/>
    <w:rsid w:val="003503B1"/>
    <w:rsid w:val="00350A6E"/>
    <w:rsid w:val="00350D6D"/>
    <w:rsid w:val="003511F2"/>
    <w:rsid w:val="00351618"/>
    <w:rsid w:val="00351A08"/>
    <w:rsid w:val="00351E70"/>
    <w:rsid w:val="0035242C"/>
    <w:rsid w:val="0035267E"/>
    <w:rsid w:val="0035364C"/>
    <w:rsid w:val="00353668"/>
    <w:rsid w:val="00353C25"/>
    <w:rsid w:val="00354109"/>
    <w:rsid w:val="003543D5"/>
    <w:rsid w:val="003544AF"/>
    <w:rsid w:val="00354A16"/>
    <w:rsid w:val="00354A19"/>
    <w:rsid w:val="00354CC8"/>
    <w:rsid w:val="00354EBC"/>
    <w:rsid w:val="00354F3B"/>
    <w:rsid w:val="0035518C"/>
    <w:rsid w:val="0035571C"/>
    <w:rsid w:val="00355876"/>
    <w:rsid w:val="00355B19"/>
    <w:rsid w:val="00356D97"/>
    <w:rsid w:val="00357D1E"/>
    <w:rsid w:val="0036092E"/>
    <w:rsid w:val="00360B3B"/>
    <w:rsid w:val="003610E0"/>
    <w:rsid w:val="00362FF0"/>
    <w:rsid w:val="00364586"/>
    <w:rsid w:val="00364697"/>
    <w:rsid w:val="003651D9"/>
    <w:rsid w:val="003651DE"/>
    <w:rsid w:val="00365824"/>
    <w:rsid w:val="00365871"/>
    <w:rsid w:val="00365D4C"/>
    <w:rsid w:val="00366D2C"/>
    <w:rsid w:val="00366DDD"/>
    <w:rsid w:val="00366FD6"/>
    <w:rsid w:val="00367600"/>
    <w:rsid w:val="00371D21"/>
    <w:rsid w:val="00372349"/>
    <w:rsid w:val="003723EC"/>
    <w:rsid w:val="00372506"/>
    <w:rsid w:val="00372657"/>
    <w:rsid w:val="00372988"/>
    <w:rsid w:val="00373420"/>
    <w:rsid w:val="0037373B"/>
    <w:rsid w:val="0037374A"/>
    <w:rsid w:val="00373A58"/>
    <w:rsid w:val="00374134"/>
    <w:rsid w:val="003744C1"/>
    <w:rsid w:val="00374E81"/>
    <w:rsid w:val="003751A7"/>
    <w:rsid w:val="00375A78"/>
    <w:rsid w:val="00375C13"/>
    <w:rsid w:val="00376A41"/>
    <w:rsid w:val="0037783D"/>
    <w:rsid w:val="00380121"/>
    <w:rsid w:val="0038039A"/>
    <w:rsid w:val="00380E5F"/>
    <w:rsid w:val="003813FC"/>
    <w:rsid w:val="00381B61"/>
    <w:rsid w:val="00382571"/>
    <w:rsid w:val="00382F79"/>
    <w:rsid w:val="00383531"/>
    <w:rsid w:val="003842E4"/>
    <w:rsid w:val="00385D4B"/>
    <w:rsid w:val="0038619D"/>
    <w:rsid w:val="0038633E"/>
    <w:rsid w:val="00386471"/>
    <w:rsid w:val="003865C6"/>
    <w:rsid w:val="00386AE3"/>
    <w:rsid w:val="00386F9D"/>
    <w:rsid w:val="00387B3C"/>
    <w:rsid w:val="00387DE7"/>
    <w:rsid w:val="00390066"/>
    <w:rsid w:val="00390480"/>
    <w:rsid w:val="0039070A"/>
    <w:rsid w:val="00390C8B"/>
    <w:rsid w:val="00390E07"/>
    <w:rsid w:val="00391759"/>
    <w:rsid w:val="00392273"/>
    <w:rsid w:val="00392759"/>
    <w:rsid w:val="00392EDC"/>
    <w:rsid w:val="003947EA"/>
    <w:rsid w:val="003949EC"/>
    <w:rsid w:val="003951E5"/>
    <w:rsid w:val="003963BF"/>
    <w:rsid w:val="00396E67"/>
    <w:rsid w:val="00397E8C"/>
    <w:rsid w:val="003A0BA5"/>
    <w:rsid w:val="003A1EAE"/>
    <w:rsid w:val="003A2617"/>
    <w:rsid w:val="003A3189"/>
    <w:rsid w:val="003A3EF9"/>
    <w:rsid w:val="003A401C"/>
    <w:rsid w:val="003A4930"/>
    <w:rsid w:val="003A4C55"/>
    <w:rsid w:val="003A51C3"/>
    <w:rsid w:val="003A56C1"/>
    <w:rsid w:val="003A7170"/>
    <w:rsid w:val="003A765A"/>
    <w:rsid w:val="003B0343"/>
    <w:rsid w:val="003B043A"/>
    <w:rsid w:val="003B047E"/>
    <w:rsid w:val="003B0A68"/>
    <w:rsid w:val="003B0C13"/>
    <w:rsid w:val="003B0DA4"/>
    <w:rsid w:val="003B0E4D"/>
    <w:rsid w:val="003B0F8B"/>
    <w:rsid w:val="003B137A"/>
    <w:rsid w:val="003B1EF7"/>
    <w:rsid w:val="003B2129"/>
    <w:rsid w:val="003B232B"/>
    <w:rsid w:val="003B2D82"/>
    <w:rsid w:val="003B2F12"/>
    <w:rsid w:val="003B322A"/>
    <w:rsid w:val="003B3B37"/>
    <w:rsid w:val="003B498F"/>
    <w:rsid w:val="003B4D40"/>
    <w:rsid w:val="003B4E9E"/>
    <w:rsid w:val="003B539B"/>
    <w:rsid w:val="003B6127"/>
    <w:rsid w:val="003B69A2"/>
    <w:rsid w:val="003B7401"/>
    <w:rsid w:val="003B7498"/>
    <w:rsid w:val="003B7966"/>
    <w:rsid w:val="003B79D9"/>
    <w:rsid w:val="003C071B"/>
    <w:rsid w:val="003C0DFC"/>
    <w:rsid w:val="003C36E0"/>
    <w:rsid w:val="003C3868"/>
    <w:rsid w:val="003C43BB"/>
    <w:rsid w:val="003C49C5"/>
    <w:rsid w:val="003C4AEA"/>
    <w:rsid w:val="003C4C5F"/>
    <w:rsid w:val="003C5A62"/>
    <w:rsid w:val="003C5B0C"/>
    <w:rsid w:val="003C5BE5"/>
    <w:rsid w:val="003C60AC"/>
    <w:rsid w:val="003C6A67"/>
    <w:rsid w:val="003C770A"/>
    <w:rsid w:val="003C7E8B"/>
    <w:rsid w:val="003C7F63"/>
    <w:rsid w:val="003D051F"/>
    <w:rsid w:val="003D0A9E"/>
    <w:rsid w:val="003D0EE2"/>
    <w:rsid w:val="003D2046"/>
    <w:rsid w:val="003D22FC"/>
    <w:rsid w:val="003D40B1"/>
    <w:rsid w:val="003D4417"/>
    <w:rsid w:val="003D4905"/>
    <w:rsid w:val="003D5084"/>
    <w:rsid w:val="003D5B8A"/>
    <w:rsid w:val="003D6ECA"/>
    <w:rsid w:val="003D754B"/>
    <w:rsid w:val="003E034E"/>
    <w:rsid w:val="003E0C92"/>
    <w:rsid w:val="003E0D1D"/>
    <w:rsid w:val="003E157E"/>
    <w:rsid w:val="003E2C47"/>
    <w:rsid w:val="003E3076"/>
    <w:rsid w:val="003E346A"/>
    <w:rsid w:val="003E457A"/>
    <w:rsid w:val="003E4878"/>
    <w:rsid w:val="003E4CB3"/>
    <w:rsid w:val="003E4D25"/>
    <w:rsid w:val="003E4E01"/>
    <w:rsid w:val="003E4FD5"/>
    <w:rsid w:val="003E5270"/>
    <w:rsid w:val="003E5369"/>
    <w:rsid w:val="003E5D84"/>
    <w:rsid w:val="003E61E3"/>
    <w:rsid w:val="003E648E"/>
    <w:rsid w:val="003E7000"/>
    <w:rsid w:val="003E7096"/>
    <w:rsid w:val="003E7A35"/>
    <w:rsid w:val="003E7ADB"/>
    <w:rsid w:val="003F0132"/>
    <w:rsid w:val="003F0218"/>
    <w:rsid w:val="003F2040"/>
    <w:rsid w:val="003F2245"/>
    <w:rsid w:val="003F24E0"/>
    <w:rsid w:val="003F27AA"/>
    <w:rsid w:val="003F29EE"/>
    <w:rsid w:val="003F2F31"/>
    <w:rsid w:val="003F4360"/>
    <w:rsid w:val="003F4701"/>
    <w:rsid w:val="003F47E7"/>
    <w:rsid w:val="003F48F7"/>
    <w:rsid w:val="003F4A2E"/>
    <w:rsid w:val="003F5200"/>
    <w:rsid w:val="003F562D"/>
    <w:rsid w:val="003F58BD"/>
    <w:rsid w:val="003F675E"/>
    <w:rsid w:val="0040054D"/>
    <w:rsid w:val="004005F9"/>
    <w:rsid w:val="00400EF3"/>
    <w:rsid w:val="00401671"/>
    <w:rsid w:val="004023B6"/>
    <w:rsid w:val="00402413"/>
    <w:rsid w:val="00402A5C"/>
    <w:rsid w:val="0040327C"/>
    <w:rsid w:val="00404188"/>
    <w:rsid w:val="004044CE"/>
    <w:rsid w:val="00405442"/>
    <w:rsid w:val="00405447"/>
    <w:rsid w:val="00406BBD"/>
    <w:rsid w:val="00406F3F"/>
    <w:rsid w:val="004072A9"/>
    <w:rsid w:val="00407957"/>
    <w:rsid w:val="00407FBB"/>
    <w:rsid w:val="0041037B"/>
    <w:rsid w:val="0041097D"/>
    <w:rsid w:val="00410D73"/>
    <w:rsid w:val="00411E3C"/>
    <w:rsid w:val="00412605"/>
    <w:rsid w:val="00412C1D"/>
    <w:rsid w:val="00413D1C"/>
    <w:rsid w:val="00413DE0"/>
    <w:rsid w:val="00414D69"/>
    <w:rsid w:val="00415CBC"/>
    <w:rsid w:val="00415E5B"/>
    <w:rsid w:val="0041638D"/>
    <w:rsid w:val="00416A44"/>
    <w:rsid w:val="00416CE5"/>
    <w:rsid w:val="004178E6"/>
    <w:rsid w:val="00417DD9"/>
    <w:rsid w:val="00420D09"/>
    <w:rsid w:val="00420E1E"/>
    <w:rsid w:val="0042151C"/>
    <w:rsid w:val="004229D9"/>
    <w:rsid w:val="004237B7"/>
    <w:rsid w:val="00423912"/>
    <w:rsid w:val="00423D65"/>
    <w:rsid w:val="004242DC"/>
    <w:rsid w:val="004245C9"/>
    <w:rsid w:val="00424C0D"/>
    <w:rsid w:val="0042590D"/>
    <w:rsid w:val="00425DC2"/>
    <w:rsid w:val="0042608E"/>
    <w:rsid w:val="004267FD"/>
    <w:rsid w:val="00427DA4"/>
    <w:rsid w:val="0043035E"/>
    <w:rsid w:val="00430645"/>
    <w:rsid w:val="004308B7"/>
    <w:rsid w:val="00430BB7"/>
    <w:rsid w:val="00431542"/>
    <w:rsid w:val="004316DD"/>
    <w:rsid w:val="0043170A"/>
    <w:rsid w:val="00431F78"/>
    <w:rsid w:val="004320D3"/>
    <w:rsid w:val="00432591"/>
    <w:rsid w:val="004326E2"/>
    <w:rsid w:val="004334F4"/>
    <w:rsid w:val="00434621"/>
    <w:rsid w:val="004348CC"/>
    <w:rsid w:val="00435AA1"/>
    <w:rsid w:val="004362B4"/>
    <w:rsid w:val="004366E5"/>
    <w:rsid w:val="00436A89"/>
    <w:rsid w:val="0043743F"/>
    <w:rsid w:val="004374AD"/>
    <w:rsid w:val="00440456"/>
    <w:rsid w:val="00440CBC"/>
    <w:rsid w:val="00441066"/>
    <w:rsid w:val="00442135"/>
    <w:rsid w:val="0044234B"/>
    <w:rsid w:val="00442588"/>
    <w:rsid w:val="00443BBA"/>
    <w:rsid w:val="00444FEA"/>
    <w:rsid w:val="004458F0"/>
    <w:rsid w:val="00446416"/>
    <w:rsid w:val="0044695C"/>
    <w:rsid w:val="00446FE4"/>
    <w:rsid w:val="00447487"/>
    <w:rsid w:val="00447D5A"/>
    <w:rsid w:val="00447F21"/>
    <w:rsid w:val="00450556"/>
    <w:rsid w:val="004509B0"/>
    <w:rsid w:val="0045111B"/>
    <w:rsid w:val="004516E7"/>
    <w:rsid w:val="0045193B"/>
    <w:rsid w:val="00451DBA"/>
    <w:rsid w:val="00451E67"/>
    <w:rsid w:val="004525E3"/>
    <w:rsid w:val="00453103"/>
    <w:rsid w:val="00453573"/>
    <w:rsid w:val="004535C0"/>
    <w:rsid w:val="004537B0"/>
    <w:rsid w:val="004542F3"/>
    <w:rsid w:val="004546F8"/>
    <w:rsid w:val="0045477F"/>
    <w:rsid w:val="00454C58"/>
    <w:rsid w:val="00455BA9"/>
    <w:rsid w:val="0045674F"/>
    <w:rsid w:val="00457969"/>
    <w:rsid w:val="00457A91"/>
    <w:rsid w:val="00457AA0"/>
    <w:rsid w:val="00460985"/>
    <w:rsid w:val="00460C77"/>
    <w:rsid w:val="00461492"/>
    <w:rsid w:val="004614EB"/>
    <w:rsid w:val="00461BAE"/>
    <w:rsid w:val="00462BCE"/>
    <w:rsid w:val="004630F5"/>
    <w:rsid w:val="0046316E"/>
    <w:rsid w:val="00463230"/>
    <w:rsid w:val="00463ED6"/>
    <w:rsid w:val="004656D4"/>
    <w:rsid w:val="00466CA9"/>
    <w:rsid w:val="00466FD5"/>
    <w:rsid w:val="004670BD"/>
    <w:rsid w:val="00467D68"/>
    <w:rsid w:val="00471791"/>
    <w:rsid w:val="00471B63"/>
    <w:rsid w:val="004731AB"/>
    <w:rsid w:val="004737C0"/>
    <w:rsid w:val="00473C23"/>
    <w:rsid w:val="00474A6E"/>
    <w:rsid w:val="00475B58"/>
    <w:rsid w:val="0047623C"/>
    <w:rsid w:val="004762D0"/>
    <w:rsid w:val="004770CA"/>
    <w:rsid w:val="00477168"/>
    <w:rsid w:val="0047745F"/>
    <w:rsid w:val="0047747F"/>
    <w:rsid w:val="004803F4"/>
    <w:rsid w:val="00480F26"/>
    <w:rsid w:val="00481EAE"/>
    <w:rsid w:val="004826C3"/>
    <w:rsid w:val="00482834"/>
    <w:rsid w:val="00482B82"/>
    <w:rsid w:val="00483018"/>
    <w:rsid w:val="0048432E"/>
    <w:rsid w:val="0048481C"/>
    <w:rsid w:val="00484A29"/>
    <w:rsid w:val="00484B75"/>
    <w:rsid w:val="004852EF"/>
    <w:rsid w:val="00485487"/>
    <w:rsid w:val="0048593E"/>
    <w:rsid w:val="00486BD9"/>
    <w:rsid w:val="004871DC"/>
    <w:rsid w:val="00490A22"/>
    <w:rsid w:val="00490D5C"/>
    <w:rsid w:val="004910C9"/>
    <w:rsid w:val="00491A2F"/>
    <w:rsid w:val="00491E56"/>
    <w:rsid w:val="00492411"/>
    <w:rsid w:val="00492A3F"/>
    <w:rsid w:val="00493980"/>
    <w:rsid w:val="00493A03"/>
    <w:rsid w:val="00494A18"/>
    <w:rsid w:val="004959DE"/>
    <w:rsid w:val="004959F6"/>
    <w:rsid w:val="004A18A5"/>
    <w:rsid w:val="004A2225"/>
    <w:rsid w:val="004A25C4"/>
    <w:rsid w:val="004A2656"/>
    <w:rsid w:val="004A2800"/>
    <w:rsid w:val="004A2F28"/>
    <w:rsid w:val="004A31D5"/>
    <w:rsid w:val="004A3734"/>
    <w:rsid w:val="004A39CA"/>
    <w:rsid w:val="004A4042"/>
    <w:rsid w:val="004A408F"/>
    <w:rsid w:val="004A49C3"/>
    <w:rsid w:val="004A4B2A"/>
    <w:rsid w:val="004A5149"/>
    <w:rsid w:val="004A545E"/>
    <w:rsid w:val="004A5F97"/>
    <w:rsid w:val="004A73CB"/>
    <w:rsid w:val="004A744B"/>
    <w:rsid w:val="004A7EE9"/>
    <w:rsid w:val="004B2C27"/>
    <w:rsid w:val="004B32E8"/>
    <w:rsid w:val="004B33D3"/>
    <w:rsid w:val="004B3A51"/>
    <w:rsid w:val="004B3C97"/>
    <w:rsid w:val="004B411E"/>
    <w:rsid w:val="004B4210"/>
    <w:rsid w:val="004B5CFF"/>
    <w:rsid w:val="004B5F75"/>
    <w:rsid w:val="004B6395"/>
    <w:rsid w:val="004B63B4"/>
    <w:rsid w:val="004B6667"/>
    <w:rsid w:val="004B66D8"/>
    <w:rsid w:val="004B704D"/>
    <w:rsid w:val="004B74ED"/>
    <w:rsid w:val="004B7FD8"/>
    <w:rsid w:val="004C00DD"/>
    <w:rsid w:val="004C0A75"/>
    <w:rsid w:val="004C159F"/>
    <w:rsid w:val="004C1CA8"/>
    <w:rsid w:val="004C1ED7"/>
    <w:rsid w:val="004C2657"/>
    <w:rsid w:val="004C3CE8"/>
    <w:rsid w:val="004C4DF3"/>
    <w:rsid w:val="004C524C"/>
    <w:rsid w:val="004C5579"/>
    <w:rsid w:val="004C5C98"/>
    <w:rsid w:val="004C5EC4"/>
    <w:rsid w:val="004C63BA"/>
    <w:rsid w:val="004C6845"/>
    <w:rsid w:val="004C6BF6"/>
    <w:rsid w:val="004C6FCB"/>
    <w:rsid w:val="004C741B"/>
    <w:rsid w:val="004C772A"/>
    <w:rsid w:val="004D01E4"/>
    <w:rsid w:val="004D1927"/>
    <w:rsid w:val="004D2208"/>
    <w:rsid w:val="004D2776"/>
    <w:rsid w:val="004D2E40"/>
    <w:rsid w:val="004D31B9"/>
    <w:rsid w:val="004D329A"/>
    <w:rsid w:val="004D3E55"/>
    <w:rsid w:val="004D567B"/>
    <w:rsid w:val="004D6074"/>
    <w:rsid w:val="004D71FF"/>
    <w:rsid w:val="004D75A8"/>
    <w:rsid w:val="004E2B72"/>
    <w:rsid w:val="004E33D5"/>
    <w:rsid w:val="004E3BFD"/>
    <w:rsid w:val="004E4D19"/>
    <w:rsid w:val="004E5427"/>
    <w:rsid w:val="004E5746"/>
    <w:rsid w:val="004E6273"/>
    <w:rsid w:val="004E6B71"/>
    <w:rsid w:val="004E724F"/>
    <w:rsid w:val="004E72FD"/>
    <w:rsid w:val="004F0A40"/>
    <w:rsid w:val="004F0C38"/>
    <w:rsid w:val="004F0D6E"/>
    <w:rsid w:val="004F1208"/>
    <w:rsid w:val="004F14EE"/>
    <w:rsid w:val="004F18B2"/>
    <w:rsid w:val="004F1A11"/>
    <w:rsid w:val="004F1C31"/>
    <w:rsid w:val="004F238E"/>
    <w:rsid w:val="004F2BBC"/>
    <w:rsid w:val="004F3D9C"/>
    <w:rsid w:val="004F3EDE"/>
    <w:rsid w:val="004F43E1"/>
    <w:rsid w:val="004F46B4"/>
    <w:rsid w:val="004F47B6"/>
    <w:rsid w:val="004F47B9"/>
    <w:rsid w:val="004F535F"/>
    <w:rsid w:val="004F5E48"/>
    <w:rsid w:val="004F615E"/>
    <w:rsid w:val="004F63FA"/>
    <w:rsid w:val="004F749F"/>
    <w:rsid w:val="004F7D90"/>
    <w:rsid w:val="004F7E6D"/>
    <w:rsid w:val="00500BAF"/>
    <w:rsid w:val="005012CB"/>
    <w:rsid w:val="005015F2"/>
    <w:rsid w:val="005046A0"/>
    <w:rsid w:val="00504978"/>
    <w:rsid w:val="005049A4"/>
    <w:rsid w:val="00504B4D"/>
    <w:rsid w:val="00504E60"/>
    <w:rsid w:val="00504F41"/>
    <w:rsid w:val="005050E3"/>
    <w:rsid w:val="00505224"/>
    <w:rsid w:val="00505289"/>
    <w:rsid w:val="0050580B"/>
    <w:rsid w:val="00505BE3"/>
    <w:rsid w:val="00505F3F"/>
    <w:rsid w:val="00507359"/>
    <w:rsid w:val="005076D6"/>
    <w:rsid w:val="0050773F"/>
    <w:rsid w:val="00507E70"/>
    <w:rsid w:val="00510E88"/>
    <w:rsid w:val="00511676"/>
    <w:rsid w:val="005118F8"/>
    <w:rsid w:val="00512BF8"/>
    <w:rsid w:val="00513C27"/>
    <w:rsid w:val="00514267"/>
    <w:rsid w:val="00514599"/>
    <w:rsid w:val="005146BC"/>
    <w:rsid w:val="00515B3B"/>
    <w:rsid w:val="00515F06"/>
    <w:rsid w:val="005161E5"/>
    <w:rsid w:val="00516740"/>
    <w:rsid w:val="00516863"/>
    <w:rsid w:val="00517342"/>
    <w:rsid w:val="00517B34"/>
    <w:rsid w:val="0052032F"/>
    <w:rsid w:val="005204BB"/>
    <w:rsid w:val="0052099B"/>
    <w:rsid w:val="00520BC9"/>
    <w:rsid w:val="00520E06"/>
    <w:rsid w:val="0052125E"/>
    <w:rsid w:val="00521E85"/>
    <w:rsid w:val="00521EDC"/>
    <w:rsid w:val="005220FC"/>
    <w:rsid w:val="00522679"/>
    <w:rsid w:val="00522873"/>
    <w:rsid w:val="00522C01"/>
    <w:rsid w:val="00523207"/>
    <w:rsid w:val="00524258"/>
    <w:rsid w:val="00524BC3"/>
    <w:rsid w:val="00525BED"/>
    <w:rsid w:val="00525C7E"/>
    <w:rsid w:val="005264B8"/>
    <w:rsid w:val="00526729"/>
    <w:rsid w:val="00526C35"/>
    <w:rsid w:val="00527E1C"/>
    <w:rsid w:val="00527FCC"/>
    <w:rsid w:val="005301CC"/>
    <w:rsid w:val="005316EA"/>
    <w:rsid w:val="00531832"/>
    <w:rsid w:val="00532336"/>
    <w:rsid w:val="0053251A"/>
    <w:rsid w:val="005338D4"/>
    <w:rsid w:val="00533E0D"/>
    <w:rsid w:val="00533E7E"/>
    <w:rsid w:val="005344D7"/>
    <w:rsid w:val="00535B92"/>
    <w:rsid w:val="00535DDA"/>
    <w:rsid w:val="005370E4"/>
    <w:rsid w:val="00537F88"/>
    <w:rsid w:val="00540AB3"/>
    <w:rsid w:val="00540E74"/>
    <w:rsid w:val="005414C6"/>
    <w:rsid w:val="00542F89"/>
    <w:rsid w:val="0054446A"/>
    <w:rsid w:val="005444ED"/>
    <w:rsid w:val="0054479C"/>
    <w:rsid w:val="0054498E"/>
    <w:rsid w:val="00544AA7"/>
    <w:rsid w:val="005465B8"/>
    <w:rsid w:val="005468CF"/>
    <w:rsid w:val="005470B7"/>
    <w:rsid w:val="00547850"/>
    <w:rsid w:val="00547AF0"/>
    <w:rsid w:val="00547E8E"/>
    <w:rsid w:val="00550731"/>
    <w:rsid w:val="00550740"/>
    <w:rsid w:val="00551914"/>
    <w:rsid w:val="00552073"/>
    <w:rsid w:val="00552A5D"/>
    <w:rsid w:val="00553204"/>
    <w:rsid w:val="00553236"/>
    <w:rsid w:val="00553742"/>
    <w:rsid w:val="005537B8"/>
    <w:rsid w:val="00553E3F"/>
    <w:rsid w:val="005548B2"/>
    <w:rsid w:val="00554CD6"/>
    <w:rsid w:val="0055556F"/>
    <w:rsid w:val="00555631"/>
    <w:rsid w:val="005566FB"/>
    <w:rsid w:val="0055735B"/>
    <w:rsid w:val="0055753D"/>
    <w:rsid w:val="00557C08"/>
    <w:rsid w:val="00560BDD"/>
    <w:rsid w:val="00560F68"/>
    <w:rsid w:val="00561977"/>
    <w:rsid w:val="0056224F"/>
    <w:rsid w:val="00562DCF"/>
    <w:rsid w:val="00564574"/>
    <w:rsid w:val="0056530F"/>
    <w:rsid w:val="005658AD"/>
    <w:rsid w:val="0056593C"/>
    <w:rsid w:val="00565A78"/>
    <w:rsid w:val="00565AD1"/>
    <w:rsid w:val="00565BAD"/>
    <w:rsid w:val="00565DF6"/>
    <w:rsid w:val="005666D1"/>
    <w:rsid w:val="00566912"/>
    <w:rsid w:val="00566B20"/>
    <w:rsid w:val="00566F2B"/>
    <w:rsid w:val="0056738A"/>
    <w:rsid w:val="00567650"/>
    <w:rsid w:val="00567C4D"/>
    <w:rsid w:val="00570952"/>
    <w:rsid w:val="005711CE"/>
    <w:rsid w:val="00571A7B"/>
    <w:rsid w:val="00571EF1"/>
    <w:rsid w:val="00572007"/>
    <w:rsid w:val="005721FF"/>
    <w:rsid w:val="00573323"/>
    <w:rsid w:val="00573710"/>
    <w:rsid w:val="00573CE8"/>
    <w:rsid w:val="0057495A"/>
    <w:rsid w:val="0057498B"/>
    <w:rsid w:val="00575648"/>
    <w:rsid w:val="005765E1"/>
    <w:rsid w:val="0057668A"/>
    <w:rsid w:val="00576CEE"/>
    <w:rsid w:val="0057738C"/>
    <w:rsid w:val="0057752C"/>
    <w:rsid w:val="0057781E"/>
    <w:rsid w:val="00577CDF"/>
    <w:rsid w:val="0058056A"/>
    <w:rsid w:val="00580784"/>
    <w:rsid w:val="0058086C"/>
    <w:rsid w:val="005823B1"/>
    <w:rsid w:val="00582A18"/>
    <w:rsid w:val="00583001"/>
    <w:rsid w:val="00583F26"/>
    <w:rsid w:val="005842AA"/>
    <w:rsid w:val="005849D0"/>
    <w:rsid w:val="005851FA"/>
    <w:rsid w:val="00585927"/>
    <w:rsid w:val="00586539"/>
    <w:rsid w:val="00586C58"/>
    <w:rsid w:val="00586F0B"/>
    <w:rsid w:val="00587056"/>
    <w:rsid w:val="0058E0ED"/>
    <w:rsid w:val="005903EF"/>
    <w:rsid w:val="00590696"/>
    <w:rsid w:val="0059113A"/>
    <w:rsid w:val="00591BC4"/>
    <w:rsid w:val="00592CA7"/>
    <w:rsid w:val="00593178"/>
    <w:rsid w:val="00593379"/>
    <w:rsid w:val="00593465"/>
    <w:rsid w:val="00593DC0"/>
    <w:rsid w:val="0059405B"/>
    <w:rsid w:val="005954A2"/>
    <w:rsid w:val="00595A53"/>
    <w:rsid w:val="00595F8E"/>
    <w:rsid w:val="00596466"/>
    <w:rsid w:val="00596F41"/>
    <w:rsid w:val="00597396"/>
    <w:rsid w:val="00597ADD"/>
    <w:rsid w:val="005A0026"/>
    <w:rsid w:val="005A0486"/>
    <w:rsid w:val="005A06F4"/>
    <w:rsid w:val="005A0B17"/>
    <w:rsid w:val="005A1764"/>
    <w:rsid w:val="005A1A44"/>
    <w:rsid w:val="005A1C43"/>
    <w:rsid w:val="005A208E"/>
    <w:rsid w:val="005A2634"/>
    <w:rsid w:val="005A27EA"/>
    <w:rsid w:val="005A2A00"/>
    <w:rsid w:val="005A2C71"/>
    <w:rsid w:val="005A38FD"/>
    <w:rsid w:val="005A3A7E"/>
    <w:rsid w:val="005A3DE8"/>
    <w:rsid w:val="005A3E8E"/>
    <w:rsid w:val="005A40D8"/>
    <w:rsid w:val="005A4A14"/>
    <w:rsid w:val="005A5339"/>
    <w:rsid w:val="005A63E6"/>
    <w:rsid w:val="005A6A89"/>
    <w:rsid w:val="005A7A58"/>
    <w:rsid w:val="005A7C14"/>
    <w:rsid w:val="005B0147"/>
    <w:rsid w:val="005B075D"/>
    <w:rsid w:val="005B09C9"/>
    <w:rsid w:val="005B10CF"/>
    <w:rsid w:val="005B1107"/>
    <w:rsid w:val="005B1AF1"/>
    <w:rsid w:val="005B212B"/>
    <w:rsid w:val="005B293A"/>
    <w:rsid w:val="005B2A08"/>
    <w:rsid w:val="005B477D"/>
    <w:rsid w:val="005B54B0"/>
    <w:rsid w:val="005B58B9"/>
    <w:rsid w:val="005B5999"/>
    <w:rsid w:val="005B5D0C"/>
    <w:rsid w:val="005B71BE"/>
    <w:rsid w:val="005B7669"/>
    <w:rsid w:val="005B793A"/>
    <w:rsid w:val="005B7A92"/>
    <w:rsid w:val="005C040D"/>
    <w:rsid w:val="005C0AB4"/>
    <w:rsid w:val="005C1366"/>
    <w:rsid w:val="005C15FA"/>
    <w:rsid w:val="005C24FF"/>
    <w:rsid w:val="005C34E7"/>
    <w:rsid w:val="005C3D01"/>
    <w:rsid w:val="005C4730"/>
    <w:rsid w:val="005C5AC6"/>
    <w:rsid w:val="005C712B"/>
    <w:rsid w:val="005C7174"/>
    <w:rsid w:val="005D0220"/>
    <w:rsid w:val="005D059F"/>
    <w:rsid w:val="005D08E5"/>
    <w:rsid w:val="005D2A9F"/>
    <w:rsid w:val="005D3931"/>
    <w:rsid w:val="005D4306"/>
    <w:rsid w:val="005D48E8"/>
    <w:rsid w:val="005D4911"/>
    <w:rsid w:val="005D4D64"/>
    <w:rsid w:val="005D6085"/>
    <w:rsid w:val="005D6A54"/>
    <w:rsid w:val="005D6D46"/>
    <w:rsid w:val="005DCBFB"/>
    <w:rsid w:val="005E0153"/>
    <w:rsid w:val="005E0258"/>
    <w:rsid w:val="005E03BE"/>
    <w:rsid w:val="005E0E62"/>
    <w:rsid w:val="005E1157"/>
    <w:rsid w:val="005E11EF"/>
    <w:rsid w:val="005E18E7"/>
    <w:rsid w:val="005E1C46"/>
    <w:rsid w:val="005E2A14"/>
    <w:rsid w:val="005E3B72"/>
    <w:rsid w:val="005E4831"/>
    <w:rsid w:val="005E55C8"/>
    <w:rsid w:val="005E6058"/>
    <w:rsid w:val="005E6F96"/>
    <w:rsid w:val="005E73D4"/>
    <w:rsid w:val="005F03F0"/>
    <w:rsid w:val="005F04EF"/>
    <w:rsid w:val="005F0ABD"/>
    <w:rsid w:val="005F0CFC"/>
    <w:rsid w:val="005F10AF"/>
    <w:rsid w:val="005F12F7"/>
    <w:rsid w:val="005F154E"/>
    <w:rsid w:val="005F2134"/>
    <w:rsid w:val="005F258E"/>
    <w:rsid w:val="005F30E1"/>
    <w:rsid w:val="005F3136"/>
    <w:rsid w:val="005F3809"/>
    <w:rsid w:val="005F4016"/>
    <w:rsid w:val="005F4FC7"/>
    <w:rsid w:val="005F54B4"/>
    <w:rsid w:val="005F5AD3"/>
    <w:rsid w:val="005F620A"/>
    <w:rsid w:val="005F6331"/>
    <w:rsid w:val="005F6420"/>
    <w:rsid w:val="005F6816"/>
    <w:rsid w:val="005F6C03"/>
    <w:rsid w:val="005F7361"/>
    <w:rsid w:val="00600819"/>
    <w:rsid w:val="006011AB"/>
    <w:rsid w:val="006014A3"/>
    <w:rsid w:val="006024D5"/>
    <w:rsid w:val="00602CEC"/>
    <w:rsid w:val="00602F3C"/>
    <w:rsid w:val="0060414F"/>
    <w:rsid w:val="006047AF"/>
    <w:rsid w:val="0060486C"/>
    <w:rsid w:val="00604B88"/>
    <w:rsid w:val="00605F8E"/>
    <w:rsid w:val="00607B68"/>
    <w:rsid w:val="00607EBE"/>
    <w:rsid w:val="00610634"/>
    <w:rsid w:val="0061095B"/>
    <w:rsid w:val="00610D7D"/>
    <w:rsid w:val="00610E98"/>
    <w:rsid w:val="006112D0"/>
    <w:rsid w:val="00611907"/>
    <w:rsid w:val="00611A2C"/>
    <w:rsid w:val="00612B7B"/>
    <w:rsid w:val="00612D3A"/>
    <w:rsid w:val="00613108"/>
    <w:rsid w:val="00613267"/>
    <w:rsid w:val="00613B76"/>
    <w:rsid w:val="00613D47"/>
    <w:rsid w:val="006145C0"/>
    <w:rsid w:val="006158C1"/>
    <w:rsid w:val="0061598F"/>
    <w:rsid w:val="006159DD"/>
    <w:rsid w:val="00615A2A"/>
    <w:rsid w:val="006173F5"/>
    <w:rsid w:val="00617408"/>
    <w:rsid w:val="00617DAD"/>
    <w:rsid w:val="00620348"/>
    <w:rsid w:val="00620FEF"/>
    <w:rsid w:val="006210EC"/>
    <w:rsid w:val="00621BB4"/>
    <w:rsid w:val="00621E7F"/>
    <w:rsid w:val="00622B36"/>
    <w:rsid w:val="00622FA0"/>
    <w:rsid w:val="006232F8"/>
    <w:rsid w:val="006241B2"/>
    <w:rsid w:val="006245CB"/>
    <w:rsid w:val="00624982"/>
    <w:rsid w:val="00625990"/>
    <w:rsid w:val="00625C44"/>
    <w:rsid w:val="00626036"/>
    <w:rsid w:val="006260BC"/>
    <w:rsid w:val="0062621F"/>
    <w:rsid w:val="006269C8"/>
    <w:rsid w:val="00626AF8"/>
    <w:rsid w:val="006270AD"/>
    <w:rsid w:val="006271ED"/>
    <w:rsid w:val="00630551"/>
    <w:rsid w:val="00630951"/>
    <w:rsid w:val="00630F4E"/>
    <w:rsid w:val="006312EE"/>
    <w:rsid w:val="00631831"/>
    <w:rsid w:val="006319AB"/>
    <w:rsid w:val="00631F17"/>
    <w:rsid w:val="006335CE"/>
    <w:rsid w:val="006339C0"/>
    <w:rsid w:val="00633DD4"/>
    <w:rsid w:val="00633E73"/>
    <w:rsid w:val="00634083"/>
    <w:rsid w:val="00634FA7"/>
    <w:rsid w:val="00636001"/>
    <w:rsid w:val="00636164"/>
    <w:rsid w:val="00636C8A"/>
    <w:rsid w:val="00636D00"/>
    <w:rsid w:val="0063702B"/>
    <w:rsid w:val="00637062"/>
    <w:rsid w:val="00637972"/>
    <w:rsid w:val="00637D50"/>
    <w:rsid w:val="00640138"/>
    <w:rsid w:val="00640EF5"/>
    <w:rsid w:val="006410E9"/>
    <w:rsid w:val="0064124A"/>
    <w:rsid w:val="00641DB8"/>
    <w:rsid w:val="00642086"/>
    <w:rsid w:val="00642D93"/>
    <w:rsid w:val="00642E35"/>
    <w:rsid w:val="00643B32"/>
    <w:rsid w:val="00643F46"/>
    <w:rsid w:val="00644E29"/>
    <w:rsid w:val="00645682"/>
    <w:rsid w:val="00646183"/>
    <w:rsid w:val="00646930"/>
    <w:rsid w:val="00646B18"/>
    <w:rsid w:val="00647BE7"/>
    <w:rsid w:val="006504AA"/>
    <w:rsid w:val="00652416"/>
    <w:rsid w:val="006533F6"/>
    <w:rsid w:val="00653981"/>
    <w:rsid w:val="00653A1D"/>
    <w:rsid w:val="0065408C"/>
    <w:rsid w:val="006541B1"/>
    <w:rsid w:val="0065554F"/>
    <w:rsid w:val="006563F3"/>
    <w:rsid w:val="00656ED5"/>
    <w:rsid w:val="00660540"/>
    <w:rsid w:val="006617D9"/>
    <w:rsid w:val="0066224C"/>
    <w:rsid w:val="00663840"/>
    <w:rsid w:val="0066397F"/>
    <w:rsid w:val="00663A44"/>
    <w:rsid w:val="006649E1"/>
    <w:rsid w:val="00664CB7"/>
    <w:rsid w:val="00664E10"/>
    <w:rsid w:val="006651E6"/>
    <w:rsid w:val="00665826"/>
    <w:rsid w:val="00667022"/>
    <w:rsid w:val="00667479"/>
    <w:rsid w:val="00667A09"/>
    <w:rsid w:val="00667A8F"/>
    <w:rsid w:val="00667B3E"/>
    <w:rsid w:val="00670878"/>
    <w:rsid w:val="00670E32"/>
    <w:rsid w:val="00671C1F"/>
    <w:rsid w:val="00671FD0"/>
    <w:rsid w:val="0067208C"/>
    <w:rsid w:val="0067287A"/>
    <w:rsid w:val="00672A59"/>
    <w:rsid w:val="00673122"/>
    <w:rsid w:val="00673B49"/>
    <w:rsid w:val="00673C5A"/>
    <w:rsid w:val="00674489"/>
    <w:rsid w:val="006752CC"/>
    <w:rsid w:val="006754B7"/>
    <w:rsid w:val="006754CB"/>
    <w:rsid w:val="00677491"/>
    <w:rsid w:val="00681443"/>
    <w:rsid w:val="00681DC8"/>
    <w:rsid w:val="00682DEB"/>
    <w:rsid w:val="00682F3E"/>
    <w:rsid w:val="0068371A"/>
    <w:rsid w:val="006839BF"/>
    <w:rsid w:val="00683AAB"/>
    <w:rsid w:val="00683BAE"/>
    <w:rsid w:val="00683BE3"/>
    <w:rsid w:val="006841F2"/>
    <w:rsid w:val="00684FEC"/>
    <w:rsid w:val="0068516A"/>
    <w:rsid w:val="00685671"/>
    <w:rsid w:val="006859A7"/>
    <w:rsid w:val="00686105"/>
    <w:rsid w:val="006867E5"/>
    <w:rsid w:val="006867FE"/>
    <w:rsid w:val="00687E0D"/>
    <w:rsid w:val="006908A4"/>
    <w:rsid w:val="006909FC"/>
    <w:rsid w:val="00690A93"/>
    <w:rsid w:val="006911AB"/>
    <w:rsid w:val="00691AC4"/>
    <w:rsid w:val="00691E2A"/>
    <w:rsid w:val="00692105"/>
    <w:rsid w:val="0069284E"/>
    <w:rsid w:val="006928BB"/>
    <w:rsid w:val="00692C9D"/>
    <w:rsid w:val="00692DCC"/>
    <w:rsid w:val="006930CC"/>
    <w:rsid w:val="00693C53"/>
    <w:rsid w:val="00693C8D"/>
    <w:rsid w:val="006946B2"/>
    <w:rsid w:val="006963DB"/>
    <w:rsid w:val="00696B19"/>
    <w:rsid w:val="00696C35"/>
    <w:rsid w:val="00696F53"/>
    <w:rsid w:val="006A04BD"/>
    <w:rsid w:val="006A09C2"/>
    <w:rsid w:val="006A15D2"/>
    <w:rsid w:val="006A1C3C"/>
    <w:rsid w:val="006A1CAB"/>
    <w:rsid w:val="006A3A3F"/>
    <w:rsid w:val="006A4D3E"/>
    <w:rsid w:val="006A506E"/>
    <w:rsid w:val="006A59DD"/>
    <w:rsid w:val="006A5F7C"/>
    <w:rsid w:val="006A63EC"/>
    <w:rsid w:val="006A6477"/>
    <w:rsid w:val="006A6EAC"/>
    <w:rsid w:val="006A776B"/>
    <w:rsid w:val="006A7BFB"/>
    <w:rsid w:val="006A7E80"/>
    <w:rsid w:val="006A7F13"/>
    <w:rsid w:val="006B001C"/>
    <w:rsid w:val="006B0D32"/>
    <w:rsid w:val="006B121B"/>
    <w:rsid w:val="006B141F"/>
    <w:rsid w:val="006B1FF1"/>
    <w:rsid w:val="006B2969"/>
    <w:rsid w:val="006B298B"/>
    <w:rsid w:val="006B298F"/>
    <w:rsid w:val="006B2BFF"/>
    <w:rsid w:val="006B3111"/>
    <w:rsid w:val="006B3201"/>
    <w:rsid w:val="006B3736"/>
    <w:rsid w:val="006B38F6"/>
    <w:rsid w:val="006B41E2"/>
    <w:rsid w:val="006B4270"/>
    <w:rsid w:val="006B4370"/>
    <w:rsid w:val="006B4D32"/>
    <w:rsid w:val="006B52B4"/>
    <w:rsid w:val="006B5356"/>
    <w:rsid w:val="006B53EE"/>
    <w:rsid w:val="006B5544"/>
    <w:rsid w:val="006B59B5"/>
    <w:rsid w:val="006B5BCE"/>
    <w:rsid w:val="006B630B"/>
    <w:rsid w:val="006B7427"/>
    <w:rsid w:val="006B75F6"/>
    <w:rsid w:val="006B7808"/>
    <w:rsid w:val="006B79E0"/>
    <w:rsid w:val="006C031C"/>
    <w:rsid w:val="006C0AD8"/>
    <w:rsid w:val="006C1043"/>
    <w:rsid w:val="006C1667"/>
    <w:rsid w:val="006C28F6"/>
    <w:rsid w:val="006C2C62"/>
    <w:rsid w:val="006C3038"/>
    <w:rsid w:val="006C3096"/>
    <w:rsid w:val="006C42BE"/>
    <w:rsid w:val="006C4543"/>
    <w:rsid w:val="006C4A9C"/>
    <w:rsid w:val="006C4AEF"/>
    <w:rsid w:val="006C5526"/>
    <w:rsid w:val="006C5778"/>
    <w:rsid w:val="006C6475"/>
    <w:rsid w:val="006C69C8"/>
    <w:rsid w:val="006C72AD"/>
    <w:rsid w:val="006C7D74"/>
    <w:rsid w:val="006D09FA"/>
    <w:rsid w:val="006D1DEA"/>
    <w:rsid w:val="006D1E44"/>
    <w:rsid w:val="006D3D5E"/>
    <w:rsid w:val="006D3F62"/>
    <w:rsid w:val="006D4714"/>
    <w:rsid w:val="006D5166"/>
    <w:rsid w:val="006D58AE"/>
    <w:rsid w:val="006D676B"/>
    <w:rsid w:val="006D75BD"/>
    <w:rsid w:val="006D7635"/>
    <w:rsid w:val="006D7719"/>
    <w:rsid w:val="006D7BBB"/>
    <w:rsid w:val="006E00A9"/>
    <w:rsid w:val="006E0C38"/>
    <w:rsid w:val="006E0C87"/>
    <w:rsid w:val="006E194C"/>
    <w:rsid w:val="006E1D1A"/>
    <w:rsid w:val="006E1F90"/>
    <w:rsid w:val="006E27D7"/>
    <w:rsid w:val="006E2CBA"/>
    <w:rsid w:val="006E348A"/>
    <w:rsid w:val="006E3906"/>
    <w:rsid w:val="006E3B6C"/>
    <w:rsid w:val="006E4D62"/>
    <w:rsid w:val="006E4D91"/>
    <w:rsid w:val="006E565A"/>
    <w:rsid w:val="006E5900"/>
    <w:rsid w:val="006E677A"/>
    <w:rsid w:val="006E6951"/>
    <w:rsid w:val="006E7628"/>
    <w:rsid w:val="006E7D7A"/>
    <w:rsid w:val="006F0095"/>
    <w:rsid w:val="006F0526"/>
    <w:rsid w:val="006F07C3"/>
    <w:rsid w:val="006F1E2D"/>
    <w:rsid w:val="006F2F89"/>
    <w:rsid w:val="006F3A1B"/>
    <w:rsid w:val="006F45A3"/>
    <w:rsid w:val="006F5232"/>
    <w:rsid w:val="006F5270"/>
    <w:rsid w:val="006F5786"/>
    <w:rsid w:val="006F67ED"/>
    <w:rsid w:val="006F6AB8"/>
    <w:rsid w:val="006F735F"/>
    <w:rsid w:val="006F7428"/>
    <w:rsid w:val="006F757D"/>
    <w:rsid w:val="00700782"/>
    <w:rsid w:val="00700FE5"/>
    <w:rsid w:val="00701103"/>
    <w:rsid w:val="00701537"/>
    <w:rsid w:val="007015DF"/>
    <w:rsid w:val="007017B4"/>
    <w:rsid w:val="007017E0"/>
    <w:rsid w:val="00701977"/>
    <w:rsid w:val="007020FD"/>
    <w:rsid w:val="00702543"/>
    <w:rsid w:val="00702770"/>
    <w:rsid w:val="00702A20"/>
    <w:rsid w:val="00703C66"/>
    <w:rsid w:val="00703E85"/>
    <w:rsid w:val="00704A26"/>
    <w:rsid w:val="00705A2A"/>
    <w:rsid w:val="00706356"/>
    <w:rsid w:val="00706B0D"/>
    <w:rsid w:val="0070705E"/>
    <w:rsid w:val="0070969E"/>
    <w:rsid w:val="007101A1"/>
    <w:rsid w:val="00710DD6"/>
    <w:rsid w:val="0071255A"/>
    <w:rsid w:val="007126FC"/>
    <w:rsid w:val="00712B59"/>
    <w:rsid w:val="007137EE"/>
    <w:rsid w:val="0071393E"/>
    <w:rsid w:val="00713F19"/>
    <w:rsid w:val="00714577"/>
    <w:rsid w:val="00714FB7"/>
    <w:rsid w:val="007161DB"/>
    <w:rsid w:val="007161FF"/>
    <w:rsid w:val="00716697"/>
    <w:rsid w:val="00716709"/>
    <w:rsid w:val="00716FB4"/>
    <w:rsid w:val="0071720C"/>
    <w:rsid w:val="0072061D"/>
    <w:rsid w:val="00721539"/>
    <w:rsid w:val="00721FD3"/>
    <w:rsid w:val="0072207C"/>
    <w:rsid w:val="00722903"/>
    <w:rsid w:val="007233C6"/>
    <w:rsid w:val="007235FF"/>
    <w:rsid w:val="007238B4"/>
    <w:rsid w:val="00724467"/>
    <w:rsid w:val="007253BF"/>
    <w:rsid w:val="007259AA"/>
    <w:rsid w:val="00725B40"/>
    <w:rsid w:val="00730093"/>
    <w:rsid w:val="00730137"/>
    <w:rsid w:val="007308E1"/>
    <w:rsid w:val="007315B5"/>
    <w:rsid w:val="00732560"/>
    <w:rsid w:val="007331CA"/>
    <w:rsid w:val="0073412E"/>
    <w:rsid w:val="007347D5"/>
    <w:rsid w:val="00734CB5"/>
    <w:rsid w:val="00735F2F"/>
    <w:rsid w:val="00735FB8"/>
    <w:rsid w:val="007369FF"/>
    <w:rsid w:val="00736DAB"/>
    <w:rsid w:val="007376F9"/>
    <w:rsid w:val="00737968"/>
    <w:rsid w:val="00740353"/>
    <w:rsid w:val="00740502"/>
    <w:rsid w:val="0074076C"/>
    <w:rsid w:val="00740ED5"/>
    <w:rsid w:val="00740F28"/>
    <w:rsid w:val="0074102D"/>
    <w:rsid w:val="00741091"/>
    <w:rsid w:val="00741360"/>
    <w:rsid w:val="0074138C"/>
    <w:rsid w:val="00741CB0"/>
    <w:rsid w:val="00741E6C"/>
    <w:rsid w:val="00742508"/>
    <w:rsid w:val="0074296F"/>
    <w:rsid w:val="00742A77"/>
    <w:rsid w:val="00743023"/>
    <w:rsid w:val="0074302D"/>
    <w:rsid w:val="007441A9"/>
    <w:rsid w:val="007447F8"/>
    <w:rsid w:val="0074593E"/>
    <w:rsid w:val="00745993"/>
    <w:rsid w:val="007466FE"/>
    <w:rsid w:val="00746DDC"/>
    <w:rsid w:val="00751324"/>
    <w:rsid w:val="007518C5"/>
    <w:rsid w:val="0075240E"/>
    <w:rsid w:val="00752433"/>
    <w:rsid w:val="0075352E"/>
    <w:rsid w:val="007536CB"/>
    <w:rsid w:val="00753FC7"/>
    <w:rsid w:val="00754976"/>
    <w:rsid w:val="00754E29"/>
    <w:rsid w:val="0075517D"/>
    <w:rsid w:val="00755426"/>
    <w:rsid w:val="007554C1"/>
    <w:rsid w:val="0075552F"/>
    <w:rsid w:val="007565C1"/>
    <w:rsid w:val="0075685C"/>
    <w:rsid w:val="00756A55"/>
    <w:rsid w:val="00756B79"/>
    <w:rsid w:val="00757285"/>
    <w:rsid w:val="00757302"/>
    <w:rsid w:val="007576CB"/>
    <w:rsid w:val="0076074F"/>
    <w:rsid w:val="00760BD3"/>
    <w:rsid w:val="0076181A"/>
    <w:rsid w:val="00762004"/>
    <w:rsid w:val="0076342C"/>
    <w:rsid w:val="0076401F"/>
    <w:rsid w:val="007641C9"/>
    <w:rsid w:val="007648CD"/>
    <w:rsid w:val="00764980"/>
    <w:rsid w:val="007652DB"/>
    <w:rsid w:val="00765F4A"/>
    <w:rsid w:val="007661CE"/>
    <w:rsid w:val="007661DF"/>
    <w:rsid w:val="007664F9"/>
    <w:rsid w:val="007669D1"/>
    <w:rsid w:val="00766D7D"/>
    <w:rsid w:val="0076750D"/>
    <w:rsid w:val="00767928"/>
    <w:rsid w:val="00767934"/>
    <w:rsid w:val="0077012B"/>
    <w:rsid w:val="00773785"/>
    <w:rsid w:val="00773D8E"/>
    <w:rsid w:val="0077405D"/>
    <w:rsid w:val="00774311"/>
    <w:rsid w:val="0077457F"/>
    <w:rsid w:val="0077486B"/>
    <w:rsid w:val="0077531A"/>
    <w:rsid w:val="0077606E"/>
    <w:rsid w:val="007767CE"/>
    <w:rsid w:val="0077704D"/>
    <w:rsid w:val="007771C9"/>
    <w:rsid w:val="00777984"/>
    <w:rsid w:val="00780196"/>
    <w:rsid w:val="00780563"/>
    <w:rsid w:val="007806A7"/>
    <w:rsid w:val="00780A24"/>
    <w:rsid w:val="00780D7E"/>
    <w:rsid w:val="0078137D"/>
    <w:rsid w:val="00781858"/>
    <w:rsid w:val="00782524"/>
    <w:rsid w:val="00783921"/>
    <w:rsid w:val="0078437E"/>
    <w:rsid w:val="00786A06"/>
    <w:rsid w:val="00786D7B"/>
    <w:rsid w:val="00787E59"/>
    <w:rsid w:val="00790607"/>
    <w:rsid w:val="007907E3"/>
    <w:rsid w:val="00791018"/>
    <w:rsid w:val="00791FD8"/>
    <w:rsid w:val="00792195"/>
    <w:rsid w:val="007924DC"/>
    <w:rsid w:val="00792780"/>
    <w:rsid w:val="00793042"/>
    <w:rsid w:val="0079375E"/>
    <w:rsid w:val="0079386B"/>
    <w:rsid w:val="00793E19"/>
    <w:rsid w:val="00794B72"/>
    <w:rsid w:val="00794DF3"/>
    <w:rsid w:val="00795282"/>
    <w:rsid w:val="00796361"/>
    <w:rsid w:val="00796E67"/>
    <w:rsid w:val="007978E2"/>
    <w:rsid w:val="00797F7A"/>
    <w:rsid w:val="007A03D7"/>
    <w:rsid w:val="007A1141"/>
    <w:rsid w:val="007A11C5"/>
    <w:rsid w:val="007A13AA"/>
    <w:rsid w:val="007A2F67"/>
    <w:rsid w:val="007A3716"/>
    <w:rsid w:val="007A3718"/>
    <w:rsid w:val="007A3A1B"/>
    <w:rsid w:val="007A3CCB"/>
    <w:rsid w:val="007A43C5"/>
    <w:rsid w:val="007A48A2"/>
    <w:rsid w:val="007A4B24"/>
    <w:rsid w:val="007A552E"/>
    <w:rsid w:val="007A566C"/>
    <w:rsid w:val="007A664E"/>
    <w:rsid w:val="007A7B86"/>
    <w:rsid w:val="007B09AB"/>
    <w:rsid w:val="007B11A8"/>
    <w:rsid w:val="007B136B"/>
    <w:rsid w:val="007B1600"/>
    <w:rsid w:val="007B1D2F"/>
    <w:rsid w:val="007B2475"/>
    <w:rsid w:val="007B253C"/>
    <w:rsid w:val="007B29F0"/>
    <w:rsid w:val="007B35C1"/>
    <w:rsid w:val="007B4D37"/>
    <w:rsid w:val="007B5DA4"/>
    <w:rsid w:val="007B6753"/>
    <w:rsid w:val="007B7145"/>
    <w:rsid w:val="007B75DD"/>
    <w:rsid w:val="007B79CD"/>
    <w:rsid w:val="007C199D"/>
    <w:rsid w:val="007C1AFC"/>
    <w:rsid w:val="007C222E"/>
    <w:rsid w:val="007C2C1B"/>
    <w:rsid w:val="007C39EC"/>
    <w:rsid w:val="007C3A45"/>
    <w:rsid w:val="007C5409"/>
    <w:rsid w:val="007C55F1"/>
    <w:rsid w:val="007C5C0E"/>
    <w:rsid w:val="007C63FF"/>
    <w:rsid w:val="007C6F83"/>
    <w:rsid w:val="007C6FD5"/>
    <w:rsid w:val="007C7194"/>
    <w:rsid w:val="007C7A19"/>
    <w:rsid w:val="007D063E"/>
    <w:rsid w:val="007D1666"/>
    <w:rsid w:val="007D172F"/>
    <w:rsid w:val="007D1886"/>
    <w:rsid w:val="007D193C"/>
    <w:rsid w:val="007D1E9B"/>
    <w:rsid w:val="007D2430"/>
    <w:rsid w:val="007D3666"/>
    <w:rsid w:val="007D391C"/>
    <w:rsid w:val="007D3BB9"/>
    <w:rsid w:val="007D4672"/>
    <w:rsid w:val="007D4FA5"/>
    <w:rsid w:val="007D5096"/>
    <w:rsid w:val="007D5473"/>
    <w:rsid w:val="007D639F"/>
    <w:rsid w:val="007D655A"/>
    <w:rsid w:val="007D668F"/>
    <w:rsid w:val="007D6918"/>
    <w:rsid w:val="007D69F8"/>
    <w:rsid w:val="007D6D57"/>
    <w:rsid w:val="007D6E01"/>
    <w:rsid w:val="007D74F3"/>
    <w:rsid w:val="007E0176"/>
    <w:rsid w:val="007E0708"/>
    <w:rsid w:val="007E0DDC"/>
    <w:rsid w:val="007E1310"/>
    <w:rsid w:val="007E14DE"/>
    <w:rsid w:val="007E1BDA"/>
    <w:rsid w:val="007E20A0"/>
    <w:rsid w:val="007E26D6"/>
    <w:rsid w:val="007E32D5"/>
    <w:rsid w:val="007E3740"/>
    <w:rsid w:val="007E3D76"/>
    <w:rsid w:val="007E414E"/>
    <w:rsid w:val="007E421A"/>
    <w:rsid w:val="007E4764"/>
    <w:rsid w:val="007E5A35"/>
    <w:rsid w:val="007E5D86"/>
    <w:rsid w:val="007F1555"/>
    <w:rsid w:val="007F15D0"/>
    <w:rsid w:val="007F1667"/>
    <w:rsid w:val="007F2922"/>
    <w:rsid w:val="007F3027"/>
    <w:rsid w:val="007F3A25"/>
    <w:rsid w:val="007F3C73"/>
    <w:rsid w:val="007F4513"/>
    <w:rsid w:val="007F4883"/>
    <w:rsid w:val="007F58D9"/>
    <w:rsid w:val="007F5F6F"/>
    <w:rsid w:val="007F6FC3"/>
    <w:rsid w:val="007F770A"/>
    <w:rsid w:val="007F7B5B"/>
    <w:rsid w:val="008004BB"/>
    <w:rsid w:val="0080109D"/>
    <w:rsid w:val="008013E4"/>
    <w:rsid w:val="00801925"/>
    <w:rsid w:val="00801AAB"/>
    <w:rsid w:val="00801B68"/>
    <w:rsid w:val="00802C7D"/>
    <w:rsid w:val="00803359"/>
    <w:rsid w:val="00803BF6"/>
    <w:rsid w:val="00804441"/>
    <w:rsid w:val="00805026"/>
    <w:rsid w:val="00805328"/>
    <w:rsid w:val="008053CD"/>
    <w:rsid w:val="00806573"/>
    <w:rsid w:val="00807580"/>
    <w:rsid w:val="00807619"/>
    <w:rsid w:val="00807CEE"/>
    <w:rsid w:val="008103C7"/>
    <w:rsid w:val="0081146D"/>
    <w:rsid w:val="00811CBE"/>
    <w:rsid w:val="008129A9"/>
    <w:rsid w:val="0081302C"/>
    <w:rsid w:val="00813122"/>
    <w:rsid w:val="00813374"/>
    <w:rsid w:val="008139BC"/>
    <w:rsid w:val="00814350"/>
    <w:rsid w:val="00814653"/>
    <w:rsid w:val="00814754"/>
    <w:rsid w:val="00815294"/>
    <w:rsid w:val="00815C2D"/>
    <w:rsid w:val="00816536"/>
    <w:rsid w:val="008167C1"/>
    <w:rsid w:val="0081695A"/>
    <w:rsid w:val="00816F11"/>
    <w:rsid w:val="00817009"/>
    <w:rsid w:val="008171FA"/>
    <w:rsid w:val="0081729D"/>
    <w:rsid w:val="008172A3"/>
    <w:rsid w:val="008177E6"/>
    <w:rsid w:val="00817E20"/>
    <w:rsid w:val="00817F00"/>
    <w:rsid w:val="00820B5E"/>
    <w:rsid w:val="00820BA6"/>
    <w:rsid w:val="00820BD3"/>
    <w:rsid w:val="00821162"/>
    <w:rsid w:val="00821681"/>
    <w:rsid w:val="00821D95"/>
    <w:rsid w:val="00821ECE"/>
    <w:rsid w:val="00822354"/>
    <w:rsid w:val="00822523"/>
    <w:rsid w:val="0082297E"/>
    <w:rsid w:val="0082333F"/>
    <w:rsid w:val="008237F9"/>
    <w:rsid w:val="00823AE1"/>
    <w:rsid w:val="00823D95"/>
    <w:rsid w:val="00823FC5"/>
    <w:rsid w:val="0082421F"/>
    <w:rsid w:val="00824CF1"/>
    <w:rsid w:val="008250DC"/>
    <w:rsid w:val="0082513B"/>
    <w:rsid w:val="00825D53"/>
    <w:rsid w:val="00826B88"/>
    <w:rsid w:val="0082724D"/>
    <w:rsid w:val="00827A21"/>
    <w:rsid w:val="008303A6"/>
    <w:rsid w:val="00831330"/>
    <w:rsid w:val="008315D0"/>
    <w:rsid w:val="00831740"/>
    <w:rsid w:val="00831A66"/>
    <w:rsid w:val="0083201B"/>
    <w:rsid w:val="00832278"/>
    <w:rsid w:val="0083293C"/>
    <w:rsid w:val="00832B15"/>
    <w:rsid w:val="0083332F"/>
    <w:rsid w:val="008335AD"/>
    <w:rsid w:val="00833A32"/>
    <w:rsid w:val="00833F47"/>
    <w:rsid w:val="008344BD"/>
    <w:rsid w:val="008349F6"/>
    <w:rsid w:val="0083505F"/>
    <w:rsid w:val="008360C2"/>
    <w:rsid w:val="00836245"/>
    <w:rsid w:val="008365D4"/>
    <w:rsid w:val="008368F3"/>
    <w:rsid w:val="00836A50"/>
    <w:rsid w:val="00837803"/>
    <w:rsid w:val="008379AA"/>
    <w:rsid w:val="00837B95"/>
    <w:rsid w:val="00840B6B"/>
    <w:rsid w:val="008418EF"/>
    <w:rsid w:val="00841CA5"/>
    <w:rsid w:val="00841DD5"/>
    <w:rsid w:val="008424BE"/>
    <w:rsid w:val="008426D8"/>
    <w:rsid w:val="008426FB"/>
    <w:rsid w:val="00842C97"/>
    <w:rsid w:val="00843466"/>
    <w:rsid w:val="00843998"/>
    <w:rsid w:val="00843D59"/>
    <w:rsid w:val="00844B2E"/>
    <w:rsid w:val="00845D66"/>
    <w:rsid w:val="0084612A"/>
    <w:rsid w:val="0084642F"/>
    <w:rsid w:val="00846D42"/>
    <w:rsid w:val="00847BEC"/>
    <w:rsid w:val="00847D3A"/>
    <w:rsid w:val="00847E7D"/>
    <w:rsid w:val="0085028B"/>
    <w:rsid w:val="00850D36"/>
    <w:rsid w:val="0085112D"/>
    <w:rsid w:val="0085142B"/>
    <w:rsid w:val="00851C21"/>
    <w:rsid w:val="00852284"/>
    <w:rsid w:val="0085232C"/>
    <w:rsid w:val="0085321E"/>
    <w:rsid w:val="008536F3"/>
    <w:rsid w:val="00853A44"/>
    <w:rsid w:val="00853B41"/>
    <w:rsid w:val="00854C00"/>
    <w:rsid w:val="00854C76"/>
    <w:rsid w:val="008553F2"/>
    <w:rsid w:val="008554ED"/>
    <w:rsid w:val="0085563A"/>
    <w:rsid w:val="008561EE"/>
    <w:rsid w:val="00856DB2"/>
    <w:rsid w:val="00856DD2"/>
    <w:rsid w:val="00856E65"/>
    <w:rsid w:val="008579A4"/>
    <w:rsid w:val="00860AEE"/>
    <w:rsid w:val="00861077"/>
    <w:rsid w:val="0086107D"/>
    <w:rsid w:val="0086197C"/>
    <w:rsid w:val="008622BB"/>
    <w:rsid w:val="008630F6"/>
    <w:rsid w:val="00864660"/>
    <w:rsid w:val="00865429"/>
    <w:rsid w:val="00865468"/>
    <w:rsid w:val="00865959"/>
    <w:rsid w:val="00866890"/>
    <w:rsid w:val="008669CA"/>
    <w:rsid w:val="00867E2F"/>
    <w:rsid w:val="008701E7"/>
    <w:rsid w:val="008704BA"/>
    <w:rsid w:val="00871961"/>
    <w:rsid w:val="008722F1"/>
    <w:rsid w:val="008730A2"/>
    <w:rsid w:val="00873379"/>
    <w:rsid w:val="008733A7"/>
    <w:rsid w:val="00873522"/>
    <w:rsid w:val="00873944"/>
    <w:rsid w:val="00873B39"/>
    <w:rsid w:val="00873D97"/>
    <w:rsid w:val="00873E6D"/>
    <w:rsid w:val="00874327"/>
    <w:rsid w:val="00876381"/>
    <w:rsid w:val="00877C56"/>
    <w:rsid w:val="00880A95"/>
    <w:rsid w:val="008824AB"/>
    <w:rsid w:val="00883889"/>
    <w:rsid w:val="008848B1"/>
    <w:rsid w:val="00884A13"/>
    <w:rsid w:val="00885685"/>
    <w:rsid w:val="00885A31"/>
    <w:rsid w:val="008862AB"/>
    <w:rsid w:val="008863B7"/>
    <w:rsid w:val="008868AE"/>
    <w:rsid w:val="0088711D"/>
    <w:rsid w:val="00887419"/>
    <w:rsid w:val="008877C7"/>
    <w:rsid w:val="00887A56"/>
    <w:rsid w:val="00887B00"/>
    <w:rsid w:val="00887F1F"/>
    <w:rsid w:val="008900CE"/>
    <w:rsid w:val="00890181"/>
    <w:rsid w:val="00890688"/>
    <w:rsid w:val="00890B2E"/>
    <w:rsid w:val="00890BBF"/>
    <w:rsid w:val="008911D3"/>
    <w:rsid w:val="00891A2B"/>
    <w:rsid w:val="00891B00"/>
    <w:rsid w:val="00892599"/>
    <w:rsid w:val="008929DC"/>
    <w:rsid w:val="00893EF6"/>
    <w:rsid w:val="00894119"/>
    <w:rsid w:val="00894AD3"/>
    <w:rsid w:val="00895656"/>
    <w:rsid w:val="008959F7"/>
    <w:rsid w:val="00895B7D"/>
    <w:rsid w:val="00895D3A"/>
    <w:rsid w:val="0089636D"/>
    <w:rsid w:val="00896386"/>
    <w:rsid w:val="008965FF"/>
    <w:rsid w:val="00896745"/>
    <w:rsid w:val="00896E3D"/>
    <w:rsid w:val="00897282"/>
    <w:rsid w:val="00897624"/>
    <w:rsid w:val="008A013E"/>
    <w:rsid w:val="008A0E91"/>
    <w:rsid w:val="008A1436"/>
    <w:rsid w:val="008A1FC7"/>
    <w:rsid w:val="008A2561"/>
    <w:rsid w:val="008A2FB9"/>
    <w:rsid w:val="008A3273"/>
    <w:rsid w:val="008A344F"/>
    <w:rsid w:val="008A3B55"/>
    <w:rsid w:val="008A3D62"/>
    <w:rsid w:val="008A46C9"/>
    <w:rsid w:val="008A591D"/>
    <w:rsid w:val="008A595A"/>
    <w:rsid w:val="008A6913"/>
    <w:rsid w:val="008A6A5C"/>
    <w:rsid w:val="008B0879"/>
    <w:rsid w:val="008B122B"/>
    <w:rsid w:val="008B16D8"/>
    <w:rsid w:val="008B1AFB"/>
    <w:rsid w:val="008B2AA8"/>
    <w:rsid w:val="008B33E9"/>
    <w:rsid w:val="008B382C"/>
    <w:rsid w:val="008B39A5"/>
    <w:rsid w:val="008B3E5D"/>
    <w:rsid w:val="008B4800"/>
    <w:rsid w:val="008B5CEE"/>
    <w:rsid w:val="008B6D32"/>
    <w:rsid w:val="008B6F67"/>
    <w:rsid w:val="008B7D6E"/>
    <w:rsid w:val="008C03C2"/>
    <w:rsid w:val="008C2FF2"/>
    <w:rsid w:val="008C3D7E"/>
    <w:rsid w:val="008C42A5"/>
    <w:rsid w:val="008C5E1A"/>
    <w:rsid w:val="008C5FB6"/>
    <w:rsid w:val="008C642F"/>
    <w:rsid w:val="008C658F"/>
    <w:rsid w:val="008C6CCE"/>
    <w:rsid w:val="008C7739"/>
    <w:rsid w:val="008D04F7"/>
    <w:rsid w:val="008D1E6A"/>
    <w:rsid w:val="008D3B32"/>
    <w:rsid w:val="008D3B7F"/>
    <w:rsid w:val="008D3EDA"/>
    <w:rsid w:val="008D40F6"/>
    <w:rsid w:val="008D4A36"/>
    <w:rsid w:val="008D5094"/>
    <w:rsid w:val="008D570D"/>
    <w:rsid w:val="008D65BD"/>
    <w:rsid w:val="008D69C7"/>
    <w:rsid w:val="008D69F7"/>
    <w:rsid w:val="008D79EC"/>
    <w:rsid w:val="008E0718"/>
    <w:rsid w:val="008E110C"/>
    <w:rsid w:val="008E1646"/>
    <w:rsid w:val="008E1F88"/>
    <w:rsid w:val="008E2735"/>
    <w:rsid w:val="008E27ED"/>
    <w:rsid w:val="008E3151"/>
    <w:rsid w:val="008E4FE7"/>
    <w:rsid w:val="008E5337"/>
    <w:rsid w:val="008E5515"/>
    <w:rsid w:val="008E5531"/>
    <w:rsid w:val="008E56FB"/>
    <w:rsid w:val="008E59A0"/>
    <w:rsid w:val="008E6BE1"/>
    <w:rsid w:val="008E74E1"/>
    <w:rsid w:val="008E7A90"/>
    <w:rsid w:val="008F1CC8"/>
    <w:rsid w:val="008F3AA5"/>
    <w:rsid w:val="008F4BAC"/>
    <w:rsid w:val="008F52E2"/>
    <w:rsid w:val="008F59BD"/>
    <w:rsid w:val="008F6880"/>
    <w:rsid w:val="008F733C"/>
    <w:rsid w:val="008F73DD"/>
    <w:rsid w:val="008F788C"/>
    <w:rsid w:val="008F78DE"/>
    <w:rsid w:val="008F7B89"/>
    <w:rsid w:val="008F7C57"/>
    <w:rsid w:val="00900017"/>
    <w:rsid w:val="0090061F"/>
    <w:rsid w:val="00900C4B"/>
    <w:rsid w:val="009013C9"/>
    <w:rsid w:val="0090151E"/>
    <w:rsid w:val="00901A28"/>
    <w:rsid w:val="00901B3B"/>
    <w:rsid w:val="00901E51"/>
    <w:rsid w:val="00903A8B"/>
    <w:rsid w:val="00903AC3"/>
    <w:rsid w:val="00904393"/>
    <w:rsid w:val="009044CB"/>
    <w:rsid w:val="00904B40"/>
    <w:rsid w:val="00904C49"/>
    <w:rsid w:val="009055B5"/>
    <w:rsid w:val="00905913"/>
    <w:rsid w:val="00906DC3"/>
    <w:rsid w:val="00906FBA"/>
    <w:rsid w:val="009105DF"/>
    <w:rsid w:val="0091078D"/>
    <w:rsid w:val="00911A1A"/>
    <w:rsid w:val="00911BE4"/>
    <w:rsid w:val="00911D28"/>
    <w:rsid w:val="00912165"/>
    <w:rsid w:val="00913027"/>
    <w:rsid w:val="009130DE"/>
    <w:rsid w:val="00914F1D"/>
    <w:rsid w:val="00915BA2"/>
    <w:rsid w:val="00916498"/>
    <w:rsid w:val="009173BD"/>
    <w:rsid w:val="00917B91"/>
    <w:rsid w:val="009228DE"/>
    <w:rsid w:val="00923554"/>
    <w:rsid w:val="00924076"/>
    <w:rsid w:val="009249D9"/>
    <w:rsid w:val="00924EE8"/>
    <w:rsid w:val="0092551C"/>
    <w:rsid w:val="00925F89"/>
    <w:rsid w:val="009277DE"/>
    <w:rsid w:val="00927FFA"/>
    <w:rsid w:val="00930C23"/>
    <w:rsid w:val="00930CB2"/>
    <w:rsid w:val="0093193F"/>
    <w:rsid w:val="00931C5B"/>
    <w:rsid w:val="00932725"/>
    <w:rsid w:val="0093454C"/>
    <w:rsid w:val="00934621"/>
    <w:rsid w:val="0093493A"/>
    <w:rsid w:val="00934B1D"/>
    <w:rsid w:val="0093656B"/>
    <w:rsid w:val="00936F53"/>
    <w:rsid w:val="009376DE"/>
    <w:rsid w:val="0093795B"/>
    <w:rsid w:val="0094088E"/>
    <w:rsid w:val="009417C3"/>
    <w:rsid w:val="009426C1"/>
    <w:rsid w:val="00942B32"/>
    <w:rsid w:val="00942D4C"/>
    <w:rsid w:val="0094327D"/>
    <w:rsid w:val="00943500"/>
    <w:rsid w:val="009445F9"/>
    <w:rsid w:val="009445FA"/>
    <w:rsid w:val="00944D46"/>
    <w:rsid w:val="0094639F"/>
    <w:rsid w:val="0094660F"/>
    <w:rsid w:val="0094781B"/>
    <w:rsid w:val="00947CE4"/>
    <w:rsid w:val="0095060F"/>
    <w:rsid w:val="00951547"/>
    <w:rsid w:val="00951D1D"/>
    <w:rsid w:val="00951DB9"/>
    <w:rsid w:val="00952416"/>
    <w:rsid w:val="00952C39"/>
    <w:rsid w:val="00953419"/>
    <w:rsid w:val="00953C5A"/>
    <w:rsid w:val="00953DE0"/>
    <w:rsid w:val="00954314"/>
    <w:rsid w:val="0095510C"/>
    <w:rsid w:val="00955D00"/>
    <w:rsid w:val="0095644C"/>
    <w:rsid w:val="009566C4"/>
    <w:rsid w:val="009576D6"/>
    <w:rsid w:val="009577E6"/>
    <w:rsid w:val="0096151C"/>
    <w:rsid w:val="00962AA5"/>
    <w:rsid w:val="00963007"/>
    <w:rsid w:val="00963D1B"/>
    <w:rsid w:val="00963DE6"/>
    <w:rsid w:val="00964BC7"/>
    <w:rsid w:val="00964D3F"/>
    <w:rsid w:val="009657B4"/>
    <w:rsid w:val="00967274"/>
    <w:rsid w:val="00967773"/>
    <w:rsid w:val="00970199"/>
    <w:rsid w:val="00970BFA"/>
    <w:rsid w:val="00970F1A"/>
    <w:rsid w:val="00971851"/>
    <w:rsid w:val="00971C9D"/>
    <w:rsid w:val="00972656"/>
    <w:rsid w:val="009733B0"/>
    <w:rsid w:val="009735DE"/>
    <w:rsid w:val="00973746"/>
    <w:rsid w:val="0097375E"/>
    <w:rsid w:val="00973B30"/>
    <w:rsid w:val="00973EF2"/>
    <w:rsid w:val="00974157"/>
    <w:rsid w:val="00974D8C"/>
    <w:rsid w:val="00974FF6"/>
    <w:rsid w:val="009758CA"/>
    <w:rsid w:val="00975C9E"/>
    <w:rsid w:val="00975DBF"/>
    <w:rsid w:val="0097603F"/>
    <w:rsid w:val="0097667A"/>
    <w:rsid w:val="009767A5"/>
    <w:rsid w:val="00976A0C"/>
    <w:rsid w:val="0097732C"/>
    <w:rsid w:val="00977CE9"/>
    <w:rsid w:val="00980192"/>
    <w:rsid w:val="0098135D"/>
    <w:rsid w:val="009817E7"/>
    <w:rsid w:val="009819BC"/>
    <w:rsid w:val="00981AA1"/>
    <w:rsid w:val="009822F8"/>
    <w:rsid w:val="0098363C"/>
    <w:rsid w:val="00983EE1"/>
    <w:rsid w:val="0098412E"/>
    <w:rsid w:val="009845D9"/>
    <w:rsid w:val="00984D78"/>
    <w:rsid w:val="00985A0E"/>
    <w:rsid w:val="00987076"/>
    <w:rsid w:val="009874D7"/>
    <w:rsid w:val="00987675"/>
    <w:rsid w:val="00987F33"/>
    <w:rsid w:val="009901A7"/>
    <w:rsid w:val="0099029E"/>
    <w:rsid w:val="00991D2D"/>
    <w:rsid w:val="00991DA4"/>
    <w:rsid w:val="0099349A"/>
    <w:rsid w:val="00993671"/>
    <w:rsid w:val="00993E50"/>
    <w:rsid w:val="00994085"/>
    <w:rsid w:val="0099450E"/>
    <w:rsid w:val="009948E6"/>
    <w:rsid w:val="00994B5C"/>
    <w:rsid w:val="009953FB"/>
    <w:rsid w:val="00995BE4"/>
    <w:rsid w:val="00996392"/>
    <w:rsid w:val="00996848"/>
    <w:rsid w:val="00997062"/>
    <w:rsid w:val="00997EB0"/>
    <w:rsid w:val="009A0569"/>
    <w:rsid w:val="009A098A"/>
    <w:rsid w:val="009A13BF"/>
    <w:rsid w:val="009A3465"/>
    <w:rsid w:val="009A381C"/>
    <w:rsid w:val="009A3BAA"/>
    <w:rsid w:val="009A4012"/>
    <w:rsid w:val="009A4243"/>
    <w:rsid w:val="009A4B1B"/>
    <w:rsid w:val="009A4F48"/>
    <w:rsid w:val="009A52B3"/>
    <w:rsid w:val="009A57AE"/>
    <w:rsid w:val="009A5EED"/>
    <w:rsid w:val="009A7CF3"/>
    <w:rsid w:val="009A7D05"/>
    <w:rsid w:val="009A7F27"/>
    <w:rsid w:val="009B05E7"/>
    <w:rsid w:val="009B0647"/>
    <w:rsid w:val="009B073B"/>
    <w:rsid w:val="009B0927"/>
    <w:rsid w:val="009B0E2F"/>
    <w:rsid w:val="009B11BA"/>
    <w:rsid w:val="009B1C40"/>
    <w:rsid w:val="009B2ABA"/>
    <w:rsid w:val="009B308A"/>
    <w:rsid w:val="009B3751"/>
    <w:rsid w:val="009B3A39"/>
    <w:rsid w:val="009B3FA5"/>
    <w:rsid w:val="009B44CA"/>
    <w:rsid w:val="009B4C22"/>
    <w:rsid w:val="009B5FEA"/>
    <w:rsid w:val="009B6E9C"/>
    <w:rsid w:val="009B731C"/>
    <w:rsid w:val="009B7B22"/>
    <w:rsid w:val="009B7EC8"/>
    <w:rsid w:val="009C02B1"/>
    <w:rsid w:val="009C0F32"/>
    <w:rsid w:val="009C0F78"/>
    <w:rsid w:val="009C0FD1"/>
    <w:rsid w:val="009C1862"/>
    <w:rsid w:val="009C1FE3"/>
    <w:rsid w:val="009C2265"/>
    <w:rsid w:val="009C2394"/>
    <w:rsid w:val="009C23BF"/>
    <w:rsid w:val="009C2503"/>
    <w:rsid w:val="009C2AE0"/>
    <w:rsid w:val="009C3469"/>
    <w:rsid w:val="009C4E86"/>
    <w:rsid w:val="009C4EFD"/>
    <w:rsid w:val="009C5311"/>
    <w:rsid w:val="009C56C7"/>
    <w:rsid w:val="009C59B3"/>
    <w:rsid w:val="009C7091"/>
    <w:rsid w:val="009C71EF"/>
    <w:rsid w:val="009C7F1D"/>
    <w:rsid w:val="009D0D7A"/>
    <w:rsid w:val="009D12D2"/>
    <w:rsid w:val="009D178D"/>
    <w:rsid w:val="009D184F"/>
    <w:rsid w:val="009D1A6F"/>
    <w:rsid w:val="009D1EE0"/>
    <w:rsid w:val="009D2773"/>
    <w:rsid w:val="009D28A8"/>
    <w:rsid w:val="009D2950"/>
    <w:rsid w:val="009D3A4F"/>
    <w:rsid w:val="009D43E1"/>
    <w:rsid w:val="009D5325"/>
    <w:rsid w:val="009D5A1C"/>
    <w:rsid w:val="009D67BF"/>
    <w:rsid w:val="009D6BDE"/>
    <w:rsid w:val="009D79FF"/>
    <w:rsid w:val="009E154A"/>
    <w:rsid w:val="009E1832"/>
    <w:rsid w:val="009E1AB0"/>
    <w:rsid w:val="009E516C"/>
    <w:rsid w:val="009E5197"/>
    <w:rsid w:val="009E5694"/>
    <w:rsid w:val="009E56DA"/>
    <w:rsid w:val="009E6948"/>
    <w:rsid w:val="009E6F73"/>
    <w:rsid w:val="009E762B"/>
    <w:rsid w:val="009F0114"/>
    <w:rsid w:val="009F0B89"/>
    <w:rsid w:val="009F0BAD"/>
    <w:rsid w:val="009F198E"/>
    <w:rsid w:val="009F2402"/>
    <w:rsid w:val="009F2439"/>
    <w:rsid w:val="009F2729"/>
    <w:rsid w:val="009F2755"/>
    <w:rsid w:val="009F2E42"/>
    <w:rsid w:val="009F423A"/>
    <w:rsid w:val="009F61F6"/>
    <w:rsid w:val="009F70C0"/>
    <w:rsid w:val="009F7353"/>
    <w:rsid w:val="009F766A"/>
    <w:rsid w:val="00A00D46"/>
    <w:rsid w:val="00A00F7C"/>
    <w:rsid w:val="00A01B0F"/>
    <w:rsid w:val="00A022C4"/>
    <w:rsid w:val="00A02412"/>
    <w:rsid w:val="00A04745"/>
    <w:rsid w:val="00A04A88"/>
    <w:rsid w:val="00A04CC8"/>
    <w:rsid w:val="00A05FF3"/>
    <w:rsid w:val="00A07A9B"/>
    <w:rsid w:val="00A07B4C"/>
    <w:rsid w:val="00A10572"/>
    <w:rsid w:val="00A1057C"/>
    <w:rsid w:val="00A10E7F"/>
    <w:rsid w:val="00A11628"/>
    <w:rsid w:val="00A11B5E"/>
    <w:rsid w:val="00A11C6B"/>
    <w:rsid w:val="00A139B2"/>
    <w:rsid w:val="00A13D6F"/>
    <w:rsid w:val="00A14377"/>
    <w:rsid w:val="00A14C57"/>
    <w:rsid w:val="00A1525F"/>
    <w:rsid w:val="00A154A1"/>
    <w:rsid w:val="00A1567B"/>
    <w:rsid w:val="00A15C97"/>
    <w:rsid w:val="00A16C75"/>
    <w:rsid w:val="00A16D74"/>
    <w:rsid w:val="00A16E99"/>
    <w:rsid w:val="00A17863"/>
    <w:rsid w:val="00A178E5"/>
    <w:rsid w:val="00A17D0F"/>
    <w:rsid w:val="00A202D8"/>
    <w:rsid w:val="00A208A2"/>
    <w:rsid w:val="00A20C16"/>
    <w:rsid w:val="00A2101A"/>
    <w:rsid w:val="00A21DB7"/>
    <w:rsid w:val="00A22211"/>
    <w:rsid w:val="00A22231"/>
    <w:rsid w:val="00A22460"/>
    <w:rsid w:val="00A225D5"/>
    <w:rsid w:val="00A2348D"/>
    <w:rsid w:val="00A235B3"/>
    <w:rsid w:val="00A23602"/>
    <w:rsid w:val="00A2492F"/>
    <w:rsid w:val="00A24B86"/>
    <w:rsid w:val="00A2545D"/>
    <w:rsid w:val="00A255DE"/>
    <w:rsid w:val="00A25C4F"/>
    <w:rsid w:val="00A27653"/>
    <w:rsid w:val="00A278D1"/>
    <w:rsid w:val="00A3005B"/>
    <w:rsid w:val="00A30065"/>
    <w:rsid w:val="00A30A4C"/>
    <w:rsid w:val="00A31BB5"/>
    <w:rsid w:val="00A32D20"/>
    <w:rsid w:val="00A32D65"/>
    <w:rsid w:val="00A34145"/>
    <w:rsid w:val="00A34C2F"/>
    <w:rsid w:val="00A35AFB"/>
    <w:rsid w:val="00A3696D"/>
    <w:rsid w:val="00A36D3A"/>
    <w:rsid w:val="00A37072"/>
    <w:rsid w:val="00A373A9"/>
    <w:rsid w:val="00A37992"/>
    <w:rsid w:val="00A37A79"/>
    <w:rsid w:val="00A37C2C"/>
    <w:rsid w:val="00A40955"/>
    <w:rsid w:val="00A41AC8"/>
    <w:rsid w:val="00A43BAE"/>
    <w:rsid w:val="00A4465F"/>
    <w:rsid w:val="00A44C2F"/>
    <w:rsid w:val="00A46EB3"/>
    <w:rsid w:val="00A4751D"/>
    <w:rsid w:val="00A5070F"/>
    <w:rsid w:val="00A5075E"/>
    <w:rsid w:val="00A513DF"/>
    <w:rsid w:val="00A51670"/>
    <w:rsid w:val="00A51F47"/>
    <w:rsid w:val="00A5240D"/>
    <w:rsid w:val="00A52B47"/>
    <w:rsid w:val="00A52C06"/>
    <w:rsid w:val="00A532B2"/>
    <w:rsid w:val="00A5522D"/>
    <w:rsid w:val="00A553E7"/>
    <w:rsid w:val="00A55804"/>
    <w:rsid w:val="00A558BD"/>
    <w:rsid w:val="00A55B6B"/>
    <w:rsid w:val="00A56C1D"/>
    <w:rsid w:val="00A56C1E"/>
    <w:rsid w:val="00A56EB8"/>
    <w:rsid w:val="00A56EDB"/>
    <w:rsid w:val="00A57455"/>
    <w:rsid w:val="00A6097A"/>
    <w:rsid w:val="00A60F7D"/>
    <w:rsid w:val="00A610C4"/>
    <w:rsid w:val="00A61B99"/>
    <w:rsid w:val="00A61E41"/>
    <w:rsid w:val="00A621FA"/>
    <w:rsid w:val="00A626DC"/>
    <w:rsid w:val="00A62C45"/>
    <w:rsid w:val="00A63347"/>
    <w:rsid w:val="00A633C0"/>
    <w:rsid w:val="00A64BEC"/>
    <w:rsid w:val="00A66199"/>
    <w:rsid w:val="00A66916"/>
    <w:rsid w:val="00A66FA7"/>
    <w:rsid w:val="00A67A4D"/>
    <w:rsid w:val="00A67C54"/>
    <w:rsid w:val="00A67E14"/>
    <w:rsid w:val="00A706B4"/>
    <w:rsid w:val="00A70E74"/>
    <w:rsid w:val="00A71602"/>
    <w:rsid w:val="00A716A9"/>
    <w:rsid w:val="00A716F4"/>
    <w:rsid w:val="00A721A7"/>
    <w:rsid w:val="00A722D8"/>
    <w:rsid w:val="00A72825"/>
    <w:rsid w:val="00A72849"/>
    <w:rsid w:val="00A73086"/>
    <w:rsid w:val="00A73EEE"/>
    <w:rsid w:val="00A752E7"/>
    <w:rsid w:val="00A75AFE"/>
    <w:rsid w:val="00A75FA3"/>
    <w:rsid w:val="00A76082"/>
    <w:rsid w:val="00A76632"/>
    <w:rsid w:val="00A76E20"/>
    <w:rsid w:val="00A777F3"/>
    <w:rsid w:val="00A779F9"/>
    <w:rsid w:val="00A80387"/>
    <w:rsid w:val="00A80578"/>
    <w:rsid w:val="00A81FB2"/>
    <w:rsid w:val="00A8223A"/>
    <w:rsid w:val="00A82386"/>
    <w:rsid w:val="00A8303D"/>
    <w:rsid w:val="00A83804"/>
    <w:rsid w:val="00A84931"/>
    <w:rsid w:val="00A85035"/>
    <w:rsid w:val="00A8507F"/>
    <w:rsid w:val="00A8566C"/>
    <w:rsid w:val="00A86A46"/>
    <w:rsid w:val="00A86B70"/>
    <w:rsid w:val="00A86E57"/>
    <w:rsid w:val="00A8704F"/>
    <w:rsid w:val="00A8767A"/>
    <w:rsid w:val="00A9005D"/>
    <w:rsid w:val="00A90654"/>
    <w:rsid w:val="00A90C2B"/>
    <w:rsid w:val="00A90F0E"/>
    <w:rsid w:val="00A9151C"/>
    <w:rsid w:val="00A91DE5"/>
    <w:rsid w:val="00A9406C"/>
    <w:rsid w:val="00A944AC"/>
    <w:rsid w:val="00A94A4B"/>
    <w:rsid w:val="00A94AD3"/>
    <w:rsid w:val="00A950A1"/>
    <w:rsid w:val="00A95120"/>
    <w:rsid w:val="00A95609"/>
    <w:rsid w:val="00A959E3"/>
    <w:rsid w:val="00A960D5"/>
    <w:rsid w:val="00A962AA"/>
    <w:rsid w:val="00A968B1"/>
    <w:rsid w:val="00A96C6C"/>
    <w:rsid w:val="00A96CE9"/>
    <w:rsid w:val="00A96DDC"/>
    <w:rsid w:val="00A97D69"/>
    <w:rsid w:val="00AA0753"/>
    <w:rsid w:val="00AA0D10"/>
    <w:rsid w:val="00AA1229"/>
    <w:rsid w:val="00AA1769"/>
    <w:rsid w:val="00AA1D94"/>
    <w:rsid w:val="00AA2294"/>
    <w:rsid w:val="00AA267E"/>
    <w:rsid w:val="00AA29E3"/>
    <w:rsid w:val="00AA2B00"/>
    <w:rsid w:val="00AA2D85"/>
    <w:rsid w:val="00AA3897"/>
    <w:rsid w:val="00AA3F2E"/>
    <w:rsid w:val="00AA46C1"/>
    <w:rsid w:val="00AA4781"/>
    <w:rsid w:val="00AA4BD2"/>
    <w:rsid w:val="00AA53E6"/>
    <w:rsid w:val="00AA6719"/>
    <w:rsid w:val="00AB00D4"/>
    <w:rsid w:val="00AB017A"/>
    <w:rsid w:val="00AB0425"/>
    <w:rsid w:val="00AB0ADE"/>
    <w:rsid w:val="00AB3337"/>
    <w:rsid w:val="00AB376C"/>
    <w:rsid w:val="00AB3B4E"/>
    <w:rsid w:val="00AB4293"/>
    <w:rsid w:val="00AB46B1"/>
    <w:rsid w:val="00AB577F"/>
    <w:rsid w:val="00AB5AE7"/>
    <w:rsid w:val="00AB63EB"/>
    <w:rsid w:val="00AB64FC"/>
    <w:rsid w:val="00AB6615"/>
    <w:rsid w:val="00AB698E"/>
    <w:rsid w:val="00AB7C34"/>
    <w:rsid w:val="00AC01DC"/>
    <w:rsid w:val="00AC0AD2"/>
    <w:rsid w:val="00AC0FF9"/>
    <w:rsid w:val="00AC1948"/>
    <w:rsid w:val="00AC25AE"/>
    <w:rsid w:val="00AC2A39"/>
    <w:rsid w:val="00AC34AF"/>
    <w:rsid w:val="00AC42D4"/>
    <w:rsid w:val="00AC4C3B"/>
    <w:rsid w:val="00AC4FDD"/>
    <w:rsid w:val="00AD0797"/>
    <w:rsid w:val="00AD079A"/>
    <w:rsid w:val="00AD099D"/>
    <w:rsid w:val="00AD1C23"/>
    <w:rsid w:val="00AD2221"/>
    <w:rsid w:val="00AD277A"/>
    <w:rsid w:val="00AD2D26"/>
    <w:rsid w:val="00AD3BD8"/>
    <w:rsid w:val="00AD3DF5"/>
    <w:rsid w:val="00AD3FE0"/>
    <w:rsid w:val="00AD4245"/>
    <w:rsid w:val="00AD53D2"/>
    <w:rsid w:val="00AD57A8"/>
    <w:rsid w:val="00AD5B66"/>
    <w:rsid w:val="00AD5CB7"/>
    <w:rsid w:val="00AD65B8"/>
    <w:rsid w:val="00AD6922"/>
    <w:rsid w:val="00AD69BA"/>
    <w:rsid w:val="00AD76A7"/>
    <w:rsid w:val="00AD7AB2"/>
    <w:rsid w:val="00AD7CF0"/>
    <w:rsid w:val="00AE025C"/>
    <w:rsid w:val="00AE080C"/>
    <w:rsid w:val="00AE0C11"/>
    <w:rsid w:val="00AE1438"/>
    <w:rsid w:val="00AE17E5"/>
    <w:rsid w:val="00AE20A7"/>
    <w:rsid w:val="00AE2B7F"/>
    <w:rsid w:val="00AE2F7F"/>
    <w:rsid w:val="00AE2FC7"/>
    <w:rsid w:val="00AE42C1"/>
    <w:rsid w:val="00AE42D3"/>
    <w:rsid w:val="00AE5F1E"/>
    <w:rsid w:val="00AE6DD5"/>
    <w:rsid w:val="00AE70AC"/>
    <w:rsid w:val="00AE725F"/>
    <w:rsid w:val="00AE75C4"/>
    <w:rsid w:val="00AE7B91"/>
    <w:rsid w:val="00AF0E35"/>
    <w:rsid w:val="00AF12CD"/>
    <w:rsid w:val="00AF1506"/>
    <w:rsid w:val="00AF2214"/>
    <w:rsid w:val="00AF3C88"/>
    <w:rsid w:val="00AF5418"/>
    <w:rsid w:val="00AF555A"/>
    <w:rsid w:val="00AF574F"/>
    <w:rsid w:val="00AF5B59"/>
    <w:rsid w:val="00AF6DD9"/>
    <w:rsid w:val="00AF72BD"/>
    <w:rsid w:val="00AF79B6"/>
    <w:rsid w:val="00B000EA"/>
    <w:rsid w:val="00B0254A"/>
    <w:rsid w:val="00B02C8C"/>
    <w:rsid w:val="00B03562"/>
    <w:rsid w:val="00B03580"/>
    <w:rsid w:val="00B03978"/>
    <w:rsid w:val="00B03EBA"/>
    <w:rsid w:val="00B0424A"/>
    <w:rsid w:val="00B048C4"/>
    <w:rsid w:val="00B04F0B"/>
    <w:rsid w:val="00B0505C"/>
    <w:rsid w:val="00B05BC3"/>
    <w:rsid w:val="00B05C78"/>
    <w:rsid w:val="00B05D0F"/>
    <w:rsid w:val="00B061BE"/>
    <w:rsid w:val="00B069AD"/>
    <w:rsid w:val="00B06B06"/>
    <w:rsid w:val="00B06B61"/>
    <w:rsid w:val="00B06FCE"/>
    <w:rsid w:val="00B0714C"/>
    <w:rsid w:val="00B104CE"/>
    <w:rsid w:val="00B1076D"/>
    <w:rsid w:val="00B11672"/>
    <w:rsid w:val="00B11D78"/>
    <w:rsid w:val="00B1322E"/>
    <w:rsid w:val="00B13267"/>
    <w:rsid w:val="00B1394C"/>
    <w:rsid w:val="00B14F07"/>
    <w:rsid w:val="00B14FC7"/>
    <w:rsid w:val="00B1510F"/>
    <w:rsid w:val="00B15CFD"/>
    <w:rsid w:val="00B16083"/>
    <w:rsid w:val="00B162EC"/>
    <w:rsid w:val="00B17100"/>
    <w:rsid w:val="00B1711C"/>
    <w:rsid w:val="00B205E9"/>
    <w:rsid w:val="00B206E0"/>
    <w:rsid w:val="00B207B8"/>
    <w:rsid w:val="00B208A8"/>
    <w:rsid w:val="00B20B3A"/>
    <w:rsid w:val="00B20BC3"/>
    <w:rsid w:val="00B2370C"/>
    <w:rsid w:val="00B238C2"/>
    <w:rsid w:val="00B24584"/>
    <w:rsid w:val="00B25F38"/>
    <w:rsid w:val="00B2630B"/>
    <w:rsid w:val="00B2780E"/>
    <w:rsid w:val="00B27997"/>
    <w:rsid w:val="00B27B05"/>
    <w:rsid w:val="00B27EDC"/>
    <w:rsid w:val="00B3045E"/>
    <w:rsid w:val="00B30681"/>
    <w:rsid w:val="00B30F84"/>
    <w:rsid w:val="00B30FB3"/>
    <w:rsid w:val="00B3185A"/>
    <w:rsid w:val="00B31975"/>
    <w:rsid w:val="00B32147"/>
    <w:rsid w:val="00B321AA"/>
    <w:rsid w:val="00B3268D"/>
    <w:rsid w:val="00B329C1"/>
    <w:rsid w:val="00B32D8A"/>
    <w:rsid w:val="00B33959"/>
    <w:rsid w:val="00B3476D"/>
    <w:rsid w:val="00B34E65"/>
    <w:rsid w:val="00B34F5D"/>
    <w:rsid w:val="00B35C6B"/>
    <w:rsid w:val="00B3647E"/>
    <w:rsid w:val="00B36B72"/>
    <w:rsid w:val="00B36E6C"/>
    <w:rsid w:val="00B3786C"/>
    <w:rsid w:val="00B37EFA"/>
    <w:rsid w:val="00B404EF"/>
    <w:rsid w:val="00B40916"/>
    <w:rsid w:val="00B412AB"/>
    <w:rsid w:val="00B425D2"/>
    <w:rsid w:val="00B42762"/>
    <w:rsid w:val="00B42ADE"/>
    <w:rsid w:val="00B42CD1"/>
    <w:rsid w:val="00B42E1E"/>
    <w:rsid w:val="00B4311F"/>
    <w:rsid w:val="00B4326C"/>
    <w:rsid w:val="00B43903"/>
    <w:rsid w:val="00B44CFB"/>
    <w:rsid w:val="00B4506B"/>
    <w:rsid w:val="00B450DF"/>
    <w:rsid w:val="00B45630"/>
    <w:rsid w:val="00B45652"/>
    <w:rsid w:val="00B458C3"/>
    <w:rsid w:val="00B45B16"/>
    <w:rsid w:val="00B46B78"/>
    <w:rsid w:val="00B47DEA"/>
    <w:rsid w:val="00B50673"/>
    <w:rsid w:val="00B508F6"/>
    <w:rsid w:val="00B50BBE"/>
    <w:rsid w:val="00B51D66"/>
    <w:rsid w:val="00B524B0"/>
    <w:rsid w:val="00B5289F"/>
    <w:rsid w:val="00B52A11"/>
    <w:rsid w:val="00B52C49"/>
    <w:rsid w:val="00B52EB3"/>
    <w:rsid w:val="00B5316D"/>
    <w:rsid w:val="00B538CC"/>
    <w:rsid w:val="00B53E57"/>
    <w:rsid w:val="00B5419D"/>
    <w:rsid w:val="00B542E1"/>
    <w:rsid w:val="00B54A9A"/>
    <w:rsid w:val="00B54FF7"/>
    <w:rsid w:val="00B551D9"/>
    <w:rsid w:val="00B555A8"/>
    <w:rsid w:val="00B55760"/>
    <w:rsid w:val="00B57452"/>
    <w:rsid w:val="00B57F7C"/>
    <w:rsid w:val="00B57FAD"/>
    <w:rsid w:val="00B60B8A"/>
    <w:rsid w:val="00B6101B"/>
    <w:rsid w:val="00B61318"/>
    <w:rsid w:val="00B6259C"/>
    <w:rsid w:val="00B6259F"/>
    <w:rsid w:val="00B6262F"/>
    <w:rsid w:val="00B63770"/>
    <w:rsid w:val="00B63A81"/>
    <w:rsid w:val="00B63E8C"/>
    <w:rsid w:val="00B641B8"/>
    <w:rsid w:val="00B6492E"/>
    <w:rsid w:val="00B64CD9"/>
    <w:rsid w:val="00B651B2"/>
    <w:rsid w:val="00B66327"/>
    <w:rsid w:val="00B67393"/>
    <w:rsid w:val="00B678DC"/>
    <w:rsid w:val="00B67E76"/>
    <w:rsid w:val="00B702D4"/>
    <w:rsid w:val="00B70604"/>
    <w:rsid w:val="00B71B59"/>
    <w:rsid w:val="00B71C53"/>
    <w:rsid w:val="00B73225"/>
    <w:rsid w:val="00B742B3"/>
    <w:rsid w:val="00B75E4F"/>
    <w:rsid w:val="00B768A7"/>
    <w:rsid w:val="00B76D6E"/>
    <w:rsid w:val="00B77646"/>
    <w:rsid w:val="00B77C21"/>
    <w:rsid w:val="00B80ACB"/>
    <w:rsid w:val="00B81437"/>
    <w:rsid w:val="00B822C9"/>
    <w:rsid w:val="00B8237B"/>
    <w:rsid w:val="00B824C5"/>
    <w:rsid w:val="00B82F67"/>
    <w:rsid w:val="00B832F8"/>
    <w:rsid w:val="00B83AF7"/>
    <w:rsid w:val="00B84943"/>
    <w:rsid w:val="00B8534D"/>
    <w:rsid w:val="00B85422"/>
    <w:rsid w:val="00B8639C"/>
    <w:rsid w:val="00B863D6"/>
    <w:rsid w:val="00B863E9"/>
    <w:rsid w:val="00B86882"/>
    <w:rsid w:val="00B86ED5"/>
    <w:rsid w:val="00B870C0"/>
    <w:rsid w:val="00B87136"/>
    <w:rsid w:val="00B874F0"/>
    <w:rsid w:val="00B90356"/>
    <w:rsid w:val="00B90E17"/>
    <w:rsid w:val="00B91F9C"/>
    <w:rsid w:val="00B938E0"/>
    <w:rsid w:val="00B94184"/>
    <w:rsid w:val="00B94192"/>
    <w:rsid w:val="00B95FFD"/>
    <w:rsid w:val="00B96C1E"/>
    <w:rsid w:val="00BA050B"/>
    <w:rsid w:val="00BA051E"/>
    <w:rsid w:val="00BA0902"/>
    <w:rsid w:val="00BA0A9A"/>
    <w:rsid w:val="00BA0CE2"/>
    <w:rsid w:val="00BA0D15"/>
    <w:rsid w:val="00BA1F13"/>
    <w:rsid w:val="00BA2938"/>
    <w:rsid w:val="00BA2C4B"/>
    <w:rsid w:val="00BA2D74"/>
    <w:rsid w:val="00BA2DEE"/>
    <w:rsid w:val="00BA2E18"/>
    <w:rsid w:val="00BA3A85"/>
    <w:rsid w:val="00BA3B13"/>
    <w:rsid w:val="00BA479F"/>
    <w:rsid w:val="00BA4858"/>
    <w:rsid w:val="00BA4ABF"/>
    <w:rsid w:val="00BA5E67"/>
    <w:rsid w:val="00BA6FF6"/>
    <w:rsid w:val="00BA750C"/>
    <w:rsid w:val="00BA7587"/>
    <w:rsid w:val="00BA7D5E"/>
    <w:rsid w:val="00BA7FB0"/>
    <w:rsid w:val="00BB04C5"/>
    <w:rsid w:val="00BB04EA"/>
    <w:rsid w:val="00BB06C0"/>
    <w:rsid w:val="00BB0BF2"/>
    <w:rsid w:val="00BB100B"/>
    <w:rsid w:val="00BB1859"/>
    <w:rsid w:val="00BB1CCB"/>
    <w:rsid w:val="00BB2D8E"/>
    <w:rsid w:val="00BB362E"/>
    <w:rsid w:val="00BB3663"/>
    <w:rsid w:val="00BB3F71"/>
    <w:rsid w:val="00BB4112"/>
    <w:rsid w:val="00BB4DE3"/>
    <w:rsid w:val="00BB6174"/>
    <w:rsid w:val="00BB6BDD"/>
    <w:rsid w:val="00BB71C8"/>
    <w:rsid w:val="00BB71D1"/>
    <w:rsid w:val="00BC18F7"/>
    <w:rsid w:val="00BC22CB"/>
    <w:rsid w:val="00BC3099"/>
    <w:rsid w:val="00BC3DDA"/>
    <w:rsid w:val="00BC3EDF"/>
    <w:rsid w:val="00BC448A"/>
    <w:rsid w:val="00BC5162"/>
    <w:rsid w:val="00BC576C"/>
    <w:rsid w:val="00BC5EA9"/>
    <w:rsid w:val="00BC5FC4"/>
    <w:rsid w:val="00BC6087"/>
    <w:rsid w:val="00BC6768"/>
    <w:rsid w:val="00BC7787"/>
    <w:rsid w:val="00BC77E5"/>
    <w:rsid w:val="00BD0369"/>
    <w:rsid w:val="00BD1414"/>
    <w:rsid w:val="00BD17E3"/>
    <w:rsid w:val="00BD43D4"/>
    <w:rsid w:val="00BD479E"/>
    <w:rsid w:val="00BD5E97"/>
    <w:rsid w:val="00BD5FBD"/>
    <w:rsid w:val="00BD63B4"/>
    <w:rsid w:val="00BD78F6"/>
    <w:rsid w:val="00BD7DFF"/>
    <w:rsid w:val="00BE00AC"/>
    <w:rsid w:val="00BE08E7"/>
    <w:rsid w:val="00BE1699"/>
    <w:rsid w:val="00BE1ACA"/>
    <w:rsid w:val="00BE206F"/>
    <w:rsid w:val="00BE26BF"/>
    <w:rsid w:val="00BE3F12"/>
    <w:rsid w:val="00BE4C1A"/>
    <w:rsid w:val="00BE5086"/>
    <w:rsid w:val="00BE5429"/>
    <w:rsid w:val="00BE6271"/>
    <w:rsid w:val="00BE6446"/>
    <w:rsid w:val="00BE7188"/>
    <w:rsid w:val="00BE76CB"/>
    <w:rsid w:val="00BE7C5A"/>
    <w:rsid w:val="00BF036F"/>
    <w:rsid w:val="00BF2331"/>
    <w:rsid w:val="00BF247C"/>
    <w:rsid w:val="00BF3C16"/>
    <w:rsid w:val="00BF4596"/>
    <w:rsid w:val="00BF4A89"/>
    <w:rsid w:val="00BF537E"/>
    <w:rsid w:val="00BF53ED"/>
    <w:rsid w:val="00BF5BC8"/>
    <w:rsid w:val="00BF5CCB"/>
    <w:rsid w:val="00BF5DE9"/>
    <w:rsid w:val="00BF5EA1"/>
    <w:rsid w:val="00BF6EE8"/>
    <w:rsid w:val="00BF749D"/>
    <w:rsid w:val="00BF7611"/>
    <w:rsid w:val="00BF76CC"/>
    <w:rsid w:val="00BF78E8"/>
    <w:rsid w:val="00BF7F6F"/>
    <w:rsid w:val="00C002F0"/>
    <w:rsid w:val="00C00C4A"/>
    <w:rsid w:val="00C013CA"/>
    <w:rsid w:val="00C01CEA"/>
    <w:rsid w:val="00C01CED"/>
    <w:rsid w:val="00C024E6"/>
    <w:rsid w:val="00C02B0D"/>
    <w:rsid w:val="00C0353D"/>
    <w:rsid w:val="00C046F3"/>
    <w:rsid w:val="00C049B6"/>
    <w:rsid w:val="00C05805"/>
    <w:rsid w:val="00C06017"/>
    <w:rsid w:val="00C070F7"/>
    <w:rsid w:val="00C07904"/>
    <w:rsid w:val="00C07981"/>
    <w:rsid w:val="00C07B90"/>
    <w:rsid w:val="00C10570"/>
    <w:rsid w:val="00C10A41"/>
    <w:rsid w:val="00C10C7E"/>
    <w:rsid w:val="00C10EB5"/>
    <w:rsid w:val="00C10F74"/>
    <w:rsid w:val="00C11A90"/>
    <w:rsid w:val="00C11AD9"/>
    <w:rsid w:val="00C11D2E"/>
    <w:rsid w:val="00C121FC"/>
    <w:rsid w:val="00C12354"/>
    <w:rsid w:val="00C12364"/>
    <w:rsid w:val="00C1250B"/>
    <w:rsid w:val="00C12902"/>
    <w:rsid w:val="00C12D43"/>
    <w:rsid w:val="00C14682"/>
    <w:rsid w:val="00C153D2"/>
    <w:rsid w:val="00C1577F"/>
    <w:rsid w:val="00C16629"/>
    <w:rsid w:val="00C16646"/>
    <w:rsid w:val="00C170EC"/>
    <w:rsid w:val="00C17723"/>
    <w:rsid w:val="00C20F58"/>
    <w:rsid w:val="00C21115"/>
    <w:rsid w:val="00C21282"/>
    <w:rsid w:val="00C22003"/>
    <w:rsid w:val="00C221C4"/>
    <w:rsid w:val="00C22449"/>
    <w:rsid w:val="00C22E27"/>
    <w:rsid w:val="00C22F80"/>
    <w:rsid w:val="00C22FD8"/>
    <w:rsid w:val="00C242DA"/>
    <w:rsid w:val="00C24704"/>
    <w:rsid w:val="00C2499F"/>
    <w:rsid w:val="00C249A0"/>
    <w:rsid w:val="00C24EE9"/>
    <w:rsid w:val="00C260C2"/>
    <w:rsid w:val="00C26B29"/>
    <w:rsid w:val="00C2729C"/>
    <w:rsid w:val="00C275F1"/>
    <w:rsid w:val="00C27E49"/>
    <w:rsid w:val="00C315FB"/>
    <w:rsid w:val="00C31C90"/>
    <w:rsid w:val="00C32A93"/>
    <w:rsid w:val="00C32EE1"/>
    <w:rsid w:val="00C33326"/>
    <w:rsid w:val="00C33518"/>
    <w:rsid w:val="00C33CC7"/>
    <w:rsid w:val="00C375AB"/>
    <w:rsid w:val="00C4014E"/>
    <w:rsid w:val="00C40CCB"/>
    <w:rsid w:val="00C412BF"/>
    <w:rsid w:val="00C413A3"/>
    <w:rsid w:val="00C41BAA"/>
    <w:rsid w:val="00C41D39"/>
    <w:rsid w:val="00C425E2"/>
    <w:rsid w:val="00C428DD"/>
    <w:rsid w:val="00C42A1A"/>
    <w:rsid w:val="00C42C15"/>
    <w:rsid w:val="00C43159"/>
    <w:rsid w:val="00C43DBC"/>
    <w:rsid w:val="00C44138"/>
    <w:rsid w:val="00C44216"/>
    <w:rsid w:val="00C444CA"/>
    <w:rsid w:val="00C448A4"/>
    <w:rsid w:val="00C44E09"/>
    <w:rsid w:val="00C45743"/>
    <w:rsid w:val="00C45772"/>
    <w:rsid w:val="00C4661D"/>
    <w:rsid w:val="00C4711D"/>
    <w:rsid w:val="00C474BB"/>
    <w:rsid w:val="00C4775F"/>
    <w:rsid w:val="00C47BCE"/>
    <w:rsid w:val="00C51790"/>
    <w:rsid w:val="00C52124"/>
    <w:rsid w:val="00C52A86"/>
    <w:rsid w:val="00C52F6D"/>
    <w:rsid w:val="00C53966"/>
    <w:rsid w:val="00C53A2B"/>
    <w:rsid w:val="00C53AFE"/>
    <w:rsid w:val="00C53B2A"/>
    <w:rsid w:val="00C53FF0"/>
    <w:rsid w:val="00C54176"/>
    <w:rsid w:val="00C54846"/>
    <w:rsid w:val="00C54C8C"/>
    <w:rsid w:val="00C54FEF"/>
    <w:rsid w:val="00C550BF"/>
    <w:rsid w:val="00C57840"/>
    <w:rsid w:val="00C57D92"/>
    <w:rsid w:val="00C57E86"/>
    <w:rsid w:val="00C603CA"/>
    <w:rsid w:val="00C611C3"/>
    <w:rsid w:val="00C61206"/>
    <w:rsid w:val="00C61A1D"/>
    <w:rsid w:val="00C63042"/>
    <w:rsid w:val="00C63160"/>
    <w:rsid w:val="00C632B1"/>
    <w:rsid w:val="00C63688"/>
    <w:rsid w:val="00C6382A"/>
    <w:rsid w:val="00C63B56"/>
    <w:rsid w:val="00C641EF"/>
    <w:rsid w:val="00C6433B"/>
    <w:rsid w:val="00C650AE"/>
    <w:rsid w:val="00C654AA"/>
    <w:rsid w:val="00C65897"/>
    <w:rsid w:val="00C663AE"/>
    <w:rsid w:val="00C66DD5"/>
    <w:rsid w:val="00C67795"/>
    <w:rsid w:val="00C67B14"/>
    <w:rsid w:val="00C7019C"/>
    <w:rsid w:val="00C70587"/>
    <w:rsid w:val="00C705D8"/>
    <w:rsid w:val="00C707F2"/>
    <w:rsid w:val="00C70A74"/>
    <w:rsid w:val="00C70B94"/>
    <w:rsid w:val="00C7355F"/>
    <w:rsid w:val="00C735C3"/>
    <w:rsid w:val="00C75724"/>
    <w:rsid w:val="00C7589B"/>
    <w:rsid w:val="00C75BFE"/>
    <w:rsid w:val="00C768D4"/>
    <w:rsid w:val="00C81E16"/>
    <w:rsid w:val="00C820DA"/>
    <w:rsid w:val="00C822AD"/>
    <w:rsid w:val="00C8263C"/>
    <w:rsid w:val="00C8321D"/>
    <w:rsid w:val="00C83B23"/>
    <w:rsid w:val="00C849CD"/>
    <w:rsid w:val="00C85420"/>
    <w:rsid w:val="00C854B2"/>
    <w:rsid w:val="00C8562E"/>
    <w:rsid w:val="00C85735"/>
    <w:rsid w:val="00C86550"/>
    <w:rsid w:val="00C906AB"/>
    <w:rsid w:val="00C90947"/>
    <w:rsid w:val="00C914AE"/>
    <w:rsid w:val="00C91DA6"/>
    <w:rsid w:val="00C949EE"/>
    <w:rsid w:val="00C94A30"/>
    <w:rsid w:val="00C952FC"/>
    <w:rsid w:val="00C956E5"/>
    <w:rsid w:val="00C95EDD"/>
    <w:rsid w:val="00C96840"/>
    <w:rsid w:val="00C9750B"/>
    <w:rsid w:val="00C977BA"/>
    <w:rsid w:val="00CA02DB"/>
    <w:rsid w:val="00CA2A6F"/>
    <w:rsid w:val="00CA320B"/>
    <w:rsid w:val="00CA398C"/>
    <w:rsid w:val="00CA39D0"/>
    <w:rsid w:val="00CA4423"/>
    <w:rsid w:val="00CA4C80"/>
    <w:rsid w:val="00CA4D1D"/>
    <w:rsid w:val="00CA5724"/>
    <w:rsid w:val="00CA5FE5"/>
    <w:rsid w:val="00CA667B"/>
    <w:rsid w:val="00CA7149"/>
    <w:rsid w:val="00CA7239"/>
    <w:rsid w:val="00CB0AC5"/>
    <w:rsid w:val="00CB0EFE"/>
    <w:rsid w:val="00CB14E2"/>
    <w:rsid w:val="00CB2971"/>
    <w:rsid w:val="00CB2EC1"/>
    <w:rsid w:val="00CB394F"/>
    <w:rsid w:val="00CB3ED0"/>
    <w:rsid w:val="00CB3F96"/>
    <w:rsid w:val="00CB412F"/>
    <w:rsid w:val="00CB468F"/>
    <w:rsid w:val="00CB4F9F"/>
    <w:rsid w:val="00CB5B4F"/>
    <w:rsid w:val="00CB6EEF"/>
    <w:rsid w:val="00CC03FF"/>
    <w:rsid w:val="00CC16D6"/>
    <w:rsid w:val="00CC1F90"/>
    <w:rsid w:val="00CC23A9"/>
    <w:rsid w:val="00CC23F9"/>
    <w:rsid w:val="00CC26CB"/>
    <w:rsid w:val="00CC2980"/>
    <w:rsid w:val="00CC324D"/>
    <w:rsid w:val="00CC3A8E"/>
    <w:rsid w:val="00CC3C20"/>
    <w:rsid w:val="00CC422B"/>
    <w:rsid w:val="00CC4852"/>
    <w:rsid w:val="00CC5542"/>
    <w:rsid w:val="00CC5F30"/>
    <w:rsid w:val="00CC70A4"/>
    <w:rsid w:val="00CD01B9"/>
    <w:rsid w:val="00CD0204"/>
    <w:rsid w:val="00CD02B3"/>
    <w:rsid w:val="00CD040A"/>
    <w:rsid w:val="00CD05A7"/>
    <w:rsid w:val="00CD08DC"/>
    <w:rsid w:val="00CD0AE5"/>
    <w:rsid w:val="00CD11C0"/>
    <w:rsid w:val="00CD211E"/>
    <w:rsid w:val="00CD2746"/>
    <w:rsid w:val="00CD2A3D"/>
    <w:rsid w:val="00CD2CC4"/>
    <w:rsid w:val="00CD2F59"/>
    <w:rsid w:val="00CD37A1"/>
    <w:rsid w:val="00CD39B2"/>
    <w:rsid w:val="00CD3DAF"/>
    <w:rsid w:val="00CD43CE"/>
    <w:rsid w:val="00CD4718"/>
    <w:rsid w:val="00CD4A31"/>
    <w:rsid w:val="00CD4D48"/>
    <w:rsid w:val="00CD51AF"/>
    <w:rsid w:val="00CD54D6"/>
    <w:rsid w:val="00CD5B70"/>
    <w:rsid w:val="00CD618A"/>
    <w:rsid w:val="00CD6578"/>
    <w:rsid w:val="00CD6AF8"/>
    <w:rsid w:val="00CD6C77"/>
    <w:rsid w:val="00CD7839"/>
    <w:rsid w:val="00CD78A5"/>
    <w:rsid w:val="00CD79DC"/>
    <w:rsid w:val="00CD7ED6"/>
    <w:rsid w:val="00CE05AA"/>
    <w:rsid w:val="00CE0E8C"/>
    <w:rsid w:val="00CE10CE"/>
    <w:rsid w:val="00CE14CC"/>
    <w:rsid w:val="00CE1616"/>
    <w:rsid w:val="00CE1B08"/>
    <w:rsid w:val="00CE20A9"/>
    <w:rsid w:val="00CE2F1E"/>
    <w:rsid w:val="00CE5081"/>
    <w:rsid w:val="00CE5161"/>
    <w:rsid w:val="00CE5B16"/>
    <w:rsid w:val="00CE5E6C"/>
    <w:rsid w:val="00CE70B1"/>
    <w:rsid w:val="00CE7E81"/>
    <w:rsid w:val="00CF0336"/>
    <w:rsid w:val="00CF0475"/>
    <w:rsid w:val="00CF0D85"/>
    <w:rsid w:val="00CF1006"/>
    <w:rsid w:val="00CF14C0"/>
    <w:rsid w:val="00CF1690"/>
    <w:rsid w:val="00CF21B4"/>
    <w:rsid w:val="00CF2291"/>
    <w:rsid w:val="00CF2AA3"/>
    <w:rsid w:val="00CF2DF8"/>
    <w:rsid w:val="00CF319C"/>
    <w:rsid w:val="00CF378F"/>
    <w:rsid w:val="00CF3B90"/>
    <w:rsid w:val="00CF452C"/>
    <w:rsid w:val="00CF4667"/>
    <w:rsid w:val="00CF4CFB"/>
    <w:rsid w:val="00CF4CFC"/>
    <w:rsid w:val="00CF55B2"/>
    <w:rsid w:val="00CF56A8"/>
    <w:rsid w:val="00CF6070"/>
    <w:rsid w:val="00CF6829"/>
    <w:rsid w:val="00D00509"/>
    <w:rsid w:val="00D00E1D"/>
    <w:rsid w:val="00D018D9"/>
    <w:rsid w:val="00D02545"/>
    <w:rsid w:val="00D02AEC"/>
    <w:rsid w:val="00D02B2D"/>
    <w:rsid w:val="00D02CC6"/>
    <w:rsid w:val="00D02D00"/>
    <w:rsid w:val="00D02F77"/>
    <w:rsid w:val="00D02F87"/>
    <w:rsid w:val="00D02FDA"/>
    <w:rsid w:val="00D03021"/>
    <w:rsid w:val="00D0302A"/>
    <w:rsid w:val="00D03159"/>
    <w:rsid w:val="00D04852"/>
    <w:rsid w:val="00D04C9F"/>
    <w:rsid w:val="00D05BD7"/>
    <w:rsid w:val="00D05DA7"/>
    <w:rsid w:val="00D05E9B"/>
    <w:rsid w:val="00D07315"/>
    <w:rsid w:val="00D0773C"/>
    <w:rsid w:val="00D07D13"/>
    <w:rsid w:val="00D1017A"/>
    <w:rsid w:val="00D1063E"/>
    <w:rsid w:val="00D10EDD"/>
    <w:rsid w:val="00D114B5"/>
    <w:rsid w:val="00D11985"/>
    <w:rsid w:val="00D11C89"/>
    <w:rsid w:val="00D124E8"/>
    <w:rsid w:val="00D1277F"/>
    <w:rsid w:val="00D12D08"/>
    <w:rsid w:val="00D13020"/>
    <w:rsid w:val="00D1323C"/>
    <w:rsid w:val="00D1390E"/>
    <w:rsid w:val="00D139DF"/>
    <w:rsid w:val="00D13B3A"/>
    <w:rsid w:val="00D13B7F"/>
    <w:rsid w:val="00D15B5C"/>
    <w:rsid w:val="00D16300"/>
    <w:rsid w:val="00D16EC5"/>
    <w:rsid w:val="00D1707F"/>
    <w:rsid w:val="00D17C23"/>
    <w:rsid w:val="00D2115C"/>
    <w:rsid w:val="00D22307"/>
    <w:rsid w:val="00D22395"/>
    <w:rsid w:val="00D223A9"/>
    <w:rsid w:val="00D22AC2"/>
    <w:rsid w:val="00D23B79"/>
    <w:rsid w:val="00D23CDE"/>
    <w:rsid w:val="00D240D2"/>
    <w:rsid w:val="00D241D9"/>
    <w:rsid w:val="00D24C5D"/>
    <w:rsid w:val="00D24CB8"/>
    <w:rsid w:val="00D25115"/>
    <w:rsid w:val="00D2519C"/>
    <w:rsid w:val="00D25242"/>
    <w:rsid w:val="00D252CE"/>
    <w:rsid w:val="00D257CA"/>
    <w:rsid w:val="00D2660D"/>
    <w:rsid w:val="00D26C82"/>
    <w:rsid w:val="00D27539"/>
    <w:rsid w:val="00D276BD"/>
    <w:rsid w:val="00D27A98"/>
    <w:rsid w:val="00D300DA"/>
    <w:rsid w:val="00D305BF"/>
    <w:rsid w:val="00D30C6D"/>
    <w:rsid w:val="00D3116A"/>
    <w:rsid w:val="00D311E5"/>
    <w:rsid w:val="00D326E9"/>
    <w:rsid w:val="00D3294D"/>
    <w:rsid w:val="00D329A1"/>
    <w:rsid w:val="00D340F6"/>
    <w:rsid w:val="00D342DE"/>
    <w:rsid w:val="00D35BE3"/>
    <w:rsid w:val="00D363C7"/>
    <w:rsid w:val="00D366CC"/>
    <w:rsid w:val="00D368B1"/>
    <w:rsid w:val="00D37140"/>
    <w:rsid w:val="00D37575"/>
    <w:rsid w:val="00D37AB9"/>
    <w:rsid w:val="00D401A6"/>
    <w:rsid w:val="00D401F2"/>
    <w:rsid w:val="00D40553"/>
    <w:rsid w:val="00D40735"/>
    <w:rsid w:val="00D40BB7"/>
    <w:rsid w:val="00D41C20"/>
    <w:rsid w:val="00D4432A"/>
    <w:rsid w:val="00D44480"/>
    <w:rsid w:val="00D44558"/>
    <w:rsid w:val="00D44646"/>
    <w:rsid w:val="00D4574E"/>
    <w:rsid w:val="00D45A07"/>
    <w:rsid w:val="00D471F5"/>
    <w:rsid w:val="00D47A39"/>
    <w:rsid w:val="00D5036F"/>
    <w:rsid w:val="00D50535"/>
    <w:rsid w:val="00D51058"/>
    <w:rsid w:val="00D51193"/>
    <w:rsid w:val="00D512A0"/>
    <w:rsid w:val="00D51332"/>
    <w:rsid w:val="00D513D9"/>
    <w:rsid w:val="00D51BC3"/>
    <w:rsid w:val="00D51DDE"/>
    <w:rsid w:val="00D523EB"/>
    <w:rsid w:val="00D5247E"/>
    <w:rsid w:val="00D52E6C"/>
    <w:rsid w:val="00D5374C"/>
    <w:rsid w:val="00D53B4A"/>
    <w:rsid w:val="00D53BCC"/>
    <w:rsid w:val="00D543FE"/>
    <w:rsid w:val="00D54D10"/>
    <w:rsid w:val="00D54F32"/>
    <w:rsid w:val="00D56106"/>
    <w:rsid w:val="00D5709D"/>
    <w:rsid w:val="00D574B8"/>
    <w:rsid w:val="00D57CF3"/>
    <w:rsid w:val="00D57EC9"/>
    <w:rsid w:val="00D600F8"/>
    <w:rsid w:val="00D6109A"/>
    <w:rsid w:val="00D6175E"/>
    <w:rsid w:val="00D61F8F"/>
    <w:rsid w:val="00D61FE4"/>
    <w:rsid w:val="00D6215E"/>
    <w:rsid w:val="00D62426"/>
    <w:rsid w:val="00D63F51"/>
    <w:rsid w:val="00D64B9F"/>
    <w:rsid w:val="00D65550"/>
    <w:rsid w:val="00D65B4D"/>
    <w:rsid w:val="00D65F52"/>
    <w:rsid w:val="00D66708"/>
    <w:rsid w:val="00D667C6"/>
    <w:rsid w:val="00D66A65"/>
    <w:rsid w:val="00D66F52"/>
    <w:rsid w:val="00D670EB"/>
    <w:rsid w:val="00D67300"/>
    <w:rsid w:val="00D706E0"/>
    <w:rsid w:val="00D7071A"/>
    <w:rsid w:val="00D71A1B"/>
    <w:rsid w:val="00D71DCF"/>
    <w:rsid w:val="00D73185"/>
    <w:rsid w:val="00D73562"/>
    <w:rsid w:val="00D73E87"/>
    <w:rsid w:val="00D74365"/>
    <w:rsid w:val="00D744FB"/>
    <w:rsid w:val="00D74586"/>
    <w:rsid w:val="00D7498A"/>
    <w:rsid w:val="00D74ED9"/>
    <w:rsid w:val="00D75A96"/>
    <w:rsid w:val="00D762DF"/>
    <w:rsid w:val="00D771DF"/>
    <w:rsid w:val="00D7757D"/>
    <w:rsid w:val="00D77C46"/>
    <w:rsid w:val="00D80325"/>
    <w:rsid w:val="00D803C9"/>
    <w:rsid w:val="00D806E5"/>
    <w:rsid w:val="00D80816"/>
    <w:rsid w:val="00D80EA9"/>
    <w:rsid w:val="00D8187E"/>
    <w:rsid w:val="00D819A7"/>
    <w:rsid w:val="00D82B6F"/>
    <w:rsid w:val="00D82BD7"/>
    <w:rsid w:val="00D8363B"/>
    <w:rsid w:val="00D8483E"/>
    <w:rsid w:val="00D84872"/>
    <w:rsid w:val="00D84895"/>
    <w:rsid w:val="00D85307"/>
    <w:rsid w:val="00D856B8"/>
    <w:rsid w:val="00D85895"/>
    <w:rsid w:val="00D866AA"/>
    <w:rsid w:val="00D8709E"/>
    <w:rsid w:val="00D87348"/>
    <w:rsid w:val="00D90641"/>
    <w:rsid w:val="00D90A2D"/>
    <w:rsid w:val="00D913D3"/>
    <w:rsid w:val="00D9195F"/>
    <w:rsid w:val="00D92087"/>
    <w:rsid w:val="00D931D7"/>
    <w:rsid w:val="00D93AAD"/>
    <w:rsid w:val="00D93DCA"/>
    <w:rsid w:val="00D9596E"/>
    <w:rsid w:val="00D966B4"/>
    <w:rsid w:val="00D968E5"/>
    <w:rsid w:val="00D96E4E"/>
    <w:rsid w:val="00D9734D"/>
    <w:rsid w:val="00D97991"/>
    <w:rsid w:val="00D97C72"/>
    <w:rsid w:val="00DA027A"/>
    <w:rsid w:val="00DA1711"/>
    <w:rsid w:val="00DA1A72"/>
    <w:rsid w:val="00DA22D0"/>
    <w:rsid w:val="00DA29D6"/>
    <w:rsid w:val="00DA479B"/>
    <w:rsid w:val="00DA50EC"/>
    <w:rsid w:val="00DA5769"/>
    <w:rsid w:val="00DA59C7"/>
    <w:rsid w:val="00DA60E9"/>
    <w:rsid w:val="00DA655B"/>
    <w:rsid w:val="00DA77AE"/>
    <w:rsid w:val="00DA7A45"/>
    <w:rsid w:val="00DB009D"/>
    <w:rsid w:val="00DB0899"/>
    <w:rsid w:val="00DB0FE7"/>
    <w:rsid w:val="00DB13D2"/>
    <w:rsid w:val="00DB1451"/>
    <w:rsid w:val="00DB24C5"/>
    <w:rsid w:val="00DB2B14"/>
    <w:rsid w:val="00DB2B9B"/>
    <w:rsid w:val="00DB2E14"/>
    <w:rsid w:val="00DB3FF4"/>
    <w:rsid w:val="00DB49C9"/>
    <w:rsid w:val="00DB52F1"/>
    <w:rsid w:val="00DB545E"/>
    <w:rsid w:val="00DB74B8"/>
    <w:rsid w:val="00DC0E37"/>
    <w:rsid w:val="00DC1D1B"/>
    <w:rsid w:val="00DC1E4F"/>
    <w:rsid w:val="00DC226E"/>
    <w:rsid w:val="00DC284E"/>
    <w:rsid w:val="00DC2E38"/>
    <w:rsid w:val="00DC395E"/>
    <w:rsid w:val="00DC3B62"/>
    <w:rsid w:val="00DC414F"/>
    <w:rsid w:val="00DC47DB"/>
    <w:rsid w:val="00DC49A5"/>
    <w:rsid w:val="00DC4B41"/>
    <w:rsid w:val="00DC52B9"/>
    <w:rsid w:val="00DC59BE"/>
    <w:rsid w:val="00DC6D03"/>
    <w:rsid w:val="00DC708A"/>
    <w:rsid w:val="00DC77E8"/>
    <w:rsid w:val="00DC7A67"/>
    <w:rsid w:val="00DC7A6E"/>
    <w:rsid w:val="00DD0984"/>
    <w:rsid w:val="00DD0B93"/>
    <w:rsid w:val="00DD0D8F"/>
    <w:rsid w:val="00DD0F3C"/>
    <w:rsid w:val="00DD15DB"/>
    <w:rsid w:val="00DD172E"/>
    <w:rsid w:val="00DD1B62"/>
    <w:rsid w:val="00DD1DC9"/>
    <w:rsid w:val="00DD281D"/>
    <w:rsid w:val="00DD2D61"/>
    <w:rsid w:val="00DD33B4"/>
    <w:rsid w:val="00DD4B9D"/>
    <w:rsid w:val="00DD4DA0"/>
    <w:rsid w:val="00DD4DEA"/>
    <w:rsid w:val="00DD5538"/>
    <w:rsid w:val="00DD56F1"/>
    <w:rsid w:val="00DD76A9"/>
    <w:rsid w:val="00DD7BC9"/>
    <w:rsid w:val="00DD7EBE"/>
    <w:rsid w:val="00DE03A4"/>
    <w:rsid w:val="00DE1D55"/>
    <w:rsid w:val="00DE247B"/>
    <w:rsid w:val="00DE27E0"/>
    <w:rsid w:val="00DE2919"/>
    <w:rsid w:val="00DE294F"/>
    <w:rsid w:val="00DE425D"/>
    <w:rsid w:val="00DE4EA1"/>
    <w:rsid w:val="00DE5298"/>
    <w:rsid w:val="00DE54B6"/>
    <w:rsid w:val="00DE554F"/>
    <w:rsid w:val="00DE575A"/>
    <w:rsid w:val="00DE5817"/>
    <w:rsid w:val="00DE598F"/>
    <w:rsid w:val="00DE6B84"/>
    <w:rsid w:val="00DE6D01"/>
    <w:rsid w:val="00DE6D5A"/>
    <w:rsid w:val="00DE7633"/>
    <w:rsid w:val="00DE7DD8"/>
    <w:rsid w:val="00DF01F7"/>
    <w:rsid w:val="00DF0462"/>
    <w:rsid w:val="00DF1120"/>
    <w:rsid w:val="00DF1DFA"/>
    <w:rsid w:val="00DF2240"/>
    <w:rsid w:val="00DF2881"/>
    <w:rsid w:val="00DF2B13"/>
    <w:rsid w:val="00DF2D38"/>
    <w:rsid w:val="00DF3166"/>
    <w:rsid w:val="00DF3C98"/>
    <w:rsid w:val="00DF3F88"/>
    <w:rsid w:val="00DF4123"/>
    <w:rsid w:val="00DF4539"/>
    <w:rsid w:val="00DF4718"/>
    <w:rsid w:val="00DF4A80"/>
    <w:rsid w:val="00DF505A"/>
    <w:rsid w:val="00DF51AB"/>
    <w:rsid w:val="00DF68AC"/>
    <w:rsid w:val="00DF7211"/>
    <w:rsid w:val="00DF7474"/>
    <w:rsid w:val="00DF7C15"/>
    <w:rsid w:val="00E00125"/>
    <w:rsid w:val="00E002ED"/>
    <w:rsid w:val="00E00D7C"/>
    <w:rsid w:val="00E00FF9"/>
    <w:rsid w:val="00E0147D"/>
    <w:rsid w:val="00E01D88"/>
    <w:rsid w:val="00E020F3"/>
    <w:rsid w:val="00E02D08"/>
    <w:rsid w:val="00E03757"/>
    <w:rsid w:val="00E03938"/>
    <w:rsid w:val="00E03B52"/>
    <w:rsid w:val="00E04264"/>
    <w:rsid w:val="00E04420"/>
    <w:rsid w:val="00E0597C"/>
    <w:rsid w:val="00E063C1"/>
    <w:rsid w:val="00E06812"/>
    <w:rsid w:val="00E06958"/>
    <w:rsid w:val="00E06BE1"/>
    <w:rsid w:val="00E07171"/>
    <w:rsid w:val="00E07199"/>
    <w:rsid w:val="00E07D89"/>
    <w:rsid w:val="00E105CE"/>
    <w:rsid w:val="00E10980"/>
    <w:rsid w:val="00E10E2E"/>
    <w:rsid w:val="00E11060"/>
    <w:rsid w:val="00E11109"/>
    <w:rsid w:val="00E113D2"/>
    <w:rsid w:val="00E117F6"/>
    <w:rsid w:val="00E11BE3"/>
    <w:rsid w:val="00E12ECC"/>
    <w:rsid w:val="00E13954"/>
    <w:rsid w:val="00E13FBE"/>
    <w:rsid w:val="00E14B07"/>
    <w:rsid w:val="00E14D74"/>
    <w:rsid w:val="00E153B0"/>
    <w:rsid w:val="00E156CD"/>
    <w:rsid w:val="00E15B66"/>
    <w:rsid w:val="00E15B7C"/>
    <w:rsid w:val="00E16B9C"/>
    <w:rsid w:val="00E173EF"/>
    <w:rsid w:val="00E176E5"/>
    <w:rsid w:val="00E17753"/>
    <w:rsid w:val="00E17965"/>
    <w:rsid w:val="00E17B54"/>
    <w:rsid w:val="00E20048"/>
    <w:rsid w:val="00E2078B"/>
    <w:rsid w:val="00E20F5D"/>
    <w:rsid w:val="00E21970"/>
    <w:rsid w:val="00E21DC7"/>
    <w:rsid w:val="00E233C7"/>
    <w:rsid w:val="00E237A4"/>
    <w:rsid w:val="00E240E9"/>
    <w:rsid w:val="00E246BE"/>
    <w:rsid w:val="00E24C37"/>
    <w:rsid w:val="00E24C7A"/>
    <w:rsid w:val="00E24D34"/>
    <w:rsid w:val="00E25032"/>
    <w:rsid w:val="00E255DA"/>
    <w:rsid w:val="00E25AF8"/>
    <w:rsid w:val="00E26A77"/>
    <w:rsid w:val="00E26F05"/>
    <w:rsid w:val="00E272E2"/>
    <w:rsid w:val="00E27BFB"/>
    <w:rsid w:val="00E27F67"/>
    <w:rsid w:val="00E300CD"/>
    <w:rsid w:val="00E313E7"/>
    <w:rsid w:val="00E31F2B"/>
    <w:rsid w:val="00E33711"/>
    <w:rsid w:val="00E347DA"/>
    <w:rsid w:val="00E34853"/>
    <w:rsid w:val="00E35E7C"/>
    <w:rsid w:val="00E36C48"/>
    <w:rsid w:val="00E372EE"/>
    <w:rsid w:val="00E37804"/>
    <w:rsid w:val="00E37C4A"/>
    <w:rsid w:val="00E4026E"/>
    <w:rsid w:val="00E415CF"/>
    <w:rsid w:val="00E42642"/>
    <w:rsid w:val="00E42C98"/>
    <w:rsid w:val="00E434DC"/>
    <w:rsid w:val="00E43665"/>
    <w:rsid w:val="00E437E6"/>
    <w:rsid w:val="00E449EB"/>
    <w:rsid w:val="00E4559A"/>
    <w:rsid w:val="00E45732"/>
    <w:rsid w:val="00E46B54"/>
    <w:rsid w:val="00E47145"/>
    <w:rsid w:val="00E47933"/>
    <w:rsid w:val="00E47F4E"/>
    <w:rsid w:val="00E50070"/>
    <w:rsid w:val="00E501E4"/>
    <w:rsid w:val="00E50316"/>
    <w:rsid w:val="00E510FA"/>
    <w:rsid w:val="00E51832"/>
    <w:rsid w:val="00E53A14"/>
    <w:rsid w:val="00E53EB2"/>
    <w:rsid w:val="00E53F01"/>
    <w:rsid w:val="00E548B0"/>
    <w:rsid w:val="00E54E14"/>
    <w:rsid w:val="00E55BFB"/>
    <w:rsid w:val="00E5620E"/>
    <w:rsid w:val="00E564A7"/>
    <w:rsid w:val="00E5686E"/>
    <w:rsid w:val="00E568F5"/>
    <w:rsid w:val="00E56A6D"/>
    <w:rsid w:val="00E57148"/>
    <w:rsid w:val="00E5715D"/>
    <w:rsid w:val="00E60323"/>
    <w:rsid w:val="00E60463"/>
    <w:rsid w:val="00E6046D"/>
    <w:rsid w:val="00E60A76"/>
    <w:rsid w:val="00E60D19"/>
    <w:rsid w:val="00E60F75"/>
    <w:rsid w:val="00E61425"/>
    <w:rsid w:val="00E63A08"/>
    <w:rsid w:val="00E63AEA"/>
    <w:rsid w:val="00E640A1"/>
    <w:rsid w:val="00E6425A"/>
    <w:rsid w:val="00E6519C"/>
    <w:rsid w:val="00E6637C"/>
    <w:rsid w:val="00E67213"/>
    <w:rsid w:val="00E6DC47"/>
    <w:rsid w:val="00E7031C"/>
    <w:rsid w:val="00E709BC"/>
    <w:rsid w:val="00E70B0B"/>
    <w:rsid w:val="00E71C0B"/>
    <w:rsid w:val="00E71C83"/>
    <w:rsid w:val="00E71FBD"/>
    <w:rsid w:val="00E72463"/>
    <w:rsid w:val="00E7298B"/>
    <w:rsid w:val="00E73796"/>
    <w:rsid w:val="00E7447C"/>
    <w:rsid w:val="00E74AD6"/>
    <w:rsid w:val="00E74CE3"/>
    <w:rsid w:val="00E74D11"/>
    <w:rsid w:val="00E75C89"/>
    <w:rsid w:val="00E76C3D"/>
    <w:rsid w:val="00E77130"/>
    <w:rsid w:val="00E77BD9"/>
    <w:rsid w:val="00E800DF"/>
    <w:rsid w:val="00E817DC"/>
    <w:rsid w:val="00E82577"/>
    <w:rsid w:val="00E83A3A"/>
    <w:rsid w:val="00E83A60"/>
    <w:rsid w:val="00E84A53"/>
    <w:rsid w:val="00E85217"/>
    <w:rsid w:val="00E85855"/>
    <w:rsid w:val="00E85F34"/>
    <w:rsid w:val="00E86623"/>
    <w:rsid w:val="00E867CD"/>
    <w:rsid w:val="00E87889"/>
    <w:rsid w:val="00E87A56"/>
    <w:rsid w:val="00E9018D"/>
    <w:rsid w:val="00E911E2"/>
    <w:rsid w:val="00E91318"/>
    <w:rsid w:val="00E919E7"/>
    <w:rsid w:val="00E920DB"/>
    <w:rsid w:val="00E921E4"/>
    <w:rsid w:val="00E92DCA"/>
    <w:rsid w:val="00E92F0B"/>
    <w:rsid w:val="00E932BE"/>
    <w:rsid w:val="00E9391A"/>
    <w:rsid w:val="00E93D7A"/>
    <w:rsid w:val="00E940CD"/>
    <w:rsid w:val="00E945C4"/>
    <w:rsid w:val="00E94E3D"/>
    <w:rsid w:val="00E97934"/>
    <w:rsid w:val="00EA13DC"/>
    <w:rsid w:val="00EA145D"/>
    <w:rsid w:val="00EA1D93"/>
    <w:rsid w:val="00EA1F9E"/>
    <w:rsid w:val="00EA20CA"/>
    <w:rsid w:val="00EA2AC0"/>
    <w:rsid w:val="00EA2D3F"/>
    <w:rsid w:val="00EA32A9"/>
    <w:rsid w:val="00EA43FD"/>
    <w:rsid w:val="00EA5018"/>
    <w:rsid w:val="00EA66C0"/>
    <w:rsid w:val="00EA68AA"/>
    <w:rsid w:val="00EA7F65"/>
    <w:rsid w:val="00EB0C61"/>
    <w:rsid w:val="00EB101D"/>
    <w:rsid w:val="00EB1BE6"/>
    <w:rsid w:val="00EB240A"/>
    <w:rsid w:val="00EB242C"/>
    <w:rsid w:val="00EB3581"/>
    <w:rsid w:val="00EB49B2"/>
    <w:rsid w:val="00EB5168"/>
    <w:rsid w:val="00EB5F52"/>
    <w:rsid w:val="00EB641F"/>
    <w:rsid w:val="00EB6E33"/>
    <w:rsid w:val="00EB6FEA"/>
    <w:rsid w:val="00EC17A7"/>
    <w:rsid w:val="00EC1D2C"/>
    <w:rsid w:val="00EC27AB"/>
    <w:rsid w:val="00EC27D2"/>
    <w:rsid w:val="00EC41FE"/>
    <w:rsid w:val="00EC4454"/>
    <w:rsid w:val="00EC4680"/>
    <w:rsid w:val="00EC472C"/>
    <w:rsid w:val="00EC4911"/>
    <w:rsid w:val="00EC4DB1"/>
    <w:rsid w:val="00EC63E6"/>
    <w:rsid w:val="00EC72F7"/>
    <w:rsid w:val="00EC7365"/>
    <w:rsid w:val="00EC7D27"/>
    <w:rsid w:val="00ED118A"/>
    <w:rsid w:val="00ED1A6C"/>
    <w:rsid w:val="00ED1D0A"/>
    <w:rsid w:val="00ED1D51"/>
    <w:rsid w:val="00ED1F6B"/>
    <w:rsid w:val="00ED2589"/>
    <w:rsid w:val="00ED2A36"/>
    <w:rsid w:val="00ED2D43"/>
    <w:rsid w:val="00ED33C6"/>
    <w:rsid w:val="00ED4D7E"/>
    <w:rsid w:val="00ED64CA"/>
    <w:rsid w:val="00ED6B35"/>
    <w:rsid w:val="00ED6D7D"/>
    <w:rsid w:val="00EE014F"/>
    <w:rsid w:val="00EE0491"/>
    <w:rsid w:val="00EE0A01"/>
    <w:rsid w:val="00EE11BA"/>
    <w:rsid w:val="00EE1420"/>
    <w:rsid w:val="00EE17D7"/>
    <w:rsid w:val="00EE2AB2"/>
    <w:rsid w:val="00EE2EA1"/>
    <w:rsid w:val="00EE306C"/>
    <w:rsid w:val="00EE3251"/>
    <w:rsid w:val="00EE3D81"/>
    <w:rsid w:val="00EE45E2"/>
    <w:rsid w:val="00EE479B"/>
    <w:rsid w:val="00EE5A5F"/>
    <w:rsid w:val="00EE5BEB"/>
    <w:rsid w:val="00EE5F0C"/>
    <w:rsid w:val="00EE5FD8"/>
    <w:rsid w:val="00EE637B"/>
    <w:rsid w:val="00EE7497"/>
    <w:rsid w:val="00EE7BA6"/>
    <w:rsid w:val="00EF06D9"/>
    <w:rsid w:val="00EF07FF"/>
    <w:rsid w:val="00EF1ED5"/>
    <w:rsid w:val="00EF2A5D"/>
    <w:rsid w:val="00EF304B"/>
    <w:rsid w:val="00EF3CC0"/>
    <w:rsid w:val="00EF635F"/>
    <w:rsid w:val="00EF6957"/>
    <w:rsid w:val="00EF6ABA"/>
    <w:rsid w:val="00EF6CE5"/>
    <w:rsid w:val="00EF76C4"/>
    <w:rsid w:val="00EF7853"/>
    <w:rsid w:val="00EF785C"/>
    <w:rsid w:val="00EF7FF2"/>
    <w:rsid w:val="00F00439"/>
    <w:rsid w:val="00F0058F"/>
    <w:rsid w:val="00F00613"/>
    <w:rsid w:val="00F00A62"/>
    <w:rsid w:val="00F01006"/>
    <w:rsid w:val="00F01076"/>
    <w:rsid w:val="00F016E2"/>
    <w:rsid w:val="00F02056"/>
    <w:rsid w:val="00F02D1C"/>
    <w:rsid w:val="00F039A9"/>
    <w:rsid w:val="00F03B0E"/>
    <w:rsid w:val="00F03DC2"/>
    <w:rsid w:val="00F0413D"/>
    <w:rsid w:val="00F0423E"/>
    <w:rsid w:val="00F0444A"/>
    <w:rsid w:val="00F049E0"/>
    <w:rsid w:val="00F04DA5"/>
    <w:rsid w:val="00F0560B"/>
    <w:rsid w:val="00F05F2A"/>
    <w:rsid w:val="00F06436"/>
    <w:rsid w:val="00F06BE2"/>
    <w:rsid w:val="00F075FD"/>
    <w:rsid w:val="00F10ACA"/>
    <w:rsid w:val="00F10D5A"/>
    <w:rsid w:val="00F10D87"/>
    <w:rsid w:val="00F1137F"/>
    <w:rsid w:val="00F11453"/>
    <w:rsid w:val="00F11BB3"/>
    <w:rsid w:val="00F11BF7"/>
    <w:rsid w:val="00F11F56"/>
    <w:rsid w:val="00F1250B"/>
    <w:rsid w:val="00F12788"/>
    <w:rsid w:val="00F13FA0"/>
    <w:rsid w:val="00F152DB"/>
    <w:rsid w:val="00F15F7F"/>
    <w:rsid w:val="00F16CFC"/>
    <w:rsid w:val="00F16DA8"/>
    <w:rsid w:val="00F20534"/>
    <w:rsid w:val="00F21657"/>
    <w:rsid w:val="00F21977"/>
    <w:rsid w:val="00F21DC2"/>
    <w:rsid w:val="00F220A8"/>
    <w:rsid w:val="00F220D5"/>
    <w:rsid w:val="00F22199"/>
    <w:rsid w:val="00F22222"/>
    <w:rsid w:val="00F22644"/>
    <w:rsid w:val="00F228EB"/>
    <w:rsid w:val="00F235AC"/>
    <w:rsid w:val="00F23790"/>
    <w:rsid w:val="00F23DDB"/>
    <w:rsid w:val="00F242FA"/>
    <w:rsid w:val="00F24721"/>
    <w:rsid w:val="00F24CBA"/>
    <w:rsid w:val="00F2511D"/>
    <w:rsid w:val="00F2537A"/>
    <w:rsid w:val="00F25ADB"/>
    <w:rsid w:val="00F2626C"/>
    <w:rsid w:val="00F27472"/>
    <w:rsid w:val="00F318B5"/>
    <w:rsid w:val="00F32A25"/>
    <w:rsid w:val="00F32F05"/>
    <w:rsid w:val="00F330CE"/>
    <w:rsid w:val="00F3437A"/>
    <w:rsid w:val="00F351FA"/>
    <w:rsid w:val="00F36084"/>
    <w:rsid w:val="00F364BC"/>
    <w:rsid w:val="00F40698"/>
    <w:rsid w:val="00F408D4"/>
    <w:rsid w:val="00F4164B"/>
    <w:rsid w:val="00F41786"/>
    <w:rsid w:val="00F41853"/>
    <w:rsid w:val="00F418B7"/>
    <w:rsid w:val="00F44620"/>
    <w:rsid w:val="00F453BA"/>
    <w:rsid w:val="00F4582E"/>
    <w:rsid w:val="00F45D80"/>
    <w:rsid w:val="00F46844"/>
    <w:rsid w:val="00F4690A"/>
    <w:rsid w:val="00F47A5C"/>
    <w:rsid w:val="00F502D6"/>
    <w:rsid w:val="00F50939"/>
    <w:rsid w:val="00F50D61"/>
    <w:rsid w:val="00F511C6"/>
    <w:rsid w:val="00F51444"/>
    <w:rsid w:val="00F51AA4"/>
    <w:rsid w:val="00F51C00"/>
    <w:rsid w:val="00F51E0C"/>
    <w:rsid w:val="00F52AC8"/>
    <w:rsid w:val="00F52D0B"/>
    <w:rsid w:val="00F5300C"/>
    <w:rsid w:val="00F5310B"/>
    <w:rsid w:val="00F54051"/>
    <w:rsid w:val="00F540F7"/>
    <w:rsid w:val="00F5478C"/>
    <w:rsid w:val="00F5502B"/>
    <w:rsid w:val="00F555F2"/>
    <w:rsid w:val="00F557D2"/>
    <w:rsid w:val="00F559FF"/>
    <w:rsid w:val="00F56A6F"/>
    <w:rsid w:val="00F5713C"/>
    <w:rsid w:val="00F5739B"/>
    <w:rsid w:val="00F57B8E"/>
    <w:rsid w:val="00F605B3"/>
    <w:rsid w:val="00F608F6"/>
    <w:rsid w:val="00F60989"/>
    <w:rsid w:val="00F60A20"/>
    <w:rsid w:val="00F62520"/>
    <w:rsid w:val="00F625D3"/>
    <w:rsid w:val="00F625EB"/>
    <w:rsid w:val="00F62C8F"/>
    <w:rsid w:val="00F64103"/>
    <w:rsid w:val="00F644AF"/>
    <w:rsid w:val="00F648AC"/>
    <w:rsid w:val="00F6568F"/>
    <w:rsid w:val="00F65BFB"/>
    <w:rsid w:val="00F65E19"/>
    <w:rsid w:val="00F66A80"/>
    <w:rsid w:val="00F66F8B"/>
    <w:rsid w:val="00F66FC5"/>
    <w:rsid w:val="00F671BD"/>
    <w:rsid w:val="00F678AD"/>
    <w:rsid w:val="00F70210"/>
    <w:rsid w:val="00F703A9"/>
    <w:rsid w:val="00F707BE"/>
    <w:rsid w:val="00F70C10"/>
    <w:rsid w:val="00F70D1A"/>
    <w:rsid w:val="00F70F2C"/>
    <w:rsid w:val="00F71349"/>
    <w:rsid w:val="00F72225"/>
    <w:rsid w:val="00F723EB"/>
    <w:rsid w:val="00F7416C"/>
    <w:rsid w:val="00F74BA8"/>
    <w:rsid w:val="00F750CB"/>
    <w:rsid w:val="00F76031"/>
    <w:rsid w:val="00F76E7C"/>
    <w:rsid w:val="00F7731E"/>
    <w:rsid w:val="00F776E3"/>
    <w:rsid w:val="00F777C0"/>
    <w:rsid w:val="00F80486"/>
    <w:rsid w:val="00F80ACF"/>
    <w:rsid w:val="00F81B72"/>
    <w:rsid w:val="00F82D50"/>
    <w:rsid w:val="00F82DFD"/>
    <w:rsid w:val="00F83868"/>
    <w:rsid w:val="00F83E0F"/>
    <w:rsid w:val="00F8413C"/>
    <w:rsid w:val="00F846A5"/>
    <w:rsid w:val="00F849C6"/>
    <w:rsid w:val="00F851B0"/>
    <w:rsid w:val="00F85B21"/>
    <w:rsid w:val="00F85CC2"/>
    <w:rsid w:val="00F86685"/>
    <w:rsid w:val="00F868F2"/>
    <w:rsid w:val="00F87026"/>
    <w:rsid w:val="00F9025D"/>
    <w:rsid w:val="00F91486"/>
    <w:rsid w:val="00F92DC4"/>
    <w:rsid w:val="00F931F4"/>
    <w:rsid w:val="00F93DE0"/>
    <w:rsid w:val="00F93E72"/>
    <w:rsid w:val="00F945C4"/>
    <w:rsid w:val="00F946B4"/>
    <w:rsid w:val="00F94BC9"/>
    <w:rsid w:val="00F9540C"/>
    <w:rsid w:val="00F9638E"/>
    <w:rsid w:val="00F96A51"/>
    <w:rsid w:val="00F971CB"/>
    <w:rsid w:val="00F97B1F"/>
    <w:rsid w:val="00FA00B0"/>
    <w:rsid w:val="00FA0316"/>
    <w:rsid w:val="00FA111B"/>
    <w:rsid w:val="00FA17FB"/>
    <w:rsid w:val="00FA20A1"/>
    <w:rsid w:val="00FA3188"/>
    <w:rsid w:val="00FA3B11"/>
    <w:rsid w:val="00FA3FDD"/>
    <w:rsid w:val="00FA4A45"/>
    <w:rsid w:val="00FA5408"/>
    <w:rsid w:val="00FA60CC"/>
    <w:rsid w:val="00FA6BDF"/>
    <w:rsid w:val="00FA70D3"/>
    <w:rsid w:val="00FB1747"/>
    <w:rsid w:val="00FB2632"/>
    <w:rsid w:val="00FB264E"/>
    <w:rsid w:val="00FB26FB"/>
    <w:rsid w:val="00FB2B8F"/>
    <w:rsid w:val="00FB4B45"/>
    <w:rsid w:val="00FB660E"/>
    <w:rsid w:val="00FB68E7"/>
    <w:rsid w:val="00FB6B4E"/>
    <w:rsid w:val="00FB6E41"/>
    <w:rsid w:val="00FB7281"/>
    <w:rsid w:val="00FB797F"/>
    <w:rsid w:val="00FB7F85"/>
    <w:rsid w:val="00FC061B"/>
    <w:rsid w:val="00FC080F"/>
    <w:rsid w:val="00FC1196"/>
    <w:rsid w:val="00FC1ECC"/>
    <w:rsid w:val="00FC1F28"/>
    <w:rsid w:val="00FC20D2"/>
    <w:rsid w:val="00FC3000"/>
    <w:rsid w:val="00FC32E5"/>
    <w:rsid w:val="00FC3A58"/>
    <w:rsid w:val="00FC3C6C"/>
    <w:rsid w:val="00FC3D64"/>
    <w:rsid w:val="00FC4278"/>
    <w:rsid w:val="00FC4366"/>
    <w:rsid w:val="00FC530E"/>
    <w:rsid w:val="00FC6184"/>
    <w:rsid w:val="00FC625C"/>
    <w:rsid w:val="00FC6455"/>
    <w:rsid w:val="00FC739C"/>
    <w:rsid w:val="00FC7948"/>
    <w:rsid w:val="00FC7C40"/>
    <w:rsid w:val="00FC7F29"/>
    <w:rsid w:val="00FD2A6C"/>
    <w:rsid w:val="00FD3574"/>
    <w:rsid w:val="00FD3F28"/>
    <w:rsid w:val="00FD44A7"/>
    <w:rsid w:val="00FD4CE5"/>
    <w:rsid w:val="00FD4DEE"/>
    <w:rsid w:val="00FD6F2E"/>
    <w:rsid w:val="00FD767B"/>
    <w:rsid w:val="00FD7DE1"/>
    <w:rsid w:val="00FE0844"/>
    <w:rsid w:val="00FE08EA"/>
    <w:rsid w:val="00FE1881"/>
    <w:rsid w:val="00FE1CF5"/>
    <w:rsid w:val="00FE1DAB"/>
    <w:rsid w:val="00FE2386"/>
    <w:rsid w:val="00FE24E0"/>
    <w:rsid w:val="00FE2668"/>
    <w:rsid w:val="00FE26E2"/>
    <w:rsid w:val="00FE3B8D"/>
    <w:rsid w:val="00FE3BFE"/>
    <w:rsid w:val="00FE3F1C"/>
    <w:rsid w:val="00FE42AE"/>
    <w:rsid w:val="00FE43CB"/>
    <w:rsid w:val="00FE4D9A"/>
    <w:rsid w:val="00FE4F98"/>
    <w:rsid w:val="00FE6876"/>
    <w:rsid w:val="00FE6C48"/>
    <w:rsid w:val="00FE71FC"/>
    <w:rsid w:val="00FE728D"/>
    <w:rsid w:val="00FE7756"/>
    <w:rsid w:val="00FF0067"/>
    <w:rsid w:val="00FF02BC"/>
    <w:rsid w:val="00FF06A1"/>
    <w:rsid w:val="00FF0EB1"/>
    <w:rsid w:val="00FF15EB"/>
    <w:rsid w:val="00FF179D"/>
    <w:rsid w:val="00FF20D0"/>
    <w:rsid w:val="00FF2C8A"/>
    <w:rsid w:val="00FF2EFE"/>
    <w:rsid w:val="00FF3B0C"/>
    <w:rsid w:val="00FF3CFA"/>
    <w:rsid w:val="00FF4AD1"/>
    <w:rsid w:val="00FF4BF4"/>
    <w:rsid w:val="00FF4D07"/>
    <w:rsid w:val="00FF5912"/>
    <w:rsid w:val="00FF5F08"/>
    <w:rsid w:val="014189BE"/>
    <w:rsid w:val="01794E00"/>
    <w:rsid w:val="019966E8"/>
    <w:rsid w:val="01AAD791"/>
    <w:rsid w:val="01F29284"/>
    <w:rsid w:val="01FF748C"/>
    <w:rsid w:val="020AFC24"/>
    <w:rsid w:val="023717E6"/>
    <w:rsid w:val="0264E886"/>
    <w:rsid w:val="02ACD4FB"/>
    <w:rsid w:val="0303F5FE"/>
    <w:rsid w:val="031FF955"/>
    <w:rsid w:val="0339B598"/>
    <w:rsid w:val="03797025"/>
    <w:rsid w:val="03C9EDEA"/>
    <w:rsid w:val="03CB9D46"/>
    <w:rsid w:val="03E226AA"/>
    <w:rsid w:val="03F334ED"/>
    <w:rsid w:val="041CC445"/>
    <w:rsid w:val="046100DB"/>
    <w:rsid w:val="047C934A"/>
    <w:rsid w:val="04B6A35A"/>
    <w:rsid w:val="04DCCE62"/>
    <w:rsid w:val="04FAAB36"/>
    <w:rsid w:val="050AB4D8"/>
    <w:rsid w:val="050D7329"/>
    <w:rsid w:val="05198EC1"/>
    <w:rsid w:val="0524F1C4"/>
    <w:rsid w:val="0533899B"/>
    <w:rsid w:val="0550FC60"/>
    <w:rsid w:val="0577AB50"/>
    <w:rsid w:val="0582EA53"/>
    <w:rsid w:val="05858431"/>
    <w:rsid w:val="05C0F37B"/>
    <w:rsid w:val="05D6717C"/>
    <w:rsid w:val="0621F430"/>
    <w:rsid w:val="0655E6F3"/>
    <w:rsid w:val="067E20EE"/>
    <w:rsid w:val="06A9CF6F"/>
    <w:rsid w:val="06C54279"/>
    <w:rsid w:val="06C65B3E"/>
    <w:rsid w:val="06F6FD2C"/>
    <w:rsid w:val="071A5DC3"/>
    <w:rsid w:val="074B4444"/>
    <w:rsid w:val="07512A83"/>
    <w:rsid w:val="075D4580"/>
    <w:rsid w:val="0776D229"/>
    <w:rsid w:val="079BA8F2"/>
    <w:rsid w:val="079BB20B"/>
    <w:rsid w:val="07A6B416"/>
    <w:rsid w:val="07CC5718"/>
    <w:rsid w:val="07FA89B1"/>
    <w:rsid w:val="08180865"/>
    <w:rsid w:val="08646879"/>
    <w:rsid w:val="087085F4"/>
    <w:rsid w:val="088A2849"/>
    <w:rsid w:val="08F069AD"/>
    <w:rsid w:val="0901AAE3"/>
    <w:rsid w:val="098E2CBE"/>
    <w:rsid w:val="09A6F45E"/>
    <w:rsid w:val="0A070B1E"/>
    <w:rsid w:val="0A0C1504"/>
    <w:rsid w:val="0A22E976"/>
    <w:rsid w:val="0A351E9D"/>
    <w:rsid w:val="0A522070"/>
    <w:rsid w:val="0A5C6443"/>
    <w:rsid w:val="0A90DDAB"/>
    <w:rsid w:val="0AA012C2"/>
    <w:rsid w:val="0AB9AB83"/>
    <w:rsid w:val="0AD90A34"/>
    <w:rsid w:val="0ADD3C03"/>
    <w:rsid w:val="0ADEB144"/>
    <w:rsid w:val="0B38EC1E"/>
    <w:rsid w:val="0B5FA14C"/>
    <w:rsid w:val="0BF797A9"/>
    <w:rsid w:val="0C0EFC53"/>
    <w:rsid w:val="0C23F738"/>
    <w:rsid w:val="0C3FF184"/>
    <w:rsid w:val="0C421AC8"/>
    <w:rsid w:val="0C423FD0"/>
    <w:rsid w:val="0C5F719F"/>
    <w:rsid w:val="0C7E43B5"/>
    <w:rsid w:val="0CAC0120"/>
    <w:rsid w:val="0CF14504"/>
    <w:rsid w:val="0D0CCA14"/>
    <w:rsid w:val="0D344BEF"/>
    <w:rsid w:val="0D59EA6C"/>
    <w:rsid w:val="0D750AF8"/>
    <w:rsid w:val="0D87A36B"/>
    <w:rsid w:val="0D967D85"/>
    <w:rsid w:val="0DA5A4AF"/>
    <w:rsid w:val="0DB2A640"/>
    <w:rsid w:val="0DDBE060"/>
    <w:rsid w:val="0E0BBEE0"/>
    <w:rsid w:val="0E27B7A4"/>
    <w:rsid w:val="0E29C88F"/>
    <w:rsid w:val="0EC7CB75"/>
    <w:rsid w:val="0EF77DE9"/>
    <w:rsid w:val="0F14D870"/>
    <w:rsid w:val="0F33DE26"/>
    <w:rsid w:val="0F4300B0"/>
    <w:rsid w:val="0F585902"/>
    <w:rsid w:val="0F5D0740"/>
    <w:rsid w:val="0F6712BB"/>
    <w:rsid w:val="0F6DB63B"/>
    <w:rsid w:val="0FA0997D"/>
    <w:rsid w:val="0FC001D4"/>
    <w:rsid w:val="0FE15193"/>
    <w:rsid w:val="105271B7"/>
    <w:rsid w:val="108F9D2B"/>
    <w:rsid w:val="109DBFC5"/>
    <w:rsid w:val="10B729AF"/>
    <w:rsid w:val="10F5BE45"/>
    <w:rsid w:val="111CAD1B"/>
    <w:rsid w:val="11888154"/>
    <w:rsid w:val="11C8968B"/>
    <w:rsid w:val="11C97066"/>
    <w:rsid w:val="11EAECF6"/>
    <w:rsid w:val="1278D436"/>
    <w:rsid w:val="128226D3"/>
    <w:rsid w:val="12BAE513"/>
    <w:rsid w:val="12F5FFF6"/>
    <w:rsid w:val="13B1B6F6"/>
    <w:rsid w:val="13E8BAC8"/>
    <w:rsid w:val="14AAC7E2"/>
    <w:rsid w:val="14CFA699"/>
    <w:rsid w:val="14E304B6"/>
    <w:rsid w:val="15181785"/>
    <w:rsid w:val="151BA41F"/>
    <w:rsid w:val="15205B84"/>
    <w:rsid w:val="152ECCE6"/>
    <w:rsid w:val="153E52F8"/>
    <w:rsid w:val="15B2EEF5"/>
    <w:rsid w:val="15C407F2"/>
    <w:rsid w:val="160D384C"/>
    <w:rsid w:val="166A15D3"/>
    <w:rsid w:val="16CF4AB8"/>
    <w:rsid w:val="16CFFDAB"/>
    <w:rsid w:val="16E52621"/>
    <w:rsid w:val="16F72A05"/>
    <w:rsid w:val="1710F77E"/>
    <w:rsid w:val="1804AABB"/>
    <w:rsid w:val="183222C6"/>
    <w:rsid w:val="18C08F89"/>
    <w:rsid w:val="18E2964F"/>
    <w:rsid w:val="18F9A927"/>
    <w:rsid w:val="192CCD51"/>
    <w:rsid w:val="1957A1F4"/>
    <w:rsid w:val="197D030D"/>
    <w:rsid w:val="19869272"/>
    <w:rsid w:val="19C25EAD"/>
    <w:rsid w:val="19C3EC81"/>
    <w:rsid w:val="19C5BFDA"/>
    <w:rsid w:val="19F80F99"/>
    <w:rsid w:val="19FC8D2C"/>
    <w:rsid w:val="1A0D9210"/>
    <w:rsid w:val="1A55EC03"/>
    <w:rsid w:val="1A568CB1"/>
    <w:rsid w:val="1A848ACC"/>
    <w:rsid w:val="1A8B29DF"/>
    <w:rsid w:val="1A974639"/>
    <w:rsid w:val="1A9E8FFE"/>
    <w:rsid w:val="1AA07446"/>
    <w:rsid w:val="1AB27DA3"/>
    <w:rsid w:val="1AB78411"/>
    <w:rsid w:val="1AC10A9B"/>
    <w:rsid w:val="1B2F7465"/>
    <w:rsid w:val="1B7B41F2"/>
    <w:rsid w:val="1B90918E"/>
    <w:rsid w:val="1C439423"/>
    <w:rsid w:val="1C51CF6F"/>
    <w:rsid w:val="1C74240C"/>
    <w:rsid w:val="1CBA9A7E"/>
    <w:rsid w:val="1CBC98FE"/>
    <w:rsid w:val="1D04D15F"/>
    <w:rsid w:val="1D398DFD"/>
    <w:rsid w:val="1D63CC79"/>
    <w:rsid w:val="1D6F5E18"/>
    <w:rsid w:val="1D81AA9D"/>
    <w:rsid w:val="1D8DF1E3"/>
    <w:rsid w:val="1D98E94C"/>
    <w:rsid w:val="1DAE845D"/>
    <w:rsid w:val="1DC65829"/>
    <w:rsid w:val="1DC9BA4B"/>
    <w:rsid w:val="1DE00ACA"/>
    <w:rsid w:val="1E1AB251"/>
    <w:rsid w:val="1E1AC827"/>
    <w:rsid w:val="1E32903B"/>
    <w:rsid w:val="1E572D75"/>
    <w:rsid w:val="1E734ADB"/>
    <w:rsid w:val="1E7358A3"/>
    <w:rsid w:val="1E96CBEF"/>
    <w:rsid w:val="1EB33A82"/>
    <w:rsid w:val="1EC5F229"/>
    <w:rsid w:val="1ED11839"/>
    <w:rsid w:val="1ED4C89D"/>
    <w:rsid w:val="1EF6B508"/>
    <w:rsid w:val="1EFF9C51"/>
    <w:rsid w:val="1F60B6D7"/>
    <w:rsid w:val="1F778416"/>
    <w:rsid w:val="1FA144CD"/>
    <w:rsid w:val="1FC7BE89"/>
    <w:rsid w:val="1FE0D7F2"/>
    <w:rsid w:val="2006E8AD"/>
    <w:rsid w:val="20134A66"/>
    <w:rsid w:val="202F1001"/>
    <w:rsid w:val="2037ADBA"/>
    <w:rsid w:val="207F70FC"/>
    <w:rsid w:val="20819332"/>
    <w:rsid w:val="20A18C01"/>
    <w:rsid w:val="20D37204"/>
    <w:rsid w:val="20DA2884"/>
    <w:rsid w:val="20EA51CB"/>
    <w:rsid w:val="2110F040"/>
    <w:rsid w:val="2140388B"/>
    <w:rsid w:val="2142B682"/>
    <w:rsid w:val="2154E554"/>
    <w:rsid w:val="215E6BCB"/>
    <w:rsid w:val="216661DB"/>
    <w:rsid w:val="21753F08"/>
    <w:rsid w:val="21AF85D5"/>
    <w:rsid w:val="21BE6EB3"/>
    <w:rsid w:val="21D91724"/>
    <w:rsid w:val="21DB6BA1"/>
    <w:rsid w:val="2226DE7D"/>
    <w:rsid w:val="22300E5E"/>
    <w:rsid w:val="22305C01"/>
    <w:rsid w:val="228D2B59"/>
    <w:rsid w:val="22BCC2DC"/>
    <w:rsid w:val="2336F73F"/>
    <w:rsid w:val="235C2FAE"/>
    <w:rsid w:val="237A9540"/>
    <w:rsid w:val="2388A762"/>
    <w:rsid w:val="23AC94B8"/>
    <w:rsid w:val="23D726AD"/>
    <w:rsid w:val="23DE8F63"/>
    <w:rsid w:val="23F4A2C7"/>
    <w:rsid w:val="24070699"/>
    <w:rsid w:val="24164CEC"/>
    <w:rsid w:val="244EC295"/>
    <w:rsid w:val="246C2E4C"/>
    <w:rsid w:val="2485535D"/>
    <w:rsid w:val="249F724A"/>
    <w:rsid w:val="24A35D3D"/>
    <w:rsid w:val="24D7B60E"/>
    <w:rsid w:val="25126E0F"/>
    <w:rsid w:val="2524162E"/>
    <w:rsid w:val="253757E8"/>
    <w:rsid w:val="253E9E28"/>
    <w:rsid w:val="259D1520"/>
    <w:rsid w:val="25A8F4B7"/>
    <w:rsid w:val="25BF03D2"/>
    <w:rsid w:val="25D1F452"/>
    <w:rsid w:val="26264749"/>
    <w:rsid w:val="2635F7D4"/>
    <w:rsid w:val="26642E83"/>
    <w:rsid w:val="2669A251"/>
    <w:rsid w:val="267040B7"/>
    <w:rsid w:val="267BFB1E"/>
    <w:rsid w:val="269B17A3"/>
    <w:rsid w:val="26A2AA62"/>
    <w:rsid w:val="26E05A46"/>
    <w:rsid w:val="26F14782"/>
    <w:rsid w:val="26F1B9CE"/>
    <w:rsid w:val="277DBFE1"/>
    <w:rsid w:val="2780FDEC"/>
    <w:rsid w:val="27894985"/>
    <w:rsid w:val="278CFC53"/>
    <w:rsid w:val="27A03CBC"/>
    <w:rsid w:val="281B0E07"/>
    <w:rsid w:val="2879C647"/>
    <w:rsid w:val="287DA7DC"/>
    <w:rsid w:val="288F8DD7"/>
    <w:rsid w:val="2892918F"/>
    <w:rsid w:val="28D3E970"/>
    <w:rsid w:val="28FA2F57"/>
    <w:rsid w:val="290DC1F2"/>
    <w:rsid w:val="29146C89"/>
    <w:rsid w:val="295CF049"/>
    <w:rsid w:val="296FBECB"/>
    <w:rsid w:val="29743F4D"/>
    <w:rsid w:val="29A91F2C"/>
    <w:rsid w:val="29AF786E"/>
    <w:rsid w:val="29F161FC"/>
    <w:rsid w:val="2A19D5EA"/>
    <w:rsid w:val="2A2B2230"/>
    <w:rsid w:val="2A3530E8"/>
    <w:rsid w:val="2A5BD027"/>
    <w:rsid w:val="2A699028"/>
    <w:rsid w:val="2AA64524"/>
    <w:rsid w:val="2AF66AA4"/>
    <w:rsid w:val="2B512DE1"/>
    <w:rsid w:val="2B556069"/>
    <w:rsid w:val="2B5C8F53"/>
    <w:rsid w:val="2BAEAD31"/>
    <w:rsid w:val="2BB5CC43"/>
    <w:rsid w:val="2BD14E52"/>
    <w:rsid w:val="2C0918F8"/>
    <w:rsid w:val="2C3F9FCD"/>
    <w:rsid w:val="2C6AECF0"/>
    <w:rsid w:val="2C8473C7"/>
    <w:rsid w:val="2C939068"/>
    <w:rsid w:val="2CE1CF23"/>
    <w:rsid w:val="2CFD8680"/>
    <w:rsid w:val="2D61DE68"/>
    <w:rsid w:val="2D7DF943"/>
    <w:rsid w:val="2D851672"/>
    <w:rsid w:val="2DEF9C97"/>
    <w:rsid w:val="2DF6FED2"/>
    <w:rsid w:val="2EC0E6DB"/>
    <w:rsid w:val="2EE9F187"/>
    <w:rsid w:val="2EF96DF3"/>
    <w:rsid w:val="2EFF0E8D"/>
    <w:rsid w:val="2F1EE42A"/>
    <w:rsid w:val="2F5988B5"/>
    <w:rsid w:val="30323A40"/>
    <w:rsid w:val="30984F7B"/>
    <w:rsid w:val="30AB10FB"/>
    <w:rsid w:val="30E09F20"/>
    <w:rsid w:val="310E1A0E"/>
    <w:rsid w:val="314FFA3F"/>
    <w:rsid w:val="31A94120"/>
    <w:rsid w:val="31B4FDD7"/>
    <w:rsid w:val="31FCC5D2"/>
    <w:rsid w:val="32041C21"/>
    <w:rsid w:val="3213AD0F"/>
    <w:rsid w:val="3219EB73"/>
    <w:rsid w:val="322C76F7"/>
    <w:rsid w:val="329660BB"/>
    <w:rsid w:val="32E49398"/>
    <w:rsid w:val="32EEB2A6"/>
    <w:rsid w:val="33359B25"/>
    <w:rsid w:val="33397425"/>
    <w:rsid w:val="335D7C9F"/>
    <w:rsid w:val="33A4C187"/>
    <w:rsid w:val="33ECA49C"/>
    <w:rsid w:val="33F0F81E"/>
    <w:rsid w:val="33F87FE1"/>
    <w:rsid w:val="34348AD9"/>
    <w:rsid w:val="3467054A"/>
    <w:rsid w:val="34727017"/>
    <w:rsid w:val="348B5BFF"/>
    <w:rsid w:val="349B6435"/>
    <w:rsid w:val="34B7EC90"/>
    <w:rsid w:val="34BBF417"/>
    <w:rsid w:val="34BDA0B0"/>
    <w:rsid w:val="34DAC920"/>
    <w:rsid w:val="350140F2"/>
    <w:rsid w:val="354405A6"/>
    <w:rsid w:val="35D346AD"/>
    <w:rsid w:val="36339E5E"/>
    <w:rsid w:val="364553FD"/>
    <w:rsid w:val="36527555"/>
    <w:rsid w:val="368B8DD2"/>
    <w:rsid w:val="36D81161"/>
    <w:rsid w:val="37086FEC"/>
    <w:rsid w:val="37340F54"/>
    <w:rsid w:val="3739E939"/>
    <w:rsid w:val="37451E33"/>
    <w:rsid w:val="3758E2C9"/>
    <w:rsid w:val="376147D9"/>
    <w:rsid w:val="3785ABEC"/>
    <w:rsid w:val="37B78508"/>
    <w:rsid w:val="37E82071"/>
    <w:rsid w:val="381C1CD5"/>
    <w:rsid w:val="381E3899"/>
    <w:rsid w:val="38259289"/>
    <w:rsid w:val="384D1464"/>
    <w:rsid w:val="387B2520"/>
    <w:rsid w:val="38CDD413"/>
    <w:rsid w:val="391B95E5"/>
    <w:rsid w:val="393616E4"/>
    <w:rsid w:val="396E7598"/>
    <w:rsid w:val="396EA740"/>
    <w:rsid w:val="39A28E6E"/>
    <w:rsid w:val="39B37C1D"/>
    <w:rsid w:val="39D7C3C6"/>
    <w:rsid w:val="3A371A0D"/>
    <w:rsid w:val="3A4481D2"/>
    <w:rsid w:val="3A533B00"/>
    <w:rsid w:val="3A59875C"/>
    <w:rsid w:val="3AAC406E"/>
    <w:rsid w:val="3AB020A0"/>
    <w:rsid w:val="3AB0FC15"/>
    <w:rsid w:val="3AB836A4"/>
    <w:rsid w:val="3B02F735"/>
    <w:rsid w:val="3B4D92DF"/>
    <w:rsid w:val="3B785CC4"/>
    <w:rsid w:val="3B7C0580"/>
    <w:rsid w:val="3B90868A"/>
    <w:rsid w:val="3BDBD560"/>
    <w:rsid w:val="3BF10975"/>
    <w:rsid w:val="3C1936F1"/>
    <w:rsid w:val="3C21134E"/>
    <w:rsid w:val="3C23FE1C"/>
    <w:rsid w:val="3C2C438C"/>
    <w:rsid w:val="3C46D90C"/>
    <w:rsid w:val="3C5FA7D3"/>
    <w:rsid w:val="3C9B2512"/>
    <w:rsid w:val="3CCB9D1E"/>
    <w:rsid w:val="3D06E30B"/>
    <w:rsid w:val="3D7413B0"/>
    <w:rsid w:val="3DCE7A53"/>
    <w:rsid w:val="3DD118FA"/>
    <w:rsid w:val="3DE41A35"/>
    <w:rsid w:val="3DFE1C0E"/>
    <w:rsid w:val="3E24476E"/>
    <w:rsid w:val="3E28D81F"/>
    <w:rsid w:val="3E658CAA"/>
    <w:rsid w:val="3E7D4945"/>
    <w:rsid w:val="3E890DE4"/>
    <w:rsid w:val="3E9BCFE2"/>
    <w:rsid w:val="3EC321D5"/>
    <w:rsid w:val="3EC3A530"/>
    <w:rsid w:val="3EE05D95"/>
    <w:rsid w:val="3F295D5E"/>
    <w:rsid w:val="3F31588E"/>
    <w:rsid w:val="3F5FA941"/>
    <w:rsid w:val="3FE7D637"/>
    <w:rsid w:val="3FFABBCE"/>
    <w:rsid w:val="4033C292"/>
    <w:rsid w:val="40360CAC"/>
    <w:rsid w:val="40573158"/>
    <w:rsid w:val="408CB2DA"/>
    <w:rsid w:val="4095459D"/>
    <w:rsid w:val="40BAB1B3"/>
    <w:rsid w:val="40D5A0AF"/>
    <w:rsid w:val="40F2868C"/>
    <w:rsid w:val="4112550A"/>
    <w:rsid w:val="41293940"/>
    <w:rsid w:val="4134EE33"/>
    <w:rsid w:val="413A5A4B"/>
    <w:rsid w:val="4140BA6E"/>
    <w:rsid w:val="4140D064"/>
    <w:rsid w:val="41541E1C"/>
    <w:rsid w:val="419ECFFD"/>
    <w:rsid w:val="41B913E8"/>
    <w:rsid w:val="42264965"/>
    <w:rsid w:val="42A8BDB9"/>
    <w:rsid w:val="42BB982A"/>
    <w:rsid w:val="4378EB5C"/>
    <w:rsid w:val="43AAC19E"/>
    <w:rsid w:val="4418A028"/>
    <w:rsid w:val="443C572C"/>
    <w:rsid w:val="44476C63"/>
    <w:rsid w:val="44496930"/>
    <w:rsid w:val="444DB149"/>
    <w:rsid w:val="44548BED"/>
    <w:rsid w:val="446C2841"/>
    <w:rsid w:val="4471AA84"/>
    <w:rsid w:val="44DAE78D"/>
    <w:rsid w:val="4524190E"/>
    <w:rsid w:val="452B9D1B"/>
    <w:rsid w:val="45541130"/>
    <w:rsid w:val="45718683"/>
    <w:rsid w:val="45FD29DF"/>
    <w:rsid w:val="46303EE8"/>
    <w:rsid w:val="4642F22F"/>
    <w:rsid w:val="464C4346"/>
    <w:rsid w:val="464DEC3C"/>
    <w:rsid w:val="465C7D01"/>
    <w:rsid w:val="469B8E66"/>
    <w:rsid w:val="47021AB4"/>
    <w:rsid w:val="470901C7"/>
    <w:rsid w:val="471FB0E8"/>
    <w:rsid w:val="472658DC"/>
    <w:rsid w:val="4751CD94"/>
    <w:rsid w:val="478C6D2B"/>
    <w:rsid w:val="47A01189"/>
    <w:rsid w:val="47A57B87"/>
    <w:rsid w:val="47F51D0C"/>
    <w:rsid w:val="48096BC3"/>
    <w:rsid w:val="481428AA"/>
    <w:rsid w:val="482EACFD"/>
    <w:rsid w:val="4875A565"/>
    <w:rsid w:val="487B47F0"/>
    <w:rsid w:val="48D66EE8"/>
    <w:rsid w:val="4901F376"/>
    <w:rsid w:val="491C34D5"/>
    <w:rsid w:val="49468FC0"/>
    <w:rsid w:val="49543D24"/>
    <w:rsid w:val="49780D44"/>
    <w:rsid w:val="498F11B4"/>
    <w:rsid w:val="49C388BC"/>
    <w:rsid w:val="49DF541B"/>
    <w:rsid w:val="49FD86BE"/>
    <w:rsid w:val="4A19ADE6"/>
    <w:rsid w:val="4A9A7D1F"/>
    <w:rsid w:val="4AAE5B90"/>
    <w:rsid w:val="4B07524E"/>
    <w:rsid w:val="4B32EA67"/>
    <w:rsid w:val="4B86560D"/>
    <w:rsid w:val="4B8A7708"/>
    <w:rsid w:val="4BBEC63F"/>
    <w:rsid w:val="4BC4B7C5"/>
    <w:rsid w:val="4BD00F07"/>
    <w:rsid w:val="4BEF7DA4"/>
    <w:rsid w:val="4BEF8E51"/>
    <w:rsid w:val="4C25C4EF"/>
    <w:rsid w:val="4C6E30DF"/>
    <w:rsid w:val="4C6E4A7E"/>
    <w:rsid w:val="4C8A92FD"/>
    <w:rsid w:val="4C97C3F8"/>
    <w:rsid w:val="4CA4049F"/>
    <w:rsid w:val="4CB38137"/>
    <w:rsid w:val="4CC73511"/>
    <w:rsid w:val="4CEB3589"/>
    <w:rsid w:val="4D39A846"/>
    <w:rsid w:val="4D43F975"/>
    <w:rsid w:val="4D5DD068"/>
    <w:rsid w:val="4D68D0D7"/>
    <w:rsid w:val="4D89A4C9"/>
    <w:rsid w:val="4DF18692"/>
    <w:rsid w:val="4E07DDB1"/>
    <w:rsid w:val="4E1D1335"/>
    <w:rsid w:val="4E2D3920"/>
    <w:rsid w:val="4E888199"/>
    <w:rsid w:val="4EA6CA49"/>
    <w:rsid w:val="4EC09B2E"/>
    <w:rsid w:val="4ECDAB91"/>
    <w:rsid w:val="4F0C088C"/>
    <w:rsid w:val="4F122CDB"/>
    <w:rsid w:val="4F4BDBF1"/>
    <w:rsid w:val="4F671173"/>
    <w:rsid w:val="4F7D1499"/>
    <w:rsid w:val="4F8F36C8"/>
    <w:rsid w:val="4FB402BD"/>
    <w:rsid w:val="4FF14565"/>
    <w:rsid w:val="50266B14"/>
    <w:rsid w:val="503ADABA"/>
    <w:rsid w:val="503E3D7E"/>
    <w:rsid w:val="504F40F8"/>
    <w:rsid w:val="50717F46"/>
    <w:rsid w:val="50763B5F"/>
    <w:rsid w:val="50C37DBB"/>
    <w:rsid w:val="50CC91E2"/>
    <w:rsid w:val="50D08CB4"/>
    <w:rsid w:val="50DF4EBC"/>
    <w:rsid w:val="50F5DDD8"/>
    <w:rsid w:val="51194EDB"/>
    <w:rsid w:val="51507D11"/>
    <w:rsid w:val="518280E6"/>
    <w:rsid w:val="519689E3"/>
    <w:rsid w:val="5254834E"/>
    <w:rsid w:val="526395DE"/>
    <w:rsid w:val="526C7887"/>
    <w:rsid w:val="5270FA31"/>
    <w:rsid w:val="527379A5"/>
    <w:rsid w:val="52CAF112"/>
    <w:rsid w:val="52D94C34"/>
    <w:rsid w:val="52F1E5D0"/>
    <w:rsid w:val="52F289B2"/>
    <w:rsid w:val="52F810C9"/>
    <w:rsid w:val="531E2D66"/>
    <w:rsid w:val="532C2823"/>
    <w:rsid w:val="532EE2B1"/>
    <w:rsid w:val="5331CCDC"/>
    <w:rsid w:val="533311C4"/>
    <w:rsid w:val="534B1034"/>
    <w:rsid w:val="53A4BB21"/>
    <w:rsid w:val="53D22637"/>
    <w:rsid w:val="544A61D5"/>
    <w:rsid w:val="545E6BCE"/>
    <w:rsid w:val="547FDE00"/>
    <w:rsid w:val="54956AAA"/>
    <w:rsid w:val="54E6A766"/>
    <w:rsid w:val="54F6FB98"/>
    <w:rsid w:val="5516A39B"/>
    <w:rsid w:val="55742FE9"/>
    <w:rsid w:val="5578139E"/>
    <w:rsid w:val="55C0F722"/>
    <w:rsid w:val="55FA3C2F"/>
    <w:rsid w:val="562A2CFD"/>
    <w:rsid w:val="565469FD"/>
    <w:rsid w:val="566DFEA3"/>
    <w:rsid w:val="567A411F"/>
    <w:rsid w:val="568F349B"/>
    <w:rsid w:val="56D169C0"/>
    <w:rsid w:val="56DA6469"/>
    <w:rsid w:val="56F2BCB2"/>
    <w:rsid w:val="56FF79E5"/>
    <w:rsid w:val="570A0ADA"/>
    <w:rsid w:val="573F4150"/>
    <w:rsid w:val="57958820"/>
    <w:rsid w:val="57960C90"/>
    <w:rsid w:val="57F4D4EE"/>
    <w:rsid w:val="57F6286F"/>
    <w:rsid w:val="5817972F"/>
    <w:rsid w:val="585C3A89"/>
    <w:rsid w:val="597B2CC9"/>
    <w:rsid w:val="5985EB1C"/>
    <w:rsid w:val="59D0A97E"/>
    <w:rsid w:val="59E85F31"/>
    <w:rsid w:val="59E86F63"/>
    <w:rsid w:val="5A056CF6"/>
    <w:rsid w:val="5A2B6D17"/>
    <w:rsid w:val="5A7FC1D8"/>
    <w:rsid w:val="5AFB7FB5"/>
    <w:rsid w:val="5B076EF7"/>
    <w:rsid w:val="5B1A3955"/>
    <w:rsid w:val="5B34D854"/>
    <w:rsid w:val="5B461882"/>
    <w:rsid w:val="5B4CC6B7"/>
    <w:rsid w:val="5B4D447E"/>
    <w:rsid w:val="5B613D93"/>
    <w:rsid w:val="5BE8BB97"/>
    <w:rsid w:val="5BEC9F92"/>
    <w:rsid w:val="5C00BF7E"/>
    <w:rsid w:val="5C0EBD22"/>
    <w:rsid w:val="5C3D9DC3"/>
    <w:rsid w:val="5C7BF010"/>
    <w:rsid w:val="5CA9C870"/>
    <w:rsid w:val="5D745ECB"/>
    <w:rsid w:val="5DB24B8B"/>
    <w:rsid w:val="5DC3F52A"/>
    <w:rsid w:val="5DDD4974"/>
    <w:rsid w:val="5E1E651A"/>
    <w:rsid w:val="5E22F08A"/>
    <w:rsid w:val="5E435B06"/>
    <w:rsid w:val="5EBDC029"/>
    <w:rsid w:val="5EDABDBF"/>
    <w:rsid w:val="5EEB8456"/>
    <w:rsid w:val="5EF865C1"/>
    <w:rsid w:val="5F016FF8"/>
    <w:rsid w:val="5F219F44"/>
    <w:rsid w:val="5F9C8F4E"/>
    <w:rsid w:val="5FA24446"/>
    <w:rsid w:val="5FE4A89B"/>
    <w:rsid w:val="6053B690"/>
    <w:rsid w:val="6064DBCD"/>
    <w:rsid w:val="60856328"/>
    <w:rsid w:val="608AD992"/>
    <w:rsid w:val="60DCE80B"/>
    <w:rsid w:val="60E6FF87"/>
    <w:rsid w:val="60F7B162"/>
    <w:rsid w:val="60FB285B"/>
    <w:rsid w:val="61029DF3"/>
    <w:rsid w:val="61079D2D"/>
    <w:rsid w:val="610F88AD"/>
    <w:rsid w:val="6144B2D1"/>
    <w:rsid w:val="6171906E"/>
    <w:rsid w:val="61C97C2B"/>
    <w:rsid w:val="62123A56"/>
    <w:rsid w:val="62200F22"/>
    <w:rsid w:val="62259D15"/>
    <w:rsid w:val="6232739C"/>
    <w:rsid w:val="6232CD80"/>
    <w:rsid w:val="62514995"/>
    <w:rsid w:val="62541B78"/>
    <w:rsid w:val="6275AC7B"/>
    <w:rsid w:val="62F51473"/>
    <w:rsid w:val="62FB5B27"/>
    <w:rsid w:val="6305BB21"/>
    <w:rsid w:val="63268BF0"/>
    <w:rsid w:val="632E2F4A"/>
    <w:rsid w:val="6331E920"/>
    <w:rsid w:val="637580AC"/>
    <w:rsid w:val="63774718"/>
    <w:rsid w:val="638E64D5"/>
    <w:rsid w:val="63955629"/>
    <w:rsid w:val="6395B5EC"/>
    <w:rsid w:val="63AF8F24"/>
    <w:rsid w:val="6409319C"/>
    <w:rsid w:val="647635CF"/>
    <w:rsid w:val="648EFC48"/>
    <w:rsid w:val="64A74C90"/>
    <w:rsid w:val="64B857E1"/>
    <w:rsid w:val="64C266F7"/>
    <w:rsid w:val="64FBAA6F"/>
    <w:rsid w:val="650358CD"/>
    <w:rsid w:val="65C7BD2B"/>
    <w:rsid w:val="65CC0A4E"/>
    <w:rsid w:val="65F94ED8"/>
    <w:rsid w:val="6623929E"/>
    <w:rsid w:val="666533F2"/>
    <w:rsid w:val="66960429"/>
    <w:rsid w:val="66E13202"/>
    <w:rsid w:val="66E92E4B"/>
    <w:rsid w:val="67263E34"/>
    <w:rsid w:val="6726AF31"/>
    <w:rsid w:val="675E9674"/>
    <w:rsid w:val="67757AFF"/>
    <w:rsid w:val="679CCF0A"/>
    <w:rsid w:val="67C4397C"/>
    <w:rsid w:val="6806F8A8"/>
    <w:rsid w:val="6852339C"/>
    <w:rsid w:val="68892738"/>
    <w:rsid w:val="68C33167"/>
    <w:rsid w:val="68FDCCFE"/>
    <w:rsid w:val="692A4FE5"/>
    <w:rsid w:val="6943644F"/>
    <w:rsid w:val="69952EED"/>
    <w:rsid w:val="69957857"/>
    <w:rsid w:val="69A6A380"/>
    <w:rsid w:val="69CDEF70"/>
    <w:rsid w:val="69F9EC90"/>
    <w:rsid w:val="6A2A826D"/>
    <w:rsid w:val="6A48D663"/>
    <w:rsid w:val="6A5F8645"/>
    <w:rsid w:val="6A7A01D2"/>
    <w:rsid w:val="6A833FE5"/>
    <w:rsid w:val="6AA3588F"/>
    <w:rsid w:val="6AA9BC05"/>
    <w:rsid w:val="6AB3E7C7"/>
    <w:rsid w:val="6AC2ECB1"/>
    <w:rsid w:val="6AD535BF"/>
    <w:rsid w:val="6AD9F690"/>
    <w:rsid w:val="6AF83B5B"/>
    <w:rsid w:val="6B842C6B"/>
    <w:rsid w:val="6B884AE8"/>
    <w:rsid w:val="6BC976FA"/>
    <w:rsid w:val="6BD468B6"/>
    <w:rsid w:val="6C4B6B1D"/>
    <w:rsid w:val="6C4D12EA"/>
    <w:rsid w:val="6C69CCDE"/>
    <w:rsid w:val="6C8F5881"/>
    <w:rsid w:val="6CA9049A"/>
    <w:rsid w:val="6CB0A037"/>
    <w:rsid w:val="6D0286C2"/>
    <w:rsid w:val="6D3905DA"/>
    <w:rsid w:val="6D45AE96"/>
    <w:rsid w:val="6D567B6B"/>
    <w:rsid w:val="6D756544"/>
    <w:rsid w:val="6D957730"/>
    <w:rsid w:val="6D9B7499"/>
    <w:rsid w:val="6DAD4BE7"/>
    <w:rsid w:val="6DC9B07C"/>
    <w:rsid w:val="6DFD2B9F"/>
    <w:rsid w:val="6E33D888"/>
    <w:rsid w:val="6EAE4F3D"/>
    <w:rsid w:val="6EC4B740"/>
    <w:rsid w:val="6ECF8E03"/>
    <w:rsid w:val="6F561715"/>
    <w:rsid w:val="6F609841"/>
    <w:rsid w:val="6F6A537C"/>
    <w:rsid w:val="6FB307C2"/>
    <w:rsid w:val="6FDA4FB1"/>
    <w:rsid w:val="6FF6E01A"/>
    <w:rsid w:val="6FFC1853"/>
    <w:rsid w:val="70286A24"/>
    <w:rsid w:val="702A5594"/>
    <w:rsid w:val="703855D5"/>
    <w:rsid w:val="704ECF6F"/>
    <w:rsid w:val="7051D211"/>
    <w:rsid w:val="70677E3E"/>
    <w:rsid w:val="70C120C4"/>
    <w:rsid w:val="70C217E6"/>
    <w:rsid w:val="70D13296"/>
    <w:rsid w:val="70F30245"/>
    <w:rsid w:val="7120C63E"/>
    <w:rsid w:val="715D6651"/>
    <w:rsid w:val="717F085C"/>
    <w:rsid w:val="71927CB4"/>
    <w:rsid w:val="71A381F9"/>
    <w:rsid w:val="71A3A1D9"/>
    <w:rsid w:val="71B25EA2"/>
    <w:rsid w:val="71B34839"/>
    <w:rsid w:val="71F33702"/>
    <w:rsid w:val="721C4440"/>
    <w:rsid w:val="7250D6F6"/>
    <w:rsid w:val="727F22E5"/>
    <w:rsid w:val="728287D8"/>
    <w:rsid w:val="72DAFE22"/>
    <w:rsid w:val="72F97D06"/>
    <w:rsid w:val="72FC7056"/>
    <w:rsid w:val="7313624A"/>
    <w:rsid w:val="734D56C6"/>
    <w:rsid w:val="73557323"/>
    <w:rsid w:val="737637F4"/>
    <w:rsid w:val="7385BAC4"/>
    <w:rsid w:val="738EEBD9"/>
    <w:rsid w:val="73A5F9FF"/>
    <w:rsid w:val="740E4683"/>
    <w:rsid w:val="742C402B"/>
    <w:rsid w:val="742DCD47"/>
    <w:rsid w:val="745C7D8A"/>
    <w:rsid w:val="746A2201"/>
    <w:rsid w:val="748E46F6"/>
    <w:rsid w:val="74B9E0A7"/>
    <w:rsid w:val="74D69AC2"/>
    <w:rsid w:val="74ED6BF0"/>
    <w:rsid w:val="7525852F"/>
    <w:rsid w:val="75321716"/>
    <w:rsid w:val="7536BE01"/>
    <w:rsid w:val="753E920A"/>
    <w:rsid w:val="7558A9E3"/>
    <w:rsid w:val="7580FB9D"/>
    <w:rsid w:val="759D9A9A"/>
    <w:rsid w:val="75A68C8C"/>
    <w:rsid w:val="75A6D9F1"/>
    <w:rsid w:val="75E02A76"/>
    <w:rsid w:val="75ECB2EC"/>
    <w:rsid w:val="760A717C"/>
    <w:rsid w:val="760F5F13"/>
    <w:rsid w:val="761630FD"/>
    <w:rsid w:val="7621BD50"/>
    <w:rsid w:val="764D9A39"/>
    <w:rsid w:val="76814E3C"/>
    <w:rsid w:val="76834A89"/>
    <w:rsid w:val="76B97CB9"/>
    <w:rsid w:val="770E41F5"/>
    <w:rsid w:val="77210E92"/>
    <w:rsid w:val="773AA027"/>
    <w:rsid w:val="774032E6"/>
    <w:rsid w:val="7785BF26"/>
    <w:rsid w:val="77E93D7C"/>
    <w:rsid w:val="77FC3135"/>
    <w:rsid w:val="784075B8"/>
    <w:rsid w:val="7845275B"/>
    <w:rsid w:val="7848B63E"/>
    <w:rsid w:val="785A964F"/>
    <w:rsid w:val="79334E2E"/>
    <w:rsid w:val="7934246D"/>
    <w:rsid w:val="7953D7B7"/>
    <w:rsid w:val="7956820B"/>
    <w:rsid w:val="7972C7DE"/>
    <w:rsid w:val="7982D7DB"/>
    <w:rsid w:val="799D35F5"/>
    <w:rsid w:val="799EC057"/>
    <w:rsid w:val="79B7E4CF"/>
    <w:rsid w:val="79D45954"/>
    <w:rsid w:val="79F6C282"/>
    <w:rsid w:val="7A34983E"/>
    <w:rsid w:val="7A36A4CB"/>
    <w:rsid w:val="7A36FD24"/>
    <w:rsid w:val="7A4779C1"/>
    <w:rsid w:val="7A566CE4"/>
    <w:rsid w:val="7A6644B0"/>
    <w:rsid w:val="7A74FCA2"/>
    <w:rsid w:val="7A89AF63"/>
    <w:rsid w:val="7A8B41B9"/>
    <w:rsid w:val="7A96C007"/>
    <w:rsid w:val="7AB04B85"/>
    <w:rsid w:val="7AC948FA"/>
    <w:rsid w:val="7ADAFA25"/>
    <w:rsid w:val="7ADCE25C"/>
    <w:rsid w:val="7B1E9808"/>
    <w:rsid w:val="7B6B85BC"/>
    <w:rsid w:val="7B78EA49"/>
    <w:rsid w:val="7B9F7226"/>
    <w:rsid w:val="7BA2EFCD"/>
    <w:rsid w:val="7BAD951C"/>
    <w:rsid w:val="7BB253AD"/>
    <w:rsid w:val="7BEB2F35"/>
    <w:rsid w:val="7BFD306D"/>
    <w:rsid w:val="7C092436"/>
    <w:rsid w:val="7C0A47B3"/>
    <w:rsid w:val="7C0E4B3D"/>
    <w:rsid w:val="7C1A0934"/>
    <w:rsid w:val="7C90ED45"/>
    <w:rsid w:val="7CC225F1"/>
    <w:rsid w:val="7CEED235"/>
    <w:rsid w:val="7D03EF9D"/>
    <w:rsid w:val="7D11109A"/>
    <w:rsid w:val="7D31E0B5"/>
    <w:rsid w:val="7D3BE695"/>
    <w:rsid w:val="7D46BE7D"/>
    <w:rsid w:val="7D858E0C"/>
    <w:rsid w:val="7DAF53A0"/>
    <w:rsid w:val="7DB7E4B1"/>
    <w:rsid w:val="7DC00A3E"/>
    <w:rsid w:val="7DD477D9"/>
    <w:rsid w:val="7DD821CA"/>
    <w:rsid w:val="7E0C658A"/>
    <w:rsid w:val="7E2A74CF"/>
    <w:rsid w:val="7E3127CC"/>
    <w:rsid w:val="7EC4D49D"/>
    <w:rsid w:val="7F4AAB96"/>
    <w:rsid w:val="7F5296DB"/>
    <w:rsid w:val="7F619EDE"/>
    <w:rsid w:val="7F71C40C"/>
    <w:rsid w:val="7F88CEE1"/>
    <w:rsid w:val="7F970FB7"/>
    <w:rsid w:val="7F981925"/>
    <w:rsid w:val="7F9DCA9B"/>
    <w:rsid w:val="7FC44C48"/>
    <w:rsid w:val="7FD1A54A"/>
    <w:rsid w:val="7FF1E81E"/>
    <w:rsid w:val="7FFF692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D48CD4"/>
  <w15:docId w15:val="{541621AF-A099-4CFB-A86A-DC15F15BCA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00C4A"/>
  </w:style>
  <w:style w:type="paragraph" w:styleId="Heading1">
    <w:name w:val="heading 1"/>
    <w:basedOn w:val="Normal"/>
    <w:next w:val="Normal"/>
    <w:link w:val="Heading1Char"/>
    <w:uiPriority w:val="9"/>
    <w:qFormat/>
    <w:rsid w:val="006867F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F625D3"/>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8424BE"/>
    <w:rPr>
      <w:i/>
      <w:iCs/>
    </w:rPr>
  </w:style>
  <w:style w:type="character" w:styleId="Hyperlink">
    <w:name w:val="Hyperlink"/>
    <w:basedOn w:val="DefaultParagraphFont"/>
    <w:uiPriority w:val="99"/>
    <w:unhideWhenUsed/>
    <w:rsid w:val="006F5232"/>
    <w:rPr>
      <w:color w:val="0563C1" w:themeColor="hyperlink"/>
      <w:u w:val="single"/>
    </w:rPr>
  </w:style>
  <w:style w:type="character" w:styleId="UnresolvedMention">
    <w:name w:val="Unresolved Mention"/>
    <w:basedOn w:val="DefaultParagraphFont"/>
    <w:uiPriority w:val="99"/>
    <w:unhideWhenUsed/>
    <w:rsid w:val="006F5232"/>
    <w:rPr>
      <w:color w:val="605E5C"/>
      <w:shd w:val="clear" w:color="auto" w:fill="E1DFDD"/>
    </w:rPr>
  </w:style>
  <w:style w:type="character" w:styleId="FollowedHyperlink">
    <w:name w:val="FollowedHyperlink"/>
    <w:basedOn w:val="DefaultParagraphFont"/>
    <w:uiPriority w:val="99"/>
    <w:semiHidden/>
    <w:unhideWhenUsed/>
    <w:rsid w:val="00845D66"/>
    <w:rPr>
      <w:color w:val="954F72" w:themeColor="followedHyperlink"/>
      <w:u w:val="single"/>
    </w:rPr>
  </w:style>
  <w:style w:type="paragraph" w:styleId="NormalWeb">
    <w:name w:val="Normal (Web)"/>
    <w:basedOn w:val="Normal"/>
    <w:uiPriority w:val="99"/>
    <w:semiHidden/>
    <w:unhideWhenUsed/>
    <w:rsid w:val="005A2C71"/>
    <w:pPr>
      <w:spacing w:before="100" w:beforeAutospacing="1" w:after="100" w:afterAutospacing="1" w:line="240" w:lineRule="auto"/>
    </w:pPr>
    <w:rPr>
      <w:rFonts w:ascii="Times New Roman" w:eastAsia="Times New Roman" w:hAnsi="Times New Roman" w:cs="Times New Roman"/>
      <w:sz w:val="24"/>
      <w:szCs w:val="24"/>
    </w:rPr>
  </w:style>
  <w:style w:type="paragraph" w:styleId="FootnoteText">
    <w:name w:val="footnote text"/>
    <w:basedOn w:val="Normal"/>
    <w:link w:val="FootnoteTextChar"/>
    <w:uiPriority w:val="99"/>
    <w:unhideWhenUsed/>
    <w:rsid w:val="00790607"/>
    <w:pPr>
      <w:spacing w:after="0" w:line="240" w:lineRule="auto"/>
    </w:pPr>
    <w:rPr>
      <w:sz w:val="20"/>
      <w:szCs w:val="20"/>
    </w:rPr>
  </w:style>
  <w:style w:type="character" w:customStyle="1" w:styleId="FootnoteTextChar">
    <w:name w:val="Footnote Text Char"/>
    <w:basedOn w:val="DefaultParagraphFont"/>
    <w:link w:val="FootnoteText"/>
    <w:uiPriority w:val="99"/>
    <w:rsid w:val="00790607"/>
    <w:rPr>
      <w:sz w:val="20"/>
      <w:szCs w:val="20"/>
    </w:rPr>
  </w:style>
  <w:style w:type="character" w:styleId="FootnoteReference">
    <w:name w:val="footnote reference"/>
    <w:basedOn w:val="DefaultParagraphFont"/>
    <w:uiPriority w:val="99"/>
    <w:semiHidden/>
    <w:unhideWhenUsed/>
    <w:rsid w:val="00790607"/>
    <w:rPr>
      <w:vertAlign w:val="superscript"/>
    </w:rPr>
  </w:style>
  <w:style w:type="paragraph" w:styleId="Header">
    <w:name w:val="header"/>
    <w:basedOn w:val="Normal"/>
    <w:link w:val="HeaderChar"/>
    <w:uiPriority w:val="99"/>
    <w:unhideWhenUsed/>
    <w:rsid w:val="00EF7853"/>
    <w:pPr>
      <w:tabs>
        <w:tab w:val="center" w:pos="4680"/>
        <w:tab w:val="right" w:pos="9360"/>
      </w:tabs>
      <w:spacing w:after="0" w:line="240" w:lineRule="auto"/>
    </w:pPr>
  </w:style>
  <w:style w:type="character" w:customStyle="1" w:styleId="HeaderChar">
    <w:name w:val="Header Char"/>
    <w:basedOn w:val="DefaultParagraphFont"/>
    <w:link w:val="Header"/>
    <w:uiPriority w:val="99"/>
    <w:rsid w:val="00EF7853"/>
  </w:style>
  <w:style w:type="paragraph" w:styleId="Footer">
    <w:name w:val="footer"/>
    <w:basedOn w:val="Normal"/>
    <w:link w:val="FooterChar"/>
    <w:uiPriority w:val="99"/>
    <w:unhideWhenUsed/>
    <w:rsid w:val="00EF7853"/>
    <w:pPr>
      <w:tabs>
        <w:tab w:val="center" w:pos="4680"/>
        <w:tab w:val="right" w:pos="9360"/>
      </w:tabs>
      <w:spacing w:after="0" w:line="240" w:lineRule="auto"/>
    </w:pPr>
  </w:style>
  <w:style w:type="character" w:customStyle="1" w:styleId="FooterChar">
    <w:name w:val="Footer Char"/>
    <w:basedOn w:val="DefaultParagraphFont"/>
    <w:link w:val="Footer"/>
    <w:uiPriority w:val="99"/>
    <w:rsid w:val="00EF7853"/>
  </w:style>
  <w:style w:type="paragraph" w:styleId="ListParagraph">
    <w:name w:val="List Paragraph"/>
    <w:basedOn w:val="Normal"/>
    <w:uiPriority w:val="34"/>
    <w:qFormat/>
    <w:rsid w:val="005046A0"/>
    <w:pPr>
      <w:ind w:left="720"/>
      <w:contextualSpacing/>
    </w:pPr>
  </w:style>
  <w:style w:type="character" w:customStyle="1" w:styleId="normaltextrun">
    <w:name w:val="normaltextrun"/>
    <w:basedOn w:val="DefaultParagraphFont"/>
    <w:rsid w:val="009277DE"/>
  </w:style>
  <w:style w:type="paragraph" w:customStyle="1" w:styleId="paragraph">
    <w:name w:val="paragraph"/>
    <w:basedOn w:val="Normal"/>
    <w:rsid w:val="009277D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eop">
    <w:name w:val="eop"/>
    <w:basedOn w:val="DefaultParagraphFont"/>
    <w:rsid w:val="009277DE"/>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7015DF"/>
    <w:pPr>
      <w:spacing w:after="0" w:line="240" w:lineRule="auto"/>
    </w:pPr>
  </w:style>
  <w:style w:type="paragraph" w:styleId="CommentSubject">
    <w:name w:val="annotation subject"/>
    <w:basedOn w:val="CommentText"/>
    <w:next w:val="CommentText"/>
    <w:link w:val="CommentSubjectChar"/>
    <w:uiPriority w:val="99"/>
    <w:semiHidden/>
    <w:unhideWhenUsed/>
    <w:rsid w:val="006B121B"/>
    <w:rPr>
      <w:b/>
      <w:bCs/>
    </w:rPr>
  </w:style>
  <w:style w:type="character" w:customStyle="1" w:styleId="CommentSubjectChar">
    <w:name w:val="Comment Subject Char"/>
    <w:basedOn w:val="CommentTextChar"/>
    <w:link w:val="CommentSubject"/>
    <w:uiPriority w:val="99"/>
    <w:semiHidden/>
    <w:rsid w:val="006B121B"/>
    <w:rPr>
      <w:b/>
      <w:bCs/>
      <w:sz w:val="20"/>
      <w:szCs w:val="20"/>
    </w:rPr>
  </w:style>
  <w:style w:type="paragraph" w:styleId="BalloonText">
    <w:name w:val="Balloon Text"/>
    <w:basedOn w:val="Normal"/>
    <w:link w:val="BalloonTextChar"/>
    <w:uiPriority w:val="99"/>
    <w:semiHidden/>
    <w:unhideWhenUsed/>
    <w:rsid w:val="008335AD"/>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8335AD"/>
    <w:rPr>
      <w:rFonts w:ascii="Times New Roman" w:hAnsi="Times New Roman" w:cs="Times New Roman"/>
      <w:sz w:val="18"/>
      <w:szCs w:val="18"/>
    </w:rPr>
  </w:style>
  <w:style w:type="character" w:customStyle="1" w:styleId="Heading2Char">
    <w:name w:val="Heading 2 Char"/>
    <w:basedOn w:val="DefaultParagraphFont"/>
    <w:link w:val="Heading2"/>
    <w:uiPriority w:val="9"/>
    <w:rsid w:val="00F625D3"/>
    <w:rPr>
      <w:rFonts w:asciiTheme="majorHAnsi" w:eastAsiaTheme="majorEastAsia" w:hAnsiTheme="majorHAnsi" w:cstheme="majorBidi"/>
      <w:color w:val="2F5496" w:themeColor="accent1" w:themeShade="BF"/>
      <w:sz w:val="26"/>
      <w:szCs w:val="26"/>
    </w:rPr>
  </w:style>
  <w:style w:type="character" w:customStyle="1" w:styleId="Heading1Char">
    <w:name w:val="Heading 1 Char"/>
    <w:basedOn w:val="DefaultParagraphFont"/>
    <w:link w:val="Heading1"/>
    <w:uiPriority w:val="9"/>
    <w:rsid w:val="006867FE"/>
    <w:rPr>
      <w:rFonts w:asciiTheme="majorHAnsi" w:eastAsiaTheme="majorEastAsia" w:hAnsiTheme="majorHAnsi" w:cstheme="majorBidi"/>
      <w:color w:val="2F5496" w:themeColor="accent1" w:themeShade="BF"/>
      <w:sz w:val="32"/>
      <w:szCs w:val="32"/>
    </w:rPr>
  </w:style>
  <w:style w:type="table" w:styleId="TableGrid">
    <w:name w:val="Table Grid"/>
    <w:basedOn w:val="TableNormal"/>
    <w:uiPriority w:val="59"/>
    <w:rsid w:val="006867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ubtleEmphasis">
    <w:name w:val="Subtle Emphasis"/>
    <w:uiPriority w:val="19"/>
    <w:qFormat/>
    <w:rsid w:val="006867FE"/>
    <w:rPr>
      <w:sz w:val="18"/>
      <w:szCs w:val="18"/>
    </w:rPr>
  </w:style>
  <w:style w:type="character" w:styleId="Mention">
    <w:name w:val="Mention"/>
    <w:basedOn w:val="DefaultParagraphFont"/>
    <w:uiPriority w:val="99"/>
    <w:unhideWhenUsed/>
    <w:rsid w:val="0097375E"/>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734472">
      <w:bodyDiv w:val="1"/>
      <w:marLeft w:val="0"/>
      <w:marRight w:val="0"/>
      <w:marTop w:val="0"/>
      <w:marBottom w:val="0"/>
      <w:divBdr>
        <w:top w:val="none" w:sz="0" w:space="0" w:color="auto"/>
        <w:left w:val="none" w:sz="0" w:space="0" w:color="auto"/>
        <w:bottom w:val="none" w:sz="0" w:space="0" w:color="auto"/>
        <w:right w:val="none" w:sz="0" w:space="0" w:color="auto"/>
      </w:divBdr>
    </w:div>
    <w:div w:id="46228750">
      <w:bodyDiv w:val="1"/>
      <w:marLeft w:val="0"/>
      <w:marRight w:val="0"/>
      <w:marTop w:val="0"/>
      <w:marBottom w:val="0"/>
      <w:divBdr>
        <w:top w:val="none" w:sz="0" w:space="0" w:color="auto"/>
        <w:left w:val="none" w:sz="0" w:space="0" w:color="auto"/>
        <w:bottom w:val="none" w:sz="0" w:space="0" w:color="auto"/>
        <w:right w:val="none" w:sz="0" w:space="0" w:color="auto"/>
      </w:divBdr>
    </w:div>
    <w:div w:id="312682665">
      <w:bodyDiv w:val="1"/>
      <w:marLeft w:val="0"/>
      <w:marRight w:val="0"/>
      <w:marTop w:val="0"/>
      <w:marBottom w:val="0"/>
      <w:divBdr>
        <w:top w:val="none" w:sz="0" w:space="0" w:color="auto"/>
        <w:left w:val="none" w:sz="0" w:space="0" w:color="auto"/>
        <w:bottom w:val="none" w:sz="0" w:space="0" w:color="auto"/>
        <w:right w:val="none" w:sz="0" w:space="0" w:color="auto"/>
      </w:divBdr>
    </w:div>
    <w:div w:id="317613121">
      <w:bodyDiv w:val="1"/>
      <w:marLeft w:val="0"/>
      <w:marRight w:val="0"/>
      <w:marTop w:val="0"/>
      <w:marBottom w:val="0"/>
      <w:divBdr>
        <w:top w:val="none" w:sz="0" w:space="0" w:color="auto"/>
        <w:left w:val="none" w:sz="0" w:space="0" w:color="auto"/>
        <w:bottom w:val="none" w:sz="0" w:space="0" w:color="auto"/>
        <w:right w:val="none" w:sz="0" w:space="0" w:color="auto"/>
      </w:divBdr>
      <w:divsChild>
        <w:div w:id="98913756">
          <w:marLeft w:val="360"/>
          <w:marRight w:val="0"/>
          <w:marTop w:val="200"/>
          <w:marBottom w:val="0"/>
          <w:divBdr>
            <w:top w:val="none" w:sz="0" w:space="0" w:color="auto"/>
            <w:left w:val="none" w:sz="0" w:space="0" w:color="auto"/>
            <w:bottom w:val="none" w:sz="0" w:space="0" w:color="auto"/>
            <w:right w:val="none" w:sz="0" w:space="0" w:color="auto"/>
          </w:divBdr>
        </w:div>
        <w:div w:id="536549901">
          <w:marLeft w:val="360"/>
          <w:marRight w:val="0"/>
          <w:marTop w:val="200"/>
          <w:marBottom w:val="0"/>
          <w:divBdr>
            <w:top w:val="none" w:sz="0" w:space="0" w:color="auto"/>
            <w:left w:val="none" w:sz="0" w:space="0" w:color="auto"/>
            <w:bottom w:val="none" w:sz="0" w:space="0" w:color="auto"/>
            <w:right w:val="none" w:sz="0" w:space="0" w:color="auto"/>
          </w:divBdr>
        </w:div>
        <w:div w:id="831337797">
          <w:marLeft w:val="360"/>
          <w:marRight w:val="0"/>
          <w:marTop w:val="200"/>
          <w:marBottom w:val="0"/>
          <w:divBdr>
            <w:top w:val="none" w:sz="0" w:space="0" w:color="auto"/>
            <w:left w:val="none" w:sz="0" w:space="0" w:color="auto"/>
            <w:bottom w:val="none" w:sz="0" w:space="0" w:color="auto"/>
            <w:right w:val="none" w:sz="0" w:space="0" w:color="auto"/>
          </w:divBdr>
        </w:div>
        <w:div w:id="1885365208">
          <w:marLeft w:val="360"/>
          <w:marRight w:val="0"/>
          <w:marTop w:val="200"/>
          <w:marBottom w:val="0"/>
          <w:divBdr>
            <w:top w:val="none" w:sz="0" w:space="0" w:color="auto"/>
            <w:left w:val="none" w:sz="0" w:space="0" w:color="auto"/>
            <w:bottom w:val="none" w:sz="0" w:space="0" w:color="auto"/>
            <w:right w:val="none" w:sz="0" w:space="0" w:color="auto"/>
          </w:divBdr>
        </w:div>
      </w:divsChild>
    </w:div>
    <w:div w:id="338236623">
      <w:bodyDiv w:val="1"/>
      <w:marLeft w:val="0"/>
      <w:marRight w:val="0"/>
      <w:marTop w:val="0"/>
      <w:marBottom w:val="0"/>
      <w:divBdr>
        <w:top w:val="none" w:sz="0" w:space="0" w:color="auto"/>
        <w:left w:val="none" w:sz="0" w:space="0" w:color="auto"/>
        <w:bottom w:val="none" w:sz="0" w:space="0" w:color="auto"/>
        <w:right w:val="none" w:sz="0" w:space="0" w:color="auto"/>
      </w:divBdr>
      <w:divsChild>
        <w:div w:id="15354462">
          <w:marLeft w:val="360"/>
          <w:marRight w:val="0"/>
          <w:marTop w:val="200"/>
          <w:marBottom w:val="0"/>
          <w:divBdr>
            <w:top w:val="none" w:sz="0" w:space="0" w:color="auto"/>
            <w:left w:val="none" w:sz="0" w:space="0" w:color="auto"/>
            <w:bottom w:val="none" w:sz="0" w:space="0" w:color="auto"/>
            <w:right w:val="none" w:sz="0" w:space="0" w:color="auto"/>
          </w:divBdr>
        </w:div>
        <w:div w:id="683096442">
          <w:marLeft w:val="360"/>
          <w:marRight w:val="0"/>
          <w:marTop w:val="200"/>
          <w:marBottom w:val="0"/>
          <w:divBdr>
            <w:top w:val="none" w:sz="0" w:space="0" w:color="auto"/>
            <w:left w:val="none" w:sz="0" w:space="0" w:color="auto"/>
            <w:bottom w:val="none" w:sz="0" w:space="0" w:color="auto"/>
            <w:right w:val="none" w:sz="0" w:space="0" w:color="auto"/>
          </w:divBdr>
        </w:div>
        <w:div w:id="2082748227">
          <w:marLeft w:val="360"/>
          <w:marRight w:val="0"/>
          <w:marTop w:val="200"/>
          <w:marBottom w:val="0"/>
          <w:divBdr>
            <w:top w:val="none" w:sz="0" w:space="0" w:color="auto"/>
            <w:left w:val="none" w:sz="0" w:space="0" w:color="auto"/>
            <w:bottom w:val="none" w:sz="0" w:space="0" w:color="auto"/>
            <w:right w:val="none" w:sz="0" w:space="0" w:color="auto"/>
          </w:divBdr>
        </w:div>
      </w:divsChild>
    </w:div>
    <w:div w:id="768693192">
      <w:bodyDiv w:val="1"/>
      <w:marLeft w:val="0"/>
      <w:marRight w:val="0"/>
      <w:marTop w:val="0"/>
      <w:marBottom w:val="0"/>
      <w:divBdr>
        <w:top w:val="none" w:sz="0" w:space="0" w:color="auto"/>
        <w:left w:val="none" w:sz="0" w:space="0" w:color="auto"/>
        <w:bottom w:val="none" w:sz="0" w:space="0" w:color="auto"/>
        <w:right w:val="none" w:sz="0" w:space="0" w:color="auto"/>
      </w:divBdr>
    </w:div>
    <w:div w:id="814689421">
      <w:bodyDiv w:val="1"/>
      <w:marLeft w:val="0"/>
      <w:marRight w:val="0"/>
      <w:marTop w:val="0"/>
      <w:marBottom w:val="0"/>
      <w:divBdr>
        <w:top w:val="none" w:sz="0" w:space="0" w:color="auto"/>
        <w:left w:val="none" w:sz="0" w:space="0" w:color="auto"/>
        <w:bottom w:val="none" w:sz="0" w:space="0" w:color="auto"/>
        <w:right w:val="none" w:sz="0" w:space="0" w:color="auto"/>
      </w:divBdr>
    </w:div>
    <w:div w:id="838429872">
      <w:bodyDiv w:val="1"/>
      <w:marLeft w:val="0"/>
      <w:marRight w:val="0"/>
      <w:marTop w:val="0"/>
      <w:marBottom w:val="0"/>
      <w:divBdr>
        <w:top w:val="none" w:sz="0" w:space="0" w:color="auto"/>
        <w:left w:val="none" w:sz="0" w:space="0" w:color="auto"/>
        <w:bottom w:val="none" w:sz="0" w:space="0" w:color="auto"/>
        <w:right w:val="none" w:sz="0" w:space="0" w:color="auto"/>
      </w:divBdr>
      <w:divsChild>
        <w:div w:id="210583183">
          <w:marLeft w:val="360"/>
          <w:marRight w:val="0"/>
          <w:marTop w:val="200"/>
          <w:marBottom w:val="0"/>
          <w:divBdr>
            <w:top w:val="none" w:sz="0" w:space="0" w:color="auto"/>
            <w:left w:val="none" w:sz="0" w:space="0" w:color="auto"/>
            <w:bottom w:val="none" w:sz="0" w:space="0" w:color="auto"/>
            <w:right w:val="none" w:sz="0" w:space="0" w:color="auto"/>
          </w:divBdr>
        </w:div>
        <w:div w:id="422454419">
          <w:marLeft w:val="360"/>
          <w:marRight w:val="0"/>
          <w:marTop w:val="200"/>
          <w:marBottom w:val="0"/>
          <w:divBdr>
            <w:top w:val="none" w:sz="0" w:space="0" w:color="auto"/>
            <w:left w:val="none" w:sz="0" w:space="0" w:color="auto"/>
            <w:bottom w:val="none" w:sz="0" w:space="0" w:color="auto"/>
            <w:right w:val="none" w:sz="0" w:space="0" w:color="auto"/>
          </w:divBdr>
        </w:div>
        <w:div w:id="1017466996">
          <w:marLeft w:val="360"/>
          <w:marRight w:val="0"/>
          <w:marTop w:val="200"/>
          <w:marBottom w:val="0"/>
          <w:divBdr>
            <w:top w:val="none" w:sz="0" w:space="0" w:color="auto"/>
            <w:left w:val="none" w:sz="0" w:space="0" w:color="auto"/>
            <w:bottom w:val="none" w:sz="0" w:space="0" w:color="auto"/>
            <w:right w:val="none" w:sz="0" w:space="0" w:color="auto"/>
          </w:divBdr>
        </w:div>
        <w:div w:id="1761829317">
          <w:marLeft w:val="360"/>
          <w:marRight w:val="0"/>
          <w:marTop w:val="200"/>
          <w:marBottom w:val="0"/>
          <w:divBdr>
            <w:top w:val="none" w:sz="0" w:space="0" w:color="auto"/>
            <w:left w:val="none" w:sz="0" w:space="0" w:color="auto"/>
            <w:bottom w:val="none" w:sz="0" w:space="0" w:color="auto"/>
            <w:right w:val="none" w:sz="0" w:space="0" w:color="auto"/>
          </w:divBdr>
        </w:div>
      </w:divsChild>
    </w:div>
    <w:div w:id="866261829">
      <w:bodyDiv w:val="1"/>
      <w:marLeft w:val="0"/>
      <w:marRight w:val="0"/>
      <w:marTop w:val="0"/>
      <w:marBottom w:val="0"/>
      <w:divBdr>
        <w:top w:val="none" w:sz="0" w:space="0" w:color="auto"/>
        <w:left w:val="none" w:sz="0" w:space="0" w:color="auto"/>
        <w:bottom w:val="none" w:sz="0" w:space="0" w:color="auto"/>
        <w:right w:val="none" w:sz="0" w:space="0" w:color="auto"/>
      </w:divBdr>
    </w:div>
    <w:div w:id="973831411">
      <w:bodyDiv w:val="1"/>
      <w:marLeft w:val="0"/>
      <w:marRight w:val="0"/>
      <w:marTop w:val="0"/>
      <w:marBottom w:val="0"/>
      <w:divBdr>
        <w:top w:val="none" w:sz="0" w:space="0" w:color="auto"/>
        <w:left w:val="none" w:sz="0" w:space="0" w:color="auto"/>
        <w:bottom w:val="none" w:sz="0" w:space="0" w:color="auto"/>
        <w:right w:val="none" w:sz="0" w:space="0" w:color="auto"/>
      </w:divBdr>
      <w:divsChild>
        <w:div w:id="694815669">
          <w:marLeft w:val="0"/>
          <w:marRight w:val="0"/>
          <w:marTop w:val="0"/>
          <w:marBottom w:val="0"/>
          <w:divBdr>
            <w:top w:val="none" w:sz="0" w:space="0" w:color="auto"/>
            <w:left w:val="none" w:sz="0" w:space="0" w:color="auto"/>
            <w:bottom w:val="none" w:sz="0" w:space="0" w:color="auto"/>
            <w:right w:val="none" w:sz="0" w:space="0" w:color="auto"/>
          </w:divBdr>
        </w:div>
        <w:div w:id="792098987">
          <w:marLeft w:val="0"/>
          <w:marRight w:val="0"/>
          <w:marTop w:val="0"/>
          <w:marBottom w:val="0"/>
          <w:divBdr>
            <w:top w:val="none" w:sz="0" w:space="0" w:color="auto"/>
            <w:left w:val="none" w:sz="0" w:space="0" w:color="auto"/>
            <w:bottom w:val="none" w:sz="0" w:space="0" w:color="auto"/>
            <w:right w:val="none" w:sz="0" w:space="0" w:color="auto"/>
          </w:divBdr>
        </w:div>
        <w:div w:id="1816994679">
          <w:marLeft w:val="0"/>
          <w:marRight w:val="0"/>
          <w:marTop w:val="0"/>
          <w:marBottom w:val="0"/>
          <w:divBdr>
            <w:top w:val="none" w:sz="0" w:space="0" w:color="auto"/>
            <w:left w:val="none" w:sz="0" w:space="0" w:color="auto"/>
            <w:bottom w:val="none" w:sz="0" w:space="0" w:color="auto"/>
            <w:right w:val="none" w:sz="0" w:space="0" w:color="auto"/>
          </w:divBdr>
        </w:div>
      </w:divsChild>
    </w:div>
    <w:div w:id="1104764941">
      <w:bodyDiv w:val="1"/>
      <w:marLeft w:val="0"/>
      <w:marRight w:val="0"/>
      <w:marTop w:val="0"/>
      <w:marBottom w:val="0"/>
      <w:divBdr>
        <w:top w:val="none" w:sz="0" w:space="0" w:color="auto"/>
        <w:left w:val="none" w:sz="0" w:space="0" w:color="auto"/>
        <w:bottom w:val="none" w:sz="0" w:space="0" w:color="auto"/>
        <w:right w:val="none" w:sz="0" w:space="0" w:color="auto"/>
      </w:divBdr>
    </w:div>
    <w:div w:id="1312061714">
      <w:bodyDiv w:val="1"/>
      <w:marLeft w:val="0"/>
      <w:marRight w:val="0"/>
      <w:marTop w:val="0"/>
      <w:marBottom w:val="0"/>
      <w:divBdr>
        <w:top w:val="none" w:sz="0" w:space="0" w:color="auto"/>
        <w:left w:val="none" w:sz="0" w:space="0" w:color="auto"/>
        <w:bottom w:val="none" w:sz="0" w:space="0" w:color="auto"/>
        <w:right w:val="none" w:sz="0" w:space="0" w:color="auto"/>
      </w:divBdr>
    </w:div>
    <w:div w:id="1352680602">
      <w:bodyDiv w:val="1"/>
      <w:marLeft w:val="0"/>
      <w:marRight w:val="0"/>
      <w:marTop w:val="0"/>
      <w:marBottom w:val="0"/>
      <w:divBdr>
        <w:top w:val="none" w:sz="0" w:space="0" w:color="auto"/>
        <w:left w:val="none" w:sz="0" w:space="0" w:color="auto"/>
        <w:bottom w:val="none" w:sz="0" w:space="0" w:color="auto"/>
        <w:right w:val="none" w:sz="0" w:space="0" w:color="auto"/>
      </w:divBdr>
    </w:div>
    <w:div w:id="1467893674">
      <w:bodyDiv w:val="1"/>
      <w:marLeft w:val="0"/>
      <w:marRight w:val="0"/>
      <w:marTop w:val="0"/>
      <w:marBottom w:val="0"/>
      <w:divBdr>
        <w:top w:val="none" w:sz="0" w:space="0" w:color="auto"/>
        <w:left w:val="none" w:sz="0" w:space="0" w:color="auto"/>
        <w:bottom w:val="none" w:sz="0" w:space="0" w:color="auto"/>
        <w:right w:val="none" w:sz="0" w:space="0" w:color="auto"/>
      </w:divBdr>
    </w:div>
    <w:div w:id="1642996101">
      <w:bodyDiv w:val="1"/>
      <w:marLeft w:val="0"/>
      <w:marRight w:val="0"/>
      <w:marTop w:val="0"/>
      <w:marBottom w:val="0"/>
      <w:divBdr>
        <w:top w:val="none" w:sz="0" w:space="0" w:color="auto"/>
        <w:left w:val="none" w:sz="0" w:space="0" w:color="auto"/>
        <w:bottom w:val="none" w:sz="0" w:space="0" w:color="auto"/>
        <w:right w:val="none" w:sz="0" w:space="0" w:color="auto"/>
      </w:divBdr>
    </w:div>
    <w:div w:id="1696492440">
      <w:bodyDiv w:val="1"/>
      <w:marLeft w:val="0"/>
      <w:marRight w:val="0"/>
      <w:marTop w:val="0"/>
      <w:marBottom w:val="0"/>
      <w:divBdr>
        <w:top w:val="none" w:sz="0" w:space="0" w:color="auto"/>
        <w:left w:val="none" w:sz="0" w:space="0" w:color="auto"/>
        <w:bottom w:val="none" w:sz="0" w:space="0" w:color="auto"/>
        <w:right w:val="none" w:sz="0" w:space="0" w:color="auto"/>
      </w:divBdr>
    </w:div>
    <w:div w:id="1752772674">
      <w:bodyDiv w:val="1"/>
      <w:marLeft w:val="0"/>
      <w:marRight w:val="0"/>
      <w:marTop w:val="0"/>
      <w:marBottom w:val="0"/>
      <w:divBdr>
        <w:top w:val="none" w:sz="0" w:space="0" w:color="auto"/>
        <w:left w:val="none" w:sz="0" w:space="0" w:color="auto"/>
        <w:bottom w:val="none" w:sz="0" w:space="0" w:color="auto"/>
        <w:right w:val="none" w:sz="0" w:space="0" w:color="auto"/>
      </w:divBdr>
    </w:div>
    <w:div w:id="1894659901">
      <w:bodyDiv w:val="1"/>
      <w:marLeft w:val="0"/>
      <w:marRight w:val="0"/>
      <w:marTop w:val="0"/>
      <w:marBottom w:val="0"/>
      <w:divBdr>
        <w:top w:val="none" w:sz="0" w:space="0" w:color="auto"/>
        <w:left w:val="none" w:sz="0" w:space="0" w:color="auto"/>
        <w:bottom w:val="none" w:sz="0" w:space="0" w:color="auto"/>
        <w:right w:val="none" w:sz="0" w:space="0" w:color="auto"/>
      </w:divBdr>
    </w:div>
    <w:div w:id="1978488103">
      <w:bodyDiv w:val="1"/>
      <w:marLeft w:val="0"/>
      <w:marRight w:val="0"/>
      <w:marTop w:val="0"/>
      <w:marBottom w:val="0"/>
      <w:divBdr>
        <w:top w:val="none" w:sz="0" w:space="0" w:color="auto"/>
        <w:left w:val="none" w:sz="0" w:space="0" w:color="auto"/>
        <w:bottom w:val="none" w:sz="0" w:space="0" w:color="auto"/>
        <w:right w:val="none" w:sz="0" w:space="0" w:color="auto"/>
      </w:divBdr>
      <w:divsChild>
        <w:div w:id="54479348">
          <w:marLeft w:val="720"/>
          <w:marRight w:val="0"/>
          <w:marTop w:val="0"/>
          <w:marBottom w:val="0"/>
          <w:divBdr>
            <w:top w:val="none" w:sz="0" w:space="0" w:color="auto"/>
            <w:left w:val="none" w:sz="0" w:space="0" w:color="auto"/>
            <w:bottom w:val="none" w:sz="0" w:space="0" w:color="auto"/>
            <w:right w:val="none" w:sz="0" w:space="0" w:color="auto"/>
          </w:divBdr>
        </w:div>
        <w:div w:id="138882721">
          <w:marLeft w:val="720"/>
          <w:marRight w:val="0"/>
          <w:marTop w:val="0"/>
          <w:marBottom w:val="0"/>
          <w:divBdr>
            <w:top w:val="none" w:sz="0" w:space="0" w:color="auto"/>
            <w:left w:val="none" w:sz="0" w:space="0" w:color="auto"/>
            <w:bottom w:val="none" w:sz="0" w:space="0" w:color="auto"/>
            <w:right w:val="none" w:sz="0" w:space="0" w:color="auto"/>
          </w:divBdr>
        </w:div>
        <w:div w:id="471563507">
          <w:marLeft w:val="720"/>
          <w:marRight w:val="0"/>
          <w:marTop w:val="0"/>
          <w:marBottom w:val="0"/>
          <w:divBdr>
            <w:top w:val="none" w:sz="0" w:space="0" w:color="auto"/>
            <w:left w:val="none" w:sz="0" w:space="0" w:color="auto"/>
            <w:bottom w:val="none" w:sz="0" w:space="0" w:color="auto"/>
            <w:right w:val="none" w:sz="0" w:space="0" w:color="auto"/>
          </w:divBdr>
        </w:div>
        <w:div w:id="1478298449">
          <w:marLeft w:val="720"/>
          <w:marRight w:val="0"/>
          <w:marTop w:val="0"/>
          <w:marBottom w:val="0"/>
          <w:divBdr>
            <w:top w:val="none" w:sz="0" w:space="0" w:color="auto"/>
            <w:left w:val="none" w:sz="0" w:space="0" w:color="auto"/>
            <w:bottom w:val="none" w:sz="0" w:space="0" w:color="auto"/>
            <w:right w:val="none" w:sz="0" w:space="0" w:color="auto"/>
          </w:divBdr>
        </w:div>
        <w:div w:id="1514757179">
          <w:marLeft w:val="720"/>
          <w:marRight w:val="0"/>
          <w:marTop w:val="0"/>
          <w:marBottom w:val="0"/>
          <w:divBdr>
            <w:top w:val="none" w:sz="0" w:space="0" w:color="auto"/>
            <w:left w:val="none" w:sz="0" w:space="0" w:color="auto"/>
            <w:bottom w:val="none" w:sz="0" w:space="0" w:color="auto"/>
            <w:right w:val="none" w:sz="0" w:space="0" w:color="auto"/>
          </w:divBdr>
        </w:div>
      </w:divsChild>
    </w:div>
    <w:div w:id="208459808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chart" Target="charts/chart6.xml"/><Relationship Id="rId26" Type="http://schemas.openxmlformats.org/officeDocument/2006/relationships/chart" Target="charts/chart14.xml"/><Relationship Id="rId39" Type="http://schemas.openxmlformats.org/officeDocument/2006/relationships/fontTable" Target="fontTable.xml"/><Relationship Id="rId21" Type="http://schemas.openxmlformats.org/officeDocument/2006/relationships/chart" Target="charts/chart9.xml"/><Relationship Id="rId34" Type="http://schemas.openxmlformats.org/officeDocument/2006/relationships/hyperlink" Target="https://www.mass.gov/info-details/syringe-service-program-locator"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chart" Target="charts/chart4.xml"/><Relationship Id="rId20" Type="http://schemas.openxmlformats.org/officeDocument/2006/relationships/chart" Target="charts/chart8.xml"/><Relationship Id="rId29" Type="http://schemas.openxmlformats.org/officeDocument/2006/relationships/hyperlink" Target="https://www.mass.gov/doc/new-medical-director-option-statewide-treatment-protocol-618-buprenorphine-for-opioid-withdrawal-effective-august-14-2023-pdf/download" TargetMode="External"/><Relationship Id="rId41" Type="http://schemas.microsoft.com/office/2019/05/relationships/documenttasks" Target="documenttasks/documenttasks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chart" Target="charts/chart12.xml"/><Relationship Id="rId32" Type="http://schemas.openxmlformats.org/officeDocument/2006/relationships/hyperlink" Target="https://respondtoprevent.org/" TargetMode="External"/><Relationship Id="rId37" Type="http://schemas.openxmlformats.org/officeDocument/2006/relationships/header" Target="header1.xml"/><Relationship Id="rId40"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chart" Target="charts/chart3.xml"/><Relationship Id="rId23" Type="http://schemas.openxmlformats.org/officeDocument/2006/relationships/chart" Target="charts/chart11.xml"/><Relationship Id="rId28" Type="http://schemas.openxmlformats.org/officeDocument/2006/relationships/hyperlink" Target="https://www.mass.gov/doc/emergency-release-of-613-leave-behind-naloxone-updated-december-2020/download?_ga=2.87723992.1787954354.1699884544-1087106031.1618596064&amp;_gl=1*nh912c*_ga*MTA4NzEwNjAzMS4xNjE4NTk2MDY0*_ga_MCLPEGW7WM*MTcwMDA2MzQxNi4xNDEuMS4xNzAwMDYzNjMzLjAuMC4w" TargetMode="External"/><Relationship Id="rId36" Type="http://schemas.openxmlformats.org/officeDocument/2006/relationships/hyperlink" Target="http://budget.digital.mass.gov/bb/gaa/fy2018/os_18/h48.htm" TargetMode="External"/><Relationship Id="rId10" Type="http://schemas.openxmlformats.org/officeDocument/2006/relationships/endnotes" Target="endnotes.xml"/><Relationship Id="rId19" Type="http://schemas.openxmlformats.org/officeDocument/2006/relationships/chart" Target="charts/chart7.xml"/><Relationship Id="rId31" Type="http://schemas.openxmlformats.org/officeDocument/2006/relationships/hyperlink" Target="https://www.mass.gov/stop-an-overdose-with-naloxon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chart" Target="charts/chart2.xml"/><Relationship Id="rId22" Type="http://schemas.openxmlformats.org/officeDocument/2006/relationships/chart" Target="charts/chart10.xml"/><Relationship Id="rId27" Type="http://schemas.openxmlformats.org/officeDocument/2006/relationships/chart" Target="charts/chart15.xml"/><Relationship Id="rId30" Type="http://schemas.openxmlformats.org/officeDocument/2006/relationships/hyperlink" Target="https://portal.populationhealthexchange.org/course/caring-for-people-who-use-drugs/" TargetMode="External"/><Relationship Id="rId35" Type="http://schemas.openxmlformats.org/officeDocument/2006/relationships/hyperlink" Target="https://massoverdosehelpline.org/" TargetMode="Externa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chart" Target="charts/chart1.xml"/><Relationship Id="rId17" Type="http://schemas.openxmlformats.org/officeDocument/2006/relationships/chart" Target="charts/chart5.xml"/><Relationship Id="rId25" Type="http://schemas.openxmlformats.org/officeDocument/2006/relationships/chart" Target="charts/chart13.xml"/><Relationship Id="rId33" Type="http://schemas.openxmlformats.org/officeDocument/2006/relationships/hyperlink" Target="https://www.addictiontraining.org/" TargetMode="External"/><Relationship Id="rId38" Type="http://schemas.openxmlformats.org/officeDocument/2006/relationships/footer" Target="footer1.xm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5" Type="http://schemas.openxmlformats.org/officeDocument/2006/relationships/chartUserShapes" Target="../drawings/drawing1.xml"/><Relationship Id="rId4" Type="http://schemas.openxmlformats.org/officeDocument/2006/relationships/package" Target="../embeddings/Microsoft_Excel_Worksheet.xlsx"/></Relationships>
</file>

<file path=word/charts/_rels/chart10.xml.rels><?xml version="1.0" encoding="UTF-8" standalone="yes"?>
<Relationships xmlns="http://schemas.openxmlformats.org/package/2006/relationships"><Relationship Id="rId3" Type="http://schemas.openxmlformats.org/officeDocument/2006/relationships/themeOverride" Target="../theme/themeOverride10.xml"/><Relationship Id="rId2" Type="http://schemas.microsoft.com/office/2011/relationships/chartColorStyle" Target="colors7.xml"/><Relationship Id="rId1" Type="http://schemas.microsoft.com/office/2011/relationships/chartStyle" Target="style7.xml"/><Relationship Id="rId5" Type="http://schemas.openxmlformats.org/officeDocument/2006/relationships/chartUserShapes" Target="../drawings/drawing10.xml"/><Relationship Id="rId4" Type="http://schemas.openxmlformats.org/officeDocument/2006/relationships/oleObject" Target="../embeddings/oleObject6.bin"/></Relationships>
</file>

<file path=word/charts/_rels/chart11.xml.rels><?xml version="1.0" encoding="UTF-8" standalone="yes"?>
<Relationships xmlns="http://schemas.openxmlformats.org/package/2006/relationships"><Relationship Id="rId3" Type="http://schemas.openxmlformats.org/officeDocument/2006/relationships/chartUserShapes" Target="../drawings/drawing11.xml"/><Relationship Id="rId2" Type="http://schemas.openxmlformats.org/officeDocument/2006/relationships/oleObject" Target="../embeddings/oleObject7.bin"/><Relationship Id="rId1" Type="http://schemas.openxmlformats.org/officeDocument/2006/relationships/themeOverride" Target="../theme/themeOverride11.xml"/></Relationships>
</file>

<file path=word/charts/_rels/chart12.xml.rels><?xml version="1.0" encoding="UTF-8" standalone="yes"?>
<Relationships xmlns="http://schemas.openxmlformats.org/package/2006/relationships"><Relationship Id="rId3" Type="http://schemas.openxmlformats.org/officeDocument/2006/relationships/themeOverride" Target="../theme/themeOverride12.xml"/><Relationship Id="rId2" Type="http://schemas.microsoft.com/office/2011/relationships/chartColorStyle" Target="colors8.xml"/><Relationship Id="rId1" Type="http://schemas.microsoft.com/office/2011/relationships/chartStyle" Target="style8.xml"/><Relationship Id="rId5" Type="http://schemas.openxmlformats.org/officeDocument/2006/relationships/chartUserShapes" Target="../drawings/drawing12.xml"/><Relationship Id="rId4" Type="http://schemas.openxmlformats.org/officeDocument/2006/relationships/package" Target="../embeddings/Microsoft_Excel_Worksheet3.xlsx"/></Relationships>
</file>

<file path=word/charts/_rels/chart13.xml.rels><?xml version="1.0" encoding="UTF-8" standalone="yes"?>
<Relationships xmlns="http://schemas.openxmlformats.org/package/2006/relationships"><Relationship Id="rId3" Type="http://schemas.openxmlformats.org/officeDocument/2006/relationships/themeOverride" Target="../theme/themeOverride13.xml"/><Relationship Id="rId2" Type="http://schemas.microsoft.com/office/2011/relationships/chartColorStyle" Target="colors9.xml"/><Relationship Id="rId1" Type="http://schemas.microsoft.com/office/2011/relationships/chartStyle" Target="style9.xml"/><Relationship Id="rId5" Type="http://schemas.openxmlformats.org/officeDocument/2006/relationships/chartUserShapes" Target="../drawings/drawing13.xml"/><Relationship Id="rId4" Type="http://schemas.openxmlformats.org/officeDocument/2006/relationships/package" Target="../embeddings/Microsoft_Excel_Worksheet4.xlsx"/></Relationships>
</file>

<file path=word/charts/_rels/chart14.xml.rels><?xml version="1.0" encoding="UTF-8" standalone="yes"?>
<Relationships xmlns="http://schemas.openxmlformats.org/package/2006/relationships"><Relationship Id="rId3" Type="http://schemas.openxmlformats.org/officeDocument/2006/relationships/chartUserShapes" Target="../drawings/drawing14.xml"/><Relationship Id="rId2" Type="http://schemas.openxmlformats.org/officeDocument/2006/relationships/package" Target="../embeddings/Microsoft_Excel_Worksheet5.xlsx"/><Relationship Id="rId1" Type="http://schemas.openxmlformats.org/officeDocument/2006/relationships/themeOverride" Target="../theme/themeOverride14.xml"/></Relationships>
</file>

<file path=word/charts/_rels/chart15.xml.rels><?xml version="1.0" encoding="UTF-8" standalone="yes"?>
<Relationships xmlns="http://schemas.openxmlformats.org/package/2006/relationships"><Relationship Id="rId3" Type="http://schemas.openxmlformats.org/officeDocument/2006/relationships/themeOverride" Target="../theme/themeOverride15.xml"/><Relationship Id="rId2" Type="http://schemas.microsoft.com/office/2011/relationships/chartColorStyle" Target="colors10.xml"/><Relationship Id="rId1" Type="http://schemas.microsoft.com/office/2011/relationships/chartStyle" Target="style10.xml"/><Relationship Id="rId5" Type="http://schemas.openxmlformats.org/officeDocument/2006/relationships/chartUserShapes" Target="../drawings/drawing15.xml"/><Relationship Id="rId4" Type="http://schemas.openxmlformats.org/officeDocument/2006/relationships/package" Target="../embeddings/Microsoft_Excel_Worksheet6.xlsx"/></Relationships>
</file>

<file path=word/charts/_rels/chart2.xml.rels><?xml version="1.0" encoding="UTF-8" standalone="yes"?>
<Relationships xmlns="http://schemas.openxmlformats.org/package/2006/relationships"><Relationship Id="rId3" Type="http://schemas.openxmlformats.org/officeDocument/2006/relationships/chartUserShapes" Target="../drawings/drawing2.xml"/><Relationship Id="rId2" Type="http://schemas.openxmlformats.org/officeDocument/2006/relationships/oleObject" Target="file:///C:\Users\EAErdman\Downloads\NFO%202013-2021%20data%20brief%20figures.xlsx" TargetMode="External"/><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3" Type="http://schemas.openxmlformats.org/officeDocument/2006/relationships/chartUserShapes" Target="../drawings/drawing3.xml"/><Relationship Id="rId2" Type="http://schemas.openxmlformats.org/officeDocument/2006/relationships/oleObject" Target="../embeddings/oleObject1.bin"/><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3" Type="http://schemas.openxmlformats.org/officeDocument/2006/relationships/chartUserShapes" Target="../drawings/drawing4.xml"/><Relationship Id="rId2" Type="http://schemas.openxmlformats.org/officeDocument/2006/relationships/oleObject" Target="../embeddings/oleObject2.bin"/><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2.xml"/><Relationship Id="rId1" Type="http://schemas.microsoft.com/office/2011/relationships/chartStyle" Target="style2.xml"/><Relationship Id="rId5" Type="http://schemas.openxmlformats.org/officeDocument/2006/relationships/chartUserShapes" Target="../drawings/drawing5.xml"/><Relationship Id="rId4" Type="http://schemas.openxmlformats.org/officeDocument/2006/relationships/package" Target="../embeddings/Microsoft_Excel_Worksheet1.xlsx"/></Relationships>
</file>

<file path=word/charts/_rels/chart6.xml.rels><?xml version="1.0" encoding="UTF-8" standalone="yes"?>
<Relationships xmlns="http://schemas.openxmlformats.org/package/2006/relationships"><Relationship Id="rId3" Type="http://schemas.openxmlformats.org/officeDocument/2006/relationships/themeOverride" Target="../theme/themeOverride6.xml"/><Relationship Id="rId2" Type="http://schemas.microsoft.com/office/2011/relationships/chartColorStyle" Target="colors3.xml"/><Relationship Id="rId1" Type="http://schemas.microsoft.com/office/2011/relationships/chartStyle" Target="style3.xml"/><Relationship Id="rId5" Type="http://schemas.openxmlformats.org/officeDocument/2006/relationships/chartUserShapes" Target="../drawings/drawing6.xml"/><Relationship Id="rId4" Type="http://schemas.openxmlformats.org/officeDocument/2006/relationships/package" Target="../embeddings/Microsoft_Excel_Worksheet2.xlsx"/></Relationships>
</file>

<file path=word/charts/_rels/chart7.xml.rels><?xml version="1.0" encoding="UTF-8" standalone="yes"?>
<Relationships xmlns="http://schemas.openxmlformats.org/package/2006/relationships"><Relationship Id="rId3" Type="http://schemas.openxmlformats.org/officeDocument/2006/relationships/themeOverride" Target="../theme/themeOverride7.xml"/><Relationship Id="rId2" Type="http://schemas.microsoft.com/office/2011/relationships/chartColorStyle" Target="colors4.xml"/><Relationship Id="rId1" Type="http://schemas.microsoft.com/office/2011/relationships/chartStyle" Target="style4.xml"/><Relationship Id="rId5" Type="http://schemas.openxmlformats.org/officeDocument/2006/relationships/chartUserShapes" Target="../drawings/drawing7.xml"/><Relationship Id="rId4" Type="http://schemas.openxmlformats.org/officeDocument/2006/relationships/oleObject" Target="../embeddings/oleObject3.bin"/></Relationships>
</file>

<file path=word/charts/_rels/chart8.xml.rels><?xml version="1.0" encoding="UTF-8" standalone="yes"?>
<Relationships xmlns="http://schemas.openxmlformats.org/package/2006/relationships"><Relationship Id="rId3" Type="http://schemas.openxmlformats.org/officeDocument/2006/relationships/themeOverride" Target="../theme/themeOverride8.xml"/><Relationship Id="rId2" Type="http://schemas.microsoft.com/office/2011/relationships/chartColorStyle" Target="colors5.xml"/><Relationship Id="rId1" Type="http://schemas.microsoft.com/office/2011/relationships/chartStyle" Target="style5.xml"/><Relationship Id="rId5" Type="http://schemas.openxmlformats.org/officeDocument/2006/relationships/chartUserShapes" Target="../drawings/drawing8.xml"/><Relationship Id="rId4" Type="http://schemas.openxmlformats.org/officeDocument/2006/relationships/oleObject" Target="../embeddings/oleObject4.bin"/></Relationships>
</file>

<file path=word/charts/_rels/chart9.xml.rels><?xml version="1.0" encoding="UTF-8" standalone="yes"?>
<Relationships xmlns="http://schemas.openxmlformats.org/package/2006/relationships"><Relationship Id="rId3" Type="http://schemas.openxmlformats.org/officeDocument/2006/relationships/themeOverride" Target="../theme/themeOverride9.xml"/><Relationship Id="rId2" Type="http://schemas.microsoft.com/office/2011/relationships/chartColorStyle" Target="colors6.xml"/><Relationship Id="rId1" Type="http://schemas.microsoft.com/office/2011/relationships/chartStyle" Target="style6.xml"/><Relationship Id="rId5" Type="http://schemas.openxmlformats.org/officeDocument/2006/relationships/chartUserShapes" Target="../drawings/drawing9.xml"/><Relationship Id="rId4" Type="http://schemas.openxmlformats.org/officeDocument/2006/relationships/oleObject" Target="../embeddings/oleObject5.bin"/></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0661148125715053"/>
          <c:y val="0.14858800773694386"/>
          <c:w val="0.86121004105256072"/>
          <c:h val="0.66672353455818023"/>
        </c:manualLayout>
      </c:layout>
      <c:barChart>
        <c:barDir val="col"/>
        <c:grouping val="clustered"/>
        <c:varyColors val="0"/>
        <c:ser>
          <c:idx val="1"/>
          <c:order val="0"/>
          <c:tx>
            <c:strRef>
              <c:f>'F1 count NFO'!$B$2</c:f>
              <c:strCache>
                <c:ptCount val="1"/>
                <c:pt idx="0">
                  <c:v>NFO</c:v>
                </c:pt>
              </c:strCache>
            </c:strRef>
          </c:tx>
          <c:spPr>
            <a:solidFill>
              <a:srgbClr val="5B9BD5">
                <a:lumMod val="75000"/>
              </a:srgb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'F1 count NFO'!$A$3:$A$11</c:f>
              <c:numCache>
                <c:formatCode>General</c:formatCode>
                <c:ptCount val="9"/>
                <c:pt idx="0">
                  <c:v>2013</c:v>
                </c:pt>
                <c:pt idx="1">
                  <c:v>2014</c:v>
                </c:pt>
                <c:pt idx="2">
                  <c:v>2015</c:v>
                </c:pt>
                <c:pt idx="3">
                  <c:v>2016</c:v>
                </c:pt>
                <c:pt idx="4">
                  <c:v>2017</c:v>
                </c:pt>
                <c:pt idx="5">
                  <c:v>2018</c:v>
                </c:pt>
                <c:pt idx="6">
                  <c:v>2019</c:v>
                </c:pt>
                <c:pt idx="7">
                  <c:v>2020</c:v>
                </c:pt>
                <c:pt idx="8">
                  <c:v>2021</c:v>
                </c:pt>
              </c:numCache>
            </c:numRef>
          </c:cat>
          <c:val>
            <c:numRef>
              <c:f>'F1 count NFO'!$B$3:$B$11</c:f>
              <c:numCache>
                <c:formatCode>_(* #,##0_);_(* \(#,##0\);_(* "-"??_);_(@_)</c:formatCode>
                <c:ptCount val="9"/>
                <c:pt idx="0">
                  <c:v>7980</c:v>
                </c:pt>
                <c:pt idx="1">
                  <c:v>12020</c:v>
                </c:pt>
                <c:pt idx="2">
                  <c:v>14964</c:v>
                </c:pt>
                <c:pt idx="3">
                  <c:v>17836</c:v>
                </c:pt>
                <c:pt idx="4">
                  <c:v>18156</c:v>
                </c:pt>
                <c:pt idx="5">
                  <c:v>17455</c:v>
                </c:pt>
                <c:pt idx="6">
                  <c:v>16216</c:v>
                </c:pt>
                <c:pt idx="7">
                  <c:v>14829</c:v>
                </c:pt>
                <c:pt idx="8" formatCode="#,##0">
                  <c:v>13839</c:v>
                </c:pt>
              </c:numCache>
            </c:numRef>
          </c:val>
          <c:extLst>
            <c:ext xmlns:c16="http://schemas.microsoft.com/office/drawing/2014/chart" uri="{C3380CC4-5D6E-409C-BE32-E72D297353CC}">
              <c16:uniqueId val="{00000000-6CE2-4D3A-9D34-1333A83BDD29}"/>
            </c:ext>
          </c:extLst>
        </c:ser>
        <c:dLbls>
          <c:dLblPos val="outEnd"/>
          <c:showLegendKey val="0"/>
          <c:showVal val="1"/>
          <c:showCatName val="0"/>
          <c:showSerName val="0"/>
          <c:showPercent val="0"/>
          <c:showBubbleSize val="0"/>
        </c:dLbls>
        <c:gapWidth val="60"/>
        <c:axId val="709505448"/>
        <c:axId val="709501840"/>
      </c:barChart>
      <c:catAx>
        <c:axId val="709505448"/>
        <c:scaling>
          <c:orientation val="minMax"/>
        </c:scaling>
        <c:delete val="0"/>
        <c:axPos val="b"/>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100" b="1" i="0" u="none" strike="noStrike" kern="1200" baseline="0">
                <a:solidFill>
                  <a:schemeClr val="tx1">
                    <a:lumMod val="75000"/>
                    <a:lumOff val="25000"/>
                  </a:schemeClr>
                </a:solidFill>
                <a:latin typeface="Segoe UI" panose="020B0502040204020203" pitchFamily="34" charset="0"/>
                <a:ea typeface="+mn-ea"/>
                <a:cs typeface="Segoe UI" panose="020B0502040204020203" pitchFamily="34" charset="0"/>
              </a:defRPr>
            </a:pPr>
            <a:endParaRPr lang="en-US"/>
          </a:p>
        </c:txPr>
        <c:crossAx val="709501840"/>
        <c:crosses val="autoZero"/>
        <c:auto val="1"/>
        <c:lblAlgn val="ctr"/>
        <c:lblOffset val="100"/>
        <c:noMultiLvlLbl val="0"/>
      </c:catAx>
      <c:valAx>
        <c:axId val="709501840"/>
        <c:scaling>
          <c:orientation val="minMax"/>
        </c:scaling>
        <c:delete val="0"/>
        <c:axPos val="l"/>
        <c:title>
          <c:tx>
            <c:rich>
              <a:bodyPr rot="-5400000" spcFirstLastPara="1" vertOverflow="ellipsis" vert="horz" wrap="square" anchor="ctr" anchorCtr="1"/>
              <a:lstStyle/>
              <a:p>
                <a:pPr>
                  <a:defRPr sz="1000" b="1" i="0" u="none" strike="noStrike" kern="1200" baseline="0">
                    <a:solidFill>
                      <a:sysClr val="windowText" lastClr="000000"/>
                    </a:solidFill>
                    <a:latin typeface="Segoe UI" panose="020B0502040204020203" pitchFamily="34" charset="0"/>
                    <a:ea typeface="+mn-ea"/>
                    <a:cs typeface="Segoe UI" panose="020B0502040204020203" pitchFamily="34" charset="0"/>
                  </a:defRPr>
                </a:pPr>
                <a:r>
                  <a:rPr lang="en-US" b="1">
                    <a:solidFill>
                      <a:sysClr val="windowText" lastClr="000000"/>
                    </a:solidFill>
                    <a:latin typeface="Segoe UI" panose="020B0502040204020203" pitchFamily="34" charset="0"/>
                    <a:cs typeface="Segoe UI" panose="020B0502040204020203" pitchFamily="34" charset="0"/>
                  </a:rPr>
                  <a:t>Count</a:t>
                </a:r>
              </a:p>
            </c:rich>
          </c:tx>
          <c:overlay val="0"/>
          <c:spPr>
            <a:noFill/>
            <a:ln>
              <a:noFill/>
            </a:ln>
            <a:effectLst/>
          </c:spPr>
          <c:txPr>
            <a:bodyPr rot="-5400000" spcFirstLastPara="1" vertOverflow="ellipsis" vert="horz" wrap="square" anchor="ctr" anchorCtr="1"/>
            <a:lstStyle/>
            <a:p>
              <a:pPr>
                <a:defRPr sz="1000" b="1" i="0" u="none" strike="noStrike" kern="1200" baseline="0">
                  <a:solidFill>
                    <a:sysClr val="windowText" lastClr="000000"/>
                  </a:solidFill>
                  <a:latin typeface="Segoe UI" panose="020B0502040204020203" pitchFamily="34" charset="0"/>
                  <a:ea typeface="+mn-ea"/>
                  <a:cs typeface="Segoe UI" panose="020B0502040204020203" pitchFamily="34" charset="0"/>
                </a:defRPr>
              </a:pPr>
              <a:endParaRPr lang="en-US"/>
            </a:p>
          </c:txPr>
        </c:title>
        <c:numFmt formatCode="#,##0" sourceLinked="0"/>
        <c:majorTickMark val="none"/>
        <c:minorTickMark val="none"/>
        <c:tickLblPos val="nextTo"/>
        <c:spPr>
          <a:noFill/>
          <a:ln>
            <a:solidFill>
              <a:schemeClr val="tx1">
                <a:lumMod val="50000"/>
                <a:lumOff val="50000"/>
              </a:schemeClr>
            </a:solid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Segoe UI" panose="020B0502040204020203" pitchFamily="34" charset="0"/>
                <a:ea typeface="+mn-ea"/>
                <a:cs typeface="Segoe UI" panose="020B0502040204020203" pitchFamily="34" charset="0"/>
              </a:defRPr>
            </a:pPr>
            <a:endParaRPr lang="en-US"/>
          </a:p>
        </c:txPr>
        <c:crossAx val="709505448"/>
        <c:crosses val="autoZero"/>
        <c:crossBetween val="between"/>
        <c:majorUnit val="5000"/>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4">
    <c:autoUpdate val="0"/>
  </c:externalData>
  <c:userShapes r:id="rId5"/>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0443148933306413"/>
          <c:y val="0.20838715254609988"/>
          <c:w val="0.81350376875967423"/>
          <c:h val="0.55844335745910545"/>
        </c:manualLayout>
      </c:layout>
      <c:lineChart>
        <c:grouping val="standard"/>
        <c:varyColors val="0"/>
        <c:ser>
          <c:idx val="4"/>
          <c:order val="0"/>
          <c:tx>
            <c:strRef>
              <c:f>'[NFO 2013-2021 data brief figures 10.24.23.xlsx]F7A_C RACE_ETHNICITY'!$F$1</c:f>
              <c:strCache>
                <c:ptCount val="1"/>
                <c:pt idx="0">
                  <c:v>white nH</c:v>
                </c:pt>
              </c:strCache>
            </c:strRef>
          </c:tx>
          <c:spPr>
            <a:ln w="25400" cap="rnd">
              <a:solidFill>
                <a:srgbClr val="62983E"/>
              </a:solidFill>
              <a:round/>
            </a:ln>
            <a:effectLst/>
          </c:spPr>
          <c:marker>
            <c:symbol val="circle"/>
            <c:size val="4"/>
            <c:spPr>
              <a:solidFill>
                <a:srgbClr val="5A8B39"/>
              </a:solidFill>
              <a:ln w="9525">
                <a:noFill/>
              </a:ln>
              <a:effectLst/>
            </c:spPr>
          </c:marker>
          <c:dLbls>
            <c:dLbl>
              <c:idx val="1"/>
              <c:delete val="1"/>
              <c:extLst>
                <c:ext xmlns:c15="http://schemas.microsoft.com/office/drawing/2012/chart" uri="{CE6537A1-D6FC-4f65-9D91-7224C49458BB}"/>
                <c:ext xmlns:c16="http://schemas.microsoft.com/office/drawing/2014/chart" uri="{C3380CC4-5D6E-409C-BE32-E72D297353CC}">
                  <c16:uniqueId val="{00000000-095C-469D-8F19-19B89DBA3749}"/>
                </c:ext>
              </c:extLst>
            </c:dLbl>
            <c:dLbl>
              <c:idx val="2"/>
              <c:delete val="1"/>
              <c:extLst>
                <c:ext xmlns:c15="http://schemas.microsoft.com/office/drawing/2012/chart" uri="{CE6537A1-D6FC-4f65-9D91-7224C49458BB}"/>
                <c:ext xmlns:c16="http://schemas.microsoft.com/office/drawing/2014/chart" uri="{C3380CC4-5D6E-409C-BE32-E72D297353CC}">
                  <c16:uniqueId val="{00000001-095C-469D-8F19-19B89DBA3749}"/>
                </c:ext>
              </c:extLst>
            </c:dLbl>
            <c:dLbl>
              <c:idx val="4"/>
              <c:delete val="1"/>
              <c:extLst>
                <c:ext xmlns:c15="http://schemas.microsoft.com/office/drawing/2012/chart" uri="{CE6537A1-D6FC-4f65-9D91-7224C49458BB}"/>
                <c:ext xmlns:c16="http://schemas.microsoft.com/office/drawing/2014/chart" uri="{C3380CC4-5D6E-409C-BE32-E72D297353CC}">
                  <c16:uniqueId val="{00000002-095C-469D-8F19-19B89DBA3749}"/>
                </c:ext>
              </c:extLst>
            </c:dLbl>
            <c:dLbl>
              <c:idx val="5"/>
              <c:delete val="1"/>
              <c:extLst>
                <c:ext xmlns:c15="http://schemas.microsoft.com/office/drawing/2012/chart" uri="{CE6537A1-D6FC-4f65-9D91-7224C49458BB}"/>
                <c:ext xmlns:c16="http://schemas.microsoft.com/office/drawing/2014/chart" uri="{C3380CC4-5D6E-409C-BE32-E72D297353CC}">
                  <c16:uniqueId val="{00000003-095C-469D-8F19-19B89DBA3749}"/>
                </c:ext>
              </c:extLst>
            </c:dLbl>
            <c:dLbl>
              <c:idx val="6"/>
              <c:delete val="1"/>
              <c:extLst>
                <c:ext xmlns:c15="http://schemas.microsoft.com/office/drawing/2012/chart" uri="{CE6537A1-D6FC-4f65-9D91-7224C49458BB}"/>
                <c:ext xmlns:c16="http://schemas.microsoft.com/office/drawing/2014/chart" uri="{C3380CC4-5D6E-409C-BE32-E72D297353CC}">
                  <c16:uniqueId val="{00000004-095C-469D-8F19-19B89DBA3749}"/>
                </c:ext>
              </c:extLst>
            </c:dLbl>
            <c:dLbl>
              <c:idx val="7"/>
              <c:delete val="1"/>
              <c:extLst>
                <c:ext xmlns:c15="http://schemas.microsoft.com/office/drawing/2012/chart" uri="{CE6537A1-D6FC-4f65-9D91-7224C49458BB}"/>
                <c:ext xmlns:c16="http://schemas.microsoft.com/office/drawing/2014/chart" uri="{C3380CC4-5D6E-409C-BE32-E72D297353CC}">
                  <c16:uniqueId val="{00000005-095C-469D-8F19-19B89DBA3749}"/>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'[NFO 2013-2021 data brief figures 10.24.23.xlsx]F7A_C RACE_ETHNICITY'!$A$24:$A$32</c:f>
              <c:numCache>
                <c:formatCode>General</c:formatCode>
                <c:ptCount val="9"/>
                <c:pt idx="0" formatCode="0">
                  <c:v>2013</c:v>
                </c:pt>
                <c:pt idx="1">
                  <c:v>2014</c:v>
                </c:pt>
                <c:pt idx="2">
                  <c:v>2015</c:v>
                </c:pt>
                <c:pt idx="3">
                  <c:v>2016</c:v>
                </c:pt>
                <c:pt idx="4">
                  <c:v>2017</c:v>
                </c:pt>
                <c:pt idx="5">
                  <c:v>2018</c:v>
                </c:pt>
                <c:pt idx="6">
                  <c:v>2019</c:v>
                </c:pt>
                <c:pt idx="7">
                  <c:v>2020</c:v>
                </c:pt>
                <c:pt idx="8">
                  <c:v>2021</c:v>
                </c:pt>
              </c:numCache>
            </c:numRef>
          </c:cat>
          <c:val>
            <c:numRef>
              <c:f>'[NFO 2013-2021 data brief figures 10.24.23.xlsx]F7A_C RACE_ETHNICITY'!$F$24:$F$32</c:f>
              <c:numCache>
                <c:formatCode>0.0</c:formatCode>
                <c:ptCount val="9"/>
                <c:pt idx="0">
                  <c:v>98.606399999999994</c:v>
                </c:pt>
                <c:pt idx="1">
                  <c:v>131.48599999999999</c:v>
                </c:pt>
                <c:pt idx="2">
                  <c:v>162.41</c:v>
                </c:pt>
                <c:pt idx="3">
                  <c:v>192.2</c:v>
                </c:pt>
                <c:pt idx="4">
                  <c:v>183.8</c:v>
                </c:pt>
                <c:pt idx="5">
                  <c:v>165.7</c:v>
                </c:pt>
                <c:pt idx="6">
                  <c:v>151.1</c:v>
                </c:pt>
                <c:pt idx="7">
                  <c:v>132.714</c:v>
                </c:pt>
                <c:pt idx="8">
                  <c:v>119.652</c:v>
                </c:pt>
              </c:numCache>
            </c:numRef>
          </c:val>
          <c:smooth val="0"/>
          <c:extLst>
            <c:ext xmlns:c16="http://schemas.microsoft.com/office/drawing/2014/chart" uri="{C3380CC4-5D6E-409C-BE32-E72D297353CC}">
              <c16:uniqueId val="{00000006-095C-469D-8F19-19B89DBA3749}"/>
            </c:ext>
          </c:extLst>
        </c:ser>
        <c:ser>
          <c:idx val="2"/>
          <c:order val="2"/>
          <c:tx>
            <c:strRef>
              <c:f>'[NFO 2013-2021 data brief figures 10.24.23.xlsx]F7A_C RACE_ETHNICITY'!$D$1</c:f>
              <c:strCache>
                <c:ptCount val="1"/>
                <c:pt idx="0">
                  <c:v>Black nH</c:v>
                </c:pt>
              </c:strCache>
            </c:strRef>
          </c:tx>
          <c:spPr>
            <a:ln w="25400" cap="rnd">
              <a:solidFill>
                <a:srgbClr val="DA5D00"/>
              </a:solidFill>
              <a:round/>
            </a:ln>
            <a:effectLst/>
          </c:spPr>
          <c:marker>
            <c:symbol val="circle"/>
            <c:size val="4"/>
            <c:spPr>
              <a:solidFill>
                <a:srgbClr val="FF874B"/>
              </a:solidFill>
              <a:ln w="9525">
                <a:solidFill>
                  <a:srgbClr val="FF874B"/>
                </a:solidFill>
              </a:ln>
              <a:effectLst/>
            </c:spPr>
          </c:marker>
          <c:dLbls>
            <c:dLbl>
              <c:idx val="0"/>
              <c:layout>
                <c:manualLayout>
                  <c:x val="-6.3995726495726477E-2"/>
                  <c:y val="0"/>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5-095C-469D-8F19-19B89DBA3749}"/>
                </c:ext>
              </c:extLst>
            </c:dLbl>
            <c:dLbl>
              <c:idx val="1"/>
              <c:delete val="1"/>
              <c:extLst>
                <c:ext xmlns:c15="http://schemas.microsoft.com/office/drawing/2012/chart" uri="{CE6537A1-D6FC-4f65-9D91-7224C49458BB}"/>
                <c:ext xmlns:c16="http://schemas.microsoft.com/office/drawing/2014/chart" uri="{C3380CC4-5D6E-409C-BE32-E72D297353CC}">
                  <c16:uniqueId val="{00000007-095C-469D-8F19-19B89DBA3749}"/>
                </c:ext>
              </c:extLst>
            </c:dLbl>
            <c:dLbl>
              <c:idx val="2"/>
              <c:delete val="1"/>
              <c:extLst>
                <c:ext xmlns:c15="http://schemas.microsoft.com/office/drawing/2012/chart" uri="{CE6537A1-D6FC-4f65-9D91-7224C49458BB}"/>
                <c:ext xmlns:c16="http://schemas.microsoft.com/office/drawing/2014/chart" uri="{C3380CC4-5D6E-409C-BE32-E72D297353CC}">
                  <c16:uniqueId val="{00000008-095C-469D-8F19-19B89DBA3749}"/>
                </c:ext>
              </c:extLst>
            </c:dLbl>
            <c:dLbl>
              <c:idx val="3"/>
              <c:delete val="1"/>
              <c:extLst>
                <c:ext xmlns:c15="http://schemas.microsoft.com/office/drawing/2012/chart" uri="{CE6537A1-D6FC-4f65-9D91-7224C49458BB}"/>
                <c:ext xmlns:c16="http://schemas.microsoft.com/office/drawing/2014/chart" uri="{C3380CC4-5D6E-409C-BE32-E72D297353CC}">
                  <c16:uniqueId val="{00000009-095C-469D-8F19-19B89DBA3749}"/>
                </c:ext>
              </c:extLst>
            </c:dLbl>
            <c:dLbl>
              <c:idx val="4"/>
              <c:delete val="1"/>
              <c:extLst>
                <c:ext xmlns:c15="http://schemas.microsoft.com/office/drawing/2012/chart" uri="{CE6537A1-D6FC-4f65-9D91-7224C49458BB}"/>
                <c:ext xmlns:c16="http://schemas.microsoft.com/office/drawing/2014/chart" uri="{C3380CC4-5D6E-409C-BE32-E72D297353CC}">
                  <c16:uniqueId val="{0000000A-095C-469D-8F19-19B89DBA3749}"/>
                </c:ext>
              </c:extLst>
            </c:dLbl>
            <c:dLbl>
              <c:idx val="5"/>
              <c:delete val="1"/>
              <c:extLst>
                <c:ext xmlns:c15="http://schemas.microsoft.com/office/drawing/2012/chart" uri="{CE6537A1-D6FC-4f65-9D91-7224C49458BB}"/>
                <c:ext xmlns:c16="http://schemas.microsoft.com/office/drawing/2014/chart" uri="{C3380CC4-5D6E-409C-BE32-E72D297353CC}">
                  <c16:uniqueId val="{0000000B-095C-469D-8F19-19B89DBA3749}"/>
                </c:ext>
              </c:extLst>
            </c:dLbl>
            <c:dLbl>
              <c:idx val="6"/>
              <c:layout>
                <c:manualLayout>
                  <c:x val="-3.3175396599826754E-2"/>
                  <c:y val="-2.875964215134193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095C-469D-8F19-19B89DBA3749}"/>
                </c:ext>
              </c:extLst>
            </c:dLbl>
            <c:dLbl>
              <c:idx val="7"/>
              <c:delete val="1"/>
              <c:extLst>
                <c:ext xmlns:c15="http://schemas.microsoft.com/office/drawing/2012/chart" uri="{CE6537A1-D6FC-4f65-9D91-7224C49458BB}">
                  <c15:layout>
                    <c:manualLayout>
                      <c:w val="4.1283601448292781E-2"/>
                      <c:h val="6.4670590818617757E-2"/>
                    </c:manualLayout>
                  </c15:layout>
                </c:ext>
                <c:ext xmlns:c16="http://schemas.microsoft.com/office/drawing/2014/chart" uri="{C3380CC4-5D6E-409C-BE32-E72D297353CC}">
                  <c16:uniqueId val="{0000000D-095C-469D-8F19-19B89DBA3749}"/>
                </c:ext>
              </c:extLst>
            </c:dLbl>
            <c:dLbl>
              <c:idx val="8"/>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095C-469D-8F19-19B89DBA3749}"/>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l"/>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'[NFO 2013-2021 data brief figures 10.24.23.xlsx]F7A_C RACE_ETHNICITY'!$A$24:$A$32</c:f>
              <c:numCache>
                <c:formatCode>General</c:formatCode>
                <c:ptCount val="9"/>
                <c:pt idx="0" formatCode="0">
                  <c:v>2013</c:v>
                </c:pt>
                <c:pt idx="1">
                  <c:v>2014</c:v>
                </c:pt>
                <c:pt idx="2">
                  <c:v>2015</c:v>
                </c:pt>
                <c:pt idx="3">
                  <c:v>2016</c:v>
                </c:pt>
                <c:pt idx="4">
                  <c:v>2017</c:v>
                </c:pt>
                <c:pt idx="5">
                  <c:v>2018</c:v>
                </c:pt>
                <c:pt idx="6">
                  <c:v>2019</c:v>
                </c:pt>
                <c:pt idx="7">
                  <c:v>2020</c:v>
                </c:pt>
                <c:pt idx="8">
                  <c:v>2021</c:v>
                </c:pt>
              </c:numCache>
            </c:numRef>
          </c:cat>
          <c:val>
            <c:numRef>
              <c:f>'[NFO 2013-2021 data brief figures 10.24.23.xlsx]F7A_C RACE_ETHNICITY'!$D$24:$D$32</c:f>
              <c:numCache>
                <c:formatCode>0.0</c:formatCode>
                <c:ptCount val="9"/>
                <c:pt idx="0">
                  <c:v>43.479300000000002</c:v>
                </c:pt>
                <c:pt idx="1">
                  <c:v>64.884500000000003</c:v>
                </c:pt>
                <c:pt idx="2">
                  <c:v>87.202799999999996</c:v>
                </c:pt>
                <c:pt idx="3">
                  <c:v>86.73</c:v>
                </c:pt>
                <c:pt idx="4">
                  <c:v>99.1</c:v>
                </c:pt>
                <c:pt idx="5">
                  <c:v>89.3</c:v>
                </c:pt>
                <c:pt idx="6">
                  <c:v>105.23</c:v>
                </c:pt>
                <c:pt idx="7">
                  <c:v>95.725499999999997</c:v>
                </c:pt>
                <c:pt idx="8">
                  <c:v>105.443</c:v>
                </c:pt>
              </c:numCache>
            </c:numRef>
          </c:val>
          <c:smooth val="0"/>
          <c:extLst>
            <c:ext xmlns:c16="http://schemas.microsoft.com/office/drawing/2014/chart" uri="{C3380CC4-5D6E-409C-BE32-E72D297353CC}">
              <c16:uniqueId val="{0000000F-095C-469D-8F19-19B89DBA3749}"/>
            </c:ext>
          </c:extLst>
        </c:ser>
        <c:ser>
          <c:idx val="3"/>
          <c:order val="3"/>
          <c:tx>
            <c:strRef>
              <c:f>'[NFO 2013-2021 data brief figures 10.24.23.xlsx]F7A_C RACE_ETHNICITY'!$E$1</c:f>
              <c:strCache>
                <c:ptCount val="1"/>
                <c:pt idx="0">
                  <c:v>Hispanic</c:v>
                </c:pt>
              </c:strCache>
            </c:strRef>
          </c:tx>
          <c:spPr>
            <a:ln w="25400" cap="rnd">
              <a:solidFill>
                <a:srgbClr val="00B0F0"/>
              </a:solidFill>
              <a:round/>
            </a:ln>
            <a:effectLst/>
          </c:spPr>
          <c:marker>
            <c:symbol val="circle"/>
            <c:size val="4"/>
            <c:spPr>
              <a:solidFill>
                <a:srgbClr val="0091C4"/>
              </a:solidFill>
              <a:ln w="9525">
                <a:solidFill>
                  <a:srgbClr val="00B0F0"/>
                </a:solidFill>
              </a:ln>
              <a:effectLst/>
            </c:spPr>
          </c:marker>
          <c:dLbls>
            <c:dLbl>
              <c:idx val="0"/>
              <c:layout>
                <c:manualLayout>
                  <c:x val="-5.3325191620131288E-2"/>
                  <c:y val="-1.797542886259412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095C-469D-8F19-19B89DBA3749}"/>
                </c:ext>
              </c:extLst>
            </c:dLbl>
            <c:dLbl>
              <c:idx val="1"/>
              <c:delete val="1"/>
              <c:extLst>
                <c:ext xmlns:c15="http://schemas.microsoft.com/office/drawing/2012/chart" uri="{CE6537A1-D6FC-4f65-9D91-7224C49458BB}"/>
                <c:ext xmlns:c16="http://schemas.microsoft.com/office/drawing/2014/chart" uri="{C3380CC4-5D6E-409C-BE32-E72D297353CC}">
                  <c16:uniqueId val="{00000011-095C-469D-8F19-19B89DBA3749}"/>
                </c:ext>
              </c:extLst>
            </c:dLbl>
            <c:dLbl>
              <c:idx val="2"/>
              <c:delete val="1"/>
              <c:extLst>
                <c:ext xmlns:c15="http://schemas.microsoft.com/office/drawing/2012/chart" uri="{CE6537A1-D6FC-4f65-9D91-7224C49458BB}"/>
                <c:ext xmlns:c16="http://schemas.microsoft.com/office/drawing/2014/chart" uri="{C3380CC4-5D6E-409C-BE32-E72D297353CC}">
                  <c16:uniqueId val="{00000012-095C-469D-8F19-19B89DBA3749}"/>
                </c:ext>
              </c:extLst>
            </c:dLbl>
            <c:dLbl>
              <c:idx val="3"/>
              <c:dLblPos val="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3-095C-469D-8F19-19B89DBA3749}"/>
                </c:ext>
              </c:extLst>
            </c:dLbl>
            <c:dLbl>
              <c:idx val="4"/>
              <c:delete val="1"/>
              <c:extLst>
                <c:ext xmlns:c15="http://schemas.microsoft.com/office/drawing/2012/chart" uri="{CE6537A1-D6FC-4f65-9D91-7224C49458BB}"/>
                <c:ext xmlns:c16="http://schemas.microsoft.com/office/drawing/2014/chart" uri="{C3380CC4-5D6E-409C-BE32-E72D297353CC}">
                  <c16:uniqueId val="{00000014-095C-469D-8F19-19B89DBA3749}"/>
                </c:ext>
              </c:extLst>
            </c:dLbl>
            <c:dLbl>
              <c:idx val="5"/>
              <c:delete val="1"/>
              <c:extLst>
                <c:ext xmlns:c15="http://schemas.microsoft.com/office/drawing/2012/chart" uri="{CE6537A1-D6FC-4f65-9D91-7224C49458BB}"/>
                <c:ext xmlns:c16="http://schemas.microsoft.com/office/drawing/2014/chart" uri="{C3380CC4-5D6E-409C-BE32-E72D297353CC}">
                  <c16:uniqueId val="{00000015-095C-469D-8F19-19B89DBA3749}"/>
                </c:ext>
              </c:extLst>
            </c:dLbl>
            <c:dLbl>
              <c:idx val="6"/>
              <c:delete val="1"/>
              <c:extLst>
                <c:ext xmlns:c15="http://schemas.microsoft.com/office/drawing/2012/chart" uri="{CE6537A1-D6FC-4f65-9D91-7224C49458BB}"/>
                <c:ext xmlns:c16="http://schemas.microsoft.com/office/drawing/2014/chart" uri="{C3380CC4-5D6E-409C-BE32-E72D297353CC}">
                  <c16:uniqueId val="{00000016-095C-469D-8F19-19B89DBA3749}"/>
                </c:ext>
              </c:extLst>
            </c:dLbl>
            <c:dLbl>
              <c:idx val="7"/>
              <c:delete val="1"/>
              <c:extLst>
                <c:ext xmlns:c15="http://schemas.microsoft.com/office/drawing/2012/chart" uri="{CE6537A1-D6FC-4f65-9D91-7224C49458BB}"/>
                <c:ext xmlns:c16="http://schemas.microsoft.com/office/drawing/2014/chart" uri="{C3380CC4-5D6E-409C-BE32-E72D297353CC}">
                  <c16:uniqueId val="{00000017-095C-469D-8F19-19B89DBA3749}"/>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'[NFO 2013-2021 data brief figures 10.24.23.xlsx]F7A_C RACE_ETHNICITY'!$A$24:$A$32</c:f>
              <c:numCache>
                <c:formatCode>General</c:formatCode>
                <c:ptCount val="9"/>
                <c:pt idx="0" formatCode="0">
                  <c:v>2013</c:v>
                </c:pt>
                <c:pt idx="1">
                  <c:v>2014</c:v>
                </c:pt>
                <c:pt idx="2">
                  <c:v>2015</c:v>
                </c:pt>
                <c:pt idx="3">
                  <c:v>2016</c:v>
                </c:pt>
                <c:pt idx="4">
                  <c:v>2017</c:v>
                </c:pt>
                <c:pt idx="5">
                  <c:v>2018</c:v>
                </c:pt>
                <c:pt idx="6">
                  <c:v>2019</c:v>
                </c:pt>
                <c:pt idx="7">
                  <c:v>2020</c:v>
                </c:pt>
                <c:pt idx="8">
                  <c:v>2021</c:v>
                </c:pt>
              </c:numCache>
            </c:numRef>
          </c:cat>
          <c:val>
            <c:numRef>
              <c:f>'[NFO 2013-2021 data brief figures 10.24.23.xlsx]F7A_C RACE_ETHNICITY'!$E$24:$E$32</c:f>
              <c:numCache>
                <c:formatCode>0.0</c:formatCode>
                <c:ptCount val="9"/>
                <c:pt idx="0">
                  <c:v>53.801600000000001</c:v>
                </c:pt>
                <c:pt idx="1">
                  <c:v>59.192300000000003</c:v>
                </c:pt>
                <c:pt idx="2">
                  <c:v>74.886099999999999</c:v>
                </c:pt>
                <c:pt idx="3">
                  <c:v>87.5</c:v>
                </c:pt>
                <c:pt idx="4">
                  <c:v>78.400000000000006</c:v>
                </c:pt>
                <c:pt idx="5">
                  <c:v>82</c:v>
                </c:pt>
                <c:pt idx="6">
                  <c:v>83.2</c:v>
                </c:pt>
                <c:pt idx="7">
                  <c:v>76.842399999999998</c:v>
                </c:pt>
                <c:pt idx="8">
                  <c:v>82.215500000000006</c:v>
                </c:pt>
              </c:numCache>
            </c:numRef>
          </c:val>
          <c:smooth val="0"/>
          <c:extLst>
            <c:ext xmlns:c16="http://schemas.microsoft.com/office/drawing/2014/chart" uri="{C3380CC4-5D6E-409C-BE32-E72D297353CC}">
              <c16:uniqueId val="{00000018-095C-469D-8F19-19B89DBA3749}"/>
            </c:ext>
          </c:extLst>
        </c:ser>
        <c:ser>
          <c:idx val="1"/>
          <c:order val="5"/>
          <c:tx>
            <c:strRef>
              <c:f>'[NFO 2013-2021 data brief figures 10.24.23.xlsx]F7A_C RACE_ETHNICITY'!$C$1</c:f>
              <c:strCache>
                <c:ptCount val="1"/>
                <c:pt idx="0">
                  <c:v>Asian, Pacific Islander nH</c:v>
                </c:pt>
              </c:strCache>
            </c:strRef>
          </c:tx>
          <c:spPr>
            <a:ln w="25400" cap="rnd">
              <a:solidFill>
                <a:srgbClr val="8038B6"/>
              </a:solidFill>
              <a:round/>
            </a:ln>
            <a:effectLst/>
          </c:spPr>
          <c:marker>
            <c:symbol val="circle"/>
            <c:size val="4"/>
            <c:spPr>
              <a:solidFill>
                <a:srgbClr val="9651C9"/>
              </a:solidFill>
              <a:ln w="9525">
                <a:solidFill>
                  <a:srgbClr val="9149C7"/>
                </a:solidFill>
              </a:ln>
              <a:effectLst/>
            </c:spPr>
          </c:marker>
          <c:dLbls>
            <c:dLbl>
              <c:idx val="0"/>
              <c:layout>
                <c:manualLayout>
                  <c:x val="-4.7990433984426206E-2"/>
                  <c:y val="-1.796467191303855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9-095C-469D-8F19-19B89DBA3749}"/>
                </c:ext>
              </c:extLst>
            </c:dLbl>
            <c:dLbl>
              <c:idx val="1"/>
              <c:delete val="1"/>
              <c:extLst>
                <c:ext xmlns:c15="http://schemas.microsoft.com/office/drawing/2012/chart" uri="{CE6537A1-D6FC-4f65-9D91-7224C49458BB}"/>
                <c:ext xmlns:c16="http://schemas.microsoft.com/office/drawing/2014/chart" uri="{C3380CC4-5D6E-409C-BE32-E72D297353CC}">
                  <c16:uniqueId val="{0000001A-095C-469D-8F19-19B89DBA3749}"/>
                </c:ext>
              </c:extLst>
            </c:dLbl>
            <c:dLbl>
              <c:idx val="2"/>
              <c:delete val="1"/>
              <c:extLst>
                <c:ext xmlns:c15="http://schemas.microsoft.com/office/drawing/2012/chart" uri="{CE6537A1-D6FC-4f65-9D91-7224C49458BB}"/>
                <c:ext xmlns:c16="http://schemas.microsoft.com/office/drawing/2014/chart" uri="{C3380CC4-5D6E-409C-BE32-E72D297353CC}">
                  <c16:uniqueId val="{0000001B-095C-469D-8F19-19B89DBA3749}"/>
                </c:ext>
              </c:extLst>
            </c:dLbl>
            <c:dLbl>
              <c:idx val="3"/>
              <c:delete val="1"/>
              <c:extLst>
                <c:ext xmlns:c15="http://schemas.microsoft.com/office/drawing/2012/chart" uri="{CE6537A1-D6FC-4f65-9D91-7224C49458BB}"/>
                <c:ext xmlns:c16="http://schemas.microsoft.com/office/drawing/2014/chart" uri="{C3380CC4-5D6E-409C-BE32-E72D297353CC}">
                  <c16:uniqueId val="{0000001C-095C-469D-8F19-19B89DBA3749}"/>
                </c:ext>
              </c:extLst>
            </c:dLbl>
            <c:dLbl>
              <c:idx val="4"/>
              <c:delete val="1"/>
              <c:extLst>
                <c:ext xmlns:c15="http://schemas.microsoft.com/office/drawing/2012/chart" uri="{CE6537A1-D6FC-4f65-9D91-7224C49458BB}"/>
                <c:ext xmlns:c16="http://schemas.microsoft.com/office/drawing/2014/chart" uri="{C3380CC4-5D6E-409C-BE32-E72D297353CC}">
                  <c16:uniqueId val="{0000001D-095C-469D-8F19-19B89DBA3749}"/>
                </c:ext>
              </c:extLst>
            </c:dLbl>
            <c:dLbl>
              <c:idx val="5"/>
              <c:delete val="1"/>
              <c:extLst>
                <c:ext xmlns:c15="http://schemas.microsoft.com/office/drawing/2012/chart" uri="{CE6537A1-D6FC-4f65-9D91-7224C49458BB}"/>
                <c:ext xmlns:c16="http://schemas.microsoft.com/office/drawing/2014/chart" uri="{C3380CC4-5D6E-409C-BE32-E72D297353CC}">
                  <c16:uniqueId val="{0000001E-095C-469D-8F19-19B89DBA3749}"/>
                </c:ext>
              </c:extLst>
            </c:dLbl>
            <c:dLbl>
              <c:idx val="6"/>
              <c:layout>
                <c:manualLayout>
                  <c:x val="-3.4134699508715255E-2"/>
                  <c:y val="-3.363855086296031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6-095C-469D-8F19-19B89DBA3749}"/>
                </c:ext>
              </c:extLst>
            </c:dLbl>
            <c:dLbl>
              <c:idx val="7"/>
              <c:delete val="1"/>
              <c:extLst>
                <c:ext xmlns:c15="http://schemas.microsoft.com/office/drawing/2012/chart" uri="{CE6537A1-D6FC-4f65-9D91-7224C49458BB}"/>
                <c:ext xmlns:c16="http://schemas.microsoft.com/office/drawing/2014/chart" uri="{C3380CC4-5D6E-409C-BE32-E72D297353CC}">
                  <c16:uniqueId val="{0000001F-095C-469D-8F19-19B89DBA3749}"/>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'[NFO 2013-2021 data brief figures 10.24.23.xlsx]F7A_C RACE_ETHNICITY'!$A$24:$A$32</c:f>
              <c:numCache>
                <c:formatCode>General</c:formatCode>
                <c:ptCount val="9"/>
                <c:pt idx="0" formatCode="0">
                  <c:v>2013</c:v>
                </c:pt>
                <c:pt idx="1">
                  <c:v>2014</c:v>
                </c:pt>
                <c:pt idx="2">
                  <c:v>2015</c:v>
                </c:pt>
                <c:pt idx="3">
                  <c:v>2016</c:v>
                </c:pt>
                <c:pt idx="4">
                  <c:v>2017</c:v>
                </c:pt>
                <c:pt idx="5">
                  <c:v>2018</c:v>
                </c:pt>
                <c:pt idx="6">
                  <c:v>2019</c:v>
                </c:pt>
                <c:pt idx="7">
                  <c:v>2020</c:v>
                </c:pt>
                <c:pt idx="8">
                  <c:v>2021</c:v>
                </c:pt>
              </c:numCache>
            </c:numRef>
          </c:cat>
          <c:val>
            <c:numRef>
              <c:f>'[NFO 2013-2021 data brief figures 10.24.23.xlsx]F7A_C RACE_ETHNICITY'!$C$24:$C$32</c:f>
              <c:numCache>
                <c:formatCode>0.0</c:formatCode>
                <c:ptCount val="9"/>
                <c:pt idx="0">
                  <c:v>4.8468</c:v>
                </c:pt>
                <c:pt idx="1">
                  <c:v>8.8510299999999997</c:v>
                </c:pt>
                <c:pt idx="2">
                  <c:v>12.138500000000001</c:v>
                </c:pt>
                <c:pt idx="3">
                  <c:v>8.6999999999999993</c:v>
                </c:pt>
                <c:pt idx="4">
                  <c:v>11.489100000000001</c:v>
                </c:pt>
                <c:pt idx="5">
                  <c:v>7.26</c:v>
                </c:pt>
                <c:pt idx="6">
                  <c:v>16.899999999999999</c:v>
                </c:pt>
                <c:pt idx="7">
                  <c:v>6.2321900000000001</c:v>
                </c:pt>
                <c:pt idx="8">
                  <c:v>8.3789800000000003</c:v>
                </c:pt>
              </c:numCache>
            </c:numRef>
          </c:val>
          <c:smooth val="0"/>
          <c:extLst>
            <c:ext xmlns:c16="http://schemas.microsoft.com/office/drawing/2014/chart" uri="{C3380CC4-5D6E-409C-BE32-E72D297353CC}">
              <c16:uniqueId val="{00000020-095C-469D-8F19-19B89DBA3749}"/>
            </c:ext>
          </c:extLst>
        </c:ser>
        <c:dLbls>
          <c:showLegendKey val="0"/>
          <c:showVal val="0"/>
          <c:showCatName val="0"/>
          <c:showSerName val="0"/>
          <c:showPercent val="0"/>
          <c:showBubbleSize val="0"/>
        </c:dLbls>
        <c:marker val="1"/>
        <c:smooth val="0"/>
        <c:axId val="778527232"/>
        <c:axId val="778537400"/>
        <c:extLst>
          <c:ext xmlns:c15="http://schemas.microsoft.com/office/drawing/2012/chart" uri="{02D57815-91ED-43cb-92C2-25804820EDAC}">
            <c15:filteredLineSeries>
              <c15:ser>
                <c:idx val="0"/>
                <c:order val="1"/>
                <c:tx>
                  <c:strRef>
                    <c:extLst>
                      <c:ext uri="{02D57815-91ED-43cb-92C2-25804820EDAC}">
                        <c15:formulaRef>
                          <c15:sqref>'[NFO 2013-2021 data brief figures 10.24.23.xlsx]F7A_C RACE_ETHNICITY'!$B$1</c15:sqref>
                        </c15:formulaRef>
                      </c:ext>
                    </c:extLst>
                    <c:strCache>
                      <c:ptCount val="1"/>
                      <c:pt idx="0">
                        <c:v>All races</c:v>
                      </c:pt>
                    </c:strCache>
                  </c:strRef>
                </c:tx>
                <c:spPr>
                  <a:ln w="22225" cap="rnd">
                    <a:solidFill>
                      <a:schemeClr val="tx1">
                        <a:lumMod val="50000"/>
                        <a:lumOff val="50000"/>
                      </a:schemeClr>
                    </a:solidFill>
                    <a:round/>
                  </a:ln>
                  <a:effectLst/>
                </c:spPr>
                <c:marker>
                  <c:symbol val="square"/>
                  <c:size val="4"/>
                  <c:spPr>
                    <a:solidFill>
                      <a:schemeClr val="tx1">
                        <a:lumMod val="50000"/>
                        <a:lumOff val="50000"/>
                      </a:schemeClr>
                    </a:solidFill>
                    <a:ln w="9525">
                      <a:solidFill>
                        <a:schemeClr val="tx1">
                          <a:lumMod val="50000"/>
                          <a:lumOff val="50000"/>
                        </a:schemeClr>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mn-lt"/>
                          <a:ea typeface="+mn-ea"/>
                          <a:cs typeface="+mn-cs"/>
                        </a:defRPr>
                      </a:pPr>
                      <a:endParaRPr lang="en-US"/>
                    </a:p>
                  </c:txPr>
                  <c:dLblPos val="t"/>
                  <c:showLegendKey val="0"/>
                  <c:showVal val="1"/>
                  <c:showCatName val="0"/>
                  <c:showSerName val="0"/>
                  <c:showPercent val="0"/>
                  <c:showBubbleSize val="0"/>
                  <c:showLeaderLines val="0"/>
                  <c:extLst>
                    <c:ext uri="{CE6537A1-D6FC-4f65-9D91-7224C49458BB}">
                      <c15:showLeaderLines val="1"/>
                      <c15:leaderLines>
                        <c:spPr>
                          <a:ln w="9525" cap="flat" cmpd="sng" algn="ctr">
                            <a:solidFill>
                              <a:schemeClr val="tx1">
                                <a:lumMod val="35000"/>
                                <a:lumOff val="65000"/>
                              </a:schemeClr>
                            </a:solidFill>
                            <a:round/>
                          </a:ln>
                          <a:effectLst/>
                        </c:spPr>
                      </c15:leaderLines>
                    </c:ext>
                  </c:extLst>
                </c:dLbls>
                <c:cat>
                  <c:numRef>
                    <c:extLst>
                      <c:ext uri="{02D57815-91ED-43cb-92C2-25804820EDAC}">
                        <c15:formulaRef>
                          <c15:sqref>'[NFO 2013-2021 data brief figures 10.24.23.xlsx]F7A_C RACE_ETHNICITY'!$A$24:$A$32</c15:sqref>
                        </c15:formulaRef>
                      </c:ext>
                    </c:extLst>
                    <c:numCache>
                      <c:formatCode>General</c:formatCode>
                      <c:ptCount val="9"/>
                      <c:pt idx="0" formatCode="0">
                        <c:v>2013</c:v>
                      </c:pt>
                      <c:pt idx="1">
                        <c:v>2014</c:v>
                      </c:pt>
                      <c:pt idx="2">
                        <c:v>2015</c:v>
                      </c:pt>
                      <c:pt idx="3">
                        <c:v>2016</c:v>
                      </c:pt>
                      <c:pt idx="4">
                        <c:v>2017</c:v>
                      </c:pt>
                      <c:pt idx="5">
                        <c:v>2018</c:v>
                      </c:pt>
                      <c:pt idx="6">
                        <c:v>2019</c:v>
                      </c:pt>
                      <c:pt idx="7">
                        <c:v>2020</c:v>
                      </c:pt>
                      <c:pt idx="8">
                        <c:v>2021</c:v>
                      </c:pt>
                    </c:numCache>
                  </c:numRef>
                </c:cat>
                <c:val>
                  <c:numRef>
                    <c:extLst>
                      <c:ext uri="{02D57815-91ED-43cb-92C2-25804820EDAC}">
                        <c15:formulaRef>
                          <c15:sqref>'[NFO 2013-2021 data brief figures 10.24.23.xlsx]F7A_C RACE_ETHNICITY'!$B$24:$B$31</c15:sqref>
                        </c15:formulaRef>
                      </c:ext>
                    </c:extLst>
                    <c:numCache>
                      <c:formatCode>0.0</c:formatCode>
                      <c:ptCount val="8"/>
                      <c:pt idx="0">
                        <c:v>87.506600000000006</c:v>
                      </c:pt>
                      <c:pt idx="1">
                        <c:v>116.586</c:v>
                      </c:pt>
                      <c:pt idx="2">
                        <c:v>144.53</c:v>
                      </c:pt>
                      <c:pt idx="3">
                        <c:v>166.9</c:v>
                      </c:pt>
                      <c:pt idx="4">
                        <c:v>165.88</c:v>
                      </c:pt>
                      <c:pt idx="5">
                        <c:v>153.9</c:v>
                      </c:pt>
                      <c:pt idx="6">
                        <c:v>143.69999999999999</c:v>
                      </c:pt>
                      <c:pt idx="7">
                        <c:v>123.968</c:v>
                      </c:pt>
                    </c:numCache>
                  </c:numRef>
                </c:val>
                <c:smooth val="0"/>
                <c:extLst>
                  <c:ext xmlns:c16="http://schemas.microsoft.com/office/drawing/2014/chart" uri="{C3380CC4-5D6E-409C-BE32-E72D297353CC}">
                    <c16:uniqueId val="{00000021-095C-469D-8F19-19B89DBA3749}"/>
                  </c:ext>
                </c:extLst>
              </c15:ser>
            </c15:filteredLineSeries>
            <c15:filteredLineSeries>
              <c15:ser>
                <c:idx val="5"/>
                <c:order val="4"/>
                <c:spPr>
                  <a:ln w="28575" cap="rnd">
                    <a:solidFill>
                      <a:schemeClr val="accent6"/>
                    </a:solidFill>
                    <a:round/>
                  </a:ln>
                  <a:effectLst/>
                </c:spPr>
                <c:marker>
                  <c:symbol val="none"/>
                </c:marker>
                <c:cat>
                  <c:numRef>
                    <c:extLst xmlns:c15="http://schemas.microsoft.com/office/drawing/2012/chart">
                      <c:ext xmlns:c15="http://schemas.microsoft.com/office/drawing/2012/chart" uri="{02D57815-91ED-43cb-92C2-25804820EDAC}">
                        <c15:formulaRef>
                          <c15:sqref>'[NFO 2013-2021 data brief figures 10.24.23.xlsx]F7A_C RACE_ETHNICITY'!$A$24:$A$32</c15:sqref>
                        </c15:formulaRef>
                      </c:ext>
                    </c:extLst>
                    <c:numCache>
                      <c:formatCode>General</c:formatCode>
                      <c:ptCount val="9"/>
                      <c:pt idx="0" formatCode="0">
                        <c:v>2013</c:v>
                      </c:pt>
                      <c:pt idx="1">
                        <c:v>2014</c:v>
                      </c:pt>
                      <c:pt idx="2">
                        <c:v>2015</c:v>
                      </c:pt>
                      <c:pt idx="3">
                        <c:v>2016</c:v>
                      </c:pt>
                      <c:pt idx="4">
                        <c:v>2017</c:v>
                      </c:pt>
                      <c:pt idx="5">
                        <c:v>2018</c:v>
                      </c:pt>
                      <c:pt idx="6">
                        <c:v>2019</c:v>
                      </c:pt>
                      <c:pt idx="7">
                        <c:v>2020</c:v>
                      </c:pt>
                      <c:pt idx="8">
                        <c:v>2021</c:v>
                      </c:pt>
                    </c:numCache>
                  </c:numRef>
                </c:cat>
                <c:val>
                  <c:numRef>
                    <c:extLst xmlns:c15="http://schemas.microsoft.com/office/drawing/2012/chart">
                      <c:ext xmlns:c15="http://schemas.microsoft.com/office/drawing/2012/chart" uri="{02D57815-91ED-43cb-92C2-25804820EDAC}">
                        <c15:formulaRef>
                          <c15:sqref>'[NFO 2013-2021 data brief figures 10.24.23.xlsx]F7A_C RACE_ETHNICITY'!$A$18:$F$18</c15:sqref>
                        </c15:formulaRef>
                      </c:ext>
                    </c:extLst>
                    <c:numCache>
                      <c:formatCode>0.0</c:formatCode>
                      <c:ptCount val="6"/>
                      <c:pt idx="0" formatCode="General">
                        <c:v>2018</c:v>
                      </c:pt>
                      <c:pt idx="1">
                        <c:v>344.85</c:v>
                      </c:pt>
                      <c:pt idx="2">
                        <c:v>23.5</c:v>
                      </c:pt>
                      <c:pt idx="3">
                        <c:v>270.7</c:v>
                      </c:pt>
                      <c:pt idx="4">
                        <c:v>350.95</c:v>
                      </c:pt>
                      <c:pt idx="5">
                        <c:v>324.8</c:v>
                      </c:pt>
                    </c:numCache>
                  </c:numRef>
                </c:val>
                <c:smooth val="0"/>
                <c:extLst xmlns:c15="http://schemas.microsoft.com/office/drawing/2012/chart">
                  <c:ext xmlns:c16="http://schemas.microsoft.com/office/drawing/2014/chart" uri="{C3380CC4-5D6E-409C-BE32-E72D297353CC}">
                    <c16:uniqueId val="{00000022-095C-469D-8F19-19B89DBA3749}"/>
                  </c:ext>
                </c:extLst>
              </c15:ser>
            </c15:filteredLineSeries>
            <c15:filteredLineSeries>
              <c15:ser>
                <c:idx val="6"/>
                <c:order val="6"/>
                <c:spPr>
                  <a:ln w="28575" cap="rnd">
                    <a:solidFill>
                      <a:schemeClr val="accent1">
                        <a:lumMod val="60000"/>
                      </a:schemeClr>
                    </a:solidFill>
                    <a:round/>
                  </a:ln>
                  <a:effectLst/>
                </c:spPr>
                <c:marker>
                  <c:symbol val="none"/>
                </c:marker>
                <c:cat>
                  <c:numRef>
                    <c:extLst xmlns:c15="http://schemas.microsoft.com/office/drawing/2012/chart">
                      <c:ext xmlns:c15="http://schemas.microsoft.com/office/drawing/2012/chart" uri="{02D57815-91ED-43cb-92C2-25804820EDAC}">
                        <c15:formulaRef>
                          <c15:sqref>'[NFO 2013-2021 data brief figures 10.24.23.xlsx]F7A_C RACE_ETHNICITY'!$A$24:$A$32</c15:sqref>
                        </c15:formulaRef>
                      </c:ext>
                    </c:extLst>
                    <c:numCache>
                      <c:formatCode>General</c:formatCode>
                      <c:ptCount val="9"/>
                      <c:pt idx="0" formatCode="0">
                        <c:v>2013</c:v>
                      </c:pt>
                      <c:pt idx="1">
                        <c:v>2014</c:v>
                      </c:pt>
                      <c:pt idx="2">
                        <c:v>2015</c:v>
                      </c:pt>
                      <c:pt idx="3">
                        <c:v>2016</c:v>
                      </c:pt>
                      <c:pt idx="4">
                        <c:v>2017</c:v>
                      </c:pt>
                      <c:pt idx="5">
                        <c:v>2018</c:v>
                      </c:pt>
                      <c:pt idx="6">
                        <c:v>2019</c:v>
                      </c:pt>
                      <c:pt idx="7">
                        <c:v>2020</c:v>
                      </c:pt>
                      <c:pt idx="8">
                        <c:v>2021</c:v>
                      </c:pt>
                    </c:numCache>
                  </c:numRef>
                </c:cat>
                <c:val>
                  <c:numRef>
                    <c:extLst xmlns:c15="http://schemas.microsoft.com/office/drawing/2012/chart">
                      <c:ext xmlns:c15="http://schemas.microsoft.com/office/drawing/2012/chart" uri="{02D57815-91ED-43cb-92C2-25804820EDAC}">
                        <c15:formulaRef>
                          <c15:sqref>'[NFO 2013-2021 data brief figures 10.24.23.xlsx]F7A_C RACE_ETHNICITY'!$A$19:$F$19</c15:sqref>
                        </c15:formulaRef>
                      </c:ext>
                    </c:extLst>
                    <c:numCache>
                      <c:formatCode>0.0</c:formatCode>
                      <c:ptCount val="6"/>
                      <c:pt idx="0" formatCode="General">
                        <c:v>2019</c:v>
                      </c:pt>
                      <c:pt idx="1">
                        <c:v>322.60000000000002</c:v>
                      </c:pt>
                      <c:pt idx="2">
                        <c:v>17</c:v>
                      </c:pt>
                      <c:pt idx="3">
                        <c:v>305.89999999999998</c:v>
                      </c:pt>
                      <c:pt idx="4">
                        <c:v>352.3</c:v>
                      </c:pt>
                      <c:pt idx="5">
                        <c:v>290</c:v>
                      </c:pt>
                    </c:numCache>
                  </c:numRef>
                </c:val>
                <c:smooth val="0"/>
                <c:extLst xmlns:c15="http://schemas.microsoft.com/office/drawing/2012/chart">
                  <c:ext xmlns:c16="http://schemas.microsoft.com/office/drawing/2014/chart" uri="{C3380CC4-5D6E-409C-BE32-E72D297353CC}">
                    <c16:uniqueId val="{00000023-095C-469D-8F19-19B89DBA3749}"/>
                  </c:ext>
                </c:extLst>
              </c15:ser>
            </c15:filteredLineSeries>
            <c15:filteredLineSeries>
              <c15:ser>
                <c:idx val="7"/>
                <c:order val="7"/>
                <c:spPr>
                  <a:ln w="28575" cap="rnd">
                    <a:solidFill>
                      <a:schemeClr val="accent2">
                        <a:lumMod val="60000"/>
                      </a:schemeClr>
                    </a:solidFill>
                    <a:round/>
                  </a:ln>
                  <a:effectLst/>
                </c:spPr>
                <c:marker>
                  <c:symbol val="none"/>
                </c:marker>
                <c:cat>
                  <c:numRef>
                    <c:extLst xmlns:c15="http://schemas.microsoft.com/office/drawing/2012/chart">
                      <c:ext xmlns:c15="http://schemas.microsoft.com/office/drawing/2012/chart" uri="{02D57815-91ED-43cb-92C2-25804820EDAC}">
                        <c15:formulaRef>
                          <c15:sqref>'[NFO 2013-2021 data brief figures 10.24.23.xlsx]F7A_C RACE_ETHNICITY'!$A$24:$A$32</c15:sqref>
                        </c15:formulaRef>
                      </c:ext>
                    </c:extLst>
                    <c:numCache>
                      <c:formatCode>General</c:formatCode>
                      <c:ptCount val="9"/>
                      <c:pt idx="0" formatCode="0">
                        <c:v>2013</c:v>
                      </c:pt>
                      <c:pt idx="1">
                        <c:v>2014</c:v>
                      </c:pt>
                      <c:pt idx="2">
                        <c:v>2015</c:v>
                      </c:pt>
                      <c:pt idx="3">
                        <c:v>2016</c:v>
                      </c:pt>
                      <c:pt idx="4">
                        <c:v>2017</c:v>
                      </c:pt>
                      <c:pt idx="5">
                        <c:v>2018</c:v>
                      </c:pt>
                      <c:pt idx="6">
                        <c:v>2019</c:v>
                      </c:pt>
                      <c:pt idx="7">
                        <c:v>2020</c:v>
                      </c:pt>
                      <c:pt idx="8">
                        <c:v>2021</c:v>
                      </c:pt>
                    </c:numCache>
                  </c:numRef>
                </c:cat>
                <c:val>
                  <c:numRef>
                    <c:extLst xmlns:c15="http://schemas.microsoft.com/office/drawing/2012/chart">
                      <c:ext xmlns:c15="http://schemas.microsoft.com/office/drawing/2012/chart" uri="{02D57815-91ED-43cb-92C2-25804820EDAC}">
                        <c15:formulaRef>
                          <c15:sqref>'[NFO 2013-2021 data brief figures 10.24.23.xlsx]F7A_C RACE_ETHNICITY'!$A$20:$F$20</c15:sqref>
                        </c15:formulaRef>
                      </c:ext>
                    </c:extLst>
                    <c:numCache>
                      <c:formatCode>0.0</c:formatCode>
                      <c:ptCount val="6"/>
                      <c:pt idx="0" formatCode="General">
                        <c:v>2020</c:v>
                      </c:pt>
                      <c:pt idx="1">
                        <c:v>296.03100000000001</c:v>
                      </c:pt>
                      <c:pt idx="2">
                        <c:v>17.221699999999998</c:v>
                      </c:pt>
                      <c:pt idx="3">
                        <c:v>335.14100000000002</c:v>
                      </c:pt>
                      <c:pt idx="4">
                        <c:v>328.70600000000002</c:v>
                      </c:pt>
                      <c:pt idx="5">
                        <c:v>266.79700000000003</c:v>
                      </c:pt>
                    </c:numCache>
                  </c:numRef>
                </c:val>
                <c:smooth val="0"/>
                <c:extLst xmlns:c15="http://schemas.microsoft.com/office/drawing/2012/chart">
                  <c:ext xmlns:c16="http://schemas.microsoft.com/office/drawing/2014/chart" uri="{C3380CC4-5D6E-409C-BE32-E72D297353CC}">
                    <c16:uniqueId val="{00000024-095C-469D-8F19-19B89DBA3749}"/>
                  </c:ext>
                </c:extLst>
              </c15:ser>
            </c15:filteredLineSeries>
          </c:ext>
        </c:extLst>
      </c:lineChart>
      <c:catAx>
        <c:axId val="778527232"/>
        <c:scaling>
          <c:orientation val="minMax"/>
        </c:scaling>
        <c:delete val="0"/>
        <c:axPos val="b"/>
        <c:numFmt formatCode="0" sourceLinked="1"/>
        <c:majorTickMark val="none"/>
        <c:minorTickMark val="none"/>
        <c:tickLblPos val="nextTo"/>
        <c:spPr>
          <a:noFill/>
          <a:ln w="9525" cap="flat" cmpd="sng" algn="ctr">
            <a:solidFill>
              <a:sysClr val="windowText" lastClr="000000"/>
            </a:solidFill>
            <a:round/>
          </a:ln>
          <a:effectLst/>
        </c:spPr>
        <c:txPr>
          <a:bodyPr rot="-60000000" spcFirstLastPara="1" vertOverflow="ellipsis" vert="horz" wrap="square" anchor="ctr" anchorCtr="1"/>
          <a:lstStyle/>
          <a:p>
            <a:pPr>
              <a:defRPr sz="1050" b="0" i="0" u="none" strike="noStrike" kern="1200" baseline="0">
                <a:solidFill>
                  <a:schemeClr val="tx1">
                    <a:lumMod val="65000"/>
                    <a:lumOff val="35000"/>
                  </a:schemeClr>
                </a:solidFill>
                <a:latin typeface="Segoe UI" panose="020B0502040204020203" pitchFamily="34" charset="0"/>
                <a:ea typeface="+mn-ea"/>
                <a:cs typeface="Segoe UI" panose="020B0502040204020203" pitchFamily="34" charset="0"/>
              </a:defRPr>
            </a:pPr>
            <a:endParaRPr lang="en-US"/>
          </a:p>
        </c:txPr>
        <c:crossAx val="778537400"/>
        <c:crosses val="autoZero"/>
        <c:auto val="1"/>
        <c:lblAlgn val="ctr"/>
        <c:lblOffset val="100"/>
        <c:noMultiLvlLbl val="0"/>
      </c:catAx>
      <c:valAx>
        <c:axId val="778537400"/>
        <c:scaling>
          <c:orientation val="minMax"/>
          <c:max val="400"/>
        </c:scaling>
        <c:delete val="0"/>
        <c:axPos val="l"/>
        <c:title>
          <c:tx>
            <c:rich>
              <a:bodyPr rot="-5400000" spcFirstLastPara="1" vertOverflow="ellipsis" vert="horz" wrap="square" anchor="ctr" anchorCtr="1"/>
              <a:lstStyle/>
              <a:p>
                <a:pPr>
                  <a:defRPr sz="1000" b="1" i="0" u="none" strike="noStrike" kern="1200" baseline="0">
                    <a:solidFill>
                      <a:schemeClr val="tx1">
                        <a:lumMod val="65000"/>
                        <a:lumOff val="35000"/>
                      </a:schemeClr>
                    </a:solidFill>
                    <a:latin typeface="Segoe UI" panose="020B0502040204020203" pitchFamily="34" charset="0"/>
                    <a:ea typeface="+mn-ea"/>
                    <a:cs typeface="Segoe UI" panose="020B0502040204020203" pitchFamily="34" charset="0"/>
                  </a:defRPr>
                </a:pPr>
                <a:r>
                  <a:rPr lang="en-US" sz="900" b="1">
                    <a:latin typeface="Segoe UI" panose="020B0502040204020203" pitchFamily="34" charset="0"/>
                    <a:cs typeface="Segoe UI" panose="020B0502040204020203" pitchFamily="34" charset="0"/>
                  </a:rPr>
                  <a:t>age-adjusted rate per 100,000 residents</a:t>
                </a:r>
              </a:p>
            </c:rich>
          </c:tx>
          <c:layout>
            <c:manualLayout>
              <c:xMode val="edge"/>
              <c:yMode val="edge"/>
              <c:x val="1.3646274984857662E-2"/>
              <c:y val="0.14816140406691589"/>
            </c:manualLayout>
          </c:layout>
          <c:overlay val="0"/>
          <c:spPr>
            <a:noFill/>
            <a:ln>
              <a:noFill/>
            </a:ln>
            <a:effectLst/>
          </c:spPr>
          <c:txPr>
            <a:bodyPr rot="-5400000" spcFirstLastPara="1" vertOverflow="ellipsis" vert="horz" wrap="square" anchor="ctr" anchorCtr="1"/>
            <a:lstStyle/>
            <a:p>
              <a:pPr>
                <a:defRPr sz="1000" b="1" i="0" u="none" strike="noStrike" kern="1200" baseline="0">
                  <a:solidFill>
                    <a:schemeClr val="tx1">
                      <a:lumMod val="65000"/>
                      <a:lumOff val="35000"/>
                    </a:schemeClr>
                  </a:solidFill>
                  <a:latin typeface="Segoe UI" panose="020B0502040204020203" pitchFamily="34" charset="0"/>
                  <a:ea typeface="+mn-ea"/>
                  <a:cs typeface="Segoe UI" panose="020B0502040204020203" pitchFamily="34" charset="0"/>
                </a:defRPr>
              </a:pPr>
              <a:endParaRPr lang="en-US"/>
            </a:p>
          </c:txPr>
        </c:title>
        <c:numFmt formatCode="0" sourceLinked="0"/>
        <c:majorTickMark val="none"/>
        <c:minorTickMark val="none"/>
        <c:tickLblPos val="nextTo"/>
        <c:spPr>
          <a:noFill/>
          <a:ln>
            <a:solidFill>
              <a:sysClr val="windowText" lastClr="000000">
                <a:lumMod val="50000"/>
                <a:lumOff val="50000"/>
              </a:sysClr>
            </a:solidFill>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crossAx val="778527232"/>
        <c:crosses val="autoZero"/>
        <c:crossBetween val="between"/>
        <c:majorUnit val="100"/>
      </c:valAx>
      <c:spPr>
        <a:noFill/>
        <a:ln>
          <a:noFill/>
        </a:ln>
        <a:effectLst/>
      </c:spPr>
    </c:plotArea>
    <c:legend>
      <c:legendPos val="t"/>
      <c:layout>
        <c:manualLayout>
          <c:xMode val="edge"/>
          <c:yMode val="edge"/>
          <c:x val="0.13162578235412881"/>
          <c:y val="0.24870840883410031"/>
          <c:w val="0.76758462884447132"/>
          <c:h val="0.13948181176148161"/>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Segoe UI" panose="020B0502040204020203" pitchFamily="34" charset="0"/>
              <a:ea typeface="+mn-ea"/>
              <a:cs typeface="Segoe UI" panose="020B0502040204020203"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4">
    <c:autoUpdate val="0"/>
  </c:externalData>
  <c:userShapes r:id="rId5"/>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mn-lt"/>
                <a:ea typeface="+mn-ea"/>
                <a:cs typeface="+mn-cs"/>
              </a:defRPr>
            </a:pPr>
            <a:r>
              <a:rPr lang="en-US" sz="1200" b="1" i="0" baseline="0">
                <a:effectLst/>
                <a:latin typeface="Segoe UI" panose="020B0502040204020203" pitchFamily="34" charset="0"/>
                <a:cs typeface="Segoe UI" panose="020B0502040204020203" pitchFamily="34" charset="0"/>
              </a:rPr>
              <a:t>Figure 8. Age-adjusted rate of non-fatal Opioid-related overdose by County, Massachusetts 2013-2021.</a:t>
            </a:r>
            <a:endParaRPr lang="en-US" sz="1050">
              <a:effectLst/>
              <a:latin typeface="Segoe UI" panose="020B0502040204020203" pitchFamily="34" charset="0"/>
              <a:cs typeface="Segoe UI" panose="020B0502040204020203" pitchFamily="34" charset="0"/>
            </a:endParaRPr>
          </a:p>
        </c:rich>
      </c:tx>
      <c:overlay val="0"/>
      <c:spPr>
        <a:noFill/>
        <a:ln>
          <a:noFill/>
        </a:ln>
        <a:effectLst/>
      </c:spPr>
    </c:title>
    <c:autoTitleDeleted val="0"/>
    <c:plotArea>
      <c:layout>
        <c:manualLayout>
          <c:layoutTarget val="inner"/>
          <c:xMode val="edge"/>
          <c:yMode val="edge"/>
          <c:x val="0.10714864000208929"/>
          <c:y val="0.19899882592417165"/>
          <c:w val="0.72160588135438297"/>
          <c:h val="0.6522094302606114"/>
        </c:manualLayout>
      </c:layout>
      <c:lineChart>
        <c:grouping val="standard"/>
        <c:varyColors val="0"/>
        <c:ser>
          <c:idx val="3"/>
          <c:order val="1"/>
          <c:tx>
            <c:strRef>
              <c:f>'[NFO 2013-2021 data brief figures.xlsx]F8 RATES_COUNTY'!$M$6</c:f>
              <c:strCache>
                <c:ptCount val="1"/>
                <c:pt idx="0">
                  <c:v>Bristol</c:v>
                </c:pt>
              </c:strCache>
            </c:strRef>
          </c:tx>
          <c:spPr>
            <a:ln>
              <a:solidFill>
                <a:srgbClr val="332288"/>
              </a:solidFill>
            </a:ln>
          </c:spPr>
          <c:marker>
            <c:symbol val="none"/>
          </c:marker>
          <c:dLbls>
            <c:dLbl>
              <c:idx val="8"/>
              <c:layout>
                <c:manualLayout>
                  <c:x val="-1.5143424487321871E-16"/>
                  <c:y val="-2.734217735384929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209D-4A61-BE3E-0764D4B7C62E}"/>
                </c:ext>
              </c:extLst>
            </c:dLbl>
            <c:spPr>
              <a:noFill/>
              <a:ln>
                <a:noFill/>
              </a:ln>
              <a:effectLst/>
            </c:spPr>
            <c:txPr>
              <a:bodyPr wrap="square" lIns="38100" tIns="19050" rIns="38100" bIns="19050" anchor="ctr">
                <a:spAutoFit/>
              </a:bodyPr>
              <a:lstStyle/>
              <a:p>
                <a:pPr>
                  <a:defRPr sz="900"/>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'[NFO 2013-2021 data brief figures.xlsx]F8 RATES_COUNTY'!$N$3:$V$3</c:f>
              <c:numCache>
                <c:formatCode>General</c:formatCode>
                <c:ptCount val="9"/>
                <c:pt idx="0">
                  <c:v>2013</c:v>
                </c:pt>
                <c:pt idx="1">
                  <c:v>2014</c:v>
                </c:pt>
                <c:pt idx="2">
                  <c:v>2015</c:v>
                </c:pt>
                <c:pt idx="3">
                  <c:v>2016</c:v>
                </c:pt>
                <c:pt idx="4">
                  <c:v>2017</c:v>
                </c:pt>
                <c:pt idx="5">
                  <c:v>2018</c:v>
                </c:pt>
                <c:pt idx="6">
                  <c:v>2019</c:v>
                </c:pt>
                <c:pt idx="7">
                  <c:v>2020</c:v>
                </c:pt>
                <c:pt idx="8" formatCode="0">
                  <c:v>2021</c:v>
                </c:pt>
              </c:numCache>
            </c:numRef>
          </c:cat>
          <c:val>
            <c:numRef>
              <c:f>'[NFO 2013-2021 data brief figures.xlsx]F8 RATES_COUNTY'!$N$6:$V$6</c:f>
              <c:numCache>
                <c:formatCode>0.0</c:formatCode>
                <c:ptCount val="9"/>
                <c:pt idx="0">
                  <c:v>156.24</c:v>
                </c:pt>
                <c:pt idx="1">
                  <c:v>274.83699999999999</c:v>
                </c:pt>
                <c:pt idx="2">
                  <c:v>357.94400000000002</c:v>
                </c:pt>
                <c:pt idx="3">
                  <c:v>432.84899999999999</c:v>
                </c:pt>
                <c:pt idx="4">
                  <c:v>393.505</c:v>
                </c:pt>
                <c:pt idx="5">
                  <c:v>406.65199999999999</c:v>
                </c:pt>
                <c:pt idx="6">
                  <c:v>364.33</c:v>
                </c:pt>
                <c:pt idx="7">
                  <c:v>355.44200000000001</c:v>
                </c:pt>
                <c:pt idx="8" formatCode="0">
                  <c:v>337.60899999999998</c:v>
                </c:pt>
              </c:numCache>
            </c:numRef>
          </c:val>
          <c:smooth val="0"/>
          <c:extLst>
            <c:ext xmlns:c16="http://schemas.microsoft.com/office/drawing/2014/chart" uri="{C3380CC4-5D6E-409C-BE32-E72D297353CC}">
              <c16:uniqueId val="{00000001-209D-4A61-BE3E-0764D4B7C62E}"/>
            </c:ext>
          </c:extLst>
        </c:ser>
        <c:ser>
          <c:idx val="2"/>
          <c:order val="2"/>
          <c:tx>
            <c:strRef>
              <c:f>'[NFO 2013-2021 data brief figures.xlsx]F8 RATES_COUNTY'!$M$5</c:f>
              <c:strCache>
                <c:ptCount val="1"/>
                <c:pt idx="0">
                  <c:v>Berkshire</c:v>
                </c:pt>
              </c:strCache>
            </c:strRef>
          </c:tx>
          <c:spPr>
            <a:ln>
              <a:solidFill>
                <a:srgbClr val="117733"/>
              </a:solidFill>
            </a:ln>
          </c:spPr>
          <c:marker>
            <c:symbol val="none"/>
          </c:marker>
          <c:dLbls>
            <c:dLbl>
              <c:idx val="8"/>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209D-4A61-BE3E-0764D4B7C62E}"/>
                </c:ext>
              </c:extLst>
            </c:dLbl>
            <c:spPr>
              <a:noFill/>
              <a:ln>
                <a:noFill/>
              </a:ln>
              <a:effectLst/>
            </c:spPr>
            <c:txPr>
              <a:bodyPr wrap="square" lIns="38100" tIns="19050" rIns="38100" bIns="19050" anchor="ctr">
                <a:spAutoFit/>
              </a:bodyPr>
              <a:lstStyle/>
              <a:p>
                <a:pPr>
                  <a:defRPr sz="900"/>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'[NFO 2013-2021 data brief figures.xlsx]F8 RATES_COUNTY'!$N$3:$V$3</c:f>
              <c:numCache>
                <c:formatCode>General</c:formatCode>
                <c:ptCount val="9"/>
                <c:pt idx="0">
                  <c:v>2013</c:v>
                </c:pt>
                <c:pt idx="1">
                  <c:v>2014</c:v>
                </c:pt>
                <c:pt idx="2">
                  <c:v>2015</c:v>
                </c:pt>
                <c:pt idx="3">
                  <c:v>2016</c:v>
                </c:pt>
                <c:pt idx="4">
                  <c:v>2017</c:v>
                </c:pt>
                <c:pt idx="5">
                  <c:v>2018</c:v>
                </c:pt>
                <c:pt idx="6">
                  <c:v>2019</c:v>
                </c:pt>
                <c:pt idx="7">
                  <c:v>2020</c:v>
                </c:pt>
                <c:pt idx="8" formatCode="0">
                  <c:v>2021</c:v>
                </c:pt>
              </c:numCache>
            </c:numRef>
          </c:cat>
          <c:val>
            <c:numRef>
              <c:f>'[NFO 2013-2021 data brief figures.xlsx]F8 RATES_COUNTY'!$N$5:$V$5</c:f>
              <c:numCache>
                <c:formatCode>0.0</c:formatCode>
                <c:ptCount val="9"/>
                <c:pt idx="0">
                  <c:v>114.43600000000001</c:v>
                </c:pt>
                <c:pt idx="1">
                  <c:v>159.172</c:v>
                </c:pt>
                <c:pt idx="2">
                  <c:v>227.54599999999999</c:v>
                </c:pt>
                <c:pt idx="3">
                  <c:v>295.63299999999998</c:v>
                </c:pt>
                <c:pt idx="4">
                  <c:v>291.08300000000003</c:v>
                </c:pt>
                <c:pt idx="5">
                  <c:v>388.94099999999997</c:v>
                </c:pt>
                <c:pt idx="6">
                  <c:v>425.62799999999999</c:v>
                </c:pt>
                <c:pt idx="7">
                  <c:v>456.08199999999999</c:v>
                </c:pt>
                <c:pt idx="8" formatCode="0">
                  <c:v>332.26400000000001</c:v>
                </c:pt>
              </c:numCache>
            </c:numRef>
          </c:val>
          <c:smooth val="0"/>
          <c:extLst>
            <c:ext xmlns:c16="http://schemas.microsoft.com/office/drawing/2014/chart" uri="{C3380CC4-5D6E-409C-BE32-E72D297353CC}">
              <c16:uniqueId val="{00000004-209D-4A61-BE3E-0764D4B7C62E}"/>
            </c:ext>
          </c:extLst>
        </c:ser>
        <c:ser>
          <c:idx val="7"/>
          <c:order val="3"/>
          <c:tx>
            <c:strRef>
              <c:f>'[NFO 2013-2021 data brief figures.xlsx]F8 RATES_COUNTY'!$M$10</c:f>
              <c:strCache>
                <c:ptCount val="1"/>
                <c:pt idx="0">
                  <c:v>Hampden</c:v>
                </c:pt>
              </c:strCache>
            </c:strRef>
          </c:tx>
          <c:spPr>
            <a:ln>
              <a:solidFill>
                <a:srgbClr val="882255"/>
              </a:solidFill>
            </a:ln>
          </c:spPr>
          <c:marker>
            <c:symbol val="none"/>
          </c:marker>
          <c:cat>
            <c:numRef>
              <c:f>'[NFO 2013-2021 data brief figures.xlsx]F8 RATES_COUNTY'!$N$3:$V$3</c:f>
              <c:numCache>
                <c:formatCode>General</c:formatCode>
                <c:ptCount val="9"/>
                <c:pt idx="0">
                  <c:v>2013</c:v>
                </c:pt>
                <c:pt idx="1">
                  <c:v>2014</c:v>
                </c:pt>
                <c:pt idx="2">
                  <c:v>2015</c:v>
                </c:pt>
                <c:pt idx="3">
                  <c:v>2016</c:v>
                </c:pt>
                <c:pt idx="4">
                  <c:v>2017</c:v>
                </c:pt>
                <c:pt idx="5">
                  <c:v>2018</c:v>
                </c:pt>
                <c:pt idx="6">
                  <c:v>2019</c:v>
                </c:pt>
                <c:pt idx="7">
                  <c:v>2020</c:v>
                </c:pt>
                <c:pt idx="8" formatCode="0">
                  <c:v>2021</c:v>
                </c:pt>
              </c:numCache>
            </c:numRef>
          </c:cat>
          <c:val>
            <c:numRef>
              <c:f>'[NFO 2013-2021 data brief figures.xlsx]F8 RATES_COUNTY'!$N$10:$V$10</c:f>
              <c:numCache>
                <c:formatCode>0.0</c:formatCode>
                <c:ptCount val="9"/>
                <c:pt idx="0">
                  <c:v>106.13800000000001</c:v>
                </c:pt>
                <c:pt idx="1">
                  <c:v>149.86699999999999</c:v>
                </c:pt>
                <c:pt idx="2">
                  <c:v>205.79400000000001</c:v>
                </c:pt>
                <c:pt idx="3">
                  <c:v>216.19800000000001</c:v>
                </c:pt>
                <c:pt idx="4">
                  <c:v>200.79</c:v>
                </c:pt>
                <c:pt idx="5">
                  <c:v>310.24</c:v>
                </c:pt>
                <c:pt idx="6">
                  <c:v>367.79899999999998</c:v>
                </c:pt>
                <c:pt idx="7">
                  <c:v>331.95499999999998</c:v>
                </c:pt>
                <c:pt idx="8" formatCode="0">
                  <c:v>312.685</c:v>
                </c:pt>
              </c:numCache>
            </c:numRef>
          </c:val>
          <c:smooth val="0"/>
          <c:extLst>
            <c:ext xmlns:c16="http://schemas.microsoft.com/office/drawing/2014/chart" uri="{C3380CC4-5D6E-409C-BE32-E72D297353CC}">
              <c16:uniqueId val="{00000005-209D-4A61-BE3E-0764D4B7C62E}"/>
            </c:ext>
          </c:extLst>
        </c:ser>
        <c:ser>
          <c:idx val="1"/>
          <c:order val="4"/>
          <c:tx>
            <c:strRef>
              <c:f>'[NFO 2013-2021 data brief figures.xlsx]F8 RATES_COUNTY'!$M$4</c:f>
              <c:strCache>
                <c:ptCount val="1"/>
                <c:pt idx="0">
                  <c:v>Barnstable</c:v>
                </c:pt>
              </c:strCache>
            </c:strRef>
          </c:tx>
          <c:spPr>
            <a:ln>
              <a:solidFill>
                <a:srgbClr val="88CCEE"/>
              </a:solidFill>
            </a:ln>
          </c:spPr>
          <c:marker>
            <c:symbol val="none"/>
          </c:marker>
          <c:dLbls>
            <c:dLbl>
              <c:idx val="8"/>
              <c:layout>
                <c:manualLayout>
                  <c:x val="0"/>
                  <c:y val="2.434570906877662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209D-4A61-BE3E-0764D4B7C62E}"/>
                </c:ext>
              </c:extLst>
            </c:dLbl>
            <c:spPr>
              <a:noFill/>
              <a:ln>
                <a:noFill/>
              </a:ln>
              <a:effectLst/>
            </c:spPr>
            <c:txPr>
              <a:bodyPr wrap="square" lIns="38100" tIns="19050" rIns="38100" bIns="19050" anchor="ctr">
                <a:spAutoFit/>
              </a:bodyPr>
              <a:lstStyle/>
              <a:p>
                <a:pPr>
                  <a:defRPr sz="900"/>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'[NFO 2013-2021 data brief figures.xlsx]F8 RATES_COUNTY'!$N$3:$V$3</c:f>
              <c:numCache>
                <c:formatCode>General</c:formatCode>
                <c:ptCount val="9"/>
                <c:pt idx="0">
                  <c:v>2013</c:v>
                </c:pt>
                <c:pt idx="1">
                  <c:v>2014</c:v>
                </c:pt>
                <c:pt idx="2">
                  <c:v>2015</c:v>
                </c:pt>
                <c:pt idx="3">
                  <c:v>2016</c:v>
                </c:pt>
                <c:pt idx="4">
                  <c:v>2017</c:v>
                </c:pt>
                <c:pt idx="5">
                  <c:v>2018</c:v>
                </c:pt>
                <c:pt idx="6">
                  <c:v>2019</c:v>
                </c:pt>
                <c:pt idx="7">
                  <c:v>2020</c:v>
                </c:pt>
                <c:pt idx="8" formatCode="0">
                  <c:v>2021</c:v>
                </c:pt>
              </c:numCache>
            </c:numRef>
          </c:cat>
          <c:val>
            <c:numRef>
              <c:f>'[NFO 2013-2021 data brief figures.xlsx]F8 RATES_COUNTY'!$N$4:$V$4</c:f>
              <c:numCache>
                <c:formatCode>0.0</c:formatCode>
                <c:ptCount val="9"/>
                <c:pt idx="0">
                  <c:v>167.53299999999999</c:v>
                </c:pt>
                <c:pt idx="1">
                  <c:v>334.30799999999999</c:v>
                </c:pt>
                <c:pt idx="2">
                  <c:v>434.07100000000003</c:v>
                </c:pt>
                <c:pt idx="3">
                  <c:v>420.98099999999999</c:v>
                </c:pt>
                <c:pt idx="4">
                  <c:v>470.12799999999999</c:v>
                </c:pt>
                <c:pt idx="5">
                  <c:v>330.27100000000002</c:v>
                </c:pt>
                <c:pt idx="6">
                  <c:v>330.53399999999999</c:v>
                </c:pt>
                <c:pt idx="7">
                  <c:v>316.60500000000002</c:v>
                </c:pt>
                <c:pt idx="8" formatCode="0">
                  <c:v>314.89299999999997</c:v>
                </c:pt>
              </c:numCache>
            </c:numRef>
          </c:val>
          <c:smooth val="0"/>
          <c:extLst>
            <c:ext xmlns:c16="http://schemas.microsoft.com/office/drawing/2014/chart" uri="{C3380CC4-5D6E-409C-BE32-E72D297353CC}">
              <c16:uniqueId val="{00000007-209D-4A61-BE3E-0764D4B7C62E}"/>
            </c:ext>
          </c:extLst>
        </c:ser>
        <c:ser>
          <c:idx val="6"/>
          <c:order val="5"/>
          <c:tx>
            <c:strRef>
              <c:f>'[NFO 2013-2021 data brief figures.xlsx]F8 RATES_COUNTY'!$M$9</c:f>
              <c:strCache>
                <c:ptCount val="1"/>
                <c:pt idx="0">
                  <c:v>Franklin</c:v>
                </c:pt>
              </c:strCache>
            </c:strRef>
          </c:tx>
          <c:spPr>
            <a:ln>
              <a:solidFill>
                <a:srgbClr val="AA4499">
                  <a:alpha val="60000"/>
                </a:srgbClr>
              </a:solidFill>
            </a:ln>
          </c:spPr>
          <c:marker>
            <c:symbol val="none"/>
          </c:marker>
          <c:cat>
            <c:numRef>
              <c:f>'[NFO 2013-2021 data brief figures.xlsx]F8 RATES_COUNTY'!$N$3:$V$3</c:f>
              <c:numCache>
                <c:formatCode>General</c:formatCode>
                <c:ptCount val="9"/>
                <c:pt idx="0">
                  <c:v>2013</c:v>
                </c:pt>
                <c:pt idx="1">
                  <c:v>2014</c:v>
                </c:pt>
                <c:pt idx="2">
                  <c:v>2015</c:v>
                </c:pt>
                <c:pt idx="3">
                  <c:v>2016</c:v>
                </c:pt>
                <c:pt idx="4">
                  <c:v>2017</c:v>
                </c:pt>
                <c:pt idx="5">
                  <c:v>2018</c:v>
                </c:pt>
                <c:pt idx="6">
                  <c:v>2019</c:v>
                </c:pt>
                <c:pt idx="7">
                  <c:v>2020</c:v>
                </c:pt>
                <c:pt idx="8" formatCode="0">
                  <c:v>2021</c:v>
                </c:pt>
              </c:numCache>
            </c:numRef>
          </c:cat>
          <c:val>
            <c:numRef>
              <c:f>'[NFO 2013-2021 data brief figures.xlsx]F8 RATES_COUNTY'!$N$9:$V$9</c:f>
              <c:numCache>
                <c:formatCode>0.0</c:formatCode>
                <c:ptCount val="9"/>
                <c:pt idx="0">
                  <c:v>57.399000000000001</c:v>
                </c:pt>
                <c:pt idx="1">
                  <c:v>111.937</c:v>
                </c:pt>
                <c:pt idx="2">
                  <c:v>111.259</c:v>
                </c:pt>
                <c:pt idx="3">
                  <c:v>168.072</c:v>
                </c:pt>
                <c:pt idx="4">
                  <c:v>142.011</c:v>
                </c:pt>
                <c:pt idx="5">
                  <c:v>212.37299999999999</c:v>
                </c:pt>
                <c:pt idx="6">
                  <c:v>241.64699999999999</c:v>
                </c:pt>
                <c:pt idx="7">
                  <c:v>198.90899999999999</c:v>
                </c:pt>
                <c:pt idx="8" formatCode="0">
                  <c:v>218.05099999999999</c:v>
                </c:pt>
              </c:numCache>
            </c:numRef>
          </c:val>
          <c:smooth val="0"/>
          <c:extLst>
            <c:ext xmlns:c16="http://schemas.microsoft.com/office/drawing/2014/chart" uri="{C3380CC4-5D6E-409C-BE32-E72D297353CC}">
              <c16:uniqueId val="{00000008-209D-4A61-BE3E-0764D4B7C62E}"/>
            </c:ext>
          </c:extLst>
        </c:ser>
        <c:ser>
          <c:idx val="12"/>
          <c:order val="6"/>
          <c:tx>
            <c:strRef>
              <c:f>'[NFO 2013-2021 data brief figures.xlsx]F8 RATES_COUNTY'!$M$15</c:f>
              <c:strCache>
                <c:ptCount val="1"/>
                <c:pt idx="0">
                  <c:v>Plymouth</c:v>
                </c:pt>
              </c:strCache>
            </c:strRef>
          </c:tx>
          <c:spPr>
            <a:ln>
              <a:solidFill>
                <a:srgbClr val="DDCC77"/>
              </a:solidFill>
            </a:ln>
          </c:spPr>
          <c:marker>
            <c:symbol val="none"/>
          </c:marker>
          <c:dLbls>
            <c:dLbl>
              <c:idx val="8"/>
              <c:layout>
                <c:manualLayout>
                  <c:x val="-1.5143424487321871E-16"/>
                  <c:y val="-1.56241013450567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209D-4A61-BE3E-0764D4B7C62E}"/>
                </c:ext>
              </c:extLst>
            </c:dLbl>
            <c:spPr>
              <a:noFill/>
              <a:ln>
                <a:noFill/>
              </a:ln>
              <a:effectLst/>
            </c:spPr>
            <c:txPr>
              <a:bodyPr wrap="square" lIns="38100" tIns="19050" rIns="38100" bIns="19050" anchor="ctr">
                <a:spAutoFit/>
              </a:bodyPr>
              <a:lstStyle/>
              <a:p>
                <a:pPr>
                  <a:defRPr sz="900"/>
                </a:pPr>
                <a:endParaRPr lang="en-US"/>
              </a:p>
            </c:txPr>
            <c:showLegendKey val="0"/>
            <c:showVal val="0"/>
            <c:showCatName val="0"/>
            <c:showSerName val="0"/>
            <c:showPercent val="0"/>
            <c:showBubbleSize val="0"/>
            <c:extLst>
              <c:ext xmlns:c15="http://schemas.microsoft.com/office/drawing/2012/chart" uri="{CE6537A1-D6FC-4f65-9D91-7224C49458BB}">
                <c15:showLeaderLines val="1"/>
              </c:ext>
            </c:extLst>
          </c:dLbls>
          <c:cat>
            <c:numRef>
              <c:f>'[NFO 2013-2021 data brief figures.xlsx]F8 RATES_COUNTY'!$N$3:$V$3</c:f>
              <c:numCache>
                <c:formatCode>General</c:formatCode>
                <c:ptCount val="9"/>
                <c:pt idx="0">
                  <c:v>2013</c:v>
                </c:pt>
                <c:pt idx="1">
                  <c:v>2014</c:v>
                </c:pt>
                <c:pt idx="2">
                  <c:v>2015</c:v>
                </c:pt>
                <c:pt idx="3">
                  <c:v>2016</c:v>
                </c:pt>
                <c:pt idx="4">
                  <c:v>2017</c:v>
                </c:pt>
                <c:pt idx="5">
                  <c:v>2018</c:v>
                </c:pt>
                <c:pt idx="6">
                  <c:v>2019</c:v>
                </c:pt>
                <c:pt idx="7">
                  <c:v>2020</c:v>
                </c:pt>
                <c:pt idx="8" formatCode="0">
                  <c:v>2021</c:v>
                </c:pt>
              </c:numCache>
            </c:numRef>
          </c:cat>
          <c:val>
            <c:numRef>
              <c:f>'[NFO 2013-2021 data brief figures.xlsx]F8 RATES_COUNTY'!$N$15:$V$15</c:f>
              <c:numCache>
                <c:formatCode>0.0</c:formatCode>
                <c:ptCount val="9"/>
                <c:pt idx="0">
                  <c:v>160.21199999999999</c:v>
                </c:pt>
                <c:pt idx="1">
                  <c:v>300.73599999999999</c:v>
                </c:pt>
                <c:pt idx="2">
                  <c:v>357.14800000000002</c:v>
                </c:pt>
                <c:pt idx="3">
                  <c:v>404.46800000000002</c:v>
                </c:pt>
                <c:pt idx="4">
                  <c:v>399.04599999999999</c:v>
                </c:pt>
                <c:pt idx="5">
                  <c:v>327.60199999999998</c:v>
                </c:pt>
                <c:pt idx="6">
                  <c:v>263.57900000000001</c:v>
                </c:pt>
                <c:pt idx="7">
                  <c:v>254.45400000000001</c:v>
                </c:pt>
                <c:pt idx="8" formatCode="0">
                  <c:v>209.66499999999999</c:v>
                </c:pt>
              </c:numCache>
            </c:numRef>
          </c:val>
          <c:smooth val="0"/>
          <c:extLst>
            <c:ext xmlns:c16="http://schemas.microsoft.com/office/drawing/2014/chart" uri="{C3380CC4-5D6E-409C-BE32-E72D297353CC}">
              <c16:uniqueId val="{0000000A-209D-4A61-BE3E-0764D4B7C62E}"/>
            </c:ext>
          </c:extLst>
        </c:ser>
        <c:ser>
          <c:idx val="13"/>
          <c:order val="7"/>
          <c:tx>
            <c:strRef>
              <c:f>'[NFO 2013-2021 data brief figures.xlsx]F8 RATES_COUNTY'!$M$16</c:f>
              <c:strCache>
                <c:ptCount val="1"/>
                <c:pt idx="0">
                  <c:v>Suffolk</c:v>
                </c:pt>
              </c:strCache>
            </c:strRef>
          </c:tx>
          <c:spPr>
            <a:ln>
              <a:solidFill>
                <a:srgbClr val="332288">
                  <a:alpha val="80000"/>
                </a:srgbClr>
              </a:solidFill>
            </a:ln>
          </c:spPr>
          <c:marker>
            <c:symbol val="none"/>
          </c:marker>
          <c:cat>
            <c:numRef>
              <c:f>'[NFO 2013-2021 data brief figures.xlsx]F8 RATES_COUNTY'!$N$3:$V$3</c:f>
              <c:numCache>
                <c:formatCode>General</c:formatCode>
                <c:ptCount val="9"/>
                <c:pt idx="0">
                  <c:v>2013</c:v>
                </c:pt>
                <c:pt idx="1">
                  <c:v>2014</c:v>
                </c:pt>
                <c:pt idx="2">
                  <c:v>2015</c:v>
                </c:pt>
                <c:pt idx="3">
                  <c:v>2016</c:v>
                </c:pt>
                <c:pt idx="4">
                  <c:v>2017</c:v>
                </c:pt>
                <c:pt idx="5">
                  <c:v>2018</c:v>
                </c:pt>
                <c:pt idx="6">
                  <c:v>2019</c:v>
                </c:pt>
                <c:pt idx="7">
                  <c:v>2020</c:v>
                </c:pt>
                <c:pt idx="8" formatCode="0">
                  <c:v>2021</c:v>
                </c:pt>
              </c:numCache>
            </c:numRef>
          </c:cat>
          <c:val>
            <c:numRef>
              <c:f>'[NFO 2013-2021 data brief figures.xlsx]F8 RATES_COUNTY'!$N$16:$V$16</c:f>
              <c:numCache>
                <c:formatCode>0.0</c:formatCode>
                <c:ptCount val="9"/>
                <c:pt idx="0">
                  <c:v>114.38</c:v>
                </c:pt>
                <c:pt idx="1">
                  <c:v>135.20699999999999</c:v>
                </c:pt>
                <c:pt idx="2">
                  <c:v>171.25299999999999</c:v>
                </c:pt>
                <c:pt idx="3">
                  <c:v>205.73699999999999</c:v>
                </c:pt>
                <c:pt idx="4">
                  <c:v>264.99599999999998</c:v>
                </c:pt>
                <c:pt idx="5">
                  <c:v>247.321</c:v>
                </c:pt>
                <c:pt idx="6">
                  <c:v>241.732</c:v>
                </c:pt>
                <c:pt idx="7">
                  <c:v>234.672</c:v>
                </c:pt>
                <c:pt idx="8" formatCode="0">
                  <c:v>204.39400000000001</c:v>
                </c:pt>
              </c:numCache>
            </c:numRef>
          </c:val>
          <c:smooth val="0"/>
          <c:extLst>
            <c:ext xmlns:c16="http://schemas.microsoft.com/office/drawing/2014/chart" uri="{C3380CC4-5D6E-409C-BE32-E72D297353CC}">
              <c16:uniqueId val="{0000000B-209D-4A61-BE3E-0764D4B7C62E}"/>
            </c:ext>
          </c:extLst>
        </c:ser>
        <c:ser>
          <c:idx val="5"/>
          <c:order val="8"/>
          <c:tx>
            <c:strRef>
              <c:f>'[NFO 2013-2021 data brief figures.xlsx]F8 RATES_COUNTY'!$M$8</c:f>
              <c:strCache>
                <c:ptCount val="1"/>
                <c:pt idx="0">
                  <c:v>Essex</c:v>
                </c:pt>
              </c:strCache>
            </c:strRef>
          </c:tx>
          <c:spPr>
            <a:ln>
              <a:solidFill>
                <a:srgbClr val="AA4499"/>
              </a:solidFill>
            </a:ln>
          </c:spPr>
          <c:marker>
            <c:symbol val="none"/>
          </c:marker>
          <c:dLbls>
            <c:dLbl>
              <c:idx val="8"/>
              <c:layout>
                <c:manualLayout>
                  <c:x val="-1.5143424487321871E-16"/>
                  <c:y val="-6.1659528727999076E-4"/>
                </c:manualLayout>
              </c:layout>
              <c:spPr>
                <a:noFill/>
                <a:ln>
                  <a:noFill/>
                </a:ln>
                <a:effectLst/>
              </c:spPr>
              <c:txPr>
                <a:bodyPr wrap="square" lIns="38100" tIns="19050" rIns="38100" bIns="19050" anchor="ctr">
                  <a:noAutofit/>
                </a:bodyPr>
                <a:lstStyle/>
                <a:p>
                  <a:pPr>
                    <a:defRPr/>
                  </a:pPr>
                  <a:endParaRPr lang="en-US"/>
                </a:p>
              </c:txPr>
              <c:showLegendKey val="0"/>
              <c:showVal val="1"/>
              <c:showCatName val="0"/>
              <c:showSerName val="0"/>
              <c:showPercent val="0"/>
              <c:showBubbleSize val="0"/>
              <c:extLst>
                <c:ext xmlns:c15="http://schemas.microsoft.com/office/drawing/2012/chart" uri="{CE6537A1-D6FC-4f65-9D91-7224C49458BB}">
                  <c15:layout>
                    <c:manualLayout>
                      <c:w val="4.5320512820512818E-2"/>
                      <c:h val="2.9214850882531954E-2"/>
                    </c:manualLayout>
                  </c15:layout>
                </c:ext>
                <c:ext xmlns:c16="http://schemas.microsoft.com/office/drawing/2014/chart" uri="{C3380CC4-5D6E-409C-BE32-E72D297353CC}">
                  <c16:uniqueId val="{0000000C-209D-4A61-BE3E-0764D4B7C62E}"/>
                </c:ext>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1"/>
              </c:ext>
            </c:extLst>
          </c:dLbls>
          <c:cat>
            <c:numRef>
              <c:f>'[NFO 2013-2021 data brief figures.xlsx]F8 RATES_COUNTY'!$N$3:$V$3</c:f>
              <c:numCache>
                <c:formatCode>General</c:formatCode>
                <c:ptCount val="9"/>
                <c:pt idx="0">
                  <c:v>2013</c:v>
                </c:pt>
                <c:pt idx="1">
                  <c:v>2014</c:v>
                </c:pt>
                <c:pt idx="2">
                  <c:v>2015</c:v>
                </c:pt>
                <c:pt idx="3">
                  <c:v>2016</c:v>
                </c:pt>
                <c:pt idx="4">
                  <c:v>2017</c:v>
                </c:pt>
                <c:pt idx="5">
                  <c:v>2018</c:v>
                </c:pt>
                <c:pt idx="6">
                  <c:v>2019</c:v>
                </c:pt>
                <c:pt idx="7">
                  <c:v>2020</c:v>
                </c:pt>
                <c:pt idx="8" formatCode="0">
                  <c:v>2021</c:v>
                </c:pt>
              </c:numCache>
            </c:numRef>
          </c:cat>
          <c:val>
            <c:numRef>
              <c:f>'[NFO 2013-2021 data brief figures.xlsx]F8 RATES_COUNTY'!$N$8:$V$8</c:f>
              <c:numCache>
                <c:formatCode>0.0</c:formatCode>
                <c:ptCount val="9"/>
                <c:pt idx="0">
                  <c:v>124.006</c:v>
                </c:pt>
                <c:pt idx="1">
                  <c:v>191.60900000000001</c:v>
                </c:pt>
                <c:pt idx="2">
                  <c:v>242.685</c:v>
                </c:pt>
                <c:pt idx="3">
                  <c:v>299.32299999999998</c:v>
                </c:pt>
                <c:pt idx="4">
                  <c:v>316.06700000000001</c:v>
                </c:pt>
                <c:pt idx="5">
                  <c:v>267.08999999999997</c:v>
                </c:pt>
                <c:pt idx="6">
                  <c:v>229.636</c:v>
                </c:pt>
                <c:pt idx="7">
                  <c:v>197.80500000000001</c:v>
                </c:pt>
                <c:pt idx="8" formatCode="0">
                  <c:v>201.79300000000001</c:v>
                </c:pt>
              </c:numCache>
            </c:numRef>
          </c:val>
          <c:smooth val="0"/>
          <c:extLst>
            <c:ext xmlns:c16="http://schemas.microsoft.com/office/drawing/2014/chart" uri="{C3380CC4-5D6E-409C-BE32-E72D297353CC}">
              <c16:uniqueId val="{0000000D-209D-4A61-BE3E-0764D4B7C62E}"/>
            </c:ext>
          </c:extLst>
        </c:ser>
        <c:ser>
          <c:idx val="14"/>
          <c:order val="9"/>
          <c:tx>
            <c:strRef>
              <c:f>'[NFO 2013-2021 data brief figures.xlsx]F8 RATES_COUNTY'!$M$17</c:f>
              <c:strCache>
                <c:ptCount val="1"/>
                <c:pt idx="0">
                  <c:v>Worcester</c:v>
                </c:pt>
              </c:strCache>
            </c:strRef>
          </c:tx>
          <c:spPr>
            <a:ln>
              <a:solidFill>
                <a:srgbClr val="999933"/>
              </a:solidFill>
            </a:ln>
          </c:spPr>
          <c:marker>
            <c:symbol val="none"/>
          </c:marker>
          <c:dLbls>
            <c:dLbl>
              <c:idx val="8"/>
              <c:layout>
                <c:manualLayout>
                  <c:x val="0"/>
                  <c:y val="8.1152363562589508E-3"/>
                </c:manualLayout>
              </c:layout>
              <c:spPr>
                <a:noFill/>
                <a:ln>
                  <a:noFill/>
                </a:ln>
                <a:effectLst/>
              </c:spPr>
              <c:txPr>
                <a:bodyPr wrap="square" lIns="38100" tIns="19050" rIns="38100" bIns="19050" anchor="ctr">
                  <a:noAutofit/>
                </a:bodyPr>
                <a:lstStyle/>
                <a:p>
                  <a:pPr>
                    <a:defRPr sz="900"/>
                  </a:pPr>
                  <a:endParaRPr lang="en-US"/>
                </a:p>
              </c:txPr>
              <c:showLegendKey val="0"/>
              <c:showVal val="1"/>
              <c:showCatName val="0"/>
              <c:showSerName val="0"/>
              <c:showPercent val="0"/>
              <c:showBubbleSize val="0"/>
              <c:extLst>
                <c:ext xmlns:c15="http://schemas.microsoft.com/office/drawing/2012/chart" uri="{CE6537A1-D6FC-4f65-9D91-7224C49458BB}">
                  <c15:layout>
                    <c:manualLayout>
                      <c:w val="4.205128205128205E-2"/>
                      <c:h val="2.9214850882531954E-2"/>
                    </c:manualLayout>
                  </c15:layout>
                </c:ext>
                <c:ext xmlns:c16="http://schemas.microsoft.com/office/drawing/2014/chart" uri="{C3380CC4-5D6E-409C-BE32-E72D297353CC}">
                  <c16:uniqueId val="{00000018-209D-4A61-BE3E-0764D4B7C62E}"/>
                </c:ext>
              </c:extLst>
            </c:dLbl>
            <c:spPr>
              <a:noFill/>
              <a:ln>
                <a:noFill/>
              </a:ln>
              <a:effectLst/>
            </c:spPr>
            <c:txPr>
              <a:bodyPr wrap="square" lIns="38100" tIns="19050" rIns="38100" bIns="19050" anchor="ctr">
                <a:spAutoFit/>
              </a:bodyPr>
              <a:lstStyle/>
              <a:p>
                <a:pPr>
                  <a:defRPr sz="900"/>
                </a:pPr>
                <a:endParaRPr lang="en-US"/>
              </a:p>
            </c:txPr>
            <c:showLegendKey val="0"/>
            <c:showVal val="0"/>
            <c:showCatName val="0"/>
            <c:showSerName val="0"/>
            <c:showPercent val="0"/>
            <c:showBubbleSize val="0"/>
            <c:extLst>
              <c:ext xmlns:c15="http://schemas.microsoft.com/office/drawing/2012/chart" uri="{CE6537A1-D6FC-4f65-9D91-7224C49458BB}">
                <c15:showLeaderLines val="1"/>
              </c:ext>
            </c:extLst>
          </c:dLbls>
          <c:cat>
            <c:numRef>
              <c:f>'[NFO 2013-2021 data brief figures.xlsx]F8 RATES_COUNTY'!$N$3:$V$3</c:f>
              <c:numCache>
                <c:formatCode>General</c:formatCode>
                <c:ptCount val="9"/>
                <c:pt idx="0">
                  <c:v>2013</c:v>
                </c:pt>
                <c:pt idx="1">
                  <c:v>2014</c:v>
                </c:pt>
                <c:pt idx="2">
                  <c:v>2015</c:v>
                </c:pt>
                <c:pt idx="3">
                  <c:v>2016</c:v>
                </c:pt>
                <c:pt idx="4">
                  <c:v>2017</c:v>
                </c:pt>
                <c:pt idx="5">
                  <c:v>2018</c:v>
                </c:pt>
                <c:pt idx="6">
                  <c:v>2019</c:v>
                </c:pt>
                <c:pt idx="7">
                  <c:v>2020</c:v>
                </c:pt>
                <c:pt idx="8" formatCode="0">
                  <c:v>2021</c:v>
                </c:pt>
              </c:numCache>
            </c:numRef>
          </c:cat>
          <c:val>
            <c:numRef>
              <c:f>'[NFO 2013-2021 data brief figures.xlsx]F8 RATES_COUNTY'!$N$17:$V$17</c:f>
              <c:numCache>
                <c:formatCode>0.0</c:formatCode>
                <c:ptCount val="9"/>
                <c:pt idx="0">
                  <c:v>128.03399999999999</c:v>
                </c:pt>
                <c:pt idx="1">
                  <c:v>200.35499999999999</c:v>
                </c:pt>
                <c:pt idx="2">
                  <c:v>262.44600000000003</c:v>
                </c:pt>
                <c:pt idx="3">
                  <c:v>319.07400000000001</c:v>
                </c:pt>
                <c:pt idx="4">
                  <c:v>287.95600000000002</c:v>
                </c:pt>
                <c:pt idx="5">
                  <c:v>297.21300000000002</c:v>
                </c:pt>
                <c:pt idx="6">
                  <c:v>285.06099999999998</c:v>
                </c:pt>
                <c:pt idx="7">
                  <c:v>215.756</c:v>
                </c:pt>
                <c:pt idx="8" formatCode="0">
                  <c:v>179.15</c:v>
                </c:pt>
              </c:numCache>
            </c:numRef>
          </c:val>
          <c:smooth val="0"/>
          <c:extLst>
            <c:ext xmlns:c16="http://schemas.microsoft.com/office/drawing/2014/chart" uri="{C3380CC4-5D6E-409C-BE32-E72D297353CC}">
              <c16:uniqueId val="{0000000E-209D-4A61-BE3E-0764D4B7C62E}"/>
            </c:ext>
          </c:extLst>
        </c:ser>
        <c:ser>
          <c:idx val="8"/>
          <c:order val="10"/>
          <c:tx>
            <c:strRef>
              <c:f>'[NFO 2013-2021 data brief figures.xlsx]F8 RATES_COUNTY'!$M$11</c:f>
              <c:strCache>
                <c:ptCount val="1"/>
                <c:pt idx="0">
                  <c:v>Hampshire</c:v>
                </c:pt>
              </c:strCache>
            </c:strRef>
          </c:tx>
          <c:spPr>
            <a:ln>
              <a:solidFill>
                <a:srgbClr val="44AA99">
                  <a:alpha val="80000"/>
                </a:srgbClr>
              </a:solidFill>
            </a:ln>
          </c:spPr>
          <c:marker>
            <c:symbol val="none"/>
          </c:marker>
          <c:cat>
            <c:numRef>
              <c:f>'[NFO 2013-2021 data brief figures.xlsx]F8 RATES_COUNTY'!$N$3:$V$3</c:f>
              <c:numCache>
                <c:formatCode>General</c:formatCode>
                <c:ptCount val="9"/>
                <c:pt idx="0">
                  <c:v>2013</c:v>
                </c:pt>
                <c:pt idx="1">
                  <c:v>2014</c:v>
                </c:pt>
                <c:pt idx="2">
                  <c:v>2015</c:v>
                </c:pt>
                <c:pt idx="3">
                  <c:v>2016</c:v>
                </c:pt>
                <c:pt idx="4">
                  <c:v>2017</c:v>
                </c:pt>
                <c:pt idx="5">
                  <c:v>2018</c:v>
                </c:pt>
                <c:pt idx="6">
                  <c:v>2019</c:v>
                </c:pt>
                <c:pt idx="7">
                  <c:v>2020</c:v>
                </c:pt>
                <c:pt idx="8" formatCode="0">
                  <c:v>2021</c:v>
                </c:pt>
              </c:numCache>
            </c:numRef>
          </c:cat>
          <c:val>
            <c:numRef>
              <c:f>'[NFO 2013-2021 data brief figures.xlsx]F8 RATES_COUNTY'!$N$11:$V$11</c:f>
              <c:numCache>
                <c:formatCode>0.0</c:formatCode>
                <c:ptCount val="9"/>
                <c:pt idx="0">
                  <c:v>72.441000000000003</c:v>
                </c:pt>
                <c:pt idx="1">
                  <c:v>85.909000000000006</c:v>
                </c:pt>
                <c:pt idx="2">
                  <c:v>115.042</c:v>
                </c:pt>
                <c:pt idx="3">
                  <c:v>143.82900000000001</c:v>
                </c:pt>
                <c:pt idx="4">
                  <c:v>143.17400000000001</c:v>
                </c:pt>
                <c:pt idx="5">
                  <c:v>177.23400000000001</c:v>
                </c:pt>
                <c:pt idx="6">
                  <c:v>187.18</c:v>
                </c:pt>
                <c:pt idx="7">
                  <c:v>184.03899999999999</c:v>
                </c:pt>
                <c:pt idx="8" formatCode="0">
                  <c:v>160.71100000000001</c:v>
                </c:pt>
              </c:numCache>
            </c:numRef>
          </c:val>
          <c:smooth val="0"/>
          <c:extLst>
            <c:ext xmlns:c16="http://schemas.microsoft.com/office/drawing/2014/chart" uri="{C3380CC4-5D6E-409C-BE32-E72D297353CC}">
              <c16:uniqueId val="{0000000F-209D-4A61-BE3E-0764D4B7C62E}"/>
            </c:ext>
          </c:extLst>
        </c:ser>
        <c:ser>
          <c:idx val="10"/>
          <c:order val="11"/>
          <c:tx>
            <c:strRef>
              <c:f>'[NFO 2013-2021 data brief figures.xlsx]F8 RATES_COUNTY'!$M$13</c:f>
              <c:strCache>
                <c:ptCount val="1"/>
                <c:pt idx="0">
                  <c:v>Nantucket</c:v>
                </c:pt>
              </c:strCache>
            </c:strRef>
          </c:tx>
          <c:spPr>
            <a:ln>
              <a:solidFill>
                <a:srgbClr val="332288">
                  <a:alpha val="60000"/>
                </a:srgbClr>
              </a:solidFill>
            </a:ln>
          </c:spPr>
          <c:marker>
            <c:symbol val="none"/>
          </c:marker>
          <c:dLbls>
            <c:dLbl>
              <c:idx val="8"/>
              <c:layout>
                <c:manualLayout>
                  <c:x val="-2.136752136752137E-3"/>
                  <c:y val="1.623047271251767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209D-4A61-BE3E-0764D4B7C62E}"/>
                </c:ext>
              </c:extLst>
            </c:dLbl>
            <c:spPr>
              <a:noFill/>
              <a:ln>
                <a:noFill/>
              </a:ln>
              <a:effectLst/>
            </c:spPr>
            <c:txPr>
              <a:bodyPr wrap="square" lIns="38100" tIns="19050" rIns="38100" bIns="19050" anchor="ctr">
                <a:spAutoFit/>
              </a:bodyPr>
              <a:lstStyle/>
              <a:p>
                <a:pPr>
                  <a:defRPr sz="900"/>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'[NFO 2013-2021 data brief figures.xlsx]F8 RATES_COUNTY'!$N$3:$V$3</c:f>
              <c:numCache>
                <c:formatCode>General</c:formatCode>
                <c:ptCount val="9"/>
                <c:pt idx="0">
                  <c:v>2013</c:v>
                </c:pt>
                <c:pt idx="1">
                  <c:v>2014</c:v>
                </c:pt>
                <c:pt idx="2">
                  <c:v>2015</c:v>
                </c:pt>
                <c:pt idx="3">
                  <c:v>2016</c:v>
                </c:pt>
                <c:pt idx="4">
                  <c:v>2017</c:v>
                </c:pt>
                <c:pt idx="5">
                  <c:v>2018</c:v>
                </c:pt>
                <c:pt idx="6">
                  <c:v>2019</c:v>
                </c:pt>
                <c:pt idx="7">
                  <c:v>2020</c:v>
                </c:pt>
                <c:pt idx="8" formatCode="0">
                  <c:v>2021</c:v>
                </c:pt>
              </c:numCache>
            </c:numRef>
          </c:cat>
          <c:val>
            <c:numRef>
              <c:f>'[NFO 2013-2021 data brief figures.xlsx]F8 RATES_COUNTY'!$N$13:$V$13</c:f>
              <c:numCache>
                <c:formatCode>0.0</c:formatCode>
                <c:ptCount val="9"/>
                <c:pt idx="0">
                  <c:v>118.63500000000001</c:v>
                </c:pt>
                <c:pt idx="1">
                  <c:v>91.978999999999999</c:v>
                </c:pt>
                <c:pt idx="2">
                  <c:v>166.58</c:v>
                </c:pt>
                <c:pt idx="3">
                  <c:v>160.499</c:v>
                </c:pt>
                <c:pt idx="4">
                  <c:v>56.201999999999998</c:v>
                </c:pt>
                <c:pt idx="5">
                  <c:v>78.304000000000002</c:v>
                </c:pt>
                <c:pt idx="6">
                  <c:v>36.265999999999998</c:v>
                </c:pt>
                <c:pt idx="7">
                  <c:v>27.103000000000002</c:v>
                </c:pt>
                <c:pt idx="8" formatCode="0">
                  <c:v>165.536</c:v>
                </c:pt>
              </c:numCache>
            </c:numRef>
          </c:val>
          <c:smooth val="0"/>
          <c:extLst>
            <c:ext xmlns:c16="http://schemas.microsoft.com/office/drawing/2014/chart" uri="{C3380CC4-5D6E-409C-BE32-E72D297353CC}">
              <c16:uniqueId val="{00000011-209D-4A61-BE3E-0764D4B7C62E}"/>
            </c:ext>
          </c:extLst>
        </c:ser>
        <c:ser>
          <c:idx val="11"/>
          <c:order val="12"/>
          <c:tx>
            <c:strRef>
              <c:f>'[NFO 2013-2021 data brief figures.xlsx]F8 RATES_COUNTY'!$M$14</c:f>
              <c:strCache>
                <c:ptCount val="1"/>
                <c:pt idx="0">
                  <c:v>Norfolk</c:v>
                </c:pt>
              </c:strCache>
            </c:strRef>
          </c:tx>
          <c:spPr>
            <a:ln>
              <a:solidFill>
                <a:srgbClr val="88CCEE">
                  <a:alpha val="60000"/>
                </a:srgbClr>
              </a:solidFill>
            </a:ln>
          </c:spPr>
          <c:marker>
            <c:symbol val="none"/>
          </c:marker>
          <c:cat>
            <c:numRef>
              <c:f>'[NFO 2013-2021 data brief figures.xlsx]F8 RATES_COUNTY'!$N$3:$V$3</c:f>
              <c:numCache>
                <c:formatCode>General</c:formatCode>
                <c:ptCount val="9"/>
                <c:pt idx="0">
                  <c:v>2013</c:v>
                </c:pt>
                <c:pt idx="1">
                  <c:v>2014</c:v>
                </c:pt>
                <c:pt idx="2">
                  <c:v>2015</c:v>
                </c:pt>
                <c:pt idx="3">
                  <c:v>2016</c:v>
                </c:pt>
                <c:pt idx="4">
                  <c:v>2017</c:v>
                </c:pt>
                <c:pt idx="5">
                  <c:v>2018</c:v>
                </c:pt>
                <c:pt idx="6">
                  <c:v>2019</c:v>
                </c:pt>
                <c:pt idx="7">
                  <c:v>2020</c:v>
                </c:pt>
                <c:pt idx="8" formatCode="0">
                  <c:v>2021</c:v>
                </c:pt>
              </c:numCache>
            </c:numRef>
          </c:cat>
          <c:val>
            <c:numRef>
              <c:f>'[NFO 2013-2021 data brief figures.xlsx]F8 RATES_COUNTY'!$N$14:$V$14</c:f>
              <c:numCache>
                <c:formatCode>0.0</c:formatCode>
                <c:ptCount val="9"/>
                <c:pt idx="0">
                  <c:v>107.83499999999999</c:v>
                </c:pt>
                <c:pt idx="1">
                  <c:v>147.334</c:v>
                </c:pt>
                <c:pt idx="2">
                  <c:v>176.69</c:v>
                </c:pt>
                <c:pt idx="3">
                  <c:v>224.297</c:v>
                </c:pt>
                <c:pt idx="4">
                  <c:v>220.09399999999999</c:v>
                </c:pt>
                <c:pt idx="5">
                  <c:v>170.06</c:v>
                </c:pt>
                <c:pt idx="6">
                  <c:v>152.02600000000001</c:v>
                </c:pt>
                <c:pt idx="7">
                  <c:v>140.095</c:v>
                </c:pt>
                <c:pt idx="8" formatCode="0">
                  <c:v>119.139</c:v>
                </c:pt>
              </c:numCache>
            </c:numRef>
          </c:val>
          <c:smooth val="0"/>
          <c:extLst>
            <c:ext xmlns:c16="http://schemas.microsoft.com/office/drawing/2014/chart" uri="{C3380CC4-5D6E-409C-BE32-E72D297353CC}">
              <c16:uniqueId val="{00000012-209D-4A61-BE3E-0764D4B7C62E}"/>
            </c:ext>
          </c:extLst>
        </c:ser>
        <c:ser>
          <c:idx val="9"/>
          <c:order val="13"/>
          <c:tx>
            <c:strRef>
              <c:f>'[NFO 2013-2021 data brief figures.xlsx]F8 RATES_COUNTY'!$M$12</c:f>
              <c:strCache>
                <c:ptCount val="1"/>
                <c:pt idx="0">
                  <c:v>Middlesex</c:v>
                </c:pt>
              </c:strCache>
            </c:strRef>
          </c:tx>
          <c:spPr>
            <a:ln>
              <a:solidFill>
                <a:srgbClr val="117733">
                  <a:alpha val="60000"/>
                </a:srgbClr>
              </a:solidFill>
            </a:ln>
          </c:spPr>
          <c:marker>
            <c:symbol val="none"/>
          </c:marker>
          <c:dLbls>
            <c:dLbl>
              <c:idx val="8"/>
              <c:layout>
                <c:manualLayout>
                  <c:x val="0"/>
                  <c:y val="-2.028809089064719E-2"/>
                </c:manualLayout>
              </c:layout>
              <c:spPr>
                <a:noFill/>
                <a:ln>
                  <a:noFill/>
                </a:ln>
                <a:effectLst/>
              </c:spPr>
              <c:txPr>
                <a:bodyPr wrap="square" lIns="38100" tIns="19050" rIns="38100" bIns="19050" anchor="ctr">
                  <a:noAutofit/>
                </a:bodyPr>
                <a:lstStyle/>
                <a:p>
                  <a:pPr>
                    <a:defRPr/>
                  </a:pPr>
                  <a:endParaRPr lang="en-US"/>
                </a:p>
              </c:txPr>
              <c:showLegendKey val="0"/>
              <c:showVal val="1"/>
              <c:showCatName val="0"/>
              <c:showSerName val="0"/>
              <c:showPercent val="0"/>
              <c:showBubbleSize val="0"/>
              <c:extLst>
                <c:ext xmlns:c15="http://schemas.microsoft.com/office/drawing/2012/chart" uri="{CE6537A1-D6FC-4f65-9D91-7224C49458BB}">
                  <c15:layout>
                    <c:manualLayout>
                      <c:w val="4.5320512820512818E-2"/>
                      <c:h val="2.9214850882531954E-2"/>
                    </c:manualLayout>
                  </c15:layout>
                </c:ext>
                <c:ext xmlns:c16="http://schemas.microsoft.com/office/drawing/2014/chart" uri="{C3380CC4-5D6E-409C-BE32-E72D297353CC}">
                  <c16:uniqueId val="{00000013-209D-4A61-BE3E-0764D4B7C62E}"/>
                </c:ext>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1"/>
              </c:ext>
            </c:extLst>
          </c:dLbls>
          <c:cat>
            <c:numRef>
              <c:f>'[NFO 2013-2021 data brief figures.xlsx]F8 RATES_COUNTY'!$N$3:$V$3</c:f>
              <c:numCache>
                <c:formatCode>General</c:formatCode>
                <c:ptCount val="9"/>
                <c:pt idx="0">
                  <c:v>2013</c:v>
                </c:pt>
                <c:pt idx="1">
                  <c:v>2014</c:v>
                </c:pt>
                <c:pt idx="2">
                  <c:v>2015</c:v>
                </c:pt>
                <c:pt idx="3">
                  <c:v>2016</c:v>
                </c:pt>
                <c:pt idx="4">
                  <c:v>2017</c:v>
                </c:pt>
                <c:pt idx="5">
                  <c:v>2018</c:v>
                </c:pt>
                <c:pt idx="6">
                  <c:v>2019</c:v>
                </c:pt>
                <c:pt idx="7">
                  <c:v>2020</c:v>
                </c:pt>
                <c:pt idx="8" formatCode="0">
                  <c:v>2021</c:v>
                </c:pt>
              </c:numCache>
            </c:numRef>
          </c:cat>
          <c:val>
            <c:numRef>
              <c:f>'[NFO 2013-2021 data brief figures.xlsx]F8 RATES_COUNTY'!$N$12:$V$12</c:f>
              <c:numCache>
                <c:formatCode>0.0</c:formatCode>
                <c:ptCount val="9"/>
                <c:pt idx="0">
                  <c:v>87.036000000000001</c:v>
                </c:pt>
                <c:pt idx="1">
                  <c:v>117.67700000000001</c:v>
                </c:pt>
                <c:pt idx="2">
                  <c:v>133.88399999999999</c:v>
                </c:pt>
                <c:pt idx="3">
                  <c:v>164.04599999999999</c:v>
                </c:pt>
                <c:pt idx="4">
                  <c:v>165.55699999999999</c:v>
                </c:pt>
                <c:pt idx="5">
                  <c:v>149.56899999999999</c:v>
                </c:pt>
                <c:pt idx="6">
                  <c:v>127.34699999999999</c:v>
                </c:pt>
                <c:pt idx="7">
                  <c:v>109.94</c:v>
                </c:pt>
                <c:pt idx="8" formatCode="0">
                  <c:v>116.595</c:v>
                </c:pt>
              </c:numCache>
            </c:numRef>
          </c:val>
          <c:smooth val="0"/>
          <c:extLst>
            <c:ext xmlns:c16="http://schemas.microsoft.com/office/drawing/2014/chart" uri="{C3380CC4-5D6E-409C-BE32-E72D297353CC}">
              <c16:uniqueId val="{00000014-209D-4A61-BE3E-0764D4B7C62E}"/>
            </c:ext>
          </c:extLst>
        </c:ser>
        <c:ser>
          <c:idx val="4"/>
          <c:order val="14"/>
          <c:tx>
            <c:strRef>
              <c:f>'[NFO 2013-2021 data brief figures.xlsx]F8 RATES_COUNTY'!$M$7</c:f>
              <c:strCache>
                <c:ptCount val="1"/>
                <c:pt idx="0">
                  <c:v>Dukes</c:v>
                </c:pt>
              </c:strCache>
            </c:strRef>
          </c:tx>
          <c:spPr>
            <a:ln>
              <a:solidFill>
                <a:srgbClr val="882255">
                  <a:alpha val="60000"/>
                </a:srgbClr>
              </a:solidFill>
            </a:ln>
          </c:spPr>
          <c:marker>
            <c:symbol val="none"/>
          </c:marker>
          <c:dLbls>
            <c:dLbl>
              <c:idx val="8"/>
              <c:spPr>
                <a:noFill/>
                <a:ln>
                  <a:noFill/>
                </a:ln>
                <a:effectLst/>
              </c:spPr>
              <c:txPr>
                <a:bodyPr wrap="square" lIns="38100" tIns="19050" rIns="38100" bIns="19050" anchor="ctr">
                  <a:noAutofit/>
                </a:bodyPr>
                <a:lstStyle/>
                <a:p>
                  <a:pPr>
                    <a:defRPr sz="900"/>
                  </a:pPr>
                  <a:endParaRPr lang="en-US"/>
                </a:p>
              </c:txPr>
              <c:showLegendKey val="0"/>
              <c:showVal val="1"/>
              <c:showCatName val="0"/>
              <c:showSerName val="0"/>
              <c:showPercent val="0"/>
              <c:showBubbleSize val="0"/>
              <c:extLst>
                <c:ext xmlns:c15="http://schemas.microsoft.com/office/drawing/2012/chart" uri="{CE6537A1-D6FC-4f65-9D91-7224C49458BB}">
                  <c15:layout>
                    <c:manualLayout>
                      <c:w val="4.2051282051282043E-2"/>
                      <c:h val="2.9214850882531954E-2"/>
                    </c:manualLayout>
                  </c15:layout>
                </c:ext>
                <c:ext xmlns:c16="http://schemas.microsoft.com/office/drawing/2014/chart" uri="{C3380CC4-5D6E-409C-BE32-E72D297353CC}">
                  <c16:uniqueId val="{00000015-209D-4A61-BE3E-0764D4B7C62E}"/>
                </c:ext>
              </c:extLst>
            </c:dLbl>
            <c:spPr>
              <a:noFill/>
              <a:ln>
                <a:noFill/>
              </a:ln>
              <a:effectLst/>
            </c:spPr>
            <c:txPr>
              <a:bodyPr wrap="square" lIns="38100" tIns="19050" rIns="38100" bIns="19050" anchor="ctr">
                <a:spAutoFit/>
              </a:bodyPr>
              <a:lstStyle/>
              <a:p>
                <a:pPr>
                  <a:defRPr sz="900"/>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'[NFO 2013-2021 data brief figures.xlsx]F8 RATES_COUNTY'!$N$3:$V$3</c:f>
              <c:numCache>
                <c:formatCode>General</c:formatCode>
                <c:ptCount val="9"/>
                <c:pt idx="0">
                  <c:v>2013</c:v>
                </c:pt>
                <c:pt idx="1">
                  <c:v>2014</c:v>
                </c:pt>
                <c:pt idx="2">
                  <c:v>2015</c:v>
                </c:pt>
                <c:pt idx="3">
                  <c:v>2016</c:v>
                </c:pt>
                <c:pt idx="4">
                  <c:v>2017</c:v>
                </c:pt>
                <c:pt idx="5">
                  <c:v>2018</c:v>
                </c:pt>
                <c:pt idx="6">
                  <c:v>2019</c:v>
                </c:pt>
                <c:pt idx="7">
                  <c:v>2020</c:v>
                </c:pt>
                <c:pt idx="8" formatCode="0">
                  <c:v>2021</c:v>
                </c:pt>
              </c:numCache>
            </c:numRef>
          </c:cat>
          <c:val>
            <c:numRef>
              <c:f>'[NFO 2013-2021 data brief figures.xlsx]F8 RATES_COUNTY'!$N$7:$V$7</c:f>
              <c:numCache>
                <c:formatCode>0.0</c:formatCode>
                <c:ptCount val="9"/>
                <c:pt idx="0">
                  <c:v>59.087000000000003</c:v>
                </c:pt>
                <c:pt idx="1">
                  <c:v>139.761</c:v>
                </c:pt>
                <c:pt idx="2">
                  <c:v>182.53800000000001</c:v>
                </c:pt>
                <c:pt idx="3">
                  <c:v>134.821</c:v>
                </c:pt>
                <c:pt idx="4">
                  <c:v>133.108</c:v>
                </c:pt>
                <c:pt idx="5">
                  <c:v>87.873999999999995</c:v>
                </c:pt>
                <c:pt idx="6">
                  <c:v>125.904</c:v>
                </c:pt>
                <c:pt idx="7">
                  <c:v>129.626</c:v>
                </c:pt>
                <c:pt idx="8" formatCode="0">
                  <c:v>104.32599999999999</c:v>
                </c:pt>
              </c:numCache>
            </c:numRef>
          </c:val>
          <c:smooth val="0"/>
          <c:extLst>
            <c:ext xmlns:c16="http://schemas.microsoft.com/office/drawing/2014/chart" uri="{C3380CC4-5D6E-409C-BE32-E72D297353CC}">
              <c16:uniqueId val="{00000016-209D-4A61-BE3E-0764D4B7C62E}"/>
            </c:ext>
          </c:extLst>
        </c:ser>
        <c:dLbls>
          <c:showLegendKey val="0"/>
          <c:showVal val="0"/>
          <c:showCatName val="0"/>
          <c:showSerName val="0"/>
          <c:showPercent val="0"/>
          <c:showBubbleSize val="0"/>
        </c:dLbls>
        <c:smooth val="0"/>
        <c:axId val="828930544"/>
        <c:axId val="828929560"/>
        <c:extLst>
          <c:ext xmlns:c15="http://schemas.microsoft.com/office/drawing/2012/chart" uri="{02D57815-91ED-43cb-92C2-25804820EDAC}">
            <c15:filteredLineSeries>
              <c15:ser>
                <c:idx val="0"/>
                <c:order val="0"/>
                <c:tx>
                  <c:strRef>
                    <c:extLst>
                      <c:ext uri="{02D57815-91ED-43cb-92C2-25804820EDAC}">
                        <c15:formulaRef>
                          <c15:sqref>'[NFO 2013-2021 data brief figures.xlsx]F8 RATES_COUNTY'!$M$3</c15:sqref>
                        </c15:formulaRef>
                      </c:ext>
                    </c:extLst>
                    <c:strCache>
                      <c:ptCount val="1"/>
                      <c:pt idx="0">
                        <c:v>cOUNTY</c:v>
                      </c:pt>
                    </c:strCache>
                  </c:strRef>
                </c:tx>
                <c:marker>
                  <c:symbol val="none"/>
                </c:marker>
                <c:cat>
                  <c:numRef>
                    <c:extLst>
                      <c:ext uri="{02D57815-91ED-43cb-92C2-25804820EDAC}">
                        <c15:formulaRef>
                          <c15:sqref>'[NFO 2013-2021 data brief figures.xlsx]F8 RATES_COUNTY'!$N$3:$V$3</c15:sqref>
                        </c15:formulaRef>
                      </c:ext>
                    </c:extLst>
                    <c:numCache>
                      <c:formatCode>General</c:formatCode>
                      <c:ptCount val="9"/>
                      <c:pt idx="0">
                        <c:v>2013</c:v>
                      </c:pt>
                      <c:pt idx="1">
                        <c:v>2014</c:v>
                      </c:pt>
                      <c:pt idx="2">
                        <c:v>2015</c:v>
                      </c:pt>
                      <c:pt idx="3">
                        <c:v>2016</c:v>
                      </c:pt>
                      <c:pt idx="4">
                        <c:v>2017</c:v>
                      </c:pt>
                      <c:pt idx="5">
                        <c:v>2018</c:v>
                      </c:pt>
                      <c:pt idx="6">
                        <c:v>2019</c:v>
                      </c:pt>
                      <c:pt idx="7">
                        <c:v>2020</c:v>
                      </c:pt>
                      <c:pt idx="8" formatCode="0">
                        <c:v>2021</c:v>
                      </c:pt>
                    </c:numCache>
                  </c:numRef>
                </c:cat>
                <c:val>
                  <c:numRef>
                    <c:extLst>
                      <c:ext uri="{02D57815-91ED-43cb-92C2-25804820EDAC}">
                        <c15:formulaRef>
                          <c15:sqref>'[NFO 2013-2021 data brief figures.xlsx]F8 RATES_COUNTY'!$M$4:$M$17</c15:sqref>
                        </c15:formulaRef>
                      </c:ext>
                    </c:extLst>
                    <c:numCache>
                      <c:formatCode>General</c:formatCode>
                      <c:ptCount val="14"/>
                      <c:pt idx="0">
                        <c:v>0</c:v>
                      </c:pt>
                      <c:pt idx="1">
                        <c:v>0</c:v>
                      </c:pt>
                      <c:pt idx="2">
                        <c:v>0</c:v>
                      </c:pt>
                      <c:pt idx="3">
                        <c:v>0</c:v>
                      </c:pt>
                      <c:pt idx="4">
                        <c:v>0</c:v>
                      </c:pt>
                      <c:pt idx="5">
                        <c:v>0</c:v>
                      </c:pt>
                      <c:pt idx="6">
                        <c:v>0</c:v>
                      </c:pt>
                      <c:pt idx="7">
                        <c:v>0</c:v>
                      </c:pt>
                      <c:pt idx="8">
                        <c:v>0</c:v>
                      </c:pt>
                      <c:pt idx="9">
                        <c:v>0</c:v>
                      </c:pt>
                      <c:pt idx="10">
                        <c:v>0</c:v>
                      </c:pt>
                      <c:pt idx="11">
                        <c:v>0</c:v>
                      </c:pt>
                      <c:pt idx="12">
                        <c:v>0</c:v>
                      </c:pt>
                      <c:pt idx="13">
                        <c:v>0</c:v>
                      </c:pt>
                    </c:numCache>
                  </c:numRef>
                </c:val>
                <c:smooth val="0"/>
                <c:extLst>
                  <c:ext xmlns:c16="http://schemas.microsoft.com/office/drawing/2014/chart" uri="{C3380CC4-5D6E-409C-BE32-E72D297353CC}">
                    <c16:uniqueId val="{00000017-209D-4A61-BE3E-0764D4B7C62E}"/>
                  </c:ext>
                </c:extLst>
              </c15:ser>
            </c15:filteredLineSeries>
          </c:ext>
        </c:extLst>
      </c:lineChart>
      <c:catAx>
        <c:axId val="8289305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1" i="0" u="none" strike="noStrike" kern="1200" baseline="0">
                <a:solidFill>
                  <a:schemeClr val="tx1">
                    <a:lumMod val="65000"/>
                    <a:lumOff val="35000"/>
                  </a:schemeClr>
                </a:solidFill>
                <a:latin typeface="Segoe UI" panose="020B0502040204020203" pitchFamily="34" charset="0"/>
                <a:ea typeface="+mn-ea"/>
                <a:cs typeface="Segoe UI" panose="020B0502040204020203" pitchFamily="34" charset="0"/>
              </a:defRPr>
            </a:pPr>
            <a:endParaRPr lang="en-US"/>
          </a:p>
        </c:txPr>
        <c:crossAx val="828929560"/>
        <c:crosses val="autoZero"/>
        <c:auto val="1"/>
        <c:lblAlgn val="ctr"/>
        <c:lblOffset val="100"/>
        <c:noMultiLvlLbl val="0"/>
      </c:catAx>
      <c:valAx>
        <c:axId val="828929560"/>
        <c:scaling>
          <c:orientation val="minMax"/>
        </c:scaling>
        <c:delete val="0"/>
        <c:axPos val="l"/>
        <c:majorGridlines>
          <c:spPr>
            <a:ln w="9525" cap="flat" cmpd="sng" algn="ctr">
              <a:noFill/>
              <a:round/>
            </a:ln>
            <a:effectLst/>
          </c:spPr>
        </c:majorGridlines>
        <c:title>
          <c:tx>
            <c:rich>
              <a:bodyPr rot="-5400000" spcFirstLastPara="1" vertOverflow="ellipsis" vert="horz" wrap="square" anchor="ctr" anchorCtr="1"/>
              <a:lstStyle/>
              <a:p>
                <a:pPr>
                  <a:defRPr sz="1000" b="1" i="0" u="none" strike="noStrike" kern="1200" baseline="0">
                    <a:solidFill>
                      <a:schemeClr val="tx1">
                        <a:lumMod val="65000"/>
                        <a:lumOff val="35000"/>
                      </a:schemeClr>
                    </a:solidFill>
                    <a:latin typeface="Segoe UI" panose="020B0502040204020203" pitchFamily="34" charset="0"/>
                    <a:ea typeface="+mn-ea"/>
                    <a:cs typeface="Segoe UI" panose="020B0502040204020203" pitchFamily="34" charset="0"/>
                  </a:defRPr>
                </a:pPr>
                <a:r>
                  <a:rPr lang="en-US" b="1">
                    <a:latin typeface="Segoe UI" panose="020B0502040204020203" pitchFamily="34" charset="0"/>
                    <a:cs typeface="Segoe UI" panose="020B0502040204020203" pitchFamily="34" charset="0"/>
                  </a:rPr>
                  <a:t>age-adjusted rate per 100,000</a:t>
                </a:r>
              </a:p>
            </c:rich>
          </c:tx>
          <c:overlay val="0"/>
          <c:spPr>
            <a:noFill/>
            <a:ln>
              <a:noFill/>
            </a:ln>
            <a:effectLst/>
          </c:spPr>
        </c:title>
        <c:numFmt formatCode="0" sourceLinked="0"/>
        <c:majorTickMark val="none"/>
        <c:minorTickMark val="none"/>
        <c:tickLblPos val="nextTo"/>
        <c:spPr>
          <a:noFill/>
          <a:ln>
            <a:solidFill>
              <a:schemeClr val="tx1">
                <a:lumMod val="50000"/>
                <a:lumOff val="50000"/>
              </a:schemeClr>
            </a:solid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28930544"/>
        <c:crosses val="autoZero"/>
        <c:crossBetween val="between"/>
        <c:majorUnit val="100"/>
      </c:valAx>
      <c:spPr>
        <a:noFill/>
        <a:ln>
          <a:noFill/>
        </a:ln>
        <a:effectLst/>
      </c:spPr>
    </c:plotArea>
    <c:legend>
      <c:legendPos val="r"/>
      <c:layout>
        <c:manualLayout>
          <c:xMode val="edge"/>
          <c:yMode val="edge"/>
          <c:x val="0.83664874927934185"/>
          <c:y val="0.15962810634724645"/>
          <c:w val="0.14470616766599081"/>
          <c:h val="0.72145501176801763"/>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50000"/>
          <a:lumOff val="50000"/>
        </a:schemeClr>
      </a:solidFill>
      <a:round/>
    </a:ln>
    <a:effectLst/>
  </c:spPr>
  <c:txPr>
    <a:bodyPr/>
    <a:lstStyle/>
    <a:p>
      <a:pPr>
        <a:defRPr/>
      </a:pPr>
      <a:endParaRPr lang="en-US"/>
    </a:p>
  </c:txPr>
  <c:externalData r:id="rId2">
    <c:autoUpdate val="0"/>
  </c:externalData>
  <c:userShapes r:id="rId3"/>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bg1"/>
                </a:solidFill>
                <a:latin typeface="+mn-lt"/>
                <a:ea typeface="+mn-ea"/>
                <a:cs typeface="+mn-cs"/>
              </a:defRPr>
            </a:pPr>
            <a:r>
              <a:rPr lang="en-US">
                <a:solidFill>
                  <a:schemeClr val="bg1"/>
                </a:solidFill>
              </a:rPr>
              <a:t>le</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bg1"/>
              </a:solidFill>
              <a:latin typeface="+mn-lt"/>
              <a:ea typeface="+mn-ea"/>
              <a:cs typeface="+mn-cs"/>
            </a:defRPr>
          </a:pPr>
          <a:endParaRPr lang="en-US"/>
        </a:p>
      </c:txPr>
    </c:title>
    <c:autoTitleDeleted val="0"/>
    <c:plotArea>
      <c:layout>
        <c:manualLayout>
          <c:layoutTarget val="inner"/>
          <c:xMode val="edge"/>
          <c:yMode val="edge"/>
          <c:x val="0.13557971446750974"/>
          <c:y val="0.28575871233761396"/>
          <c:w val="0.77338095522150641"/>
          <c:h val="0.52229921259842516"/>
        </c:manualLayout>
      </c:layout>
      <c:lineChart>
        <c:grouping val="standard"/>
        <c:varyColors val="0"/>
        <c:ser>
          <c:idx val="1"/>
          <c:order val="1"/>
          <c:tx>
            <c:strRef>
              <c:f>'F9 RURAL'!$B$2</c:f>
              <c:strCache>
                <c:ptCount val="1"/>
                <c:pt idx="0">
                  <c:v>Urban</c:v>
                </c:pt>
              </c:strCache>
            </c:strRef>
          </c:tx>
          <c:spPr>
            <a:ln w="25400" cap="rnd">
              <a:solidFill>
                <a:schemeClr val="accent2">
                  <a:lumMod val="50000"/>
                </a:schemeClr>
              </a:solidFill>
              <a:round/>
            </a:ln>
            <a:effectLst/>
          </c:spPr>
          <c:marker>
            <c:symbol val="circle"/>
            <c:size val="4"/>
            <c:spPr>
              <a:solidFill>
                <a:schemeClr val="accent1">
                  <a:lumMod val="75000"/>
                </a:schemeClr>
              </a:solidFill>
              <a:ln w="9525">
                <a:noFill/>
              </a:ln>
              <a:effectLst/>
            </c:spPr>
          </c:marker>
          <c:dLbls>
            <c:dLbl>
              <c:idx val="1"/>
              <c:delete val="1"/>
              <c:extLst>
                <c:ext xmlns:c15="http://schemas.microsoft.com/office/drawing/2012/chart" uri="{CE6537A1-D6FC-4f65-9D91-7224C49458BB}"/>
                <c:ext xmlns:c16="http://schemas.microsoft.com/office/drawing/2014/chart" uri="{C3380CC4-5D6E-409C-BE32-E72D297353CC}">
                  <c16:uniqueId val="{00000000-095C-4FD6-9EFE-843F2EF2DAD5}"/>
                </c:ext>
              </c:extLst>
            </c:dLbl>
            <c:dLbl>
              <c:idx val="2"/>
              <c:delete val="1"/>
              <c:extLst>
                <c:ext xmlns:c15="http://schemas.microsoft.com/office/drawing/2012/chart" uri="{CE6537A1-D6FC-4f65-9D91-7224C49458BB}"/>
                <c:ext xmlns:c16="http://schemas.microsoft.com/office/drawing/2014/chart" uri="{C3380CC4-5D6E-409C-BE32-E72D297353CC}">
                  <c16:uniqueId val="{00000001-095C-4FD6-9EFE-843F2EF2DAD5}"/>
                </c:ext>
              </c:extLst>
            </c:dLbl>
            <c:dLbl>
              <c:idx val="3"/>
              <c:delete val="1"/>
              <c:extLst>
                <c:ext xmlns:c15="http://schemas.microsoft.com/office/drawing/2012/chart" uri="{CE6537A1-D6FC-4f65-9D91-7224C49458BB}"/>
                <c:ext xmlns:c16="http://schemas.microsoft.com/office/drawing/2014/chart" uri="{C3380CC4-5D6E-409C-BE32-E72D297353CC}">
                  <c16:uniqueId val="{00000002-095C-4FD6-9EFE-843F2EF2DAD5}"/>
                </c:ext>
              </c:extLst>
            </c:dLbl>
            <c:dLbl>
              <c:idx val="5"/>
              <c:delete val="1"/>
              <c:extLst>
                <c:ext xmlns:c15="http://schemas.microsoft.com/office/drawing/2012/chart" uri="{CE6537A1-D6FC-4f65-9D91-7224C49458BB}"/>
                <c:ext xmlns:c16="http://schemas.microsoft.com/office/drawing/2014/chart" uri="{C3380CC4-5D6E-409C-BE32-E72D297353CC}">
                  <c16:uniqueId val="{00000003-095C-4FD6-9EFE-843F2EF2DAD5}"/>
                </c:ext>
              </c:extLst>
            </c:dLbl>
            <c:dLbl>
              <c:idx val="6"/>
              <c:delete val="1"/>
              <c:extLst>
                <c:ext xmlns:c15="http://schemas.microsoft.com/office/drawing/2012/chart" uri="{CE6537A1-D6FC-4f65-9D91-7224C49458BB}"/>
                <c:ext xmlns:c16="http://schemas.microsoft.com/office/drawing/2014/chart" uri="{C3380CC4-5D6E-409C-BE32-E72D297353CC}">
                  <c16:uniqueId val="{00000004-095C-4FD6-9EFE-843F2EF2DAD5}"/>
                </c:ext>
              </c:extLst>
            </c:dLbl>
            <c:dLbl>
              <c:idx val="7"/>
              <c:delete val="1"/>
              <c:extLst>
                <c:ext xmlns:c15="http://schemas.microsoft.com/office/drawing/2012/chart" uri="{CE6537A1-D6FC-4f65-9D91-7224C49458BB}"/>
                <c:ext xmlns:c16="http://schemas.microsoft.com/office/drawing/2014/chart" uri="{C3380CC4-5D6E-409C-BE32-E72D297353CC}">
                  <c16:uniqueId val="{00000005-095C-4FD6-9EFE-843F2EF2DAD5}"/>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'F9 RURAL'!$C$1:$K$1</c:f>
              <c:numCache>
                <c:formatCode>General</c:formatCode>
                <c:ptCount val="9"/>
                <c:pt idx="0">
                  <c:v>2013</c:v>
                </c:pt>
                <c:pt idx="1">
                  <c:v>2014</c:v>
                </c:pt>
                <c:pt idx="2">
                  <c:v>2015</c:v>
                </c:pt>
                <c:pt idx="3">
                  <c:v>2016</c:v>
                </c:pt>
                <c:pt idx="4">
                  <c:v>2017</c:v>
                </c:pt>
                <c:pt idx="5">
                  <c:v>2018</c:v>
                </c:pt>
                <c:pt idx="6">
                  <c:v>2019</c:v>
                </c:pt>
                <c:pt idx="7">
                  <c:v>2020</c:v>
                </c:pt>
                <c:pt idx="8">
                  <c:v>2021</c:v>
                </c:pt>
              </c:numCache>
            </c:numRef>
          </c:cat>
          <c:val>
            <c:numRef>
              <c:f>'F9 RURAL'!$C$2:$K$2</c:f>
              <c:numCache>
                <c:formatCode>0.0</c:formatCode>
                <c:ptCount val="9"/>
                <c:pt idx="0">
                  <c:v>115.038</c:v>
                </c:pt>
                <c:pt idx="1">
                  <c:v>173.82499999999999</c:v>
                </c:pt>
                <c:pt idx="2">
                  <c:v>217.792</c:v>
                </c:pt>
                <c:pt idx="3">
                  <c:v>258.56799999999998</c:v>
                </c:pt>
                <c:pt idx="4">
                  <c:v>260.36900000000003</c:v>
                </c:pt>
                <c:pt idx="5">
                  <c:v>245.42599999999999</c:v>
                </c:pt>
                <c:pt idx="6">
                  <c:v>228.68100000000001</c:v>
                </c:pt>
                <c:pt idx="7">
                  <c:v>206.191</c:v>
                </c:pt>
                <c:pt idx="8">
                  <c:v>191.7</c:v>
                </c:pt>
              </c:numCache>
            </c:numRef>
          </c:val>
          <c:smooth val="0"/>
          <c:extLst>
            <c:ext xmlns:c16="http://schemas.microsoft.com/office/drawing/2014/chart" uri="{C3380CC4-5D6E-409C-BE32-E72D297353CC}">
              <c16:uniqueId val="{00000006-095C-4FD6-9EFE-843F2EF2DAD5}"/>
            </c:ext>
          </c:extLst>
        </c:ser>
        <c:ser>
          <c:idx val="2"/>
          <c:order val="3"/>
          <c:tx>
            <c:strRef>
              <c:f>'F9 RURAL'!$B$3</c:f>
              <c:strCache>
                <c:ptCount val="1"/>
                <c:pt idx="0">
                  <c:v>Rural  </c:v>
                </c:pt>
              </c:strCache>
            </c:strRef>
          </c:tx>
          <c:spPr>
            <a:ln w="25400" cap="rnd">
              <a:solidFill>
                <a:schemeClr val="accent6"/>
              </a:solidFill>
              <a:round/>
            </a:ln>
            <a:effectLst/>
          </c:spPr>
          <c:marker>
            <c:symbol val="circle"/>
            <c:size val="4"/>
            <c:spPr>
              <a:solidFill>
                <a:srgbClr val="FF874B"/>
              </a:solidFill>
              <a:ln w="9525">
                <a:solidFill>
                  <a:srgbClr val="FF874B"/>
                </a:solidFill>
              </a:ln>
              <a:effectLst/>
            </c:spPr>
          </c:marker>
          <c:dLbls>
            <c:dLbl>
              <c:idx val="0"/>
              <c:dLblPos val="b"/>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095C-4FD6-9EFE-843F2EF2DAD5}"/>
                </c:ext>
              </c:extLst>
            </c:dLbl>
            <c:dLbl>
              <c:idx val="1"/>
              <c:delete val="1"/>
              <c:extLst>
                <c:ext xmlns:c15="http://schemas.microsoft.com/office/drawing/2012/chart" uri="{CE6537A1-D6FC-4f65-9D91-7224C49458BB}"/>
                <c:ext xmlns:c16="http://schemas.microsoft.com/office/drawing/2014/chart" uri="{C3380CC4-5D6E-409C-BE32-E72D297353CC}">
                  <c16:uniqueId val="{00000008-095C-4FD6-9EFE-843F2EF2DAD5}"/>
                </c:ext>
              </c:extLst>
            </c:dLbl>
            <c:dLbl>
              <c:idx val="2"/>
              <c:delete val="1"/>
              <c:extLst>
                <c:ext xmlns:c15="http://schemas.microsoft.com/office/drawing/2012/chart" uri="{CE6537A1-D6FC-4f65-9D91-7224C49458BB}"/>
                <c:ext xmlns:c16="http://schemas.microsoft.com/office/drawing/2014/chart" uri="{C3380CC4-5D6E-409C-BE32-E72D297353CC}">
                  <c16:uniqueId val="{00000009-095C-4FD6-9EFE-843F2EF2DAD5}"/>
                </c:ext>
              </c:extLst>
            </c:dLbl>
            <c:dLbl>
              <c:idx val="3"/>
              <c:delete val="1"/>
              <c:extLst>
                <c:ext xmlns:c15="http://schemas.microsoft.com/office/drawing/2012/chart" uri="{CE6537A1-D6FC-4f65-9D91-7224C49458BB}"/>
                <c:ext xmlns:c16="http://schemas.microsoft.com/office/drawing/2014/chart" uri="{C3380CC4-5D6E-409C-BE32-E72D297353CC}">
                  <c16:uniqueId val="{0000000A-095C-4FD6-9EFE-843F2EF2DAD5}"/>
                </c:ext>
              </c:extLst>
            </c:dLbl>
            <c:dLbl>
              <c:idx val="4"/>
              <c:delete val="1"/>
              <c:extLst>
                <c:ext xmlns:c15="http://schemas.microsoft.com/office/drawing/2012/chart" uri="{CE6537A1-D6FC-4f65-9D91-7224C49458BB}"/>
                <c:ext xmlns:c16="http://schemas.microsoft.com/office/drawing/2014/chart" uri="{C3380CC4-5D6E-409C-BE32-E72D297353CC}">
                  <c16:uniqueId val="{0000000B-095C-4FD6-9EFE-843F2EF2DAD5}"/>
                </c:ext>
              </c:extLst>
            </c:dLbl>
            <c:dLbl>
              <c:idx val="6"/>
              <c:delete val="1"/>
              <c:extLst>
                <c:ext xmlns:c15="http://schemas.microsoft.com/office/drawing/2012/chart" uri="{CE6537A1-D6FC-4f65-9D91-7224C49458BB}"/>
                <c:ext xmlns:c16="http://schemas.microsoft.com/office/drawing/2014/chart" uri="{C3380CC4-5D6E-409C-BE32-E72D297353CC}">
                  <c16:uniqueId val="{0000000C-095C-4FD6-9EFE-843F2EF2DAD5}"/>
                </c:ext>
              </c:extLst>
            </c:dLbl>
            <c:dLbl>
              <c:idx val="7"/>
              <c:delete val="1"/>
              <c:extLst>
                <c:ext xmlns:c15="http://schemas.microsoft.com/office/drawing/2012/chart" uri="{CE6537A1-D6FC-4f65-9D91-7224C49458BB}"/>
                <c:ext xmlns:c16="http://schemas.microsoft.com/office/drawing/2014/chart" uri="{C3380CC4-5D6E-409C-BE32-E72D297353CC}">
                  <c16:uniqueId val="{0000000D-095C-4FD6-9EFE-843F2EF2DAD5}"/>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'F9 RURAL'!$C$1:$K$1</c:f>
              <c:numCache>
                <c:formatCode>General</c:formatCode>
                <c:ptCount val="9"/>
                <c:pt idx="0">
                  <c:v>2013</c:v>
                </c:pt>
                <c:pt idx="1">
                  <c:v>2014</c:v>
                </c:pt>
                <c:pt idx="2">
                  <c:v>2015</c:v>
                </c:pt>
                <c:pt idx="3">
                  <c:v>2016</c:v>
                </c:pt>
                <c:pt idx="4">
                  <c:v>2017</c:v>
                </c:pt>
                <c:pt idx="5">
                  <c:v>2018</c:v>
                </c:pt>
                <c:pt idx="6">
                  <c:v>2019</c:v>
                </c:pt>
                <c:pt idx="7">
                  <c:v>2020</c:v>
                </c:pt>
                <c:pt idx="8">
                  <c:v>2021</c:v>
                </c:pt>
              </c:numCache>
            </c:numRef>
          </c:cat>
          <c:val>
            <c:numRef>
              <c:f>'F9 RURAL'!$C$3:$K$3</c:f>
              <c:numCache>
                <c:formatCode>0.0</c:formatCode>
                <c:ptCount val="9"/>
                <c:pt idx="0">
                  <c:v>89.856999999999999</c:v>
                </c:pt>
                <c:pt idx="1">
                  <c:v>128.374</c:v>
                </c:pt>
                <c:pt idx="2">
                  <c:v>159.74199999999999</c:v>
                </c:pt>
                <c:pt idx="3">
                  <c:v>183.11199999999999</c:v>
                </c:pt>
                <c:pt idx="4">
                  <c:v>184.07499999999999</c:v>
                </c:pt>
                <c:pt idx="5">
                  <c:v>192.16200000000001</c:v>
                </c:pt>
                <c:pt idx="6">
                  <c:v>179.1</c:v>
                </c:pt>
                <c:pt idx="7">
                  <c:v>161.94999999999999</c:v>
                </c:pt>
                <c:pt idx="8">
                  <c:v>139.30000000000001</c:v>
                </c:pt>
              </c:numCache>
            </c:numRef>
          </c:val>
          <c:smooth val="0"/>
          <c:extLst>
            <c:ext xmlns:c16="http://schemas.microsoft.com/office/drawing/2014/chart" uri="{C3380CC4-5D6E-409C-BE32-E72D297353CC}">
              <c16:uniqueId val="{0000000E-095C-4FD6-9EFE-843F2EF2DAD5}"/>
            </c:ext>
          </c:extLst>
        </c:ser>
        <c:ser>
          <c:idx val="3"/>
          <c:order val="4"/>
          <c:tx>
            <c:strRef>
              <c:f>'F9 RURAL'!$B$4</c:f>
              <c:strCache>
                <c:ptCount val="1"/>
                <c:pt idx="0">
                  <c:v>Most rural</c:v>
                </c:pt>
              </c:strCache>
            </c:strRef>
          </c:tx>
          <c:spPr>
            <a:ln w="25400" cap="rnd">
              <a:solidFill>
                <a:srgbClr val="DAA600"/>
              </a:solidFill>
              <a:round/>
            </a:ln>
            <a:effectLst/>
          </c:spPr>
          <c:marker>
            <c:symbol val="circle"/>
            <c:size val="4"/>
            <c:spPr>
              <a:solidFill>
                <a:srgbClr val="DAA600"/>
              </a:solidFill>
              <a:ln w="9525">
                <a:solidFill>
                  <a:srgbClr val="DAA600"/>
                </a:solidFill>
              </a:ln>
              <a:effectLst/>
            </c:spPr>
          </c:marker>
          <c:dPt>
            <c:idx val="7"/>
            <c:marker>
              <c:symbol val="circle"/>
              <c:size val="4"/>
              <c:spPr>
                <a:solidFill>
                  <a:srgbClr val="DAA600"/>
                </a:solidFill>
                <a:ln w="9525">
                  <a:solidFill>
                    <a:srgbClr val="DAA600"/>
                  </a:solidFill>
                </a:ln>
                <a:effectLst/>
              </c:spPr>
            </c:marker>
            <c:bubble3D val="0"/>
            <c:extLst>
              <c:ext xmlns:c16="http://schemas.microsoft.com/office/drawing/2014/chart" uri="{C3380CC4-5D6E-409C-BE32-E72D297353CC}">
                <c16:uniqueId val="{0000000F-095C-4FD6-9EFE-843F2EF2DAD5}"/>
              </c:ext>
            </c:extLst>
          </c:dPt>
          <c:dLbls>
            <c:dLbl>
              <c:idx val="0"/>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095C-4FD6-9EFE-843F2EF2DAD5}"/>
                </c:ext>
              </c:extLst>
            </c:dLbl>
            <c:dLbl>
              <c:idx val="1"/>
              <c:delete val="1"/>
              <c:extLst>
                <c:ext xmlns:c15="http://schemas.microsoft.com/office/drawing/2012/chart" uri="{CE6537A1-D6FC-4f65-9D91-7224C49458BB}"/>
                <c:ext xmlns:c16="http://schemas.microsoft.com/office/drawing/2014/chart" uri="{C3380CC4-5D6E-409C-BE32-E72D297353CC}">
                  <c16:uniqueId val="{00000011-095C-4FD6-9EFE-843F2EF2DAD5}"/>
                </c:ext>
              </c:extLst>
            </c:dLbl>
            <c:dLbl>
              <c:idx val="2"/>
              <c:delete val="1"/>
              <c:extLst>
                <c:ext xmlns:c15="http://schemas.microsoft.com/office/drawing/2012/chart" uri="{CE6537A1-D6FC-4f65-9D91-7224C49458BB}"/>
                <c:ext xmlns:c16="http://schemas.microsoft.com/office/drawing/2014/chart" uri="{C3380CC4-5D6E-409C-BE32-E72D297353CC}">
                  <c16:uniqueId val="{00000012-095C-4FD6-9EFE-843F2EF2DAD5}"/>
                </c:ext>
              </c:extLst>
            </c:dLbl>
            <c:dLbl>
              <c:idx val="3"/>
              <c:delete val="1"/>
              <c:extLst>
                <c:ext xmlns:c15="http://schemas.microsoft.com/office/drawing/2012/chart" uri="{CE6537A1-D6FC-4f65-9D91-7224C49458BB}"/>
                <c:ext xmlns:c16="http://schemas.microsoft.com/office/drawing/2014/chart" uri="{C3380CC4-5D6E-409C-BE32-E72D297353CC}">
                  <c16:uniqueId val="{00000013-095C-4FD6-9EFE-843F2EF2DAD5}"/>
                </c:ext>
              </c:extLst>
            </c:dLbl>
            <c:dLbl>
              <c:idx val="4"/>
              <c:delete val="1"/>
              <c:extLst>
                <c:ext xmlns:c15="http://schemas.microsoft.com/office/drawing/2012/chart" uri="{CE6537A1-D6FC-4f65-9D91-7224C49458BB}"/>
                <c:ext xmlns:c16="http://schemas.microsoft.com/office/drawing/2014/chart" uri="{C3380CC4-5D6E-409C-BE32-E72D297353CC}">
                  <c16:uniqueId val="{00000014-095C-4FD6-9EFE-843F2EF2DAD5}"/>
                </c:ext>
              </c:extLst>
            </c:dLbl>
            <c:dLbl>
              <c:idx val="6"/>
              <c:delete val="1"/>
              <c:extLst>
                <c:ext xmlns:c15="http://schemas.microsoft.com/office/drawing/2012/chart" uri="{CE6537A1-D6FC-4f65-9D91-7224C49458BB}"/>
                <c:ext xmlns:c16="http://schemas.microsoft.com/office/drawing/2014/chart" uri="{C3380CC4-5D6E-409C-BE32-E72D297353CC}">
                  <c16:uniqueId val="{00000015-095C-4FD6-9EFE-843F2EF2DAD5}"/>
                </c:ext>
              </c:extLst>
            </c:dLbl>
            <c:dLbl>
              <c:idx val="7"/>
              <c:delete val="1"/>
              <c:extLst>
                <c:ext xmlns:c15="http://schemas.microsoft.com/office/drawing/2012/chart" uri="{CE6537A1-D6FC-4f65-9D91-7224C49458BB}"/>
                <c:ext xmlns:c16="http://schemas.microsoft.com/office/drawing/2014/chart" uri="{C3380CC4-5D6E-409C-BE32-E72D297353CC}">
                  <c16:uniqueId val="{0000000F-095C-4FD6-9EFE-843F2EF2DAD5}"/>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'F9 RURAL'!$C$1:$K$1</c:f>
              <c:numCache>
                <c:formatCode>General</c:formatCode>
                <c:ptCount val="9"/>
                <c:pt idx="0">
                  <c:v>2013</c:v>
                </c:pt>
                <c:pt idx="1">
                  <c:v>2014</c:v>
                </c:pt>
                <c:pt idx="2">
                  <c:v>2015</c:v>
                </c:pt>
                <c:pt idx="3">
                  <c:v>2016</c:v>
                </c:pt>
                <c:pt idx="4">
                  <c:v>2017</c:v>
                </c:pt>
                <c:pt idx="5">
                  <c:v>2018</c:v>
                </c:pt>
                <c:pt idx="6">
                  <c:v>2019</c:v>
                </c:pt>
                <c:pt idx="7">
                  <c:v>2020</c:v>
                </c:pt>
                <c:pt idx="8">
                  <c:v>2021</c:v>
                </c:pt>
              </c:numCache>
            </c:numRef>
          </c:cat>
          <c:val>
            <c:numRef>
              <c:f>'F9 RURAL'!$C$4:$K$4</c:f>
              <c:numCache>
                <c:formatCode>0.0</c:formatCode>
                <c:ptCount val="9"/>
                <c:pt idx="0">
                  <c:v>105.5</c:v>
                </c:pt>
                <c:pt idx="1">
                  <c:v>143.584</c:v>
                </c:pt>
                <c:pt idx="2">
                  <c:v>181.67400000000001</c:v>
                </c:pt>
                <c:pt idx="3">
                  <c:v>235.727</c:v>
                </c:pt>
                <c:pt idx="4">
                  <c:v>217.92599999999999</c:v>
                </c:pt>
                <c:pt idx="5">
                  <c:v>310.13200000000001</c:v>
                </c:pt>
                <c:pt idx="6">
                  <c:v>294.483</c:v>
                </c:pt>
                <c:pt idx="7">
                  <c:v>275.66300000000001</c:v>
                </c:pt>
                <c:pt idx="8">
                  <c:v>252.6</c:v>
                </c:pt>
              </c:numCache>
            </c:numRef>
          </c:val>
          <c:smooth val="0"/>
          <c:extLst>
            <c:ext xmlns:c16="http://schemas.microsoft.com/office/drawing/2014/chart" uri="{C3380CC4-5D6E-409C-BE32-E72D297353CC}">
              <c16:uniqueId val="{00000016-095C-4FD6-9EFE-843F2EF2DAD5}"/>
            </c:ext>
          </c:extLst>
        </c:ser>
        <c:dLbls>
          <c:showLegendKey val="0"/>
          <c:showVal val="0"/>
          <c:showCatName val="0"/>
          <c:showSerName val="0"/>
          <c:showPercent val="0"/>
          <c:showBubbleSize val="0"/>
        </c:dLbls>
        <c:marker val="1"/>
        <c:smooth val="0"/>
        <c:axId val="713209800"/>
        <c:axId val="713212424"/>
        <c:extLst>
          <c:ext xmlns:c15="http://schemas.microsoft.com/office/drawing/2012/chart" uri="{02D57815-91ED-43cb-92C2-25804820EDAC}">
            <c15:filteredLineSeries>
              <c15:ser>
                <c:idx val="0"/>
                <c:order val="0"/>
                <c:tx>
                  <c:strRef>
                    <c:extLst>
                      <c:ext uri="{02D57815-91ED-43cb-92C2-25804820EDAC}">
                        <c15:formulaRef>
                          <c15:sqref>'F9 RURAL'!$B$1</c15:sqref>
                        </c15:formulaRef>
                      </c:ext>
                    </c:extLst>
                    <c:strCache>
                      <c:ptCount val="1"/>
                      <c:pt idx="0">
                        <c:v>rural</c:v>
                      </c:pt>
                    </c:strCache>
                  </c:strRef>
                </c:tx>
                <c:spPr>
                  <a:ln w="28575" cap="rnd">
                    <a:solidFill>
                      <a:schemeClr val="accent1"/>
                    </a:solidFill>
                    <a:round/>
                  </a:ln>
                  <a:effectLst/>
                </c:spPr>
                <c:marker>
                  <c:symbol val="none"/>
                </c:marker>
                <c:cat>
                  <c:numRef>
                    <c:extLst>
                      <c:ext uri="{02D57815-91ED-43cb-92C2-25804820EDAC}">
                        <c15:formulaRef>
                          <c15:sqref>'F9 RURAL'!$C$1:$K$1</c15:sqref>
                        </c15:formulaRef>
                      </c:ext>
                    </c:extLst>
                    <c:numCache>
                      <c:formatCode>General</c:formatCode>
                      <c:ptCount val="9"/>
                      <c:pt idx="0">
                        <c:v>2013</c:v>
                      </c:pt>
                      <c:pt idx="1">
                        <c:v>2014</c:v>
                      </c:pt>
                      <c:pt idx="2">
                        <c:v>2015</c:v>
                      </c:pt>
                      <c:pt idx="3">
                        <c:v>2016</c:v>
                      </c:pt>
                      <c:pt idx="4">
                        <c:v>2017</c:v>
                      </c:pt>
                      <c:pt idx="5">
                        <c:v>2018</c:v>
                      </c:pt>
                      <c:pt idx="6">
                        <c:v>2019</c:v>
                      </c:pt>
                      <c:pt idx="7">
                        <c:v>2020</c:v>
                      </c:pt>
                      <c:pt idx="8">
                        <c:v>2021</c:v>
                      </c:pt>
                    </c:numCache>
                  </c:numRef>
                </c:cat>
                <c:val>
                  <c:numRef>
                    <c:extLst>
                      <c:ext uri="{02D57815-91ED-43cb-92C2-25804820EDAC}">
                        <c15:formulaRef>
                          <c15:sqref>'F9 RURAL'!$C$1:$J$1</c15:sqref>
                        </c15:formulaRef>
                      </c:ext>
                    </c:extLst>
                    <c:numCache>
                      <c:formatCode>General</c:formatCode>
                      <c:ptCount val="8"/>
                      <c:pt idx="0">
                        <c:v>2013</c:v>
                      </c:pt>
                      <c:pt idx="1">
                        <c:v>2014</c:v>
                      </c:pt>
                      <c:pt idx="2">
                        <c:v>2015</c:v>
                      </c:pt>
                      <c:pt idx="3">
                        <c:v>2016</c:v>
                      </c:pt>
                      <c:pt idx="4">
                        <c:v>2017</c:v>
                      </c:pt>
                      <c:pt idx="5">
                        <c:v>2018</c:v>
                      </c:pt>
                      <c:pt idx="6">
                        <c:v>2019</c:v>
                      </c:pt>
                      <c:pt idx="7">
                        <c:v>2020</c:v>
                      </c:pt>
                    </c:numCache>
                  </c:numRef>
                </c:val>
                <c:smooth val="0"/>
                <c:extLst>
                  <c:ext xmlns:c16="http://schemas.microsoft.com/office/drawing/2014/chart" uri="{C3380CC4-5D6E-409C-BE32-E72D297353CC}">
                    <c16:uniqueId val="{00000017-095C-4FD6-9EFE-843F2EF2DAD5}"/>
                  </c:ext>
                </c:extLst>
              </c15:ser>
            </c15:filteredLineSeries>
            <c15:filteredLineSeries>
              <c15:ser>
                <c:idx val="4"/>
                <c:order val="2"/>
                <c:tx>
                  <c:strRef>
                    <c:extLst xmlns:c15="http://schemas.microsoft.com/office/drawing/2012/chart">
                      <c:ext xmlns:c15="http://schemas.microsoft.com/office/drawing/2012/chart" uri="{02D57815-91ED-43cb-92C2-25804820EDAC}">
                        <c15:formulaRef>
                          <c15:sqref>'F9 RURAL'!$B$5</c15:sqref>
                        </c15:formulaRef>
                      </c:ext>
                    </c:extLst>
                    <c:strCache>
                      <c:ptCount val="1"/>
                      <c:pt idx="0">
                        <c:v>Statewide</c:v>
                      </c:pt>
                    </c:strCache>
                  </c:strRef>
                </c:tx>
                <c:spPr>
                  <a:ln w="22225" cap="rnd">
                    <a:solidFill>
                      <a:schemeClr val="tx1">
                        <a:lumMod val="50000"/>
                        <a:lumOff val="50000"/>
                      </a:schemeClr>
                    </a:solidFill>
                    <a:round/>
                  </a:ln>
                  <a:effectLst/>
                </c:spPr>
                <c:marker>
                  <c:symbol val="square"/>
                  <c:size val="5"/>
                  <c:spPr>
                    <a:solidFill>
                      <a:schemeClr val="bg1">
                        <a:lumMod val="65000"/>
                      </a:schemeClr>
                    </a:solidFill>
                    <a:ln w="9525">
                      <a:noFill/>
                    </a:ln>
                    <a:effectLst/>
                  </c:spPr>
                </c:marker>
                <c:cat>
                  <c:numRef>
                    <c:extLst xmlns:c15="http://schemas.microsoft.com/office/drawing/2012/chart">
                      <c:ext xmlns:c15="http://schemas.microsoft.com/office/drawing/2012/chart" uri="{02D57815-91ED-43cb-92C2-25804820EDAC}">
                        <c15:formulaRef>
                          <c15:sqref>'F9 RURAL'!$C$1:$K$1</c15:sqref>
                        </c15:formulaRef>
                      </c:ext>
                    </c:extLst>
                    <c:numCache>
                      <c:formatCode>General</c:formatCode>
                      <c:ptCount val="9"/>
                      <c:pt idx="0">
                        <c:v>2013</c:v>
                      </c:pt>
                      <c:pt idx="1">
                        <c:v>2014</c:v>
                      </c:pt>
                      <c:pt idx="2">
                        <c:v>2015</c:v>
                      </c:pt>
                      <c:pt idx="3">
                        <c:v>2016</c:v>
                      </c:pt>
                      <c:pt idx="4">
                        <c:v>2017</c:v>
                      </c:pt>
                      <c:pt idx="5">
                        <c:v>2018</c:v>
                      </c:pt>
                      <c:pt idx="6">
                        <c:v>2019</c:v>
                      </c:pt>
                      <c:pt idx="7">
                        <c:v>2020</c:v>
                      </c:pt>
                      <c:pt idx="8">
                        <c:v>2021</c:v>
                      </c:pt>
                    </c:numCache>
                  </c:numRef>
                </c:cat>
                <c:val>
                  <c:numRef>
                    <c:extLst xmlns:c15="http://schemas.microsoft.com/office/drawing/2012/chart">
                      <c:ext xmlns:c15="http://schemas.microsoft.com/office/drawing/2012/chart" uri="{02D57815-91ED-43cb-92C2-25804820EDAC}">
                        <c15:formulaRef>
                          <c15:sqref>'F9 RURAL'!$C$5:$J$5</c15:sqref>
                        </c15:formulaRef>
                      </c:ext>
                    </c:extLst>
                    <c:numCache>
                      <c:formatCode>0.0</c:formatCode>
                      <c:ptCount val="8"/>
                      <c:pt idx="0">
                        <c:v>112.616</c:v>
                      </c:pt>
                      <c:pt idx="1">
                        <c:v>169.554</c:v>
                      </c:pt>
                      <c:pt idx="2">
                        <c:v>212.45400000000001</c:v>
                      </c:pt>
                      <c:pt idx="3">
                        <c:v>252.07300000000001</c:v>
                      </c:pt>
                      <c:pt idx="4">
                        <c:v>253.45599999999999</c:v>
                      </c:pt>
                      <c:pt idx="5">
                        <c:v>242.012</c:v>
                      </c:pt>
                      <c:pt idx="6">
                        <c:v>225.80600000000001</c:v>
                      </c:pt>
                      <c:pt idx="7">
                        <c:v>203.64099999999999</c:v>
                      </c:pt>
                    </c:numCache>
                  </c:numRef>
                </c:val>
                <c:smooth val="0"/>
                <c:extLst xmlns:c15="http://schemas.microsoft.com/office/drawing/2012/chart">
                  <c:ext xmlns:c16="http://schemas.microsoft.com/office/drawing/2014/chart" uri="{C3380CC4-5D6E-409C-BE32-E72D297353CC}">
                    <c16:uniqueId val="{00000018-095C-4FD6-9EFE-843F2EF2DAD5}"/>
                  </c:ext>
                </c:extLst>
              </c15:ser>
            </c15:filteredLineSeries>
          </c:ext>
        </c:extLst>
      </c:lineChart>
      <c:catAx>
        <c:axId val="713209800"/>
        <c:scaling>
          <c:orientation val="minMax"/>
        </c:scaling>
        <c:delete val="0"/>
        <c:axPos val="b"/>
        <c:numFmt formatCode="General" sourceLinked="1"/>
        <c:majorTickMark val="none"/>
        <c:minorTickMark val="none"/>
        <c:tickLblPos val="nextTo"/>
        <c:spPr>
          <a:noFill/>
          <a:ln w="12700" cap="flat" cmpd="sng" algn="ctr">
            <a:solidFill>
              <a:schemeClr val="tx1"/>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Segoe UI" panose="020B0502040204020203" pitchFamily="34" charset="0"/>
                <a:ea typeface="+mn-ea"/>
                <a:cs typeface="Segoe UI" panose="020B0502040204020203" pitchFamily="34" charset="0"/>
              </a:defRPr>
            </a:pPr>
            <a:endParaRPr lang="en-US"/>
          </a:p>
        </c:txPr>
        <c:crossAx val="713212424"/>
        <c:crosses val="autoZero"/>
        <c:auto val="1"/>
        <c:lblAlgn val="ctr"/>
        <c:lblOffset val="100"/>
        <c:noMultiLvlLbl val="0"/>
      </c:catAx>
      <c:valAx>
        <c:axId val="713212424"/>
        <c:scaling>
          <c:orientation val="minMax"/>
        </c:scaling>
        <c:delete val="0"/>
        <c:axPos val="l"/>
        <c:title>
          <c:tx>
            <c:rich>
              <a:bodyPr rot="-540000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r>
                  <a:rPr lang="en-US" sz="900" b="1">
                    <a:solidFill>
                      <a:sysClr val="windowText" lastClr="000000"/>
                    </a:solidFill>
                    <a:latin typeface="Segoe UI" panose="020B0502040204020203" pitchFamily="34" charset="0"/>
                    <a:cs typeface="Segoe UI" panose="020B0502040204020203" pitchFamily="34" charset="0"/>
                  </a:rPr>
                  <a:t>Age-adjusted</a:t>
                </a:r>
                <a:r>
                  <a:rPr lang="en-US" sz="900" b="1" baseline="0">
                    <a:solidFill>
                      <a:sysClr val="windowText" lastClr="000000"/>
                    </a:solidFill>
                    <a:latin typeface="Segoe UI" panose="020B0502040204020203" pitchFamily="34" charset="0"/>
                    <a:cs typeface="Segoe UI" panose="020B0502040204020203" pitchFamily="34" charset="0"/>
                  </a:rPr>
                  <a:t> rate per 100,000 residents</a:t>
                </a:r>
                <a:r>
                  <a:rPr lang="en-US" sz="1000" b="1" baseline="0">
                    <a:solidFill>
                      <a:sysClr val="windowText" lastClr="000000"/>
                    </a:solidFill>
                    <a:latin typeface="Segoe UI" panose="020B0502040204020203" pitchFamily="34" charset="0"/>
                    <a:cs typeface="Segoe UI" panose="020B0502040204020203" pitchFamily="34" charset="0"/>
                  </a:rPr>
                  <a:t> </a:t>
                </a:r>
                <a:endParaRPr lang="en-US" sz="1000" b="1">
                  <a:solidFill>
                    <a:sysClr val="windowText" lastClr="000000"/>
                  </a:solidFill>
                  <a:latin typeface="Segoe UI" panose="020B0502040204020203" pitchFamily="34" charset="0"/>
                  <a:cs typeface="Segoe UI" panose="020B0502040204020203" pitchFamily="34" charset="0"/>
                </a:endParaRPr>
              </a:p>
            </c:rich>
          </c:tx>
          <c:layout>
            <c:manualLayout>
              <c:xMode val="edge"/>
              <c:yMode val="edge"/>
              <c:x val="5.1020257083249212E-2"/>
              <c:y val="0.16847151459008802"/>
            </c:manualLayout>
          </c:layout>
          <c:overlay val="0"/>
          <c:spPr>
            <a:noFill/>
            <a:ln>
              <a:noFill/>
            </a:ln>
            <a:effectLst/>
          </c:spPr>
          <c:txPr>
            <a:bodyPr rot="-540000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endParaRPr lang="en-US"/>
            </a:p>
          </c:txPr>
        </c:title>
        <c:numFmt formatCode="0" sourceLinked="0"/>
        <c:majorTickMark val="none"/>
        <c:minorTickMark val="none"/>
        <c:tickLblPos val="nextTo"/>
        <c:spPr>
          <a:noFill/>
          <a:ln>
            <a:solidFill>
              <a:schemeClr val="tx1">
                <a:lumMod val="50000"/>
                <a:lumOff val="50000"/>
              </a:schemeClr>
            </a:solid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713209800"/>
        <c:crosses val="autoZero"/>
        <c:crossBetween val="between"/>
      </c:valAx>
      <c:spPr>
        <a:noFill/>
        <a:ln>
          <a:noFill/>
        </a:ln>
        <a:effectLst/>
      </c:spPr>
    </c:plotArea>
    <c:legend>
      <c:legendPos val="t"/>
      <c:layout>
        <c:manualLayout>
          <c:xMode val="edge"/>
          <c:yMode val="edge"/>
          <c:x val="0.29577010333634313"/>
          <c:y val="0.16799708401676691"/>
          <c:w val="0.40845979332731375"/>
          <c:h val="0.10236163071196198"/>
        </c:manualLayout>
      </c:layout>
      <c:overlay val="0"/>
      <c:spPr>
        <a:noFill/>
        <a:ln>
          <a:noFill/>
        </a:ln>
        <a:effectLst/>
      </c:spPr>
      <c:txPr>
        <a:bodyPr rot="0" spcFirstLastPara="1" vertOverflow="ellipsis" vert="horz" wrap="square" anchor="ctr" anchorCtr="1"/>
        <a:lstStyle/>
        <a:p>
          <a:pPr>
            <a:defRPr sz="105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4">
    <c:autoUpdate val="0"/>
  </c:externalData>
  <c:userShapes r:id="rId5"/>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solidFill>
                  <a:schemeClr val="bg1"/>
                </a:solidFill>
              </a:rPr>
              <a:t>t</a:t>
            </a:r>
            <a:r>
              <a:rPr lang="en-US"/>
              <a:t> </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0.1356819099535635"/>
          <c:y val="0.27892889396889903"/>
          <c:w val="0.84081381654216303"/>
          <c:h val="0.52844911523156379"/>
        </c:manualLayout>
      </c:layout>
      <c:lineChart>
        <c:grouping val="standard"/>
        <c:varyColors val="0"/>
        <c:ser>
          <c:idx val="0"/>
          <c:order val="0"/>
          <c:tx>
            <c:strRef>
              <c:f>'[NFO 2013-2021 .xlsx]Sheet1'!$B$2</c:f>
              <c:strCache>
                <c:ptCount val="1"/>
                <c:pt idx="0">
                  <c:v>Boston</c:v>
                </c:pt>
              </c:strCache>
            </c:strRef>
          </c:tx>
          <c:spPr>
            <a:ln w="25400" cap="rnd">
              <a:solidFill>
                <a:srgbClr val="FFC000"/>
              </a:solidFill>
              <a:round/>
            </a:ln>
            <a:effectLst/>
          </c:spPr>
          <c:marker>
            <c:symbol val="circle"/>
            <c:size val="4"/>
            <c:spPr>
              <a:solidFill>
                <a:srgbClr val="FFC000"/>
              </a:solidFill>
              <a:ln w="9525">
                <a:noFill/>
              </a:ln>
              <a:effectLst/>
            </c:spPr>
          </c:marker>
          <c:dPt>
            <c:idx val="5"/>
            <c:marker>
              <c:symbol val="circle"/>
              <c:size val="4"/>
              <c:spPr>
                <a:solidFill>
                  <a:srgbClr val="FFC000"/>
                </a:solidFill>
                <a:ln w="9525">
                  <a:noFill/>
                </a:ln>
                <a:effectLst/>
              </c:spPr>
            </c:marker>
            <c:bubble3D val="0"/>
            <c:spPr>
              <a:ln w="25400" cap="rnd">
                <a:solidFill>
                  <a:srgbClr val="FFC000"/>
                </a:solidFill>
                <a:round/>
              </a:ln>
              <a:effectLst/>
            </c:spPr>
            <c:extLst>
              <c:ext xmlns:c16="http://schemas.microsoft.com/office/drawing/2014/chart" uri="{C3380CC4-5D6E-409C-BE32-E72D297353CC}">
                <c16:uniqueId val="{00000001-AF6B-4EE5-B8E9-E0310C928C14}"/>
              </c:ext>
            </c:extLst>
          </c:dPt>
          <c:dLbls>
            <c:dLbl>
              <c:idx val="0"/>
              <c:layout>
                <c:manualLayout>
                  <c:x val="-3.4700854700854718E-2"/>
                  <c:y val="1.7921323342646685E-2"/>
                </c:manualLayout>
              </c:layout>
              <c:spPr>
                <a:noFill/>
                <a:ln>
                  <a:noFill/>
                </a:ln>
                <a:effectLst/>
              </c:spPr>
              <c:txPr>
                <a:bodyPr rot="0" spcFirstLastPara="1" vertOverflow="ellipsis" vert="horz" wrap="square" lIns="38100" tIns="19050" rIns="38100" bIns="19050" anchor="ctr" anchorCtr="1">
                  <a:noAutofit/>
                </a:bodyPr>
                <a:lstStyle/>
                <a:p>
                  <a:pPr>
                    <a:defRPr sz="800" b="0" i="0" u="none" strike="noStrike" kern="1200" baseline="0">
                      <a:solidFill>
                        <a:schemeClr val="tx1">
                          <a:lumMod val="75000"/>
                          <a:lumOff val="25000"/>
                        </a:schemeClr>
                      </a:solidFill>
                      <a:latin typeface="+mn-lt"/>
                      <a:ea typeface="+mn-ea"/>
                      <a:cs typeface="+mn-cs"/>
                    </a:defRPr>
                  </a:pPr>
                  <a:endParaRPr lang="en-US"/>
                </a:p>
              </c:txPr>
              <c:dLblPos val="r"/>
              <c:showLegendKey val="0"/>
              <c:showVal val="1"/>
              <c:showCatName val="0"/>
              <c:showSerName val="0"/>
              <c:showPercent val="0"/>
              <c:showBubbleSize val="0"/>
              <c:extLst>
                <c:ext xmlns:c15="http://schemas.microsoft.com/office/drawing/2012/chart" uri="{CE6537A1-D6FC-4f65-9D91-7224C49458BB}">
                  <c15:layout>
                    <c:manualLayout>
                      <c:w val="5.1794871794871793E-2"/>
                      <c:h val="6.1671323342646675E-2"/>
                    </c:manualLayout>
                  </c15:layout>
                </c:ext>
                <c:ext xmlns:c16="http://schemas.microsoft.com/office/drawing/2014/chart" uri="{C3380CC4-5D6E-409C-BE32-E72D297353CC}">
                  <c16:uniqueId val="{00000002-AF6B-4EE5-B8E9-E0310C928C14}"/>
                </c:ext>
              </c:extLst>
            </c:dLbl>
            <c:dLbl>
              <c:idx val="4"/>
              <c:dLblPos val="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AF6B-4EE5-B8E9-E0310C928C14}"/>
                </c:ext>
              </c:extLst>
            </c:dLbl>
            <c:dLbl>
              <c:idx val="8"/>
              <c:layout>
                <c:manualLayout>
                  <c:x val="-1.3076923076923076E-2"/>
                  <c:y val="2.1875264583862419E-2"/>
                </c:manualLayout>
              </c:layout>
              <c:spPr>
                <a:noFill/>
                <a:ln>
                  <a:noFill/>
                </a:ln>
                <a:effectLst/>
              </c:spPr>
              <c:txPr>
                <a:bodyPr rot="0" spcFirstLastPara="1" vertOverflow="ellipsis" vert="horz" wrap="square" lIns="38100" tIns="19050" rIns="38100" bIns="19050" anchor="ctr" anchorCtr="1">
                  <a:noAutofit/>
                </a:bodyPr>
                <a:lstStyle/>
                <a:p>
                  <a:pPr>
                    <a:defRPr sz="800" b="0" i="0" u="none" strike="noStrike" kern="1200" baseline="0">
                      <a:solidFill>
                        <a:schemeClr val="tx1">
                          <a:lumMod val="75000"/>
                          <a:lumOff val="25000"/>
                        </a:schemeClr>
                      </a:solidFill>
                      <a:latin typeface="+mn-lt"/>
                      <a:ea typeface="+mn-ea"/>
                      <a:cs typeface="+mn-cs"/>
                    </a:defRPr>
                  </a:pPr>
                  <a:endParaRPr lang="en-US"/>
                </a:p>
              </c:txPr>
              <c:dLblPos val="r"/>
              <c:showLegendKey val="0"/>
              <c:showVal val="1"/>
              <c:showCatName val="0"/>
              <c:showSerName val="0"/>
              <c:showPercent val="0"/>
              <c:showBubbleSize val="0"/>
              <c:extLst>
                <c:ext xmlns:c15="http://schemas.microsoft.com/office/drawing/2012/chart" uri="{CE6537A1-D6FC-4f65-9D91-7224C49458BB}">
                  <c15:layout>
                    <c:manualLayout>
                      <c:w val="5.1794871794871793E-2"/>
                      <c:h val="6.1671323342646675E-2"/>
                    </c:manualLayout>
                  </c15:layout>
                </c:ext>
                <c:ext xmlns:c16="http://schemas.microsoft.com/office/drawing/2014/chart" uri="{C3380CC4-5D6E-409C-BE32-E72D297353CC}">
                  <c16:uniqueId val="{00000004-AF6B-4EE5-B8E9-E0310C928C14}"/>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mn-lt"/>
                    <a:ea typeface="+mn-ea"/>
                    <a:cs typeface="+mn-cs"/>
                  </a:defRPr>
                </a:pPr>
                <a:endParaRPr lang="en-US"/>
              </a:p>
            </c:txPr>
            <c:dLblPos val="t"/>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[2]Sheet1!$C$1:$K$1</c:f>
              <c:numCache>
                <c:formatCode>General</c:formatCode>
                <c:ptCount val="9"/>
                <c:pt idx="0">
                  <c:v>2013</c:v>
                </c:pt>
                <c:pt idx="1">
                  <c:v>2014</c:v>
                </c:pt>
                <c:pt idx="2">
                  <c:v>2015</c:v>
                </c:pt>
                <c:pt idx="3">
                  <c:v>2016</c:v>
                </c:pt>
                <c:pt idx="4">
                  <c:v>2017</c:v>
                </c:pt>
                <c:pt idx="5">
                  <c:v>2018</c:v>
                </c:pt>
                <c:pt idx="6">
                  <c:v>2019</c:v>
                </c:pt>
                <c:pt idx="7">
                  <c:v>2020</c:v>
                </c:pt>
                <c:pt idx="8">
                  <c:v>2021</c:v>
                </c:pt>
              </c:numCache>
            </c:numRef>
          </c:cat>
          <c:val>
            <c:numRef>
              <c:f>[2]Sheet1!$C$2:$K$2</c:f>
              <c:numCache>
                <c:formatCode>0.0</c:formatCode>
                <c:ptCount val="9"/>
                <c:pt idx="0">
                  <c:v>103.58</c:v>
                </c:pt>
                <c:pt idx="1">
                  <c:v>122.86</c:v>
                </c:pt>
                <c:pt idx="2">
                  <c:v>154.69999999999999</c:v>
                </c:pt>
                <c:pt idx="3">
                  <c:v>182.6</c:v>
                </c:pt>
                <c:pt idx="4">
                  <c:v>262.17</c:v>
                </c:pt>
                <c:pt idx="5">
                  <c:v>242.78</c:v>
                </c:pt>
                <c:pt idx="6">
                  <c:v>248.18</c:v>
                </c:pt>
                <c:pt idx="7">
                  <c:v>242.09</c:v>
                </c:pt>
                <c:pt idx="8">
                  <c:v>201.85</c:v>
                </c:pt>
              </c:numCache>
            </c:numRef>
          </c:val>
          <c:smooth val="0"/>
          <c:extLst>
            <c:ext xmlns:c16="http://schemas.microsoft.com/office/drawing/2014/chart" uri="{C3380CC4-5D6E-409C-BE32-E72D297353CC}">
              <c16:uniqueId val="{00000005-AF6B-4EE5-B8E9-E0310C928C14}"/>
            </c:ext>
          </c:extLst>
        </c:ser>
        <c:ser>
          <c:idx val="1"/>
          <c:order val="1"/>
          <c:tx>
            <c:strRef>
              <c:f>'[NFO 2013-2021 .xlsx]Sheet1'!$B$3</c:f>
              <c:strCache>
                <c:ptCount val="1"/>
                <c:pt idx="0">
                  <c:v>Springfield</c:v>
                </c:pt>
              </c:strCache>
            </c:strRef>
          </c:tx>
          <c:spPr>
            <a:ln w="25400" cap="rnd">
              <a:solidFill>
                <a:srgbClr val="5B9BD5"/>
              </a:solidFill>
              <a:round/>
            </a:ln>
            <a:effectLst/>
          </c:spPr>
          <c:marker>
            <c:symbol val="circle"/>
            <c:size val="4"/>
            <c:spPr>
              <a:solidFill>
                <a:srgbClr val="5597D3"/>
              </a:solidFill>
              <a:ln w="9525">
                <a:noFill/>
              </a:ln>
              <a:effectLst/>
            </c:spPr>
          </c:marker>
          <c:dLbls>
            <c:dLbl>
              <c:idx val="0"/>
              <c:layout>
                <c:manualLayout>
                  <c:x val="-3.8717948717948716E-2"/>
                  <c:y val="-2.688172043010752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AF6B-4EE5-B8E9-E0310C928C14}"/>
                </c:ext>
              </c:extLst>
            </c:dLbl>
            <c:dLbl>
              <c:idx val="6"/>
              <c:layout>
                <c:manualLayout>
                  <c:x val="-3.658119658119674E-2"/>
                  <c:y val="-3.1361830779217156E-2"/>
                </c:manualLayout>
              </c:layout>
              <c:spPr>
                <a:noFill/>
                <a:ln>
                  <a:noFill/>
                </a:ln>
                <a:effectLst/>
              </c:spPr>
              <c:txPr>
                <a:bodyPr rot="0" spcFirstLastPara="1" vertOverflow="ellipsis" vert="horz" wrap="square" lIns="38100" tIns="19050" rIns="38100" bIns="19050" anchor="ctr" anchorCtr="1">
                  <a:noAutofit/>
                </a:bodyPr>
                <a:lstStyle/>
                <a:p>
                  <a:pPr>
                    <a:defRPr sz="800" b="0" i="0" u="none" strike="noStrike" kern="1200" baseline="0">
                      <a:solidFill>
                        <a:schemeClr val="tx1">
                          <a:lumMod val="75000"/>
                          <a:lumOff val="25000"/>
                        </a:schemeClr>
                      </a:solidFill>
                      <a:latin typeface="+mn-lt"/>
                      <a:ea typeface="+mn-ea"/>
                      <a:cs typeface="+mn-cs"/>
                    </a:defRPr>
                  </a:pPr>
                  <a:endParaRPr lang="en-US"/>
                </a:p>
              </c:txPr>
              <c:dLblPos val="r"/>
              <c:showLegendKey val="0"/>
              <c:showVal val="1"/>
              <c:showCatName val="0"/>
              <c:showSerName val="0"/>
              <c:showPercent val="0"/>
              <c:showBubbleSize val="0"/>
              <c:extLst>
                <c:ext xmlns:c15="http://schemas.microsoft.com/office/drawing/2012/chart" uri="{CE6537A1-D6FC-4f65-9D91-7224C49458BB}">
                  <c15:layout>
                    <c:manualLayout>
                      <c:w val="5.1794871794871793E-2"/>
                      <c:h val="9.3033330511105447E-2"/>
                    </c:manualLayout>
                  </c15:layout>
                </c:ext>
                <c:ext xmlns:c16="http://schemas.microsoft.com/office/drawing/2014/chart" uri="{C3380CC4-5D6E-409C-BE32-E72D297353CC}">
                  <c16:uniqueId val="{00000007-AF6B-4EE5-B8E9-E0310C928C14}"/>
                </c:ext>
              </c:extLst>
            </c:dLbl>
            <c:dLbl>
              <c:idx val="8"/>
              <c:layout>
                <c:manualLayout>
                  <c:x val="-1.9230769230769232E-2"/>
                  <c:y val="1.7638924162630339E-7"/>
                </c:manualLayout>
              </c:layout>
              <c:spPr>
                <a:noFill/>
                <a:ln>
                  <a:noFill/>
                </a:ln>
                <a:effectLst/>
              </c:spPr>
              <c:txPr>
                <a:bodyPr rot="0" spcFirstLastPara="1" vertOverflow="ellipsis" vert="horz" wrap="square" lIns="38100" tIns="19050" rIns="38100" bIns="19050" anchor="ctr" anchorCtr="1">
                  <a:noAutofit/>
                </a:bodyPr>
                <a:lstStyle/>
                <a:p>
                  <a:pPr>
                    <a:defRPr sz="800" b="0" i="0" u="none" strike="noStrike" kern="1200" baseline="0">
                      <a:solidFill>
                        <a:schemeClr val="tx1">
                          <a:lumMod val="75000"/>
                          <a:lumOff val="25000"/>
                        </a:schemeClr>
                      </a:solidFill>
                      <a:latin typeface="+mn-lt"/>
                      <a:ea typeface="+mn-ea"/>
                      <a:cs typeface="+mn-cs"/>
                    </a:defRPr>
                  </a:pPr>
                  <a:endParaRPr lang="en-US"/>
                </a:p>
              </c:txPr>
              <c:dLblPos val="r"/>
              <c:showLegendKey val="0"/>
              <c:showVal val="1"/>
              <c:showCatName val="0"/>
              <c:showSerName val="0"/>
              <c:showPercent val="0"/>
              <c:showBubbleSize val="0"/>
              <c:extLst>
                <c:ext xmlns:c15="http://schemas.microsoft.com/office/drawing/2012/chart" uri="{CE6537A1-D6FC-4f65-9D91-7224C49458BB}">
                  <c15:layout>
                    <c:manualLayout>
                      <c:w val="6.0383605895416921E-2"/>
                      <c:h val="6.1671323342646675E-2"/>
                    </c:manualLayout>
                  </c15:layout>
                </c:ext>
                <c:ext xmlns:c16="http://schemas.microsoft.com/office/drawing/2014/chart" uri="{C3380CC4-5D6E-409C-BE32-E72D297353CC}">
                  <c16:uniqueId val="{00000008-AF6B-4EE5-B8E9-E0310C928C14}"/>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mn-lt"/>
                    <a:ea typeface="+mn-ea"/>
                    <a:cs typeface="+mn-cs"/>
                  </a:defRPr>
                </a:pPr>
                <a:endParaRPr lang="en-US"/>
              </a:p>
            </c:txPr>
            <c:dLblPos val="ct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[2]Sheet1!$C$1:$K$1</c:f>
              <c:numCache>
                <c:formatCode>General</c:formatCode>
                <c:ptCount val="9"/>
                <c:pt idx="0">
                  <c:v>2013</c:v>
                </c:pt>
                <c:pt idx="1">
                  <c:v>2014</c:v>
                </c:pt>
                <c:pt idx="2">
                  <c:v>2015</c:v>
                </c:pt>
                <c:pt idx="3">
                  <c:v>2016</c:v>
                </c:pt>
                <c:pt idx="4">
                  <c:v>2017</c:v>
                </c:pt>
                <c:pt idx="5">
                  <c:v>2018</c:v>
                </c:pt>
                <c:pt idx="6">
                  <c:v>2019</c:v>
                </c:pt>
                <c:pt idx="7">
                  <c:v>2020</c:v>
                </c:pt>
                <c:pt idx="8">
                  <c:v>2021</c:v>
                </c:pt>
              </c:numCache>
            </c:numRef>
          </c:cat>
          <c:val>
            <c:numRef>
              <c:f>[2]Sheet1!$C$3:$K$3</c:f>
              <c:numCache>
                <c:formatCode>0.0</c:formatCode>
                <c:ptCount val="9"/>
                <c:pt idx="0">
                  <c:v>129.18</c:v>
                </c:pt>
                <c:pt idx="1">
                  <c:v>194.91</c:v>
                </c:pt>
                <c:pt idx="2">
                  <c:v>245.09</c:v>
                </c:pt>
                <c:pt idx="3">
                  <c:v>296.31</c:v>
                </c:pt>
                <c:pt idx="4">
                  <c:v>270.86</c:v>
                </c:pt>
                <c:pt idx="5">
                  <c:v>412.89</c:v>
                </c:pt>
                <c:pt idx="6">
                  <c:v>530.20000000000005</c:v>
                </c:pt>
                <c:pt idx="7">
                  <c:v>486.74</c:v>
                </c:pt>
                <c:pt idx="8">
                  <c:v>485.68</c:v>
                </c:pt>
              </c:numCache>
            </c:numRef>
          </c:val>
          <c:smooth val="0"/>
          <c:extLst>
            <c:ext xmlns:c16="http://schemas.microsoft.com/office/drawing/2014/chart" uri="{C3380CC4-5D6E-409C-BE32-E72D297353CC}">
              <c16:uniqueId val="{00000009-AF6B-4EE5-B8E9-E0310C928C14}"/>
            </c:ext>
          </c:extLst>
        </c:ser>
        <c:ser>
          <c:idx val="2"/>
          <c:order val="2"/>
          <c:tx>
            <c:strRef>
              <c:f>'[NFO 2013-2021 .xlsx]Sheet1'!$B$4</c:f>
              <c:strCache>
                <c:ptCount val="1"/>
                <c:pt idx="0">
                  <c:v>Worcester</c:v>
                </c:pt>
              </c:strCache>
            </c:strRef>
          </c:tx>
          <c:spPr>
            <a:ln w="25400" cap="rnd">
              <a:solidFill>
                <a:srgbClr val="4472C4">
                  <a:lumMod val="75000"/>
                </a:srgbClr>
              </a:solidFill>
              <a:round/>
            </a:ln>
            <a:effectLst/>
          </c:spPr>
          <c:marker>
            <c:symbol val="circle"/>
            <c:size val="4"/>
            <c:spPr>
              <a:solidFill>
                <a:srgbClr val="002060"/>
              </a:solidFill>
              <a:ln w="9525">
                <a:noFill/>
              </a:ln>
              <a:effectLst/>
            </c:spPr>
          </c:marker>
          <c:dLbls>
            <c:dLbl>
              <c:idx val="0"/>
              <c:dLblPos val="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AF6B-4EE5-B8E9-E0310C928C14}"/>
                </c:ext>
              </c:extLst>
            </c:dLbl>
            <c:dLbl>
              <c:idx val="3"/>
              <c:dLblPos val="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AF6B-4EE5-B8E9-E0310C928C14}"/>
                </c:ext>
              </c:extLst>
            </c:dLbl>
            <c:dLbl>
              <c:idx val="8"/>
              <c:layout>
                <c:manualLayout>
                  <c:x val="-3.0170940170940172E-2"/>
                  <c:y val="-5.099695199390398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AF6B-4EE5-B8E9-E0310C928C14}"/>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mn-lt"/>
                    <a:ea typeface="+mn-ea"/>
                    <a:cs typeface="+mn-cs"/>
                  </a:defRPr>
                </a:pPr>
                <a:endParaRPr lang="en-US"/>
              </a:p>
            </c:txPr>
            <c:dLblPos val="t"/>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[2]Sheet1!$C$1:$K$1</c:f>
              <c:numCache>
                <c:formatCode>General</c:formatCode>
                <c:ptCount val="9"/>
                <c:pt idx="0">
                  <c:v>2013</c:v>
                </c:pt>
                <c:pt idx="1">
                  <c:v>2014</c:v>
                </c:pt>
                <c:pt idx="2">
                  <c:v>2015</c:v>
                </c:pt>
                <c:pt idx="3">
                  <c:v>2016</c:v>
                </c:pt>
                <c:pt idx="4">
                  <c:v>2017</c:v>
                </c:pt>
                <c:pt idx="5">
                  <c:v>2018</c:v>
                </c:pt>
                <c:pt idx="6">
                  <c:v>2019</c:v>
                </c:pt>
                <c:pt idx="7">
                  <c:v>2020</c:v>
                </c:pt>
                <c:pt idx="8">
                  <c:v>2021</c:v>
                </c:pt>
              </c:numCache>
            </c:numRef>
          </c:cat>
          <c:val>
            <c:numRef>
              <c:f>[2]Sheet1!$C$4:$K$4</c:f>
              <c:numCache>
                <c:formatCode>0.0</c:formatCode>
                <c:ptCount val="9"/>
                <c:pt idx="0">
                  <c:v>191.39</c:v>
                </c:pt>
                <c:pt idx="1">
                  <c:v>347.17</c:v>
                </c:pt>
                <c:pt idx="2">
                  <c:v>455.36</c:v>
                </c:pt>
                <c:pt idx="3">
                  <c:v>505.17</c:v>
                </c:pt>
                <c:pt idx="4">
                  <c:v>476.23</c:v>
                </c:pt>
                <c:pt idx="5">
                  <c:v>492.48</c:v>
                </c:pt>
                <c:pt idx="6">
                  <c:v>467.78</c:v>
                </c:pt>
                <c:pt idx="7">
                  <c:v>281.64999999999998</c:v>
                </c:pt>
                <c:pt idx="8">
                  <c:v>215.61</c:v>
                </c:pt>
              </c:numCache>
            </c:numRef>
          </c:val>
          <c:smooth val="0"/>
          <c:extLst>
            <c:ext xmlns:c16="http://schemas.microsoft.com/office/drawing/2014/chart" uri="{C3380CC4-5D6E-409C-BE32-E72D297353CC}">
              <c16:uniqueId val="{0000000D-AF6B-4EE5-B8E9-E0310C928C14}"/>
            </c:ext>
          </c:extLst>
        </c:ser>
        <c:ser>
          <c:idx val="3"/>
          <c:order val="3"/>
          <c:tx>
            <c:strRef>
              <c:f>Sheet2!$B$5</c:f>
              <c:strCache>
                <c:ptCount val="1"/>
                <c:pt idx="0">
                  <c:v>Statewide</c:v>
                </c:pt>
              </c:strCache>
            </c:strRef>
          </c:tx>
          <c:spPr>
            <a:ln w="22225" cap="rnd">
              <a:solidFill>
                <a:sysClr val="windowText" lastClr="000000">
                  <a:lumMod val="50000"/>
                  <a:lumOff val="50000"/>
                </a:sysClr>
              </a:solidFill>
              <a:round/>
            </a:ln>
            <a:effectLst/>
          </c:spPr>
          <c:marker>
            <c:symbol val="circle"/>
            <c:size val="4"/>
            <c:spPr>
              <a:solidFill>
                <a:sysClr val="windowText" lastClr="000000">
                  <a:lumMod val="50000"/>
                  <a:lumOff val="50000"/>
                </a:sysClr>
              </a:solidFill>
              <a:ln w="9525">
                <a:noFill/>
              </a:ln>
              <a:effectLst/>
            </c:spPr>
          </c:marker>
          <c:dLbls>
            <c:dLbl>
              <c:idx val="3"/>
              <c:dLblPos val="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AF6B-4EE5-B8E9-E0310C928C14}"/>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mn-lt"/>
                    <a:ea typeface="+mn-ea"/>
                    <a:cs typeface="+mn-cs"/>
                  </a:defRPr>
                </a:pPr>
                <a:endParaRPr lang="en-US"/>
              </a:p>
            </c:txPr>
            <c:dLblPos val="t"/>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Sheet2!$C$5:$K$5</c:f>
              <c:numCache>
                <c:formatCode>0.0</c:formatCode>
                <c:ptCount val="9"/>
                <c:pt idx="0">
                  <c:v>112.616</c:v>
                </c:pt>
                <c:pt idx="1">
                  <c:v>169.554</c:v>
                </c:pt>
                <c:pt idx="2">
                  <c:v>212.45400000000001</c:v>
                </c:pt>
                <c:pt idx="3">
                  <c:v>252.07300000000001</c:v>
                </c:pt>
                <c:pt idx="4">
                  <c:v>253.45599999999999</c:v>
                </c:pt>
                <c:pt idx="5">
                  <c:v>242.012</c:v>
                </c:pt>
                <c:pt idx="6">
                  <c:v>225.80600000000001</c:v>
                </c:pt>
                <c:pt idx="7">
                  <c:v>203.64099999999999</c:v>
                </c:pt>
                <c:pt idx="8">
                  <c:v>188.4</c:v>
                </c:pt>
              </c:numCache>
            </c:numRef>
          </c:val>
          <c:smooth val="0"/>
          <c:extLst>
            <c:ext xmlns:c16="http://schemas.microsoft.com/office/drawing/2014/chart" uri="{C3380CC4-5D6E-409C-BE32-E72D297353CC}">
              <c16:uniqueId val="{0000000F-AF6B-4EE5-B8E9-E0310C928C14}"/>
            </c:ext>
          </c:extLst>
        </c:ser>
        <c:dLbls>
          <c:showLegendKey val="0"/>
          <c:showVal val="0"/>
          <c:showCatName val="0"/>
          <c:showSerName val="0"/>
          <c:showPercent val="0"/>
          <c:showBubbleSize val="0"/>
        </c:dLbls>
        <c:marker val="1"/>
        <c:smooth val="0"/>
        <c:axId val="2027572223"/>
        <c:axId val="502511344"/>
      </c:lineChart>
      <c:catAx>
        <c:axId val="2027572223"/>
        <c:scaling>
          <c:orientation val="minMax"/>
        </c:scaling>
        <c:delete val="0"/>
        <c:axPos val="b"/>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Segoe UI" panose="020B0502040204020203" pitchFamily="34" charset="0"/>
                <a:ea typeface="+mn-ea"/>
                <a:cs typeface="Segoe UI" panose="020B0502040204020203" pitchFamily="34" charset="0"/>
              </a:defRPr>
            </a:pPr>
            <a:endParaRPr lang="en-US"/>
          </a:p>
        </c:txPr>
        <c:crossAx val="502511344"/>
        <c:crosses val="autoZero"/>
        <c:auto val="1"/>
        <c:lblAlgn val="ctr"/>
        <c:lblOffset val="100"/>
        <c:noMultiLvlLbl val="0"/>
      </c:catAx>
      <c:valAx>
        <c:axId val="502511344"/>
        <c:scaling>
          <c:orientation val="minMax"/>
        </c:scaling>
        <c:delete val="0"/>
        <c:axPos val="l"/>
        <c:majorGridlines>
          <c:spPr>
            <a:ln w="9525" cap="flat" cmpd="sng" algn="ctr">
              <a:noFill/>
              <a:round/>
            </a:ln>
            <a:effectLst/>
          </c:spPr>
        </c:majorGridlines>
        <c:title>
          <c:tx>
            <c:rich>
              <a:bodyPr rot="-5400000" spcFirstLastPara="1" vertOverflow="ellipsis" vert="horz" wrap="square" anchor="ctr" anchorCtr="1"/>
              <a:lstStyle/>
              <a:p>
                <a:pPr>
                  <a:defRPr sz="900" b="1" i="0" u="none" strike="noStrike" kern="1200" baseline="0">
                    <a:solidFill>
                      <a:schemeClr val="tx1">
                        <a:lumMod val="65000"/>
                        <a:lumOff val="35000"/>
                      </a:schemeClr>
                    </a:solidFill>
                    <a:latin typeface="Segoe UI" panose="020B0502040204020203" pitchFamily="34" charset="0"/>
                    <a:ea typeface="+mn-ea"/>
                    <a:cs typeface="Segoe UI" panose="020B0502040204020203" pitchFamily="34" charset="0"/>
                  </a:defRPr>
                </a:pPr>
                <a:r>
                  <a:rPr lang="en-US" sz="900" b="1">
                    <a:solidFill>
                      <a:sysClr val="windowText" lastClr="000000"/>
                    </a:solidFill>
                    <a:latin typeface="Segoe UI" panose="020B0502040204020203" pitchFamily="34" charset="0"/>
                    <a:cs typeface="Segoe UI" panose="020B0502040204020203" pitchFamily="34" charset="0"/>
                  </a:rPr>
                  <a:t>Age-adjusted rate per 100,000 residents</a:t>
                </a:r>
              </a:p>
            </c:rich>
          </c:tx>
          <c:layout>
            <c:manualLayout>
              <c:xMode val="edge"/>
              <c:yMode val="edge"/>
              <c:x val="4.9145299145299144E-2"/>
              <c:y val="0.13107943160330762"/>
            </c:manualLayout>
          </c:layout>
          <c:overlay val="0"/>
          <c:spPr>
            <a:noFill/>
            <a:ln>
              <a:noFill/>
            </a:ln>
            <a:effectLst/>
          </c:spPr>
          <c:txPr>
            <a:bodyPr rot="-5400000" spcFirstLastPara="1" vertOverflow="ellipsis" vert="horz" wrap="square" anchor="ctr" anchorCtr="1"/>
            <a:lstStyle/>
            <a:p>
              <a:pPr>
                <a:defRPr sz="900" b="1" i="0" u="none" strike="noStrike" kern="1200" baseline="0">
                  <a:solidFill>
                    <a:schemeClr val="tx1">
                      <a:lumMod val="65000"/>
                      <a:lumOff val="35000"/>
                    </a:schemeClr>
                  </a:solidFill>
                  <a:latin typeface="Segoe UI" panose="020B0502040204020203" pitchFamily="34" charset="0"/>
                  <a:ea typeface="+mn-ea"/>
                  <a:cs typeface="Segoe UI" panose="020B0502040204020203" pitchFamily="34" charset="0"/>
                </a:defRPr>
              </a:pPr>
              <a:endParaRPr lang="en-US"/>
            </a:p>
          </c:txPr>
        </c:title>
        <c:numFmt formatCode="0" sourceLinked="0"/>
        <c:majorTickMark val="none"/>
        <c:minorTickMark val="none"/>
        <c:tickLblPos val="nextTo"/>
        <c:spPr>
          <a:noFill/>
          <a:ln>
            <a:solidFill>
              <a:schemeClr val="tx1"/>
            </a:solid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2027572223"/>
        <c:crosses val="autoZero"/>
        <c:crossBetween val="between"/>
      </c:valAx>
      <c:spPr>
        <a:noFill/>
        <a:ln>
          <a:noFill/>
        </a:ln>
        <a:effectLst/>
      </c:spPr>
    </c:plotArea>
    <c:legend>
      <c:legendPos val="t"/>
      <c:layout>
        <c:manualLayout>
          <c:xMode val="edge"/>
          <c:yMode val="edge"/>
          <c:x val="0.17958223972003501"/>
          <c:y val="0.19903002309468826"/>
          <c:w val="0.67312891177064416"/>
          <c:h val="8.5873338413343492E-2"/>
        </c:manualLayout>
      </c:layout>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Segoe UI" panose="020B0502040204020203" pitchFamily="34" charset="0"/>
              <a:ea typeface="+mn-ea"/>
              <a:cs typeface="Segoe UI" panose="020B0502040204020203"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4">
    <c:autoUpdate val="0"/>
  </c:externalData>
  <c:userShapes r:id="rId5"/>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solidFill>
                  <a:schemeClr val="bg1"/>
                </a:solidFill>
              </a:rPr>
              <a:t>e</a:t>
            </a:r>
          </a:p>
        </c:rich>
      </c:tx>
      <c:overlay val="0"/>
      <c:spPr>
        <a:noFill/>
        <a:ln>
          <a:noFill/>
        </a:ln>
        <a:effectLst/>
      </c:spPr>
    </c:title>
    <c:autoTitleDeleted val="0"/>
    <c:plotArea>
      <c:layout/>
      <c:barChart>
        <c:barDir val="col"/>
        <c:grouping val="clustered"/>
        <c:varyColors val="0"/>
        <c:ser>
          <c:idx val="0"/>
          <c:order val="0"/>
          <c:tx>
            <c:strRef>
              <c:f>'F11 Perc by priority pop'!$R$1</c:f>
              <c:strCache>
                <c:ptCount val="1"/>
                <c:pt idx="0">
                  <c:v>NFO</c:v>
                </c:pt>
              </c:strCache>
            </c:strRef>
          </c:tx>
          <c:spPr>
            <a:solidFill>
              <a:srgbClr val="5B9BD5">
                <a:lumMod val="75000"/>
              </a:srgbClr>
            </a:solidFill>
            <a:ln w="12700">
              <a:solidFill>
                <a:schemeClr val="bg1"/>
              </a:solidFill>
            </a:ln>
            <a:effectLst/>
          </c:spPr>
          <c:invertIfNegative val="0"/>
          <c:dLbls>
            <c:dLbl>
              <c:idx val="4"/>
              <c:layout>
                <c:manualLayout>
                  <c:x val="4.0465351542741529E-3"/>
                  <c:y val="6.7586107974588333E-2"/>
                </c:manualLayout>
              </c:layout>
              <c:spPr>
                <a:noFill/>
                <a:ln>
                  <a:noFill/>
                </a:ln>
                <a:effectLst/>
              </c:spPr>
              <c:txPr>
                <a:bodyPr rot="0" spcFirstLastPara="1" vertOverflow="ellipsis" vert="horz" wrap="square" lIns="38100" tIns="19050" rIns="38100" bIns="0" anchor="ctr" anchorCtr="1">
                  <a:spAutoFit/>
                </a:bodyPr>
                <a:lstStyle/>
                <a:p>
                  <a:pPr>
                    <a:defRPr sz="800" b="0" i="0" u="none" strike="noStrike" kern="1200" baseline="0">
                      <a:solidFill>
                        <a:schemeClr val="bg1"/>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15:spPr xmlns:c15="http://schemas.microsoft.com/office/drawing/2012/chart">
                    <a:prstGeom prst="rect">
                      <a:avLst/>
                    </a:prstGeom>
                  </c15:spPr>
                </c:ext>
                <c:ext xmlns:c16="http://schemas.microsoft.com/office/drawing/2014/chart" uri="{C3380CC4-5D6E-409C-BE32-E72D297353CC}">
                  <c16:uniqueId val="{00000000-6815-4E51-A76A-314D69542176}"/>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'F11 Perc by priority pop'!$Q$3:$Q$7</c:f>
              <c:strCache>
                <c:ptCount val="5"/>
                <c:pt idx="0">
                  <c:v> OUD diagnosis</c:v>
                </c:pt>
                <c:pt idx="1">
                  <c:v>Ever Homeless</c:v>
                </c:pt>
                <c:pt idx="2">
                  <c:v>Ever Incarcerated</c:v>
                </c:pt>
                <c:pt idx="3">
                  <c:v>Less than HS Edu</c:v>
                </c:pt>
                <c:pt idx="4">
                  <c:v>Veteran</c:v>
                </c:pt>
              </c:strCache>
            </c:strRef>
          </c:cat>
          <c:val>
            <c:numRef>
              <c:f>'F11 Perc by priority pop'!$R$3:$R$7</c:f>
              <c:numCache>
                <c:formatCode>0%</c:formatCode>
                <c:ptCount val="5"/>
                <c:pt idx="0">
                  <c:v>0.77</c:v>
                </c:pt>
                <c:pt idx="1">
                  <c:v>0.55000000000000004</c:v>
                </c:pt>
                <c:pt idx="2">
                  <c:v>0.39</c:v>
                </c:pt>
                <c:pt idx="3">
                  <c:v>0.47495529095272304</c:v>
                </c:pt>
                <c:pt idx="4">
                  <c:v>0.11700000000000001</c:v>
                </c:pt>
              </c:numCache>
            </c:numRef>
          </c:val>
          <c:extLst>
            <c:ext xmlns:c16="http://schemas.microsoft.com/office/drawing/2014/chart" uri="{C3380CC4-5D6E-409C-BE32-E72D297353CC}">
              <c16:uniqueId val="{00000001-6815-4E51-A76A-314D69542176}"/>
            </c:ext>
          </c:extLst>
        </c:ser>
        <c:ser>
          <c:idx val="1"/>
          <c:order val="1"/>
          <c:tx>
            <c:strRef>
              <c:f>'F11 Perc by priority pop'!$S$1</c:f>
              <c:strCache>
                <c:ptCount val="1"/>
                <c:pt idx="0">
                  <c:v>MA residents</c:v>
                </c:pt>
              </c:strCache>
            </c:strRef>
          </c:tx>
          <c:spPr>
            <a:solidFill>
              <a:srgbClr val="6DA945"/>
            </a:solidFill>
            <a:ln w="6350">
              <a:solidFill>
                <a:schemeClr val="bg1">
                  <a:alpha val="96000"/>
                </a:schemeClr>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'F11 Perc by priority pop'!$Q$3:$Q$7</c:f>
              <c:strCache>
                <c:ptCount val="5"/>
                <c:pt idx="0">
                  <c:v> OUD diagnosis</c:v>
                </c:pt>
                <c:pt idx="1">
                  <c:v>Ever Homeless</c:v>
                </c:pt>
                <c:pt idx="2">
                  <c:v>Ever Incarcerated</c:v>
                </c:pt>
                <c:pt idx="3">
                  <c:v>Less than HS Edu</c:v>
                </c:pt>
                <c:pt idx="4">
                  <c:v>Veteran</c:v>
                </c:pt>
              </c:strCache>
            </c:strRef>
          </c:cat>
          <c:val>
            <c:numRef>
              <c:f>'F11 Perc by priority pop'!$S$3:$S$7</c:f>
              <c:numCache>
                <c:formatCode>0%</c:formatCode>
                <c:ptCount val="5"/>
                <c:pt idx="0">
                  <c:v>2.7E-2</c:v>
                </c:pt>
                <c:pt idx="1">
                  <c:v>0.04</c:v>
                </c:pt>
                <c:pt idx="2">
                  <c:v>1.4999999999999999E-2</c:v>
                </c:pt>
                <c:pt idx="3">
                  <c:v>0.12</c:v>
                </c:pt>
                <c:pt idx="4">
                  <c:v>3.4099999999999998E-2</c:v>
                </c:pt>
              </c:numCache>
            </c:numRef>
          </c:val>
          <c:extLst>
            <c:ext xmlns:c16="http://schemas.microsoft.com/office/drawing/2014/chart" uri="{C3380CC4-5D6E-409C-BE32-E72D297353CC}">
              <c16:uniqueId val="{00000002-6815-4E51-A76A-314D69542176}"/>
            </c:ext>
          </c:extLst>
        </c:ser>
        <c:dLbls>
          <c:showLegendKey val="0"/>
          <c:showVal val="0"/>
          <c:showCatName val="0"/>
          <c:showSerName val="0"/>
          <c:showPercent val="0"/>
          <c:showBubbleSize val="0"/>
        </c:dLbls>
        <c:gapWidth val="50"/>
        <c:axId val="748717144"/>
        <c:axId val="748714848"/>
        <c:extLst>
          <c:ext xmlns:c15="http://schemas.microsoft.com/office/drawing/2012/chart" uri="{02D57815-91ED-43cb-92C2-25804820EDAC}">
            <c15:filteredBarSeries>
              <c15:ser>
                <c:idx val="2"/>
                <c:order val="2"/>
                <c:tx>
                  <c:strRef>
                    <c:extLst>
                      <c:ext uri="{02D57815-91ED-43cb-92C2-25804820EDAC}">
                        <c15:formulaRef>
                          <c15:sqref>'F11 Perc by priority pop'!$R$1</c15:sqref>
                        </c15:formulaRef>
                      </c:ext>
                    </c:extLst>
                    <c:strCache>
                      <c:ptCount val="1"/>
                      <c:pt idx="0">
                        <c:v>NFO</c:v>
                      </c:pt>
                    </c:strCache>
                  </c:strRef>
                </c:tx>
                <c:spPr>
                  <a:solidFill>
                    <a:schemeClr val="accent3"/>
                  </a:solidFill>
                  <a:ln>
                    <a:noFill/>
                  </a:ln>
                  <a:effectLst/>
                </c:spPr>
                <c:invertIfNegative val="0"/>
                <c:cat>
                  <c:strRef>
                    <c:extLst>
                      <c:ext uri="{02D57815-91ED-43cb-92C2-25804820EDAC}">
                        <c15:formulaRef>
                          <c15:sqref>'F11 Perc by priority pop'!$Q$3:$Q$7</c15:sqref>
                        </c15:formulaRef>
                      </c:ext>
                    </c:extLst>
                    <c:strCache>
                      <c:ptCount val="5"/>
                      <c:pt idx="0">
                        <c:v> OUD diagnosis</c:v>
                      </c:pt>
                      <c:pt idx="1">
                        <c:v>Ever Homeless</c:v>
                      </c:pt>
                      <c:pt idx="2">
                        <c:v>Ever Incarcerated</c:v>
                      </c:pt>
                      <c:pt idx="3">
                        <c:v>Less than HS Edu</c:v>
                      </c:pt>
                      <c:pt idx="4">
                        <c:v>Veteran</c:v>
                      </c:pt>
                    </c:strCache>
                  </c:strRef>
                </c:cat>
                <c:val>
                  <c:numRef>
                    <c:extLst>
                      <c:ext uri="{02D57815-91ED-43cb-92C2-25804820EDAC}">
                        <c15:formulaRef>
                          <c15:sqref>'F11 Perc by priority pop'!$R$3:$R$7</c15:sqref>
                        </c15:formulaRef>
                      </c:ext>
                    </c:extLst>
                    <c:numCache>
                      <c:formatCode>0%</c:formatCode>
                      <c:ptCount val="5"/>
                      <c:pt idx="0">
                        <c:v>0.77</c:v>
                      </c:pt>
                      <c:pt idx="1">
                        <c:v>0.55000000000000004</c:v>
                      </c:pt>
                      <c:pt idx="2">
                        <c:v>0.39</c:v>
                      </c:pt>
                      <c:pt idx="3">
                        <c:v>0.47495529095272304</c:v>
                      </c:pt>
                      <c:pt idx="4">
                        <c:v>0.11700000000000001</c:v>
                      </c:pt>
                    </c:numCache>
                  </c:numRef>
                </c:val>
                <c:extLst>
                  <c:ext xmlns:c16="http://schemas.microsoft.com/office/drawing/2014/chart" uri="{C3380CC4-5D6E-409C-BE32-E72D297353CC}">
                    <c16:uniqueId val="{00000003-6815-4E51-A76A-314D69542176}"/>
                  </c:ext>
                </c:extLst>
              </c15:ser>
            </c15:filteredBarSeries>
          </c:ext>
        </c:extLst>
      </c:barChart>
      <c:catAx>
        <c:axId val="748717144"/>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b="1">
                    <a:latin typeface="Segoe UI" panose="020B0502040204020203" pitchFamily="34" charset="0"/>
                    <a:cs typeface="Segoe UI" panose="020B0502040204020203" pitchFamily="34" charset="0"/>
                  </a:rPr>
                  <a:t>Population</a:t>
                </a:r>
                <a:r>
                  <a:rPr lang="en-US" b="1" baseline="0">
                    <a:latin typeface="Segoe UI" panose="020B0502040204020203" pitchFamily="34" charset="0"/>
                    <a:cs typeface="Segoe UI" panose="020B0502040204020203" pitchFamily="34" charset="0"/>
                  </a:rPr>
                  <a:t> group</a:t>
                </a:r>
                <a:endParaRPr lang="en-US" b="1">
                  <a:latin typeface="Segoe UI" panose="020B0502040204020203" pitchFamily="34" charset="0"/>
                  <a:cs typeface="Segoe UI" panose="020B0502040204020203" pitchFamily="34" charset="0"/>
                </a:endParaRPr>
              </a:p>
            </c:rich>
          </c:tx>
          <c:overlay val="0"/>
          <c:spPr>
            <a:noFill/>
            <a:ln>
              <a:noFill/>
            </a:ln>
            <a:effectLst/>
          </c:sp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Segoe UI" panose="020B0502040204020203" pitchFamily="34" charset="0"/>
                <a:ea typeface="+mn-ea"/>
                <a:cs typeface="Segoe UI" panose="020B0502040204020203" pitchFamily="34" charset="0"/>
              </a:defRPr>
            </a:pPr>
            <a:endParaRPr lang="en-US"/>
          </a:p>
        </c:txPr>
        <c:crossAx val="748714848"/>
        <c:crosses val="autoZero"/>
        <c:auto val="1"/>
        <c:lblAlgn val="ctr"/>
        <c:lblOffset val="100"/>
        <c:noMultiLvlLbl val="0"/>
      </c:catAx>
      <c:valAx>
        <c:axId val="748714848"/>
        <c:scaling>
          <c:orientation val="minMax"/>
          <c:max val="1"/>
        </c:scaling>
        <c:delete val="0"/>
        <c:axPos val="l"/>
        <c:majorGridlines>
          <c:spPr>
            <a:ln w="9525" cap="flat" cmpd="sng" algn="ctr">
              <a:solidFill>
                <a:schemeClr val="bg1"/>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000" b="1">
                    <a:solidFill>
                      <a:sysClr val="windowText" lastClr="000000"/>
                    </a:solidFill>
                    <a:latin typeface="Segoe UI" panose="020B0502040204020203" pitchFamily="34" charset="0"/>
                    <a:cs typeface="Segoe UI" panose="020B0502040204020203" pitchFamily="34" charset="0"/>
                  </a:rPr>
                  <a:t>Percent</a:t>
                </a:r>
                <a:r>
                  <a:rPr lang="en-US" sz="1000" b="1">
                    <a:latin typeface="Segoe UI" panose="020B0502040204020203" pitchFamily="34" charset="0"/>
                    <a:cs typeface="Segoe UI" panose="020B0502040204020203" pitchFamily="34" charset="0"/>
                  </a:rPr>
                  <a:t> </a:t>
                </a:r>
              </a:p>
            </c:rich>
          </c:tx>
          <c:overlay val="0"/>
          <c:spPr>
            <a:noFill/>
            <a:ln>
              <a:noFill/>
            </a:ln>
            <a:effectLst/>
          </c:spPr>
        </c:title>
        <c:numFmt formatCode="0%" sourceLinked="0"/>
        <c:majorTickMark val="none"/>
        <c:minorTickMark val="none"/>
        <c:tickLblPos val="nextTo"/>
        <c:spPr>
          <a:noFill/>
          <a:ln>
            <a:solidFill>
              <a:schemeClr val="tx1">
                <a:lumMod val="50000"/>
                <a:lumOff val="50000"/>
              </a:schemeClr>
            </a:solid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48717144"/>
        <c:crosses val="autoZero"/>
        <c:crossBetween val="between"/>
        <c:majorUnit val="0.25"/>
      </c:valAx>
      <c:spPr>
        <a:noFill/>
        <a:ln>
          <a:noFill/>
        </a:ln>
        <a:effectLst/>
      </c:spPr>
    </c:plotArea>
    <c:legend>
      <c:legendPos val="t"/>
      <c:layout>
        <c:manualLayout>
          <c:xMode val="edge"/>
          <c:yMode val="edge"/>
          <c:x val="0.35653387606210241"/>
          <c:y val="0.20880368666054003"/>
          <c:w val="0.25553485692337241"/>
          <c:h val="0.11076293391731032"/>
        </c:manualLayout>
      </c:layout>
      <c:overlay val="0"/>
      <c:spPr>
        <a:noFill/>
        <a:ln>
          <a:noFill/>
        </a:ln>
        <a:effectLst/>
      </c:spPr>
      <c:txPr>
        <a:bodyPr rot="0" spcFirstLastPara="1" vertOverflow="ellipsis" vert="horz" wrap="square" anchor="ctr" anchorCtr="1"/>
        <a:lstStyle/>
        <a:p>
          <a:pPr>
            <a:defRPr sz="1050" b="1" i="0" u="none" strike="noStrike" kern="1200" baseline="0">
              <a:solidFill>
                <a:sysClr val="windowText" lastClr="000000"/>
              </a:solidFill>
              <a:latin typeface="Segoe UI" panose="020B0502040204020203" pitchFamily="34" charset="0"/>
              <a:ea typeface="+mn-ea"/>
              <a:cs typeface="Segoe UI" panose="020B0502040204020203"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2">
    <c:autoUpdate val="0"/>
  </c:externalData>
  <c:userShapes r:id="rId3"/>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solidFill>
                  <a:schemeClr val="bg1"/>
                </a:solidFill>
              </a:rPr>
              <a:t>l</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0.14835857056329496"/>
          <c:y val="0.20851775745121928"/>
          <c:w val="0.81433895282320468"/>
          <c:h val="0.52755905511811019"/>
        </c:manualLayout>
      </c:layout>
      <c:barChart>
        <c:barDir val="col"/>
        <c:grouping val="clustered"/>
        <c:varyColors val="0"/>
        <c:ser>
          <c:idx val="0"/>
          <c:order val="0"/>
          <c:tx>
            <c:strRef>
              <c:f>'F11 Disability rates'!$G$2</c:f>
              <c:strCache>
                <c:ptCount val="1"/>
                <c:pt idx="0">
                  <c:v>NFO </c:v>
                </c:pt>
              </c:strCache>
            </c:strRef>
          </c:tx>
          <c:spPr>
            <a:solidFill>
              <a:srgbClr val="5B9BD5">
                <a:lumMod val="75000"/>
              </a:srgbClr>
            </a:solidFill>
            <a:ln w="6350">
              <a:solidFill>
                <a:schemeClr val="bg1"/>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bg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('F11 Disability rates'!$F$3:$F$6,'F11 Disability rates'!$F$8)</c:f>
              <c:strCache>
                <c:ptCount val="5"/>
                <c:pt idx="0">
                  <c:v>Mental Health disability</c:v>
                </c:pt>
                <c:pt idx="1">
                  <c:v>Mobility disability</c:v>
                </c:pt>
                <c:pt idx="2">
                  <c:v>Developmental disability</c:v>
                </c:pt>
                <c:pt idx="3">
                  <c:v>Hearing disability</c:v>
                </c:pt>
                <c:pt idx="4">
                  <c:v>Vision disability</c:v>
                </c:pt>
              </c:strCache>
              <c:extLst/>
            </c:strRef>
          </c:cat>
          <c:val>
            <c:numRef>
              <c:f>('F11 Disability rates'!$G$3:$G$6,'F11 Disability rates'!$G$8)</c:f>
              <c:numCache>
                <c:formatCode>0%</c:formatCode>
                <c:ptCount val="5"/>
                <c:pt idx="0">
                  <c:v>0.72479102446610566</c:v>
                </c:pt>
                <c:pt idx="1">
                  <c:v>0.65400316587519791</c:v>
                </c:pt>
                <c:pt idx="2">
                  <c:v>0.26282318309311559</c:v>
                </c:pt>
                <c:pt idx="3">
                  <c:v>0.13024521647365936</c:v>
                </c:pt>
                <c:pt idx="4">
                  <c:v>0.21196089866422282</c:v>
                </c:pt>
              </c:numCache>
              <c:extLst/>
            </c:numRef>
          </c:val>
          <c:extLst>
            <c:ext xmlns:c16="http://schemas.microsoft.com/office/drawing/2014/chart" uri="{C3380CC4-5D6E-409C-BE32-E72D297353CC}">
              <c16:uniqueId val="{00000000-A537-4518-ADAE-79D1D041C676}"/>
            </c:ext>
          </c:extLst>
        </c:ser>
        <c:ser>
          <c:idx val="1"/>
          <c:order val="1"/>
          <c:tx>
            <c:strRef>
              <c:f>'F11 Disability rates'!$H$2</c:f>
              <c:strCache>
                <c:ptCount val="1"/>
                <c:pt idx="0">
                  <c:v>MA residents</c:v>
                </c:pt>
              </c:strCache>
            </c:strRef>
          </c:tx>
          <c:spPr>
            <a:solidFill>
              <a:srgbClr val="70AD47">
                <a:lumMod val="75000"/>
              </a:srgbClr>
            </a:solidFill>
            <a:ln>
              <a:noFill/>
            </a:ln>
            <a:effectLst/>
          </c:spPr>
          <c:invertIfNegative val="0"/>
          <c:dLbls>
            <c:dLbl>
              <c:idx val="2"/>
              <c:layout>
                <c:manualLayout>
                  <c:x val="0"/>
                  <c:y val="7.1712863543572133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512E-4708-A93B-F49079A09B5E}"/>
                </c:ext>
              </c:extLst>
            </c:dLbl>
            <c:dLbl>
              <c:idx val="3"/>
              <c:spPr>
                <a:noFill/>
                <a:ln>
                  <a:noFill/>
                </a:ln>
                <a:effectLst/>
              </c:spPr>
              <c:txPr>
                <a:bodyPr rot="0" spcFirstLastPara="1" vertOverflow="ellipsis" vert="horz" wrap="square" lIns="38100" tIns="19050" rIns="38100" bIns="19050" anchor="ctr" anchorCtr="1">
                  <a:noAutofit/>
                </a:bodyPr>
                <a:lstStyle/>
                <a:p>
                  <a:pPr>
                    <a:defRPr sz="950" b="0" i="0" u="none" strike="noStrike" kern="1200" baseline="0">
                      <a:solidFill>
                        <a:schemeClr val="bg1"/>
                      </a:solidFill>
                      <a:latin typeface="+mn-lt"/>
                      <a:ea typeface="+mn-ea"/>
                      <a:cs typeface="+mn-cs"/>
                    </a:defRPr>
                  </a:pPr>
                  <a:endParaRPr lang="en-US"/>
                </a:p>
              </c:txPr>
              <c:dLblPos val="inBase"/>
              <c:showLegendKey val="0"/>
              <c:showVal val="1"/>
              <c:showCatName val="0"/>
              <c:showSerName val="0"/>
              <c:showPercent val="0"/>
              <c:showBubbleSize val="0"/>
              <c:extLst>
                <c:ext xmlns:c15="http://schemas.microsoft.com/office/drawing/2012/chart" uri="{CE6537A1-D6FC-4f65-9D91-7224C49458BB}">
                  <c15:layout>
                    <c:manualLayout>
                      <c:w val="3.8931623931623929E-2"/>
                      <c:h val="6.8203027651846548E-2"/>
                    </c:manualLayout>
                  </c15:layout>
                </c:ext>
                <c:ext xmlns:c16="http://schemas.microsoft.com/office/drawing/2014/chart" uri="{C3380CC4-5D6E-409C-BE32-E72D297353CC}">
                  <c16:uniqueId val="{00000001-512E-4708-A93B-F49079A09B5E}"/>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bg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('F11 Disability rates'!$F$3:$F$6,'F11 Disability rates'!$F$8)</c:f>
              <c:strCache>
                <c:ptCount val="5"/>
                <c:pt idx="0">
                  <c:v>Mental Health disability</c:v>
                </c:pt>
                <c:pt idx="1">
                  <c:v>Mobility disability</c:v>
                </c:pt>
                <c:pt idx="2">
                  <c:v>Developmental disability</c:v>
                </c:pt>
                <c:pt idx="3">
                  <c:v>Hearing disability</c:v>
                </c:pt>
                <c:pt idx="4">
                  <c:v>Vision disability</c:v>
                </c:pt>
              </c:strCache>
              <c:extLst/>
            </c:strRef>
          </c:cat>
          <c:val>
            <c:numRef>
              <c:f>('F11 Disability rates'!$H$3:$H$6,'F11 Disability rates'!$H$8)</c:f>
              <c:numCache>
                <c:formatCode>0%</c:formatCode>
                <c:ptCount val="5"/>
                <c:pt idx="0">
                  <c:v>0.23</c:v>
                </c:pt>
                <c:pt idx="1">
                  <c:v>0.31</c:v>
                </c:pt>
                <c:pt idx="2">
                  <c:v>8.4000000000000005E-2</c:v>
                </c:pt>
                <c:pt idx="3">
                  <c:v>8.199999999999999E-2</c:v>
                </c:pt>
                <c:pt idx="4">
                  <c:v>0.18</c:v>
                </c:pt>
              </c:numCache>
              <c:extLst/>
            </c:numRef>
          </c:val>
          <c:extLst>
            <c:ext xmlns:c16="http://schemas.microsoft.com/office/drawing/2014/chart" uri="{C3380CC4-5D6E-409C-BE32-E72D297353CC}">
              <c16:uniqueId val="{00000001-A537-4518-ADAE-79D1D041C676}"/>
            </c:ext>
          </c:extLst>
        </c:ser>
        <c:dLbls>
          <c:showLegendKey val="0"/>
          <c:showVal val="0"/>
          <c:showCatName val="0"/>
          <c:showSerName val="0"/>
          <c:showPercent val="0"/>
          <c:showBubbleSize val="0"/>
        </c:dLbls>
        <c:gapWidth val="50"/>
        <c:axId val="705613296"/>
        <c:axId val="705613624"/>
      </c:barChart>
      <c:catAx>
        <c:axId val="705613296"/>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b="1" baseline="0">
                    <a:solidFill>
                      <a:sysClr val="windowText" lastClr="000000"/>
                    </a:solidFill>
                    <a:latin typeface="Segoe UI" panose="020B0502040204020203" pitchFamily="34" charset="0"/>
                    <a:cs typeface="Segoe UI" panose="020B0502040204020203" pitchFamily="34" charset="0"/>
                  </a:rPr>
                  <a:t>Disability diagnosis</a:t>
                </a:r>
                <a:endParaRPr lang="en-US" b="1">
                  <a:solidFill>
                    <a:sysClr val="windowText" lastClr="000000"/>
                  </a:solidFill>
                  <a:latin typeface="Segoe UI" panose="020B0502040204020203" pitchFamily="34" charset="0"/>
                  <a:cs typeface="Segoe UI" panose="020B0502040204020203" pitchFamily="34" charset="0"/>
                </a:endParaRP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Segoe UI" panose="020B0502040204020203" pitchFamily="34" charset="0"/>
                <a:ea typeface="+mn-ea"/>
                <a:cs typeface="Segoe UI" panose="020B0502040204020203" pitchFamily="34" charset="0"/>
              </a:defRPr>
            </a:pPr>
            <a:endParaRPr lang="en-US"/>
          </a:p>
        </c:txPr>
        <c:crossAx val="705613624"/>
        <c:crosses val="autoZero"/>
        <c:auto val="1"/>
        <c:lblAlgn val="ctr"/>
        <c:lblOffset val="100"/>
        <c:noMultiLvlLbl val="0"/>
      </c:catAx>
      <c:valAx>
        <c:axId val="705613624"/>
        <c:scaling>
          <c:orientation val="minMax"/>
          <c:max val="0.75000000000000011"/>
        </c:scaling>
        <c:delete val="0"/>
        <c:axPos val="l"/>
        <c:majorGridlines>
          <c:spPr>
            <a:ln w="9525" cap="flat" cmpd="sng" algn="ctr">
              <a:noFill/>
              <a:round/>
            </a:ln>
            <a:effectLst/>
          </c:spPr>
        </c:majorGridlines>
        <c:title>
          <c:tx>
            <c:rich>
              <a:bodyPr rot="-5400000" spcFirstLastPara="1" vertOverflow="ellipsis" vert="horz" wrap="square" anchor="ctr" anchorCtr="1"/>
              <a:lstStyle/>
              <a:p>
                <a:pPr>
                  <a:defRPr sz="1000" b="1" i="0" u="none" strike="noStrike" kern="1200" baseline="0">
                    <a:solidFill>
                      <a:schemeClr val="tx1">
                        <a:lumMod val="65000"/>
                        <a:lumOff val="35000"/>
                      </a:schemeClr>
                    </a:solidFill>
                    <a:latin typeface="Segoe UI" panose="020B0502040204020203" pitchFamily="34" charset="0"/>
                    <a:ea typeface="+mn-ea"/>
                    <a:cs typeface="Segoe UI" panose="020B0502040204020203" pitchFamily="34" charset="0"/>
                  </a:defRPr>
                </a:pPr>
                <a:r>
                  <a:rPr lang="en-US" sz="1000" b="1">
                    <a:solidFill>
                      <a:sysClr val="windowText" lastClr="000000"/>
                    </a:solidFill>
                    <a:latin typeface="Segoe UI" panose="020B0502040204020203" pitchFamily="34" charset="0"/>
                    <a:cs typeface="Segoe UI" panose="020B0502040204020203" pitchFamily="34" charset="0"/>
                  </a:rPr>
                  <a:t>Percent</a:t>
                </a:r>
              </a:p>
            </c:rich>
          </c:tx>
          <c:overlay val="0"/>
          <c:spPr>
            <a:noFill/>
            <a:ln>
              <a:noFill/>
            </a:ln>
            <a:effectLst/>
          </c:spPr>
          <c:txPr>
            <a:bodyPr rot="-5400000" spcFirstLastPara="1" vertOverflow="ellipsis" vert="horz" wrap="square" anchor="ctr" anchorCtr="1"/>
            <a:lstStyle/>
            <a:p>
              <a:pPr>
                <a:defRPr sz="1000" b="1" i="0" u="none" strike="noStrike" kern="1200" baseline="0">
                  <a:solidFill>
                    <a:schemeClr val="tx1">
                      <a:lumMod val="65000"/>
                      <a:lumOff val="35000"/>
                    </a:schemeClr>
                  </a:solidFill>
                  <a:latin typeface="Segoe UI" panose="020B0502040204020203" pitchFamily="34" charset="0"/>
                  <a:ea typeface="+mn-ea"/>
                  <a:cs typeface="Segoe UI" panose="020B0502040204020203" pitchFamily="34" charset="0"/>
                </a:defRPr>
              </a:pPr>
              <a:endParaRPr lang="en-US"/>
            </a:p>
          </c:txPr>
        </c:title>
        <c:numFmt formatCode="0%" sourceLinked="1"/>
        <c:majorTickMark val="none"/>
        <c:minorTickMark val="none"/>
        <c:tickLblPos val="nextTo"/>
        <c:spPr>
          <a:noFill/>
          <a:ln>
            <a:solidFill>
              <a:schemeClr val="tx1">
                <a:lumMod val="50000"/>
                <a:lumOff val="50000"/>
              </a:schemeClr>
            </a:solid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Segoe UI" panose="020B0502040204020203" pitchFamily="34" charset="0"/>
                <a:ea typeface="+mn-ea"/>
                <a:cs typeface="Segoe UI" panose="020B0502040204020203" pitchFamily="34" charset="0"/>
              </a:defRPr>
            </a:pPr>
            <a:endParaRPr lang="en-US"/>
          </a:p>
        </c:txPr>
        <c:crossAx val="705613296"/>
        <c:crosses val="autoZero"/>
        <c:crossBetween val="between"/>
        <c:majorUnit val="0.25"/>
      </c:valAx>
      <c:spPr>
        <a:noFill/>
        <a:ln>
          <a:noFill/>
        </a:ln>
        <a:effectLst/>
      </c:spPr>
    </c:plotArea>
    <c:legend>
      <c:legendPos val="t"/>
      <c:layout>
        <c:manualLayout>
          <c:xMode val="edge"/>
          <c:yMode val="edge"/>
          <c:x val="0.43361201935106414"/>
          <c:y val="0.1619836819639969"/>
          <c:w val="0.32127158106132203"/>
          <c:h val="0.10772786924361727"/>
        </c:manualLayout>
      </c:layout>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Segoe UI" panose="020B0502040204020203" pitchFamily="34" charset="0"/>
              <a:ea typeface="+mn-ea"/>
              <a:cs typeface="Segoe UI" panose="020B0502040204020203"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4">
    <c:autoUpdate val="0"/>
  </c:externalData>
  <c:userShapes r:id="rId5"/>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solidFill>
                  <a:schemeClr val="bg1"/>
                </a:solidFill>
              </a:rPr>
              <a:t>e</a:t>
            </a:r>
          </a:p>
        </c:rich>
      </c:tx>
      <c:overlay val="0"/>
      <c:spPr>
        <a:noFill/>
        <a:ln>
          <a:noFill/>
        </a:ln>
        <a:effectLst/>
      </c:spPr>
    </c:title>
    <c:autoTitleDeleted val="0"/>
    <c:plotArea>
      <c:layout>
        <c:manualLayout>
          <c:layoutTarget val="inner"/>
          <c:xMode val="edge"/>
          <c:yMode val="edge"/>
          <c:x val="0.11644881889763779"/>
          <c:y val="0.22606241048123832"/>
          <c:w val="0.85299562554680664"/>
          <c:h val="0.64931511331166702"/>
        </c:manualLayout>
      </c:layout>
      <c:barChart>
        <c:barDir val="col"/>
        <c:grouping val="stacked"/>
        <c:varyColors val="0"/>
        <c:ser>
          <c:idx val="0"/>
          <c:order val="0"/>
          <c:tx>
            <c:strRef>
              <c:f>'F3 FATAL NFO Comp'!$N$6</c:f>
              <c:strCache>
                <c:ptCount val="1"/>
                <c:pt idx="0">
                  <c:v>NFO</c:v>
                </c:pt>
              </c:strCache>
            </c:strRef>
          </c:tx>
          <c:spPr>
            <a:solidFill>
              <a:srgbClr val="5B9BD5">
                <a:lumMod val="75000"/>
              </a:srgbClr>
            </a:solidFill>
          </c:spPr>
          <c:invertIfNegative val="0"/>
          <c:dLbls>
            <c:spPr>
              <a:noFill/>
              <a:ln>
                <a:noFill/>
              </a:ln>
              <a:effectLst/>
            </c:spPr>
            <c:txPr>
              <a:bodyPr wrap="square" lIns="38100" tIns="19050" rIns="38100" bIns="19050" anchor="ctr">
                <a:spAutoFit/>
              </a:bodyPr>
              <a:lstStyle/>
              <a:p>
                <a:pPr>
                  <a:defRPr>
                    <a:solidFill>
                      <a:schemeClr val="bg1"/>
                    </a:solidFill>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'F3 FATAL NFO Comp'!$O$5:$W$5</c:f>
              <c:numCache>
                <c:formatCode>General</c:formatCode>
                <c:ptCount val="9"/>
                <c:pt idx="0">
                  <c:v>2013</c:v>
                </c:pt>
                <c:pt idx="1">
                  <c:v>2014</c:v>
                </c:pt>
                <c:pt idx="2">
                  <c:v>2015</c:v>
                </c:pt>
                <c:pt idx="3">
                  <c:v>2016</c:v>
                </c:pt>
                <c:pt idx="4">
                  <c:v>2017</c:v>
                </c:pt>
                <c:pt idx="5">
                  <c:v>2018</c:v>
                </c:pt>
                <c:pt idx="6">
                  <c:v>2019</c:v>
                </c:pt>
                <c:pt idx="7">
                  <c:v>2020</c:v>
                </c:pt>
                <c:pt idx="8">
                  <c:v>2021</c:v>
                </c:pt>
              </c:numCache>
            </c:numRef>
          </c:cat>
          <c:val>
            <c:numRef>
              <c:f>'F3 FATAL NFO Comp'!$O$10:$W$10</c:f>
              <c:numCache>
                <c:formatCode>0.0</c:formatCode>
                <c:ptCount val="9"/>
                <c:pt idx="0">
                  <c:v>8.5898815931108725</c:v>
                </c:pt>
                <c:pt idx="1">
                  <c:v>9.2107279693486586</c:v>
                </c:pt>
                <c:pt idx="2">
                  <c:v>8.9124478856462179</c:v>
                </c:pt>
                <c:pt idx="3">
                  <c:v>8.7517173699705602</c:v>
                </c:pt>
                <c:pt idx="4">
                  <c:v>9.3877973112719761</c:v>
                </c:pt>
                <c:pt idx="5">
                  <c:v>8.932958034800409</c:v>
                </c:pt>
                <c:pt idx="6">
                  <c:v>8.2988741044012286</c:v>
                </c:pt>
                <c:pt idx="7">
                  <c:v>7.2020398251578444</c:v>
                </c:pt>
                <c:pt idx="8">
                  <c:v>6.1698617922425329</c:v>
                </c:pt>
              </c:numCache>
            </c:numRef>
          </c:val>
          <c:extLst>
            <c:ext xmlns:c16="http://schemas.microsoft.com/office/drawing/2014/chart" uri="{C3380CC4-5D6E-409C-BE32-E72D297353CC}">
              <c16:uniqueId val="{00000000-E1F6-43E6-8FC1-B494DFE8F46D}"/>
            </c:ext>
          </c:extLst>
        </c:ser>
        <c:dLbls>
          <c:showLegendKey val="0"/>
          <c:showVal val="0"/>
          <c:showCatName val="0"/>
          <c:showSerName val="0"/>
          <c:showPercent val="0"/>
          <c:showBubbleSize val="0"/>
        </c:dLbls>
        <c:gapWidth val="51"/>
        <c:overlap val="100"/>
        <c:axId val="805475576"/>
        <c:axId val="805475904"/>
        <c:extLst>
          <c:ext xmlns:c15="http://schemas.microsoft.com/office/drawing/2012/chart" uri="{02D57815-91ED-43cb-92C2-25804820EDAC}">
            <c15:filteredBarSeries>
              <c15:ser>
                <c:idx val="1"/>
                <c:order val="1"/>
                <c:tx>
                  <c:strRef>
                    <c:extLst>
                      <c:ext uri="{02D57815-91ED-43cb-92C2-25804820EDAC}">
                        <c15:formulaRef>
                          <c15:sqref>'F3 FATAL NFO Comp'!$N$7</c15:sqref>
                        </c15:formulaRef>
                      </c:ext>
                    </c:extLst>
                    <c:strCache>
                      <c:ptCount val="1"/>
                      <c:pt idx="0">
                        <c:v>Fatal OD </c:v>
                      </c:pt>
                    </c:strCache>
                  </c:strRef>
                </c:tx>
                <c:spPr>
                  <a:solidFill>
                    <a:srgbClr val="C00000"/>
                  </a:solidFill>
                  <a:ln w="6350">
                    <a:solidFill>
                      <a:schemeClr val="bg1"/>
                    </a:solidFill>
                  </a:ln>
                  <a:effectLst/>
                </c:spPr>
                <c:invertIfNegative val="0"/>
                <c:dLbls>
                  <c:dLbl>
                    <c:idx val="0"/>
                    <c:numFmt formatCode="#,##0" sourceLinked="0"/>
                    <c:spPr>
                      <a:noFill/>
                      <a:ln>
                        <a:noFill/>
                      </a:ln>
                      <a:effectLst/>
                    </c:spPr>
                    <c:txPr>
                      <a:bodyPr rot="0" spcFirstLastPara="1" vertOverflow="ellipsis" vert="horz" wrap="none" lIns="9144" tIns="9144" rIns="38100" bIns="9144" anchor="ctr" anchorCtr="1">
                        <a:spAutoFit/>
                      </a:bodyPr>
                      <a:lstStyle/>
                      <a:p>
                        <a:pPr>
                          <a:defRPr sz="800" b="0" i="0" u="none" strike="noStrike" kern="1200" baseline="0">
                            <a:solidFill>
                              <a:schemeClr val="bg1"/>
                            </a:solidFill>
                            <a:latin typeface="+mn-lt"/>
                            <a:ea typeface="+mn-ea"/>
                            <a:cs typeface="+mn-cs"/>
                          </a:defRPr>
                        </a:pPr>
                        <a:endParaRPr lang="en-US"/>
                      </a:p>
                    </c:txPr>
                    <c:showLegendKey val="0"/>
                    <c:showVal val="1"/>
                    <c:showCatName val="0"/>
                    <c:showSerName val="0"/>
                    <c:showPercent val="0"/>
                    <c:showBubbleSize val="0"/>
                    <c:extLst>
                      <c:ext uri="{CE6537A1-D6FC-4f65-9D91-7224C49458BB}">
                        <c15:spPr xmlns:c15="http://schemas.microsoft.com/office/drawing/2012/chart">
                          <a:prstGeom prst="rect">
                            <a:avLst/>
                          </a:prstGeom>
                        </c15:spPr>
                      </c:ext>
                      <c:ext xmlns:c16="http://schemas.microsoft.com/office/drawing/2014/chart" uri="{C3380CC4-5D6E-409C-BE32-E72D297353CC}">
                        <c16:uniqueId val="{00000001-E1F6-43E6-8FC1-B494DFE8F46D}"/>
                      </c:ext>
                    </c:extLst>
                  </c:dLbl>
                  <c:numFmt formatCode="#,##0" sourceLinked="0"/>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bg1"/>
                          </a:solidFill>
                          <a:latin typeface="+mn-lt"/>
                          <a:ea typeface="+mn-ea"/>
                          <a:cs typeface="+mn-cs"/>
                        </a:defRPr>
                      </a:pPr>
                      <a:endParaRPr lang="en-US"/>
                    </a:p>
                  </c:txPr>
                  <c:showLegendKey val="0"/>
                  <c:showVal val="1"/>
                  <c:showCatName val="0"/>
                  <c:showSerName val="0"/>
                  <c:showPercent val="0"/>
                  <c:showBubbleSize val="0"/>
                  <c:showLeaderLines val="0"/>
                  <c:extLst>
                    <c:ext uri="{CE6537A1-D6FC-4f65-9D91-7224C49458BB}">
                      <c15:showLeaderLines val="1"/>
                      <c15:leaderLines>
                        <c:spPr>
                          <a:ln w="9525" cap="flat" cmpd="sng" algn="ctr">
                            <a:solidFill>
                              <a:schemeClr val="tx1">
                                <a:lumMod val="35000"/>
                                <a:lumOff val="65000"/>
                              </a:schemeClr>
                            </a:solidFill>
                            <a:round/>
                          </a:ln>
                          <a:effectLst/>
                        </c:spPr>
                      </c15:leaderLines>
                    </c:ext>
                  </c:extLst>
                </c:dLbls>
                <c:cat>
                  <c:numRef>
                    <c:extLst>
                      <c:ext uri="{02D57815-91ED-43cb-92C2-25804820EDAC}">
                        <c15:formulaRef>
                          <c15:sqref>'F3 FATAL NFO Comp'!$O$5:$W$5</c15:sqref>
                        </c15:formulaRef>
                      </c:ext>
                    </c:extLst>
                    <c:numCache>
                      <c:formatCode>General</c:formatCode>
                      <c:ptCount val="9"/>
                      <c:pt idx="0">
                        <c:v>2013</c:v>
                      </c:pt>
                      <c:pt idx="1">
                        <c:v>2014</c:v>
                      </c:pt>
                      <c:pt idx="2">
                        <c:v>2015</c:v>
                      </c:pt>
                      <c:pt idx="3">
                        <c:v>2016</c:v>
                      </c:pt>
                      <c:pt idx="4">
                        <c:v>2017</c:v>
                      </c:pt>
                      <c:pt idx="5">
                        <c:v>2018</c:v>
                      </c:pt>
                      <c:pt idx="6">
                        <c:v>2019</c:v>
                      </c:pt>
                      <c:pt idx="7">
                        <c:v>2020</c:v>
                      </c:pt>
                      <c:pt idx="8">
                        <c:v>2021</c:v>
                      </c:pt>
                    </c:numCache>
                  </c:numRef>
                </c:cat>
                <c:val>
                  <c:numRef>
                    <c:extLst>
                      <c:ext uri="{02D57815-91ED-43cb-92C2-25804820EDAC}">
                        <c15:formulaRef>
                          <c15:sqref>'F3 FATAL NFO Comp'!$O$7:$V$7</c15:sqref>
                        </c15:formulaRef>
                      </c:ext>
                    </c:extLst>
                    <c:numCache>
                      <c:formatCode>General</c:formatCode>
                      <c:ptCount val="8"/>
                      <c:pt idx="0">
                        <c:v>929</c:v>
                      </c:pt>
                      <c:pt idx="1">
                        <c:v>1305</c:v>
                      </c:pt>
                      <c:pt idx="2">
                        <c:v>1679</c:v>
                      </c:pt>
                      <c:pt idx="3">
                        <c:v>2038</c:v>
                      </c:pt>
                      <c:pt idx="4">
                        <c:v>1934</c:v>
                      </c:pt>
                      <c:pt idx="5">
                        <c:v>1954</c:v>
                      </c:pt>
                      <c:pt idx="6">
                        <c:v>1954</c:v>
                      </c:pt>
                      <c:pt idx="7">
                        <c:v>2059</c:v>
                      </c:pt>
                    </c:numCache>
                  </c:numRef>
                </c:val>
                <c:extLst>
                  <c:ext xmlns:c16="http://schemas.microsoft.com/office/drawing/2014/chart" uri="{C3380CC4-5D6E-409C-BE32-E72D297353CC}">
                    <c16:uniqueId val="{00000002-E1F6-43E6-8FC1-B494DFE8F46D}"/>
                  </c:ext>
                </c:extLst>
              </c15:ser>
            </c15:filteredBarSeries>
          </c:ext>
        </c:extLst>
      </c:barChart>
      <c:catAx>
        <c:axId val="805475576"/>
        <c:scaling>
          <c:orientation val="minMax"/>
        </c:scaling>
        <c:delete val="0"/>
        <c:axPos val="b"/>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000" b="1" i="0" u="none" strike="noStrike" kern="1200" baseline="0">
                <a:solidFill>
                  <a:sysClr val="windowText" lastClr="000000"/>
                </a:solidFill>
                <a:latin typeface="Segoe UI" panose="020B0502040204020203" pitchFamily="34" charset="0"/>
                <a:ea typeface="+mn-ea"/>
                <a:cs typeface="Segoe UI" panose="020B0502040204020203" pitchFamily="34" charset="0"/>
              </a:defRPr>
            </a:pPr>
            <a:endParaRPr lang="en-US"/>
          </a:p>
        </c:txPr>
        <c:crossAx val="805475904"/>
        <c:crosses val="autoZero"/>
        <c:auto val="1"/>
        <c:lblAlgn val="ctr"/>
        <c:lblOffset val="100"/>
        <c:noMultiLvlLbl val="0"/>
      </c:catAx>
      <c:valAx>
        <c:axId val="805475904"/>
        <c:scaling>
          <c:orientation val="minMax"/>
          <c:max val="10"/>
          <c:min val="0"/>
        </c:scaling>
        <c:delete val="1"/>
        <c:axPos val="l"/>
        <c:majorGridlines>
          <c:spPr>
            <a:ln w="9525" cap="flat" cmpd="sng" algn="ctr">
              <a:noFill/>
              <a:round/>
            </a:ln>
            <a:effectLst/>
          </c:spPr>
        </c:majorGridlines>
        <c:title>
          <c:tx>
            <c:rich>
              <a:bodyPr rot="-5400000" spcFirstLastPara="1" vertOverflow="ellipsis" vert="horz" wrap="square" anchor="ctr" anchorCtr="1"/>
              <a:lstStyle/>
              <a:p>
                <a:pPr>
                  <a:defRPr sz="900" b="1" i="0" u="none" strike="noStrike" kern="1200" baseline="0">
                    <a:solidFill>
                      <a:sysClr val="windowText" lastClr="000000"/>
                    </a:solidFill>
                    <a:latin typeface="Segoe UI" panose="020B0502040204020203" pitchFamily="34" charset="0"/>
                    <a:ea typeface="+mn-ea"/>
                    <a:cs typeface="Segoe UI" panose="020B0502040204020203" pitchFamily="34" charset="0"/>
                  </a:defRPr>
                </a:pPr>
                <a:r>
                  <a:rPr lang="en-US" sz="900" b="1">
                    <a:solidFill>
                      <a:sysClr val="windowText" lastClr="000000"/>
                    </a:solidFill>
                    <a:latin typeface="Segoe UI" panose="020B0502040204020203" pitchFamily="34" charset="0"/>
                    <a:cs typeface="Segoe UI" panose="020B0502040204020203" pitchFamily="34" charset="0"/>
                  </a:rPr>
                  <a:t>Ratio of fatal to NFO</a:t>
                </a:r>
              </a:p>
            </c:rich>
          </c:tx>
          <c:layout>
            <c:manualLayout>
              <c:xMode val="edge"/>
              <c:yMode val="edge"/>
              <c:x val="6.1651692576889419E-2"/>
              <c:y val="0.39183317811080065"/>
            </c:manualLayout>
          </c:layout>
          <c:overlay val="0"/>
          <c:spPr>
            <a:noFill/>
            <a:ln>
              <a:noFill/>
            </a:ln>
            <a:effectLst/>
          </c:spPr>
        </c:title>
        <c:numFmt formatCode="#,##0" sourceLinked="0"/>
        <c:majorTickMark val="none"/>
        <c:minorTickMark val="none"/>
        <c:tickLblPos val="nextTo"/>
        <c:crossAx val="805475576"/>
        <c:crosses val="autoZero"/>
        <c:crossBetween val="between"/>
        <c:majorUnit val="5"/>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2">
    <c:autoUpdate val="0"/>
  </c:externalData>
  <c:userShapes r:id="rId3"/>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8.4657110168921176E-2"/>
          <c:y val="0.18779082177161152"/>
          <c:w val="0.81713288242815807"/>
          <c:h val="0.64262489600752937"/>
        </c:manualLayout>
      </c:layout>
      <c:barChart>
        <c:barDir val="col"/>
        <c:grouping val="stacked"/>
        <c:varyColors val="0"/>
        <c:ser>
          <c:idx val="1"/>
          <c:order val="1"/>
          <c:tx>
            <c:strRef>
              <c:f>'[NFO 2013-2021 data brief figures.xlsx]F4 FATAL non-fatal'!$C$2</c:f>
              <c:strCache>
                <c:ptCount val="1"/>
                <c:pt idx="0">
                  <c:v>NFO(n=133,295)</c:v>
                </c:pt>
              </c:strCache>
            </c:strRef>
          </c:tx>
          <c:spPr>
            <a:solidFill>
              <a:srgbClr val="5B9BD5">
                <a:lumMod val="75000"/>
              </a:srgbClr>
            </a:solidFill>
            <a:ln>
              <a:noFill/>
            </a:ln>
            <a:effectLst/>
          </c:spPr>
          <c:invertIfNegative val="0"/>
          <c:dLbls>
            <c:dLbl>
              <c:idx val="0"/>
              <c:spPr>
                <a:solidFill>
                  <a:srgbClr val="4472C4">
                    <a:alpha val="75000"/>
                  </a:srgbClr>
                </a:solidFill>
                <a:ln>
                  <a:noFill/>
                </a:ln>
                <a:effectLst/>
              </c:spPr>
              <c:txPr>
                <a:bodyPr rot="0" spcFirstLastPara="1" vertOverflow="ellipsis" vert="horz" wrap="square" lIns="9144" tIns="9144" rIns="9144" bIns="9144" anchor="ctr" anchorCtr="1">
                  <a:spAutoFit/>
                </a:bodyPr>
                <a:lstStyle/>
                <a:p>
                  <a:pPr>
                    <a:defRPr sz="800" b="0" i="0" u="none" strike="noStrike" kern="1200" baseline="0">
                      <a:solidFill>
                        <a:schemeClr val="bg1"/>
                      </a:solidFill>
                      <a:latin typeface="Segoe UI" panose="020B0502040204020203" pitchFamily="34" charset="0"/>
                      <a:ea typeface="+mn-ea"/>
                      <a:cs typeface="Segoe UI" panose="020B0502040204020203" pitchFamily="34" charset="0"/>
                    </a:defRPr>
                  </a:pPr>
                  <a:endParaRPr lang="en-US"/>
                </a:p>
              </c:txPr>
              <c:showLegendKey val="0"/>
              <c:showVal val="1"/>
              <c:showCatName val="0"/>
              <c:showSerName val="0"/>
              <c:showPercent val="0"/>
              <c:showBubbleSize val="0"/>
              <c:extLst>
                <c:ext xmlns:c15="http://schemas.microsoft.com/office/drawing/2012/chart" uri="{CE6537A1-D6FC-4f65-9D91-7224C49458BB}">
                  <c15:spPr xmlns:c15="http://schemas.microsoft.com/office/drawing/2012/chart">
                    <a:prstGeom prst="rect">
                      <a:avLst/>
                    </a:prstGeom>
                  </c15:spPr>
                </c:ext>
                <c:ext xmlns:c16="http://schemas.microsoft.com/office/drawing/2014/chart" uri="{C3380CC4-5D6E-409C-BE32-E72D297353CC}">
                  <c16:uniqueId val="{00000000-B6BD-4EEA-8AE8-76598FF0B204}"/>
                </c:ext>
              </c:extLst>
            </c:dLbl>
            <c:dLbl>
              <c:idx val="1"/>
              <c:spPr>
                <a:solidFill>
                  <a:srgbClr val="4472C4">
                    <a:alpha val="75000"/>
                  </a:srgbClr>
                </a:solidFill>
                <a:ln>
                  <a:noFill/>
                </a:ln>
                <a:effectLst/>
              </c:spPr>
              <c:txPr>
                <a:bodyPr rot="0" spcFirstLastPara="1" vertOverflow="ellipsis" vert="horz" wrap="square" lIns="9144" tIns="9144" rIns="9144" bIns="9144" anchor="ctr" anchorCtr="1">
                  <a:spAutoFit/>
                </a:bodyPr>
                <a:lstStyle/>
                <a:p>
                  <a:pPr>
                    <a:defRPr sz="800" b="0" i="0" u="none" strike="noStrike" kern="1200" baseline="0">
                      <a:solidFill>
                        <a:schemeClr val="bg1"/>
                      </a:solidFill>
                      <a:latin typeface="Segoe UI" panose="020B0502040204020203" pitchFamily="34" charset="0"/>
                      <a:ea typeface="+mn-ea"/>
                      <a:cs typeface="Segoe UI" panose="020B0502040204020203" pitchFamily="34" charset="0"/>
                    </a:defRPr>
                  </a:pPr>
                  <a:endParaRPr lang="en-US"/>
                </a:p>
              </c:txPr>
              <c:showLegendKey val="0"/>
              <c:showVal val="1"/>
              <c:showCatName val="0"/>
              <c:showSerName val="0"/>
              <c:showPercent val="0"/>
              <c:showBubbleSize val="0"/>
              <c:extLst>
                <c:ext xmlns:c15="http://schemas.microsoft.com/office/drawing/2012/chart" uri="{CE6537A1-D6FC-4f65-9D91-7224C49458BB}">
                  <c15:spPr xmlns:c15="http://schemas.microsoft.com/office/drawing/2012/chart">
                    <a:prstGeom prst="rect">
                      <a:avLst/>
                    </a:prstGeom>
                  </c15:spPr>
                </c:ext>
                <c:ext xmlns:c16="http://schemas.microsoft.com/office/drawing/2014/chart" uri="{C3380CC4-5D6E-409C-BE32-E72D297353CC}">
                  <c16:uniqueId val="{00000001-B6BD-4EEA-8AE8-76598FF0B204}"/>
                </c:ext>
              </c:extLst>
            </c:dLbl>
            <c:dLbl>
              <c:idx val="2"/>
              <c:spPr>
                <a:solidFill>
                  <a:srgbClr val="4472C4">
                    <a:alpha val="75000"/>
                  </a:srgbClr>
                </a:solidFill>
                <a:ln>
                  <a:noFill/>
                </a:ln>
                <a:effectLst/>
              </c:spPr>
              <c:txPr>
                <a:bodyPr rot="0" spcFirstLastPara="1" vertOverflow="ellipsis" vert="horz" wrap="square" lIns="9144" tIns="9144" rIns="9144" bIns="9144" anchor="ctr" anchorCtr="1">
                  <a:spAutoFit/>
                </a:bodyPr>
                <a:lstStyle/>
                <a:p>
                  <a:pPr>
                    <a:defRPr sz="800" b="0" i="0" u="none" strike="noStrike" kern="1200" baseline="0">
                      <a:solidFill>
                        <a:schemeClr val="bg1"/>
                      </a:solidFill>
                      <a:latin typeface="Segoe UI" panose="020B0502040204020203" pitchFamily="34" charset="0"/>
                      <a:ea typeface="+mn-ea"/>
                      <a:cs typeface="Segoe UI" panose="020B0502040204020203" pitchFamily="34" charset="0"/>
                    </a:defRPr>
                  </a:pPr>
                  <a:endParaRPr lang="en-US"/>
                </a:p>
              </c:txPr>
              <c:showLegendKey val="0"/>
              <c:showVal val="1"/>
              <c:showCatName val="0"/>
              <c:showSerName val="0"/>
              <c:showPercent val="0"/>
              <c:showBubbleSize val="0"/>
              <c:extLst>
                <c:ext xmlns:c15="http://schemas.microsoft.com/office/drawing/2012/chart" uri="{CE6537A1-D6FC-4f65-9D91-7224C49458BB}">
                  <c15:spPr xmlns:c15="http://schemas.microsoft.com/office/drawing/2012/chart">
                    <a:prstGeom prst="rect">
                      <a:avLst/>
                    </a:prstGeom>
                  </c15:spPr>
                </c:ext>
                <c:ext xmlns:c16="http://schemas.microsoft.com/office/drawing/2014/chart" uri="{C3380CC4-5D6E-409C-BE32-E72D297353CC}">
                  <c16:uniqueId val="{00000002-B6BD-4EEA-8AE8-76598FF0B204}"/>
                </c:ext>
              </c:extLst>
            </c:dLbl>
            <c:dLbl>
              <c:idx val="3"/>
              <c:spPr>
                <a:solidFill>
                  <a:srgbClr val="4472C4">
                    <a:alpha val="75000"/>
                  </a:srgbClr>
                </a:solidFill>
                <a:ln>
                  <a:noFill/>
                </a:ln>
                <a:effectLst/>
              </c:spPr>
              <c:txPr>
                <a:bodyPr rot="0" spcFirstLastPara="1" vertOverflow="ellipsis" vert="horz" wrap="square" lIns="9144" tIns="9144" rIns="9144" bIns="9144" anchor="ctr" anchorCtr="1">
                  <a:spAutoFit/>
                </a:bodyPr>
                <a:lstStyle/>
                <a:p>
                  <a:pPr>
                    <a:defRPr sz="800" b="0" i="0" u="none" strike="noStrike" kern="1200" baseline="0">
                      <a:solidFill>
                        <a:schemeClr val="bg1"/>
                      </a:solidFill>
                      <a:latin typeface="Segoe UI" panose="020B0502040204020203" pitchFamily="34" charset="0"/>
                      <a:ea typeface="+mn-ea"/>
                      <a:cs typeface="Segoe UI" panose="020B0502040204020203" pitchFamily="34" charset="0"/>
                    </a:defRPr>
                  </a:pPr>
                  <a:endParaRPr lang="en-US"/>
                </a:p>
              </c:txPr>
              <c:showLegendKey val="0"/>
              <c:showVal val="1"/>
              <c:showCatName val="0"/>
              <c:showSerName val="0"/>
              <c:showPercent val="0"/>
              <c:showBubbleSize val="0"/>
              <c:extLst>
                <c:ext xmlns:c15="http://schemas.microsoft.com/office/drawing/2012/chart" uri="{CE6537A1-D6FC-4f65-9D91-7224C49458BB}">
                  <c15:spPr xmlns:c15="http://schemas.microsoft.com/office/drawing/2012/chart">
                    <a:prstGeom prst="rect">
                      <a:avLst/>
                    </a:prstGeom>
                  </c15:spPr>
                </c:ext>
                <c:ext xmlns:c16="http://schemas.microsoft.com/office/drawing/2014/chart" uri="{C3380CC4-5D6E-409C-BE32-E72D297353CC}">
                  <c16:uniqueId val="{00000003-B6BD-4EEA-8AE8-76598FF0B204}"/>
                </c:ext>
              </c:extLst>
            </c:dLbl>
            <c:spPr>
              <a:solidFill>
                <a:srgbClr val="4472C4">
                  <a:alpha val="75000"/>
                </a:srgbClr>
              </a:solidFill>
              <a:ln>
                <a:noFill/>
              </a:ln>
              <a:effectLst/>
            </c:spPr>
            <c:txPr>
              <a:bodyPr rot="0" spcFirstLastPara="1" vertOverflow="ellipsis" vert="horz" wrap="square" lIns="9144" tIns="9144" rIns="9144" bIns="9144" anchor="ctr" anchorCtr="1">
                <a:spAutoFit/>
              </a:bodyPr>
              <a:lstStyle/>
              <a:p>
                <a:pPr>
                  <a:defRPr sz="700" b="0" i="0" u="none" strike="noStrike" kern="1200" baseline="0">
                    <a:solidFill>
                      <a:schemeClr val="bg1"/>
                    </a:solidFill>
                    <a:latin typeface="Segoe UI" panose="020B0502040204020203" pitchFamily="34" charset="0"/>
                    <a:ea typeface="+mn-ea"/>
                    <a:cs typeface="Segoe UI" panose="020B0502040204020203"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rect">
                    <a:avLst/>
                  </a:prstGeom>
                </c15:spPr>
                <c15:showLeaderLines val="1"/>
                <c15:leaderLines>
                  <c:spPr>
                    <a:ln w="9525" cap="flat" cmpd="sng" algn="ctr">
                      <a:solidFill>
                        <a:schemeClr val="tx1">
                          <a:lumMod val="35000"/>
                          <a:lumOff val="65000"/>
                        </a:schemeClr>
                      </a:solidFill>
                      <a:round/>
                    </a:ln>
                    <a:effectLst/>
                  </c:spPr>
                </c15:leaderLines>
              </c:ext>
            </c:extLst>
          </c:dLbls>
          <c:cat>
            <c:strRef>
              <c:f>'[NFO 2013-2021 data brief figures.xlsx]F4 FATAL non-fatal'!$B$3:$B$11</c:f>
              <c:strCache>
                <c:ptCount val="8"/>
                <c:pt idx="0">
                  <c:v>1</c:v>
                </c:pt>
                <c:pt idx="1">
                  <c:v>2</c:v>
                </c:pt>
                <c:pt idx="2">
                  <c:v>3</c:v>
                </c:pt>
                <c:pt idx="3">
                  <c:v>4</c:v>
                </c:pt>
                <c:pt idx="4">
                  <c:v>5</c:v>
                </c:pt>
                <c:pt idx="5">
                  <c:v>6</c:v>
                </c:pt>
                <c:pt idx="6">
                  <c:v>7-10 </c:v>
                </c:pt>
                <c:pt idx="7">
                  <c:v>&gt;10</c:v>
                </c:pt>
              </c:strCache>
              <c:extLst/>
            </c:strRef>
          </c:cat>
          <c:val>
            <c:numRef>
              <c:f>'[NFO 2013-2021 data brief figures.xlsx]F4 FATAL non-fatal'!$C$3:$C$11</c:f>
              <c:numCache>
                <c:formatCode>_(* #,##0_);_(* \(#,##0\);_(* "-"??_);_(@_)</c:formatCode>
                <c:ptCount val="8"/>
                <c:pt idx="0">
                  <c:v>72018</c:v>
                </c:pt>
                <c:pt idx="1">
                  <c:v>24948</c:v>
                </c:pt>
                <c:pt idx="2">
                  <c:v>12758</c:v>
                </c:pt>
                <c:pt idx="3">
                  <c:v>7546</c:v>
                </c:pt>
                <c:pt idx="4">
                  <c:v>4675</c:v>
                </c:pt>
                <c:pt idx="5">
                  <c:v>3092</c:v>
                </c:pt>
                <c:pt idx="6">
                  <c:v>4560</c:v>
                </c:pt>
                <c:pt idx="7" formatCode="General">
                  <c:v>2942</c:v>
                </c:pt>
              </c:numCache>
              <c:extLst/>
            </c:numRef>
          </c:val>
          <c:extLst>
            <c:ext xmlns:c16="http://schemas.microsoft.com/office/drawing/2014/chart" uri="{C3380CC4-5D6E-409C-BE32-E72D297353CC}">
              <c16:uniqueId val="{00000004-B6BD-4EEA-8AE8-76598FF0B204}"/>
            </c:ext>
          </c:extLst>
        </c:ser>
        <c:dLbls>
          <c:showLegendKey val="0"/>
          <c:showVal val="0"/>
          <c:showCatName val="0"/>
          <c:showSerName val="0"/>
          <c:showPercent val="0"/>
          <c:showBubbleSize val="0"/>
        </c:dLbls>
        <c:gapWidth val="40"/>
        <c:overlap val="100"/>
        <c:axId val="825685280"/>
        <c:axId val="825678720"/>
        <c:extLst>
          <c:ext xmlns:c15="http://schemas.microsoft.com/office/drawing/2012/chart" uri="{02D57815-91ED-43cb-92C2-25804820EDAC}">
            <c15:filteredBarSeries>
              <c15:ser>
                <c:idx val="0"/>
                <c:order val="0"/>
                <c:tx>
                  <c:strRef>
                    <c:extLst>
                      <c:ext uri="{02D57815-91ED-43cb-92C2-25804820EDAC}">
                        <c15:formulaRef>
                          <c15:sqref>'https://massgov.sharepoint.com/sites/EHS-Teams-IT_DPH_OPH-OPH_PHD/Shared Documents/OPH_PHD/Publications/Reports and Data Briefs/2023 NFO Data Brief/[NFO V2 output 070723.xlsx]4. NFO'!$H$2</c15:sqref>
                        </c15:formulaRef>
                      </c:ext>
                    </c:extLst>
                    <c:strCache>
                      <c:ptCount val="1"/>
                      <c:pt idx="0">
                        <c:v>NFO Count</c:v>
                      </c:pt>
                    </c:strCache>
                  </c:strRef>
                </c:tx>
                <c:spPr>
                  <a:solidFill>
                    <a:schemeClr val="accent1"/>
                  </a:solidFill>
                  <a:ln>
                    <a:noFill/>
                  </a:ln>
                  <a:effectLst/>
                </c:spPr>
                <c:invertIfNegative val="0"/>
                <c:cat>
                  <c:strRef>
                    <c:extLst>
                      <c:ext uri="{02D57815-91ED-43cb-92C2-25804820EDAC}">
                        <c15:formulaRef>
                          <c15:sqref>'[NFO 2013-2021 data brief figures.xlsx]F4 FATAL non-fatal'!$B$3:$B$11</c15:sqref>
                        </c15:formulaRef>
                      </c:ext>
                    </c:extLst>
                    <c:strCache>
                      <c:ptCount val="8"/>
                      <c:pt idx="0">
                        <c:v>1</c:v>
                      </c:pt>
                      <c:pt idx="1">
                        <c:v>2</c:v>
                      </c:pt>
                      <c:pt idx="2">
                        <c:v>3</c:v>
                      </c:pt>
                      <c:pt idx="3">
                        <c:v>4</c:v>
                      </c:pt>
                      <c:pt idx="4">
                        <c:v>5</c:v>
                      </c:pt>
                      <c:pt idx="5">
                        <c:v>6</c:v>
                      </c:pt>
                      <c:pt idx="6">
                        <c:v>7-10 </c:v>
                      </c:pt>
                      <c:pt idx="7">
                        <c:v>&gt;10</c:v>
                      </c:pt>
                    </c:strCache>
                  </c:strRef>
                </c:cat>
                <c:val>
                  <c:numRef>
                    <c:extLst>
                      <c:ext uri="{02D57815-91ED-43cb-92C2-25804820EDAC}">
                        <c15:formulaRef>
                          <c15:sqref>'https://massgov.sharepoint.com/sites/EHS-Teams-IT_DPH_OPH-OPH_PHD/Shared Documents/OPH_PHD/Publications/Reports and Data Briefs/2023 NFO Data Brief/[NFO V2 output 070723.xlsx]4. NFO'!$H$4:$H$13</c15:sqref>
                        </c15:formulaRef>
                      </c:ext>
                    </c:extLst>
                    <c:numCache>
                      <c:formatCode>General</c:formatCode>
                      <c:ptCount val="9"/>
                      <c:pt idx="0">
                        <c:v>2</c:v>
                      </c:pt>
                      <c:pt idx="1">
                        <c:v>3</c:v>
                      </c:pt>
                      <c:pt idx="2">
                        <c:v>4</c:v>
                      </c:pt>
                      <c:pt idx="3">
                        <c:v>5</c:v>
                      </c:pt>
                      <c:pt idx="4">
                        <c:v>6</c:v>
                      </c:pt>
                      <c:pt idx="5">
                        <c:v>0</c:v>
                      </c:pt>
                      <c:pt idx="6">
                        <c:v>8</c:v>
                      </c:pt>
                      <c:pt idx="7">
                        <c:v>9</c:v>
                      </c:pt>
                      <c:pt idx="8">
                        <c:v>10</c:v>
                      </c:pt>
                    </c:numCache>
                  </c:numRef>
                </c:val>
                <c:extLst>
                  <c:ext xmlns:c16="http://schemas.microsoft.com/office/drawing/2014/chart" uri="{C3380CC4-5D6E-409C-BE32-E72D297353CC}">
                    <c16:uniqueId val="{00000005-B6BD-4EEA-8AE8-76598FF0B204}"/>
                  </c:ext>
                </c:extLst>
              </c15:ser>
            </c15:filteredBarSeries>
            <c15:filteredBarSeries>
              <c15:ser>
                <c:idx val="2"/>
                <c:order val="2"/>
                <c:tx>
                  <c:strRef>
                    <c:extLst xmlns:c15="http://schemas.microsoft.com/office/drawing/2012/chart">
                      <c:ext xmlns:c15="http://schemas.microsoft.com/office/drawing/2012/chart" uri="{02D57815-91ED-43cb-92C2-25804820EDAC}">
                        <c15:formulaRef>
                          <c15:sqref>'[NFO 2013-2021 data brief figures.xlsx]F4 FATAL non-fatal'!$D$2</c15:sqref>
                        </c15:formulaRef>
                      </c:ext>
                    </c:extLst>
                    <c:strCache>
                      <c:ptCount val="1"/>
                      <c:pt idx="0">
                        <c:v>Fatal overdose (n=16,095)</c:v>
                      </c:pt>
                    </c:strCache>
                  </c:strRef>
                </c:tx>
                <c:spPr>
                  <a:solidFill>
                    <a:srgbClr val="C80000"/>
                  </a:solidFill>
                  <a:ln w="3175">
                    <a:solidFill>
                      <a:sysClr val="window" lastClr="FFFFFF">
                        <a:lumMod val="95000"/>
                      </a:sysClr>
                    </a:solidFill>
                  </a:ln>
                  <a:effectLst/>
                </c:spPr>
                <c:invertIfNegative val="0"/>
                <c:dLbls>
                  <c:dLbl>
                    <c:idx val="0"/>
                    <c:layout>
                      <c:manualLayout>
                        <c:x val="-2.5462668816039986E-17"/>
                        <c:y val="-4.5217993584135314E-2"/>
                      </c:manualLayout>
                    </c:layout>
                    <c:dLblPos val="ctr"/>
                    <c:showLegendKey val="0"/>
                    <c:showVal val="1"/>
                    <c:showCatName val="0"/>
                    <c:showSerName val="0"/>
                    <c:showPercent val="0"/>
                    <c:showBubbleSize val="0"/>
                    <c:extLst xmlns:c15="http://schemas.microsoft.com/office/drawing/2012/chart">
                      <c:ext xmlns:c15="http://schemas.microsoft.com/office/drawing/2012/chart" uri="{CE6537A1-D6FC-4f65-9D91-7224C49458BB}"/>
                      <c:ext xmlns:c16="http://schemas.microsoft.com/office/drawing/2014/chart" uri="{C3380CC4-5D6E-409C-BE32-E72D297353CC}">
                        <c16:uniqueId val="{00000006-B6BD-4EEA-8AE8-76598FF0B204}"/>
                      </c:ext>
                    </c:extLst>
                  </c:dLbl>
                  <c:numFmt formatCode="#,##0" sourceLinked="0"/>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ysClr val="windowText" lastClr="000000"/>
                          </a:solidFill>
                          <a:latin typeface="+mn-lt"/>
                          <a:ea typeface="+mn-ea"/>
                          <a:cs typeface="+mn-cs"/>
                        </a:defRPr>
                      </a:pPr>
                      <a:endParaRPr lang="en-US"/>
                    </a:p>
                  </c:txPr>
                  <c:dLblPos val="inBase"/>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0"/>
                    </c:ext>
                  </c:extLst>
                </c:dLbls>
                <c:cat>
                  <c:strRef>
                    <c:extLst xmlns:c15="http://schemas.microsoft.com/office/drawing/2012/chart">
                      <c:ext xmlns:c15="http://schemas.microsoft.com/office/drawing/2012/chart" uri="{02D57815-91ED-43cb-92C2-25804820EDAC}">
                        <c15:formulaRef>
                          <c15:sqref>'[NFO 2013-2021 data brief figures.xlsx]F4 FATAL non-fatal'!$B$3:$B$11</c15:sqref>
                        </c15:formulaRef>
                      </c:ext>
                    </c:extLst>
                    <c:strCache>
                      <c:ptCount val="8"/>
                      <c:pt idx="0">
                        <c:v>1</c:v>
                      </c:pt>
                      <c:pt idx="1">
                        <c:v>2</c:v>
                      </c:pt>
                      <c:pt idx="2">
                        <c:v>3</c:v>
                      </c:pt>
                      <c:pt idx="3">
                        <c:v>4</c:v>
                      </c:pt>
                      <c:pt idx="4">
                        <c:v>5</c:v>
                      </c:pt>
                      <c:pt idx="5">
                        <c:v>6</c:v>
                      </c:pt>
                      <c:pt idx="6">
                        <c:v>7-10 </c:v>
                      </c:pt>
                      <c:pt idx="7">
                        <c:v>&gt;10</c:v>
                      </c:pt>
                    </c:strCache>
                  </c:strRef>
                </c:cat>
                <c:val>
                  <c:numRef>
                    <c:extLst xmlns:c15="http://schemas.microsoft.com/office/drawing/2012/chart">
                      <c:ext xmlns:c15="http://schemas.microsoft.com/office/drawing/2012/chart" uri="{02D57815-91ED-43cb-92C2-25804820EDAC}">
                        <c15:formulaRef>
                          <c15:sqref>'[NFO 2013-2021 data brief figures.xlsx]F4 FATAL non-fatal'!$D$3:$D$11</c15:sqref>
                        </c15:formulaRef>
                      </c:ext>
                    </c:extLst>
                    <c:numCache>
                      <c:formatCode>#,##0</c:formatCode>
                      <c:ptCount val="8"/>
                      <c:pt idx="0">
                        <c:v>3092</c:v>
                      </c:pt>
                      <c:pt idx="1">
                        <c:v>1361</c:v>
                      </c:pt>
                      <c:pt idx="2">
                        <c:v>726</c:v>
                      </c:pt>
                      <c:pt idx="3" formatCode="General">
                        <c:v>415</c:v>
                      </c:pt>
                      <c:pt idx="4" formatCode="General">
                        <c:v>280</c:v>
                      </c:pt>
                      <c:pt idx="5" formatCode="General">
                        <c:v>194</c:v>
                      </c:pt>
                    </c:numCache>
                  </c:numRef>
                </c:val>
                <c:extLst xmlns:c15="http://schemas.microsoft.com/office/drawing/2012/chart">
                  <c:ext xmlns:c16="http://schemas.microsoft.com/office/drawing/2014/chart" uri="{C3380CC4-5D6E-409C-BE32-E72D297353CC}">
                    <c16:uniqueId val="{00000007-B6BD-4EEA-8AE8-76598FF0B204}"/>
                  </c:ext>
                </c:extLst>
              </c15:ser>
            </c15:filteredBarSeries>
          </c:ext>
        </c:extLst>
      </c:barChart>
      <c:catAx>
        <c:axId val="825685280"/>
        <c:scaling>
          <c:orientation val="minMax"/>
        </c:scaling>
        <c:delete val="0"/>
        <c:axPos val="b"/>
        <c:title>
          <c:tx>
            <c:rich>
              <a:bodyPr rot="0" spcFirstLastPara="1" vertOverflow="ellipsis" vert="horz" wrap="square" anchor="ctr" anchorCtr="1"/>
              <a:lstStyle/>
              <a:p>
                <a:pPr>
                  <a:defRPr sz="1000" b="1" i="0" u="none" strike="noStrike" kern="1200" baseline="0">
                    <a:solidFill>
                      <a:schemeClr val="tx1">
                        <a:lumMod val="65000"/>
                        <a:lumOff val="35000"/>
                      </a:schemeClr>
                    </a:solidFill>
                    <a:latin typeface="Segoe UI" panose="020B0502040204020203" pitchFamily="34" charset="0"/>
                    <a:ea typeface="+mn-ea"/>
                    <a:cs typeface="Segoe UI" panose="020B0502040204020203" pitchFamily="34" charset="0"/>
                  </a:defRPr>
                </a:pPr>
                <a:r>
                  <a:rPr lang="en-US" sz="1000" b="1">
                    <a:latin typeface="Segoe UI" panose="020B0502040204020203" pitchFamily="34" charset="0"/>
                    <a:cs typeface="Segoe UI" panose="020B0502040204020203" pitchFamily="34" charset="0"/>
                  </a:rPr>
                  <a:t>Number of non-fatal overdoses </a:t>
                </a:r>
              </a:p>
            </c:rich>
          </c:tx>
          <c:overlay val="0"/>
          <c:spPr>
            <a:noFill/>
            <a:ln>
              <a:noFill/>
            </a:ln>
            <a:effectLst/>
          </c:spPr>
        </c:title>
        <c:numFmt formatCode="General" sourceLinked="1"/>
        <c:majorTickMark val="none"/>
        <c:minorTickMark val="none"/>
        <c:tickLblPos val="nextTo"/>
        <c:spPr>
          <a:noFill/>
          <a:ln w="9525" cap="flat" cmpd="sng" algn="ctr">
            <a:solidFill>
              <a:sysClr val="windowText" lastClr="000000"/>
            </a:solidFill>
            <a:round/>
          </a:ln>
          <a:effectLst/>
        </c:spPr>
        <c:txPr>
          <a:bodyPr rot="-60000000" spcFirstLastPara="1" vertOverflow="ellipsis" vert="horz" wrap="square" anchor="ctr" anchorCtr="1"/>
          <a:lstStyle/>
          <a:p>
            <a:pPr>
              <a:defRPr sz="1000" b="1" i="0" u="none" strike="noStrike" kern="1200" baseline="0">
                <a:solidFill>
                  <a:schemeClr val="tx1">
                    <a:lumMod val="65000"/>
                    <a:lumOff val="35000"/>
                  </a:schemeClr>
                </a:solidFill>
                <a:latin typeface="Segoe UI" panose="020B0502040204020203" pitchFamily="34" charset="0"/>
                <a:ea typeface="+mn-ea"/>
                <a:cs typeface="Segoe UI" panose="020B0502040204020203" pitchFamily="34" charset="0"/>
              </a:defRPr>
            </a:pPr>
            <a:endParaRPr lang="en-US"/>
          </a:p>
        </c:txPr>
        <c:crossAx val="825678720"/>
        <c:crosses val="autoZero"/>
        <c:auto val="1"/>
        <c:lblAlgn val="ctr"/>
        <c:lblOffset val="100"/>
        <c:noMultiLvlLbl val="0"/>
      </c:catAx>
      <c:valAx>
        <c:axId val="825678720"/>
        <c:scaling>
          <c:orientation val="minMax"/>
        </c:scaling>
        <c:delete val="1"/>
        <c:axPos val="l"/>
        <c:majorGridlines>
          <c:spPr>
            <a:ln w="9525" cap="flat" cmpd="sng" algn="ctr">
              <a:noFill/>
              <a:round/>
            </a:ln>
            <a:effectLst/>
          </c:spPr>
        </c:majorGridlines>
        <c:title>
          <c:tx>
            <c:rich>
              <a:bodyPr rot="-5400000" spcFirstLastPara="1" vertOverflow="ellipsis" vert="horz" wrap="square" anchor="ctr" anchorCtr="1"/>
              <a:lstStyle/>
              <a:p>
                <a:pPr>
                  <a:defRPr sz="1000" b="1" i="0" u="none" strike="noStrike" kern="1200" baseline="0">
                    <a:solidFill>
                      <a:schemeClr val="tx1">
                        <a:lumMod val="65000"/>
                        <a:lumOff val="35000"/>
                      </a:schemeClr>
                    </a:solidFill>
                    <a:latin typeface="Segoe UI" panose="020B0502040204020203" pitchFamily="34" charset="0"/>
                    <a:ea typeface="+mn-ea"/>
                    <a:cs typeface="Segoe UI" panose="020B0502040204020203" pitchFamily="34" charset="0"/>
                  </a:defRPr>
                </a:pPr>
                <a:r>
                  <a:rPr lang="en-US" sz="1000" b="1" baseline="0">
                    <a:latin typeface="Segoe UI" panose="020B0502040204020203" pitchFamily="34" charset="0"/>
                    <a:cs typeface="Segoe UI" panose="020B0502040204020203" pitchFamily="34" charset="0"/>
                  </a:rPr>
                  <a:t>Count </a:t>
                </a:r>
                <a:endParaRPr lang="en-US" sz="1000" b="1">
                  <a:latin typeface="Segoe UI" panose="020B0502040204020203" pitchFamily="34" charset="0"/>
                  <a:cs typeface="Segoe UI" panose="020B0502040204020203" pitchFamily="34" charset="0"/>
                </a:endParaRPr>
              </a:p>
            </c:rich>
          </c:tx>
          <c:layout>
            <c:manualLayout>
              <c:xMode val="edge"/>
              <c:yMode val="edge"/>
              <c:x val="3.8779022814455888E-2"/>
              <c:y val="0.4543769275372061"/>
            </c:manualLayout>
          </c:layout>
          <c:overlay val="0"/>
          <c:spPr>
            <a:noFill/>
            <a:ln>
              <a:noFill/>
            </a:ln>
            <a:effectLst/>
          </c:spPr>
        </c:title>
        <c:numFmt formatCode="#,##0" sourceLinked="0"/>
        <c:majorTickMark val="none"/>
        <c:minorTickMark val="none"/>
        <c:tickLblPos val="nextTo"/>
        <c:crossAx val="825685280"/>
        <c:crosses val="autoZero"/>
        <c:crossBetween val="between"/>
        <c:majorUnit val="20000"/>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2">
    <c:autoUpdate val="0"/>
  </c:externalData>
  <c:userShapes r:id="rId3"/>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9.7582918594096679E-2"/>
          <c:y val="0.25726394682251119"/>
          <c:w val="0.87339147204907097"/>
          <c:h val="0.54037119345654383"/>
        </c:manualLayout>
      </c:layout>
      <c:lineChart>
        <c:grouping val="standard"/>
        <c:varyColors val="0"/>
        <c:ser>
          <c:idx val="0"/>
          <c:order val="0"/>
          <c:tx>
            <c:strRef>
              <c:f>'[NFO 2013-2021 data brief figures 10.24.23.xlsx]F5,5A_B GENDER'!$A$1</c:f>
              <c:strCache>
                <c:ptCount val="1"/>
                <c:pt idx="0">
                  <c:v>OD_MALE</c:v>
                </c:pt>
              </c:strCache>
            </c:strRef>
          </c:tx>
          <c:spPr>
            <a:ln w="25400" cap="rnd">
              <a:solidFill>
                <a:srgbClr val="5A8B39"/>
              </a:solidFill>
              <a:round/>
            </a:ln>
            <a:effectLst/>
          </c:spPr>
          <c:marker>
            <c:symbol val="circle"/>
            <c:size val="4"/>
            <c:spPr>
              <a:solidFill>
                <a:srgbClr val="5A8B39"/>
              </a:solidFill>
              <a:ln w="9525">
                <a:noFill/>
              </a:ln>
              <a:effectLst/>
            </c:spPr>
          </c:marker>
          <c:dLbls>
            <c:dLbl>
              <c:idx val="1"/>
              <c:delete val="1"/>
              <c:extLst>
                <c:ext xmlns:c15="http://schemas.microsoft.com/office/drawing/2012/chart" uri="{CE6537A1-D6FC-4f65-9D91-7224C49458BB}"/>
                <c:ext xmlns:c16="http://schemas.microsoft.com/office/drawing/2014/chart" uri="{C3380CC4-5D6E-409C-BE32-E72D297353CC}">
                  <c16:uniqueId val="{00000000-CAE5-43FF-A57E-4D4FDABF1E3D}"/>
                </c:ext>
              </c:extLst>
            </c:dLbl>
            <c:dLbl>
              <c:idx val="2"/>
              <c:delete val="1"/>
              <c:extLst>
                <c:ext xmlns:c15="http://schemas.microsoft.com/office/drawing/2012/chart" uri="{CE6537A1-D6FC-4f65-9D91-7224C49458BB}"/>
                <c:ext xmlns:c16="http://schemas.microsoft.com/office/drawing/2014/chart" uri="{C3380CC4-5D6E-409C-BE32-E72D297353CC}">
                  <c16:uniqueId val="{00000001-CAE5-43FF-A57E-4D4FDABF1E3D}"/>
                </c:ext>
              </c:extLst>
            </c:dLbl>
            <c:dLbl>
              <c:idx val="3"/>
              <c:delete val="1"/>
              <c:extLst>
                <c:ext xmlns:c15="http://schemas.microsoft.com/office/drawing/2012/chart" uri="{CE6537A1-D6FC-4f65-9D91-7224C49458BB}"/>
                <c:ext xmlns:c16="http://schemas.microsoft.com/office/drawing/2014/chart" uri="{C3380CC4-5D6E-409C-BE32-E72D297353CC}">
                  <c16:uniqueId val="{00000002-CAE5-43FF-A57E-4D4FDABF1E3D}"/>
                </c:ext>
              </c:extLst>
            </c:dLbl>
            <c:dLbl>
              <c:idx val="4"/>
              <c:delete val="1"/>
              <c:extLst>
                <c:ext xmlns:c15="http://schemas.microsoft.com/office/drawing/2012/chart" uri="{CE6537A1-D6FC-4f65-9D91-7224C49458BB}"/>
                <c:ext xmlns:c16="http://schemas.microsoft.com/office/drawing/2014/chart" uri="{C3380CC4-5D6E-409C-BE32-E72D297353CC}">
                  <c16:uniqueId val="{00000003-CAE5-43FF-A57E-4D4FDABF1E3D}"/>
                </c:ext>
              </c:extLst>
            </c:dLbl>
            <c:dLbl>
              <c:idx val="5"/>
              <c:delete val="1"/>
              <c:extLst>
                <c:ext xmlns:c15="http://schemas.microsoft.com/office/drawing/2012/chart" uri="{CE6537A1-D6FC-4f65-9D91-7224C49458BB}"/>
                <c:ext xmlns:c16="http://schemas.microsoft.com/office/drawing/2014/chart" uri="{C3380CC4-5D6E-409C-BE32-E72D297353CC}">
                  <c16:uniqueId val="{00000004-CAE5-43FF-A57E-4D4FDABF1E3D}"/>
                </c:ext>
              </c:extLst>
            </c:dLbl>
            <c:dLbl>
              <c:idx val="6"/>
              <c:delete val="1"/>
              <c:extLst>
                <c:ext xmlns:c15="http://schemas.microsoft.com/office/drawing/2012/chart" uri="{CE6537A1-D6FC-4f65-9D91-7224C49458BB}"/>
                <c:ext xmlns:c16="http://schemas.microsoft.com/office/drawing/2014/chart" uri="{C3380CC4-5D6E-409C-BE32-E72D297353CC}">
                  <c16:uniqueId val="{00000005-CAE5-43FF-A57E-4D4FDABF1E3D}"/>
                </c:ext>
              </c:extLst>
            </c:dLbl>
            <c:dLbl>
              <c:idx val="7"/>
              <c:delete val="1"/>
              <c:extLst>
                <c:ext xmlns:c15="http://schemas.microsoft.com/office/drawing/2012/chart" uri="{CE6537A1-D6FC-4f65-9D91-7224C49458BB}"/>
                <c:ext xmlns:c16="http://schemas.microsoft.com/office/drawing/2014/chart" uri="{C3380CC4-5D6E-409C-BE32-E72D297353CC}">
                  <c16:uniqueId val="{00000006-CAE5-43FF-A57E-4D4FDABF1E3D}"/>
                </c:ext>
              </c:extLst>
            </c:dLbl>
            <c:spPr>
              <a:solidFill>
                <a:schemeClr val="bg1">
                  <a:alpha val="50000"/>
                </a:schemeClr>
              </a:solidFill>
              <a:ln>
                <a:noFill/>
              </a:ln>
              <a:effectLst/>
            </c:spPr>
            <c:txPr>
              <a:bodyPr rot="0" spcFirstLastPara="1" vertOverflow="ellipsis" vert="horz" wrap="square" lIns="38100" tIns="19050" rIns="38100" bIns="0" anchor="ctr" anchorCtr="1">
                <a:spAutoFit/>
              </a:bodyPr>
              <a:lstStyle/>
              <a:p>
                <a:pPr>
                  <a:defRPr sz="900" b="0" i="0" u="none" strike="noStrike" kern="1200" baseline="0">
                    <a:solidFill>
                      <a:sysClr val="windowText" lastClr="000000"/>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rect">
                    <a:avLst/>
                  </a:prstGeom>
                </c15:spPr>
                <c15:showLeaderLines val="1"/>
                <c15:leaderLines>
                  <c:spPr>
                    <a:ln w="9525" cap="flat" cmpd="sng" algn="ctr">
                      <a:solidFill>
                        <a:schemeClr val="tx1">
                          <a:lumMod val="35000"/>
                          <a:lumOff val="65000"/>
                        </a:schemeClr>
                      </a:solidFill>
                      <a:round/>
                    </a:ln>
                    <a:effectLst/>
                  </c:spPr>
                </c15:leaderLines>
              </c:ext>
            </c:extLst>
          </c:dLbls>
          <c:cat>
            <c:numRef>
              <c:f>'[NFO 2013-2021 data brief figures 10.24.23.xlsx]F5,5A_B GENDER'!$B$1:$J$1</c:f>
              <c:numCache>
                <c:formatCode>General</c:formatCode>
                <c:ptCount val="9"/>
                <c:pt idx="0">
                  <c:v>2013</c:v>
                </c:pt>
                <c:pt idx="1">
                  <c:v>2014</c:v>
                </c:pt>
                <c:pt idx="2">
                  <c:v>2015</c:v>
                </c:pt>
                <c:pt idx="3">
                  <c:v>2016</c:v>
                </c:pt>
                <c:pt idx="4">
                  <c:v>2017</c:v>
                </c:pt>
                <c:pt idx="5">
                  <c:v>2018</c:v>
                </c:pt>
                <c:pt idx="6">
                  <c:v>2019</c:v>
                </c:pt>
                <c:pt idx="7">
                  <c:v>2020</c:v>
                </c:pt>
                <c:pt idx="8">
                  <c:v>2021</c:v>
                </c:pt>
              </c:numCache>
            </c:numRef>
          </c:cat>
          <c:val>
            <c:numRef>
              <c:f>'[NFO 2013-2021 data brief figures 10.24.23.xlsx]F5,5A_B GENDER'!$B$3:$J$3</c:f>
              <c:numCache>
                <c:formatCode>0.0</c:formatCode>
                <c:ptCount val="9"/>
                <c:pt idx="0">
                  <c:v>145.30000000000001</c:v>
                </c:pt>
                <c:pt idx="1">
                  <c:v>234.2</c:v>
                </c:pt>
                <c:pt idx="2">
                  <c:v>292.01</c:v>
                </c:pt>
                <c:pt idx="3">
                  <c:v>350.1</c:v>
                </c:pt>
                <c:pt idx="4">
                  <c:v>355.9</c:v>
                </c:pt>
                <c:pt idx="5">
                  <c:v>344.85</c:v>
                </c:pt>
                <c:pt idx="6">
                  <c:v>322.60000000000002</c:v>
                </c:pt>
                <c:pt idx="7">
                  <c:v>296.03100000000001</c:v>
                </c:pt>
                <c:pt idx="8">
                  <c:v>273.24200000000002</c:v>
                </c:pt>
              </c:numCache>
            </c:numRef>
          </c:val>
          <c:smooth val="0"/>
          <c:extLst>
            <c:ext xmlns:c16="http://schemas.microsoft.com/office/drawing/2014/chart" uri="{C3380CC4-5D6E-409C-BE32-E72D297353CC}">
              <c16:uniqueId val="{00000007-CAE5-43FF-A57E-4D4FDABF1E3D}"/>
            </c:ext>
          </c:extLst>
        </c:ser>
        <c:ser>
          <c:idx val="1"/>
          <c:order val="1"/>
          <c:tx>
            <c:strRef>
              <c:f>'[NFO 2013-2021 data brief figures 10.24.23.xlsx]F5,5A_B GENDER'!$A$5</c:f>
              <c:strCache>
                <c:ptCount val="1"/>
                <c:pt idx="0">
                  <c:v>OD_FEMALE</c:v>
                </c:pt>
              </c:strCache>
            </c:strRef>
          </c:tx>
          <c:spPr>
            <a:ln w="25400" cap="rnd">
              <a:solidFill>
                <a:srgbClr val="4E67C8">
                  <a:lumMod val="60000"/>
                  <a:lumOff val="40000"/>
                </a:srgbClr>
              </a:solidFill>
              <a:round/>
            </a:ln>
            <a:effectLst/>
          </c:spPr>
          <c:marker>
            <c:symbol val="circle"/>
            <c:size val="4"/>
            <c:spPr>
              <a:solidFill>
                <a:srgbClr val="4E67C8">
                  <a:lumMod val="60000"/>
                  <a:lumOff val="40000"/>
                </a:srgbClr>
              </a:solidFill>
              <a:ln w="9525">
                <a:noFill/>
              </a:ln>
              <a:effectLst/>
            </c:spPr>
          </c:marker>
          <c:dLbls>
            <c:dLbl>
              <c:idx val="0"/>
              <c:layout>
                <c:manualLayout>
                  <c:x val="-3.4723327676115821E-2"/>
                  <c:y val="-4.085116051205960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CAE5-43FF-A57E-4D4FDABF1E3D}"/>
                </c:ext>
              </c:extLst>
            </c:dLbl>
            <c:dLbl>
              <c:idx val="1"/>
              <c:delete val="1"/>
              <c:extLst>
                <c:ext xmlns:c15="http://schemas.microsoft.com/office/drawing/2012/chart" uri="{CE6537A1-D6FC-4f65-9D91-7224C49458BB}"/>
                <c:ext xmlns:c16="http://schemas.microsoft.com/office/drawing/2014/chart" uri="{C3380CC4-5D6E-409C-BE32-E72D297353CC}">
                  <c16:uniqueId val="{00000009-CAE5-43FF-A57E-4D4FDABF1E3D}"/>
                </c:ext>
              </c:extLst>
            </c:dLbl>
            <c:dLbl>
              <c:idx val="2"/>
              <c:delete val="1"/>
              <c:extLst>
                <c:ext xmlns:c15="http://schemas.microsoft.com/office/drawing/2012/chart" uri="{CE6537A1-D6FC-4f65-9D91-7224C49458BB}">
                  <c15:layout>
                    <c:manualLayout>
                      <c:w val="6.4652418447694038E-2"/>
                      <c:h val="6.7766043807630849E-2"/>
                    </c:manualLayout>
                  </c15:layout>
                </c:ext>
                <c:ext xmlns:c16="http://schemas.microsoft.com/office/drawing/2014/chart" uri="{C3380CC4-5D6E-409C-BE32-E72D297353CC}">
                  <c16:uniqueId val="{0000000A-CAE5-43FF-A57E-4D4FDABF1E3D}"/>
                </c:ext>
              </c:extLst>
            </c:dLbl>
            <c:dLbl>
              <c:idx val="3"/>
              <c:delete val="1"/>
              <c:extLst>
                <c:ext xmlns:c15="http://schemas.microsoft.com/office/drawing/2012/chart" uri="{CE6537A1-D6FC-4f65-9D91-7224C49458BB}"/>
                <c:ext xmlns:c16="http://schemas.microsoft.com/office/drawing/2014/chart" uri="{C3380CC4-5D6E-409C-BE32-E72D297353CC}">
                  <c16:uniqueId val="{0000000B-CAE5-43FF-A57E-4D4FDABF1E3D}"/>
                </c:ext>
              </c:extLst>
            </c:dLbl>
            <c:dLbl>
              <c:idx val="4"/>
              <c:delete val="1"/>
              <c:extLst>
                <c:ext xmlns:c15="http://schemas.microsoft.com/office/drawing/2012/chart" uri="{CE6537A1-D6FC-4f65-9D91-7224C49458BB}">
                  <c15:layout>
                    <c:manualLayout>
                      <c:w val="7.7605442176870751E-2"/>
                      <c:h val="5.0786127462222559E-2"/>
                    </c:manualLayout>
                  </c15:layout>
                </c:ext>
                <c:ext xmlns:c16="http://schemas.microsoft.com/office/drawing/2014/chart" uri="{C3380CC4-5D6E-409C-BE32-E72D297353CC}">
                  <c16:uniqueId val="{0000000C-CAE5-43FF-A57E-4D4FDABF1E3D}"/>
                </c:ext>
              </c:extLst>
            </c:dLbl>
            <c:dLbl>
              <c:idx val="5"/>
              <c:delete val="1"/>
              <c:extLst>
                <c:ext xmlns:c15="http://schemas.microsoft.com/office/drawing/2012/chart" uri="{CE6537A1-D6FC-4f65-9D91-7224C49458BB}"/>
                <c:ext xmlns:c16="http://schemas.microsoft.com/office/drawing/2014/chart" uri="{C3380CC4-5D6E-409C-BE32-E72D297353CC}">
                  <c16:uniqueId val="{0000000D-CAE5-43FF-A57E-4D4FDABF1E3D}"/>
                </c:ext>
              </c:extLst>
            </c:dLbl>
            <c:dLbl>
              <c:idx val="6"/>
              <c:delete val="1"/>
              <c:extLst>
                <c:ext xmlns:c15="http://schemas.microsoft.com/office/drawing/2012/chart" uri="{CE6537A1-D6FC-4f65-9D91-7224C49458BB}"/>
                <c:ext xmlns:c16="http://schemas.microsoft.com/office/drawing/2014/chart" uri="{C3380CC4-5D6E-409C-BE32-E72D297353CC}">
                  <c16:uniqueId val="{0000000E-CAE5-43FF-A57E-4D4FDABF1E3D}"/>
                </c:ext>
              </c:extLst>
            </c:dLbl>
            <c:dLbl>
              <c:idx val="7"/>
              <c:delete val="1"/>
              <c:extLst>
                <c:ext xmlns:c15="http://schemas.microsoft.com/office/drawing/2012/chart" uri="{CE6537A1-D6FC-4f65-9D91-7224C49458BB}"/>
                <c:ext xmlns:c16="http://schemas.microsoft.com/office/drawing/2014/chart" uri="{C3380CC4-5D6E-409C-BE32-E72D297353CC}">
                  <c16:uniqueId val="{0000000F-CAE5-43FF-A57E-4D4FDABF1E3D}"/>
                </c:ext>
              </c:extLst>
            </c:dLbl>
            <c:spPr>
              <a:solidFill>
                <a:schemeClr val="bg1">
                  <a:alpha val="49000"/>
                </a:schemeClr>
              </a:solidFill>
              <a:ln>
                <a:noFill/>
              </a:ln>
              <a:effectLst/>
            </c:spPr>
            <c:txPr>
              <a:bodyPr rot="0" spcFirstLastPara="1" vertOverflow="ellipsis" vert="horz" wrap="square" lIns="38100" tIns="19050" rIns="38100" bIns="0" anchor="ctr" anchorCtr="1">
                <a:spAutoFit/>
              </a:bodyPr>
              <a:lstStyle/>
              <a:p>
                <a:pPr>
                  <a:defRPr sz="900" b="0" i="0" u="none" strike="noStrike" kern="1200" baseline="0">
                    <a:solidFill>
                      <a:sysClr val="windowText" lastClr="000000"/>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rect">
                    <a:avLst/>
                  </a:prstGeom>
                </c15:spPr>
                <c15:showLeaderLines val="1"/>
                <c15:leaderLines>
                  <c:spPr>
                    <a:ln w="9525" cap="flat" cmpd="sng" algn="ctr">
                      <a:solidFill>
                        <a:schemeClr val="tx1">
                          <a:lumMod val="35000"/>
                          <a:lumOff val="65000"/>
                        </a:schemeClr>
                      </a:solidFill>
                      <a:round/>
                    </a:ln>
                    <a:effectLst/>
                  </c:spPr>
                </c15:leaderLines>
              </c:ext>
            </c:extLst>
          </c:dLbls>
          <c:cat>
            <c:numRef>
              <c:f>'[NFO 2013-2021 data brief figures 10.24.23.xlsx]F5,5A_B GENDER'!$B$1:$J$1</c:f>
              <c:numCache>
                <c:formatCode>General</c:formatCode>
                <c:ptCount val="9"/>
                <c:pt idx="0">
                  <c:v>2013</c:v>
                </c:pt>
                <c:pt idx="1">
                  <c:v>2014</c:v>
                </c:pt>
                <c:pt idx="2">
                  <c:v>2015</c:v>
                </c:pt>
                <c:pt idx="3">
                  <c:v>2016</c:v>
                </c:pt>
                <c:pt idx="4">
                  <c:v>2017</c:v>
                </c:pt>
                <c:pt idx="5">
                  <c:v>2018</c:v>
                </c:pt>
                <c:pt idx="6">
                  <c:v>2019</c:v>
                </c:pt>
                <c:pt idx="7">
                  <c:v>2020</c:v>
                </c:pt>
                <c:pt idx="8">
                  <c:v>2021</c:v>
                </c:pt>
              </c:numCache>
            </c:numRef>
          </c:cat>
          <c:val>
            <c:numRef>
              <c:f>'[NFO 2013-2021 data brief figures 10.24.23.xlsx]F5,5A_B GENDER'!$B$7:$J$7</c:f>
              <c:numCache>
                <c:formatCode>0.0</c:formatCode>
                <c:ptCount val="9"/>
                <c:pt idx="0">
                  <c:v>87.506600000000006</c:v>
                </c:pt>
                <c:pt idx="1">
                  <c:v>116.586</c:v>
                </c:pt>
                <c:pt idx="2">
                  <c:v>144.53</c:v>
                </c:pt>
                <c:pt idx="3">
                  <c:v>166.9</c:v>
                </c:pt>
                <c:pt idx="4">
                  <c:v>165.88</c:v>
                </c:pt>
                <c:pt idx="5">
                  <c:v>153.9</c:v>
                </c:pt>
                <c:pt idx="6">
                  <c:v>143.69999999999999</c:v>
                </c:pt>
                <c:pt idx="7">
                  <c:v>123.968</c:v>
                </c:pt>
                <c:pt idx="8">
                  <c:v>114.84</c:v>
                </c:pt>
              </c:numCache>
            </c:numRef>
          </c:val>
          <c:smooth val="0"/>
          <c:extLst>
            <c:ext xmlns:c16="http://schemas.microsoft.com/office/drawing/2014/chart" uri="{C3380CC4-5D6E-409C-BE32-E72D297353CC}">
              <c16:uniqueId val="{00000010-CAE5-43FF-A57E-4D4FDABF1E3D}"/>
            </c:ext>
          </c:extLst>
        </c:ser>
        <c:dLbls>
          <c:showLegendKey val="0"/>
          <c:showVal val="0"/>
          <c:showCatName val="0"/>
          <c:showSerName val="0"/>
          <c:showPercent val="0"/>
          <c:showBubbleSize val="0"/>
        </c:dLbls>
        <c:marker val="1"/>
        <c:smooth val="0"/>
        <c:axId val="939120328"/>
        <c:axId val="939119016"/>
      </c:lineChart>
      <c:catAx>
        <c:axId val="939120328"/>
        <c:scaling>
          <c:orientation val="minMax"/>
        </c:scaling>
        <c:delete val="0"/>
        <c:axPos val="b"/>
        <c:title>
          <c:tx>
            <c:rich>
              <a:bodyPr rot="0" spcFirstLastPara="1" vertOverflow="ellipsis" vert="horz" wrap="square" anchor="ctr" anchorCtr="1"/>
              <a:lstStyle/>
              <a:p>
                <a:pPr>
                  <a:defRPr sz="1000" b="1" i="0" u="none" strike="noStrike" kern="1200" baseline="0">
                    <a:solidFill>
                      <a:schemeClr val="tx1">
                        <a:lumMod val="65000"/>
                        <a:lumOff val="35000"/>
                      </a:schemeClr>
                    </a:solidFill>
                    <a:latin typeface="Segoe UI" panose="020B0502040204020203" pitchFamily="34" charset="0"/>
                    <a:ea typeface="+mn-ea"/>
                    <a:cs typeface="Segoe UI" panose="020B0502040204020203" pitchFamily="34" charset="0"/>
                  </a:defRPr>
                </a:pPr>
                <a:r>
                  <a:rPr lang="en-US" sz="1000" b="1">
                    <a:latin typeface="Segoe UI" panose="020B0502040204020203" pitchFamily="34" charset="0"/>
                    <a:cs typeface="Segoe UI" panose="020B0502040204020203" pitchFamily="34" charset="0"/>
                  </a:rPr>
                  <a:t> </a:t>
                </a:r>
              </a:p>
            </c:rich>
          </c:tx>
          <c:overlay val="0"/>
          <c:spPr>
            <a:noFill/>
            <a:ln>
              <a:noFill/>
            </a:ln>
            <a:effectLst/>
          </c:spPr>
        </c:title>
        <c:numFmt formatCode="General" sourceLinked="1"/>
        <c:majorTickMark val="none"/>
        <c:minorTickMark val="none"/>
        <c:tickLblPos val="nextTo"/>
        <c:spPr>
          <a:noFill/>
          <a:ln w="9525" cap="flat" cmpd="sng" algn="ctr">
            <a:solidFill>
              <a:sysClr val="windowText" lastClr="000000"/>
            </a:solidFill>
            <a:round/>
          </a:ln>
          <a:effectLst/>
        </c:spPr>
        <c:txPr>
          <a:bodyPr rot="-60000000" spcFirstLastPara="1" vertOverflow="ellipsis" vert="horz" wrap="square" anchor="ctr" anchorCtr="1"/>
          <a:lstStyle/>
          <a:p>
            <a:pPr>
              <a:defRPr sz="1000" b="1" i="0" u="none" strike="noStrike" kern="1200" baseline="0">
                <a:solidFill>
                  <a:sysClr val="windowText" lastClr="000000"/>
                </a:solidFill>
                <a:latin typeface="Segoe UI" panose="020B0502040204020203" pitchFamily="34" charset="0"/>
                <a:ea typeface="+mn-ea"/>
                <a:cs typeface="Segoe UI" panose="020B0502040204020203" pitchFamily="34" charset="0"/>
              </a:defRPr>
            </a:pPr>
            <a:endParaRPr lang="en-US"/>
          </a:p>
        </c:txPr>
        <c:crossAx val="939119016"/>
        <c:crosses val="autoZero"/>
        <c:auto val="1"/>
        <c:lblAlgn val="ctr"/>
        <c:lblOffset val="100"/>
        <c:noMultiLvlLbl val="0"/>
      </c:catAx>
      <c:valAx>
        <c:axId val="939119016"/>
        <c:scaling>
          <c:orientation val="minMax"/>
          <c:max val="400"/>
          <c:min val="0"/>
        </c:scaling>
        <c:delete val="0"/>
        <c:axPos val="l"/>
        <c:majorGridlines>
          <c:spPr>
            <a:ln w="9525" cap="flat" cmpd="sng" algn="ctr">
              <a:noFill/>
              <a:round/>
            </a:ln>
            <a:effectLst/>
          </c:spPr>
        </c:majorGridlines>
        <c:title>
          <c:tx>
            <c:rich>
              <a:bodyPr/>
              <a:lstStyle/>
              <a:p>
                <a:pPr>
                  <a:defRPr>
                    <a:latin typeface="Segoe UI" panose="020B0502040204020203" pitchFamily="34" charset="0"/>
                    <a:cs typeface="Segoe UI" panose="020B0502040204020203" pitchFamily="34" charset="0"/>
                  </a:defRPr>
                </a:pPr>
                <a:r>
                  <a:rPr lang="en-US">
                    <a:latin typeface="Segoe UI" panose="020B0502040204020203" pitchFamily="34" charset="0"/>
                    <a:cs typeface="Segoe UI" panose="020B0502040204020203" pitchFamily="34" charset="0"/>
                  </a:rPr>
                  <a:t>Age-adjusted</a:t>
                </a:r>
                <a:r>
                  <a:rPr lang="en-US" baseline="0">
                    <a:latin typeface="Segoe UI" panose="020B0502040204020203" pitchFamily="34" charset="0"/>
                    <a:cs typeface="Segoe UI" panose="020B0502040204020203" pitchFamily="34" charset="0"/>
                  </a:rPr>
                  <a:t> rate per 100,000 </a:t>
                </a:r>
                <a:endParaRPr lang="en-US">
                  <a:latin typeface="Segoe UI" panose="020B0502040204020203" pitchFamily="34" charset="0"/>
                  <a:cs typeface="Segoe UI" panose="020B0502040204020203" pitchFamily="34" charset="0"/>
                </a:endParaRPr>
              </a:p>
            </c:rich>
          </c:tx>
          <c:layout>
            <c:manualLayout>
              <c:xMode val="edge"/>
              <c:yMode val="edge"/>
              <c:x val="1.4681775600110339E-2"/>
              <c:y val="0.19782590915512333"/>
            </c:manualLayout>
          </c:layout>
          <c:overlay val="0"/>
        </c:title>
        <c:numFmt formatCode="0" sourceLinked="0"/>
        <c:majorTickMark val="none"/>
        <c:minorTickMark val="none"/>
        <c:tickLblPos val="nextTo"/>
        <c:spPr>
          <a:noFill/>
          <a:ln w="12700">
            <a:solidFill>
              <a:schemeClr val="tx1">
                <a:lumMod val="50000"/>
                <a:lumOff val="50000"/>
              </a:schemeClr>
            </a:solid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Segoe UI" panose="020B0502040204020203" pitchFamily="34" charset="0"/>
                <a:ea typeface="+mn-ea"/>
                <a:cs typeface="Segoe UI" panose="020B0502040204020203" pitchFamily="34" charset="0"/>
              </a:defRPr>
            </a:pPr>
            <a:endParaRPr lang="en-US"/>
          </a:p>
        </c:txPr>
        <c:crossAx val="939120328"/>
        <c:crosses val="autoZero"/>
        <c:crossBetween val="between"/>
        <c:majorUnit val="100"/>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2">
    <c:autoUpdate val="0"/>
  </c:externalData>
  <c:userShapes r:id="rId3"/>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bg1"/>
                </a:solidFill>
                <a:latin typeface="+mn-lt"/>
                <a:ea typeface="+mn-ea"/>
                <a:cs typeface="+mn-cs"/>
              </a:defRPr>
            </a:pPr>
            <a:r>
              <a:rPr lang="en-US">
                <a:solidFill>
                  <a:schemeClr val="bg1"/>
                </a:solidFill>
              </a:rPr>
              <a:t>Fatal</a:t>
            </a:r>
          </a:p>
        </c:rich>
      </c:tx>
      <c:layout>
        <c:manualLayout>
          <c:xMode val="edge"/>
          <c:yMode val="edge"/>
          <c:x val="0.42626269270040529"/>
          <c:y val="0"/>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bg1"/>
              </a:solidFill>
              <a:latin typeface="+mn-lt"/>
              <a:ea typeface="+mn-ea"/>
              <a:cs typeface="+mn-cs"/>
            </a:defRPr>
          </a:pPr>
          <a:endParaRPr lang="en-US"/>
        </a:p>
      </c:txPr>
    </c:title>
    <c:autoTitleDeleted val="0"/>
    <c:plotArea>
      <c:layout>
        <c:manualLayout>
          <c:layoutTarget val="inner"/>
          <c:xMode val="edge"/>
          <c:yMode val="edge"/>
          <c:x val="0.160863549914397"/>
          <c:y val="0.15862117235345582"/>
          <c:w val="0.64389034703995329"/>
          <c:h val="0.77159675428920904"/>
        </c:manualLayout>
      </c:layout>
      <c:pieChart>
        <c:varyColors val="1"/>
        <c:ser>
          <c:idx val="0"/>
          <c:order val="0"/>
          <c:tx>
            <c:v>Fatal</c:v>
          </c:tx>
          <c:spPr>
            <a:ln w="12700"/>
          </c:spPr>
          <c:dPt>
            <c:idx val="0"/>
            <c:bubble3D val="0"/>
            <c:spPr>
              <a:solidFill>
                <a:srgbClr val="5A8B39"/>
              </a:solidFill>
              <a:ln w="12700">
                <a:solidFill>
                  <a:schemeClr val="lt1"/>
                </a:solidFill>
              </a:ln>
              <a:effectLst/>
            </c:spPr>
            <c:extLst>
              <c:ext xmlns:c16="http://schemas.microsoft.com/office/drawing/2014/chart" uri="{C3380CC4-5D6E-409C-BE32-E72D297353CC}">
                <c16:uniqueId val="{00000001-70FE-4C2A-AFED-C8747ADAADDA}"/>
              </c:ext>
            </c:extLst>
          </c:dPt>
          <c:dPt>
            <c:idx val="1"/>
            <c:bubble3D val="0"/>
            <c:spPr>
              <a:solidFill>
                <a:schemeClr val="accent1">
                  <a:lumMod val="60000"/>
                  <a:lumOff val="40000"/>
                </a:schemeClr>
              </a:solidFill>
              <a:ln w="12700">
                <a:solidFill>
                  <a:schemeClr val="lt1"/>
                </a:solidFill>
              </a:ln>
              <a:effectLst/>
            </c:spPr>
            <c:extLst>
              <c:ext xmlns:c16="http://schemas.microsoft.com/office/drawing/2014/chart" uri="{C3380CC4-5D6E-409C-BE32-E72D297353CC}">
                <c16:uniqueId val="{00000003-70FE-4C2A-AFED-C8747ADAADDA}"/>
              </c:ext>
            </c:extLst>
          </c:dPt>
          <c:dPt>
            <c:idx val="2"/>
            <c:bubble3D val="0"/>
            <c:spPr>
              <a:solidFill>
                <a:schemeClr val="accent5"/>
              </a:solidFill>
              <a:ln w="12700">
                <a:solidFill>
                  <a:schemeClr val="lt1"/>
                </a:solidFill>
              </a:ln>
              <a:effectLst/>
            </c:spPr>
            <c:extLst>
              <c:ext xmlns:c16="http://schemas.microsoft.com/office/drawing/2014/chart" uri="{C3380CC4-5D6E-409C-BE32-E72D297353CC}">
                <c16:uniqueId val="{00000005-70FE-4C2A-AFED-C8747ADAADDA}"/>
              </c:ext>
            </c:extLst>
          </c:dPt>
          <c:dLbls>
            <c:dLbl>
              <c:idx val="0"/>
              <c:layout>
                <c:manualLayout>
                  <c:x val="-0.21166466170895304"/>
                  <c:y val="-0.22464767415805426"/>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70FE-4C2A-AFED-C8747ADAADDA}"/>
                </c:ext>
              </c:extLst>
            </c:dLbl>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bg1"/>
                    </a:solidFill>
                    <a:latin typeface="Segoe UI" panose="020B0502040204020203" pitchFamily="34" charset="0"/>
                    <a:ea typeface="+mn-ea"/>
                    <a:cs typeface="Segoe UI" panose="020B0502040204020203" pitchFamily="34" charset="0"/>
                  </a:defRPr>
                </a:pPr>
                <a:endParaRPr lang="en-US"/>
              </a:p>
            </c:txPr>
            <c:showLegendKey val="0"/>
            <c:showVal val="0"/>
            <c:showCatName val="1"/>
            <c:showSerName val="0"/>
            <c:showPercent val="1"/>
            <c:showBubbleSize val="0"/>
            <c:showLeaderLines val="0"/>
            <c:extLst>
              <c:ext xmlns:c15="http://schemas.microsoft.com/office/drawing/2012/chart" uri="{CE6537A1-D6FC-4f65-9D91-7224C49458BB}"/>
            </c:extLst>
          </c:dLbls>
          <c:cat>
            <c:strRef>
              <c:f>'F5,5A_B GENDER'!$K$11:$K$13</c:f>
              <c:strCache>
                <c:ptCount val="3"/>
                <c:pt idx="0">
                  <c:v>Male</c:v>
                </c:pt>
                <c:pt idx="1">
                  <c:v>Female</c:v>
                </c:pt>
                <c:pt idx="2">
                  <c:v>Unk</c:v>
                </c:pt>
              </c:strCache>
            </c:strRef>
          </c:cat>
          <c:val>
            <c:numRef>
              <c:f>'F5,5A_B GENDER'!$L$16:$L$18</c:f>
              <c:numCache>
                <c:formatCode>General</c:formatCode>
                <c:ptCount val="3"/>
                <c:pt idx="0">
                  <c:v>11698</c:v>
                </c:pt>
                <c:pt idx="1">
                  <c:v>4360</c:v>
                </c:pt>
                <c:pt idx="2">
                  <c:v>37</c:v>
                </c:pt>
              </c:numCache>
            </c:numRef>
          </c:val>
          <c:extLst>
            <c:ext xmlns:c16="http://schemas.microsoft.com/office/drawing/2014/chart" uri="{C3380CC4-5D6E-409C-BE32-E72D297353CC}">
              <c16:uniqueId val="{00000006-70FE-4C2A-AFED-C8747ADAADDA}"/>
            </c:ext>
          </c:extLst>
        </c:ser>
        <c:dLbls>
          <c:showLegendKey val="0"/>
          <c:showVal val="0"/>
          <c:showCatName val="0"/>
          <c:showSerName val="0"/>
          <c:showPercent val="0"/>
          <c:showBubbleSize val="0"/>
          <c:showLeaderLines val="0"/>
        </c:dLbls>
        <c:firstSliceAng val="0"/>
      </c:pie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4">
    <c:autoUpdate val="0"/>
  </c:externalData>
  <c:userShapes r:id="rId5"/>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bg1"/>
                </a:solidFill>
                <a:latin typeface="+mn-lt"/>
                <a:ea typeface="+mn-ea"/>
                <a:cs typeface="+mn-cs"/>
              </a:defRPr>
            </a:pPr>
            <a:r>
              <a:rPr lang="en-US">
                <a:solidFill>
                  <a:schemeClr val="bg1"/>
                </a:solidFill>
              </a:rPr>
              <a:t>l</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bg1"/>
              </a:solidFill>
              <a:latin typeface="+mn-lt"/>
              <a:ea typeface="+mn-ea"/>
              <a:cs typeface="+mn-cs"/>
            </a:defRPr>
          </a:pPr>
          <a:endParaRPr lang="en-US"/>
        </a:p>
      </c:txPr>
    </c:title>
    <c:autoTitleDeleted val="0"/>
    <c:plotArea>
      <c:layout>
        <c:manualLayout>
          <c:layoutTarget val="inner"/>
          <c:xMode val="edge"/>
          <c:yMode val="edge"/>
          <c:x val="0.14410360163312919"/>
          <c:y val="0.17112966248009764"/>
          <c:w val="0.70393226888305627"/>
          <c:h val="0.76291706010406501"/>
        </c:manualLayout>
      </c:layout>
      <c:pieChart>
        <c:varyColors val="1"/>
        <c:ser>
          <c:idx val="0"/>
          <c:order val="0"/>
          <c:spPr>
            <a:ln w="12700">
              <a:solidFill>
                <a:sysClr val="window" lastClr="FFFFFF"/>
              </a:solidFill>
            </a:ln>
          </c:spPr>
          <c:dPt>
            <c:idx val="0"/>
            <c:bubble3D val="0"/>
            <c:spPr>
              <a:solidFill>
                <a:schemeClr val="accent3">
                  <a:lumMod val="50000"/>
                </a:schemeClr>
              </a:solidFill>
              <a:ln w="12700">
                <a:solidFill>
                  <a:sysClr val="window" lastClr="FFFFFF"/>
                </a:solidFill>
              </a:ln>
              <a:effectLst/>
            </c:spPr>
            <c:extLst>
              <c:ext xmlns:c16="http://schemas.microsoft.com/office/drawing/2014/chart" uri="{C3380CC4-5D6E-409C-BE32-E72D297353CC}">
                <c16:uniqueId val="{00000001-5C47-43C9-934B-1C5B4006227E}"/>
              </c:ext>
            </c:extLst>
          </c:dPt>
          <c:dPt>
            <c:idx val="1"/>
            <c:bubble3D val="0"/>
            <c:spPr>
              <a:solidFill>
                <a:schemeClr val="accent1">
                  <a:lumMod val="60000"/>
                  <a:lumOff val="40000"/>
                </a:schemeClr>
              </a:solidFill>
              <a:ln w="12700">
                <a:solidFill>
                  <a:sysClr val="window" lastClr="FFFFFF"/>
                </a:solidFill>
              </a:ln>
              <a:effectLst/>
            </c:spPr>
            <c:extLst>
              <c:ext xmlns:c16="http://schemas.microsoft.com/office/drawing/2014/chart" uri="{C3380CC4-5D6E-409C-BE32-E72D297353CC}">
                <c16:uniqueId val="{00000003-5C47-43C9-934B-1C5B4006227E}"/>
              </c:ext>
            </c:extLst>
          </c:dPt>
          <c:dPt>
            <c:idx val="2"/>
            <c:bubble3D val="0"/>
            <c:spPr>
              <a:solidFill>
                <a:schemeClr val="bg1">
                  <a:lumMod val="50000"/>
                </a:schemeClr>
              </a:solidFill>
              <a:ln w="12700">
                <a:solidFill>
                  <a:sysClr val="window" lastClr="FFFFFF"/>
                </a:solidFill>
              </a:ln>
              <a:effectLst/>
            </c:spPr>
            <c:extLst>
              <c:ext xmlns:c16="http://schemas.microsoft.com/office/drawing/2014/chart" uri="{C3380CC4-5D6E-409C-BE32-E72D297353CC}">
                <c16:uniqueId val="{00000005-5C47-43C9-934B-1C5B4006227E}"/>
              </c:ext>
            </c:extLst>
          </c:dPt>
          <c:dLbls>
            <c:dLbl>
              <c:idx val="2"/>
              <c:spPr>
                <a:noFill/>
                <a:ln>
                  <a:noFill/>
                </a:ln>
                <a:effectLst/>
              </c:spPr>
              <c:txPr>
                <a:bodyPr rot="0" spcFirstLastPara="1" vertOverflow="ellipsis" vert="horz" wrap="square" lIns="38100" tIns="19050" rIns="38100" bIns="19050" anchor="ctr" anchorCtr="1">
                  <a:noAutofit/>
                </a:bodyPr>
                <a:lstStyle/>
                <a:p>
                  <a:pPr>
                    <a:defRPr sz="1000" b="1" i="0" u="none" strike="noStrike" kern="1200" baseline="0">
                      <a:solidFill>
                        <a:schemeClr val="bg1"/>
                      </a:solidFill>
                      <a:latin typeface="Segoe UI" panose="020B0502040204020203" pitchFamily="34" charset="0"/>
                      <a:ea typeface="+mn-ea"/>
                      <a:cs typeface="Segoe UI" panose="020B0502040204020203" pitchFamily="34" charset="0"/>
                    </a:defRPr>
                  </a:pPr>
                  <a:endParaRPr lang="en-US"/>
                </a:p>
              </c:txPr>
              <c:dLblPos val="ctr"/>
              <c:showLegendKey val="0"/>
              <c:showVal val="1"/>
              <c:showCatName val="1"/>
              <c:showSerName val="0"/>
              <c:showPercent val="0"/>
              <c:showBubbleSize val="0"/>
              <c:separator> </c:separator>
              <c:extLst>
                <c:ext xmlns:c15="http://schemas.microsoft.com/office/drawing/2012/chart" uri="{CE6537A1-D6FC-4f65-9D91-7224C49458BB}">
                  <c15:layout>
                    <c:manualLayout>
                      <c:w val="0.24130737134909597"/>
                      <c:h val="0.1238888888888889"/>
                    </c:manualLayout>
                  </c15:layout>
                </c:ext>
                <c:ext xmlns:c16="http://schemas.microsoft.com/office/drawing/2014/chart" uri="{C3380CC4-5D6E-409C-BE32-E72D297353CC}">
                  <c16:uniqueId val="{00000005-5C47-43C9-934B-1C5B4006227E}"/>
                </c:ext>
              </c:extLst>
            </c:dLbl>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bg1"/>
                    </a:solidFill>
                    <a:latin typeface="Segoe UI" panose="020B0502040204020203" pitchFamily="34" charset="0"/>
                    <a:ea typeface="+mn-ea"/>
                    <a:cs typeface="Segoe UI" panose="020B0502040204020203" pitchFamily="34" charset="0"/>
                  </a:defRPr>
                </a:pPr>
                <a:endParaRPr lang="en-US"/>
              </a:p>
            </c:txPr>
            <c:dLblPos val="ctr"/>
            <c:showLegendKey val="0"/>
            <c:showVal val="1"/>
            <c:showCatName val="1"/>
            <c:showSerName val="0"/>
            <c:showPercent val="0"/>
            <c:showBubbleSize val="0"/>
            <c:separator> </c:separator>
            <c:showLeaderLines val="0"/>
            <c:extLst>
              <c:ext xmlns:c15="http://schemas.microsoft.com/office/drawing/2012/chart" uri="{CE6537A1-D6FC-4f65-9D91-7224C49458BB}"/>
            </c:extLst>
          </c:dLbls>
          <c:cat>
            <c:strRef>
              <c:f>'F5,5A_B GENDER'!$K$11:$K$13</c:f>
              <c:strCache>
                <c:ptCount val="3"/>
                <c:pt idx="0">
                  <c:v>Male</c:v>
                </c:pt>
                <c:pt idx="1">
                  <c:v>Female</c:v>
                </c:pt>
                <c:pt idx="2">
                  <c:v>Unk</c:v>
                </c:pt>
              </c:strCache>
            </c:strRef>
          </c:cat>
          <c:val>
            <c:numRef>
              <c:f>'F5,5A_B GENDER'!$M$11:$M$13</c:f>
              <c:numCache>
                <c:formatCode>0%</c:formatCode>
                <c:ptCount val="3"/>
                <c:pt idx="0">
                  <c:v>0.65661877789864587</c:v>
                </c:pt>
                <c:pt idx="1">
                  <c:v>0.32128737011890918</c:v>
                </c:pt>
                <c:pt idx="2">
                  <c:v>2.2093851982444953E-2</c:v>
                </c:pt>
              </c:numCache>
            </c:numRef>
          </c:val>
          <c:extLst>
            <c:ext xmlns:c16="http://schemas.microsoft.com/office/drawing/2014/chart" uri="{C3380CC4-5D6E-409C-BE32-E72D297353CC}">
              <c16:uniqueId val="{00000006-5C47-43C9-934B-1C5B4006227E}"/>
            </c:ext>
          </c:extLst>
        </c:ser>
        <c:dLbls>
          <c:showLegendKey val="0"/>
          <c:showVal val="0"/>
          <c:showCatName val="0"/>
          <c:showSerName val="0"/>
          <c:showPercent val="0"/>
          <c:showBubbleSize val="0"/>
          <c:showLeaderLines val="0"/>
        </c:dLbls>
        <c:firstSliceAng val="0"/>
      </c:pie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4">
    <c:autoUpdate val="0"/>
  </c:externalData>
  <c:userShapes r:id="rId5"/>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4826061355572465"/>
          <c:y val="0.21173151497954651"/>
          <c:w val="0.80888530459297903"/>
          <c:h val="0.48659650716737329"/>
        </c:manualLayout>
      </c:layout>
      <c:barChart>
        <c:barDir val="col"/>
        <c:grouping val="clustered"/>
        <c:varyColors val="0"/>
        <c:ser>
          <c:idx val="1"/>
          <c:order val="0"/>
          <c:tx>
            <c:strRef>
              <c:f>'[NFO 2013-2021 data brief figures.xlsx]F6 Rate by race '!$C$1</c:f>
              <c:strCache>
                <c:ptCount val="1"/>
                <c:pt idx="0">
                  <c:v>adj_total</c:v>
                </c:pt>
              </c:strCache>
            </c:strRef>
          </c:tx>
          <c:spPr>
            <a:solidFill>
              <a:srgbClr val="0070C0"/>
            </a:solidFill>
            <a:ln>
              <a:noFill/>
            </a:ln>
            <a:effectLst/>
          </c:spPr>
          <c:invertIfNegative val="0"/>
          <c:dPt>
            <c:idx val="0"/>
            <c:invertIfNegative val="0"/>
            <c:bubble3D val="0"/>
            <c:spPr>
              <a:pattFill prst="pct90">
                <a:fgClr>
                  <a:srgbClr val="5B9BD5">
                    <a:lumMod val="75000"/>
                  </a:srgbClr>
                </a:fgClr>
                <a:bgClr>
                  <a:sysClr val="window" lastClr="FFFFFF"/>
                </a:bgClr>
              </a:pattFill>
              <a:ln>
                <a:noFill/>
              </a:ln>
              <a:effectLst/>
            </c:spPr>
            <c:extLst>
              <c:ext xmlns:c16="http://schemas.microsoft.com/office/drawing/2014/chart" uri="{C3380CC4-5D6E-409C-BE32-E72D297353CC}">
                <c16:uniqueId val="{00000001-7A83-4E18-AEE4-36E6BB0CF277}"/>
              </c:ext>
            </c:extLst>
          </c:dPt>
          <c:dPt>
            <c:idx val="1"/>
            <c:invertIfNegative val="0"/>
            <c:bubble3D val="0"/>
            <c:spPr>
              <a:solidFill>
                <a:srgbClr val="5B9BD5">
                  <a:lumMod val="75000"/>
                </a:srgbClr>
              </a:solidFill>
              <a:ln>
                <a:noFill/>
              </a:ln>
              <a:effectLst/>
            </c:spPr>
            <c:extLst>
              <c:ext xmlns:c16="http://schemas.microsoft.com/office/drawing/2014/chart" uri="{C3380CC4-5D6E-409C-BE32-E72D297353CC}">
                <c16:uniqueId val="{00000003-7A83-4E18-AEE4-36E6BB0CF277}"/>
              </c:ext>
            </c:extLst>
          </c:dPt>
          <c:dPt>
            <c:idx val="2"/>
            <c:invertIfNegative val="0"/>
            <c:bubble3D val="0"/>
            <c:spPr>
              <a:solidFill>
                <a:srgbClr val="5B9BD5">
                  <a:lumMod val="75000"/>
                </a:srgbClr>
              </a:solidFill>
              <a:ln>
                <a:noFill/>
              </a:ln>
              <a:effectLst/>
            </c:spPr>
            <c:extLst>
              <c:ext xmlns:c16="http://schemas.microsoft.com/office/drawing/2014/chart" uri="{C3380CC4-5D6E-409C-BE32-E72D297353CC}">
                <c16:uniqueId val="{00000005-7A83-4E18-AEE4-36E6BB0CF277}"/>
              </c:ext>
            </c:extLst>
          </c:dPt>
          <c:dPt>
            <c:idx val="3"/>
            <c:invertIfNegative val="0"/>
            <c:bubble3D val="0"/>
            <c:spPr>
              <a:solidFill>
                <a:srgbClr val="5B9BD5">
                  <a:lumMod val="75000"/>
                </a:srgbClr>
              </a:solidFill>
              <a:ln>
                <a:noFill/>
              </a:ln>
              <a:effectLst/>
            </c:spPr>
            <c:extLst>
              <c:ext xmlns:c16="http://schemas.microsoft.com/office/drawing/2014/chart" uri="{C3380CC4-5D6E-409C-BE32-E72D297353CC}">
                <c16:uniqueId val="{00000007-7A83-4E18-AEE4-36E6BB0CF277}"/>
              </c:ext>
            </c:extLst>
          </c:dPt>
          <c:dPt>
            <c:idx val="4"/>
            <c:invertIfNegative val="0"/>
            <c:bubble3D val="0"/>
            <c:spPr>
              <a:solidFill>
                <a:srgbClr val="5B9BD5">
                  <a:lumMod val="75000"/>
                </a:srgbClr>
              </a:solidFill>
              <a:ln>
                <a:noFill/>
              </a:ln>
              <a:effectLst/>
            </c:spPr>
            <c:extLst>
              <c:ext xmlns:c16="http://schemas.microsoft.com/office/drawing/2014/chart" uri="{C3380CC4-5D6E-409C-BE32-E72D297353CC}">
                <c16:uniqueId val="{00000009-7A83-4E18-AEE4-36E6BB0CF277}"/>
              </c:ext>
            </c:extLst>
          </c:dPt>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errBars>
            <c:errBarType val="both"/>
            <c:errValType val="cust"/>
            <c:noEndCap val="0"/>
            <c:plus>
              <c:numRef>
                <c:f>'[NFO 2013-2021 data brief figures.xlsx]F6 Rate by race '!$E$2:$E$6</c:f>
                <c:numCache>
                  <c:formatCode>General</c:formatCode>
                  <c:ptCount val="5"/>
                  <c:pt idx="0">
                    <c:v>1.3</c:v>
                  </c:pt>
                  <c:pt idx="1">
                    <c:v>1.5</c:v>
                  </c:pt>
                  <c:pt idx="2">
                    <c:v>5.0999999999999996</c:v>
                  </c:pt>
                  <c:pt idx="3">
                    <c:v>3.6</c:v>
                  </c:pt>
                  <c:pt idx="4">
                    <c:v>1.6</c:v>
                  </c:pt>
                </c:numCache>
              </c:numRef>
            </c:plus>
            <c:minus>
              <c:numRef>
                <c:f>'[NFO 2013-2021 data brief figures.xlsx]F6 Rate by race '!$D$2:$D$6</c:f>
                <c:numCache>
                  <c:formatCode>General</c:formatCode>
                  <c:ptCount val="5"/>
                  <c:pt idx="0">
                    <c:v>1.3</c:v>
                  </c:pt>
                  <c:pt idx="1">
                    <c:v>1.4</c:v>
                  </c:pt>
                  <c:pt idx="2">
                    <c:v>5</c:v>
                  </c:pt>
                  <c:pt idx="3">
                    <c:v>3.5</c:v>
                  </c:pt>
                  <c:pt idx="4">
                    <c:v>1.7</c:v>
                  </c:pt>
                </c:numCache>
              </c:numRef>
            </c:minus>
            <c:spPr>
              <a:noFill/>
              <a:ln w="9525" cap="flat" cmpd="sng" algn="ctr">
                <a:solidFill>
                  <a:schemeClr val="tx1">
                    <a:lumMod val="65000"/>
                    <a:lumOff val="35000"/>
                  </a:schemeClr>
                </a:solidFill>
                <a:round/>
              </a:ln>
              <a:effectLst/>
            </c:spPr>
          </c:errBars>
          <c:cat>
            <c:strRef>
              <c:f>'[NFO 2013-2021 data brief figures.xlsx]F6 Rate by race '!$A$2:$A$6</c:f>
              <c:strCache>
                <c:ptCount val="5"/>
                <c:pt idx="0">
                  <c:v>All non-fatal overdoses</c:v>
                </c:pt>
                <c:pt idx="1">
                  <c:v> Asian Pacific Islander non-Hispanic</c:v>
                </c:pt>
                <c:pt idx="2">
                  <c:v>Black non-Hispanic</c:v>
                </c:pt>
                <c:pt idx="3">
                  <c:v>Hispanic</c:v>
                </c:pt>
                <c:pt idx="4">
                  <c:v> white non-Hispanic</c:v>
                </c:pt>
              </c:strCache>
            </c:strRef>
          </c:cat>
          <c:val>
            <c:numRef>
              <c:f>'[NFO 2013-2021 data brief figures.xlsx]F6 Rate by race '!$C$2:$C$6</c:f>
              <c:numCache>
                <c:formatCode>0.0</c:formatCode>
                <c:ptCount val="5"/>
                <c:pt idx="0">
                  <c:v>239.17099999999999</c:v>
                </c:pt>
                <c:pt idx="1">
                  <c:v>14.94</c:v>
                </c:pt>
                <c:pt idx="2">
                  <c:v>181.9</c:v>
                </c:pt>
                <c:pt idx="3">
                  <c:v>198.37799999999999</c:v>
                </c:pt>
                <c:pt idx="4">
                  <c:v>243.7</c:v>
                </c:pt>
              </c:numCache>
            </c:numRef>
          </c:val>
          <c:extLst>
            <c:ext xmlns:c16="http://schemas.microsoft.com/office/drawing/2014/chart" uri="{C3380CC4-5D6E-409C-BE32-E72D297353CC}">
              <c16:uniqueId val="{0000000A-7A83-4E18-AEE4-36E6BB0CF277}"/>
            </c:ext>
          </c:extLst>
        </c:ser>
        <c:dLbls>
          <c:dLblPos val="outEnd"/>
          <c:showLegendKey val="0"/>
          <c:showVal val="1"/>
          <c:showCatName val="0"/>
          <c:showSerName val="0"/>
          <c:showPercent val="0"/>
          <c:showBubbleSize val="0"/>
        </c:dLbls>
        <c:gapWidth val="82"/>
        <c:overlap val="-7"/>
        <c:axId val="552622584"/>
        <c:axId val="552626192"/>
        <c:extLst>
          <c:ext xmlns:c15="http://schemas.microsoft.com/office/drawing/2012/chart" uri="{02D57815-91ED-43cb-92C2-25804820EDAC}">
            <c15:filteredBarSeries>
              <c15:ser>
                <c:idx val="2"/>
                <c:order val="1"/>
                <c:tx>
                  <c:strRef>
                    <c:extLst>
                      <c:ext uri="{02D57815-91ED-43cb-92C2-25804820EDAC}">
                        <c15:formulaRef>
                          <c15:sqref>'[NFO 2013-2021 data brief figures.xlsx]F6 Rate by race '!$D$1</c15:sqref>
                        </c15:formulaRef>
                      </c:ext>
                    </c:extLst>
                    <c:strCache>
                      <c:ptCount val="1"/>
                      <c:pt idx="0">
                        <c:v>LCI</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c:ext uri="{02D57815-91ED-43cb-92C2-25804820EDAC}">
                        <c15:formulaRef>
                          <c15:sqref>'[NFO 2013-2021 data brief figures.xlsx]F6 Rate by race '!$A$2:$A$6</c15:sqref>
                        </c15:formulaRef>
                      </c:ext>
                    </c:extLst>
                    <c:strCache>
                      <c:ptCount val="5"/>
                      <c:pt idx="0">
                        <c:v>All non-fatal overdoses</c:v>
                      </c:pt>
                      <c:pt idx="1">
                        <c:v> Asian Pacific Islander non-Hispanic</c:v>
                      </c:pt>
                      <c:pt idx="2">
                        <c:v>Black non-Hispanic</c:v>
                      </c:pt>
                      <c:pt idx="3">
                        <c:v>Hispanic</c:v>
                      </c:pt>
                      <c:pt idx="4">
                        <c:v> white non-Hispanic</c:v>
                      </c:pt>
                    </c:strCache>
                  </c:strRef>
                </c:cat>
                <c:val>
                  <c:numRef>
                    <c:extLst>
                      <c:ext uri="{02D57815-91ED-43cb-92C2-25804820EDAC}">
                        <c15:formulaRef>
                          <c15:sqref>'[NFO 2013-2021 data brief figures.xlsx]F6 Rate by race '!$D$2:$D$6</c15:sqref>
                        </c15:formulaRef>
                      </c:ext>
                    </c:extLst>
                    <c:numCache>
                      <c:formatCode>0.0</c:formatCode>
                      <c:ptCount val="5"/>
                      <c:pt idx="0">
                        <c:v>1.3</c:v>
                      </c:pt>
                      <c:pt idx="1">
                        <c:v>1.4</c:v>
                      </c:pt>
                      <c:pt idx="2">
                        <c:v>5</c:v>
                      </c:pt>
                      <c:pt idx="3">
                        <c:v>3.5</c:v>
                      </c:pt>
                      <c:pt idx="4">
                        <c:v>1.7</c:v>
                      </c:pt>
                    </c:numCache>
                  </c:numRef>
                </c:val>
                <c:extLst>
                  <c:ext xmlns:c16="http://schemas.microsoft.com/office/drawing/2014/chart" uri="{C3380CC4-5D6E-409C-BE32-E72D297353CC}">
                    <c16:uniqueId val="{0000000B-7A83-4E18-AEE4-36E6BB0CF277}"/>
                  </c:ext>
                </c:extLst>
              </c15:ser>
            </c15:filteredBarSeries>
            <c15:filteredBarSeries>
              <c15:ser>
                <c:idx val="3"/>
                <c:order val="2"/>
                <c:tx>
                  <c:strRef>
                    <c:extLst xmlns:c15="http://schemas.microsoft.com/office/drawing/2012/chart">
                      <c:ext xmlns:c15="http://schemas.microsoft.com/office/drawing/2012/chart" uri="{02D57815-91ED-43cb-92C2-25804820EDAC}">
                        <c15:formulaRef>
                          <c15:sqref>'[NFO 2013-2021 data brief figures.xlsx]F6 Rate by race '!$E$1</c15:sqref>
                        </c15:formulaRef>
                      </c:ext>
                    </c:extLst>
                    <c:strCache>
                      <c:ptCount val="1"/>
                      <c:pt idx="0">
                        <c:v>UCI</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xmlns:c15="http://schemas.microsoft.com/office/drawing/2012/chart">
                      <c:ext xmlns:c15="http://schemas.microsoft.com/office/drawing/2012/chart" uri="{02D57815-91ED-43cb-92C2-25804820EDAC}">
                        <c15:formulaRef>
                          <c15:sqref>'[NFO 2013-2021 data brief figures.xlsx]F6 Rate by race '!$A$2:$A$6</c15:sqref>
                        </c15:formulaRef>
                      </c:ext>
                    </c:extLst>
                    <c:strCache>
                      <c:ptCount val="5"/>
                      <c:pt idx="0">
                        <c:v>All non-fatal overdoses</c:v>
                      </c:pt>
                      <c:pt idx="1">
                        <c:v> Asian Pacific Islander non-Hispanic</c:v>
                      </c:pt>
                      <c:pt idx="2">
                        <c:v>Black non-Hispanic</c:v>
                      </c:pt>
                      <c:pt idx="3">
                        <c:v>Hispanic</c:v>
                      </c:pt>
                      <c:pt idx="4">
                        <c:v> white non-Hispanic</c:v>
                      </c:pt>
                    </c:strCache>
                  </c:strRef>
                </c:cat>
                <c:val>
                  <c:numRef>
                    <c:extLst xmlns:c15="http://schemas.microsoft.com/office/drawing/2012/chart">
                      <c:ext xmlns:c15="http://schemas.microsoft.com/office/drawing/2012/chart" uri="{02D57815-91ED-43cb-92C2-25804820EDAC}">
                        <c15:formulaRef>
                          <c15:sqref>'[NFO 2013-2021 data brief figures.xlsx]F6 Rate by race '!$E$2:$E$6</c15:sqref>
                        </c15:formulaRef>
                      </c:ext>
                    </c:extLst>
                    <c:numCache>
                      <c:formatCode>0.0</c:formatCode>
                      <c:ptCount val="5"/>
                      <c:pt idx="0">
                        <c:v>1.3</c:v>
                      </c:pt>
                      <c:pt idx="1">
                        <c:v>1.5</c:v>
                      </c:pt>
                      <c:pt idx="2">
                        <c:v>5.0999999999999996</c:v>
                      </c:pt>
                      <c:pt idx="3">
                        <c:v>3.6</c:v>
                      </c:pt>
                      <c:pt idx="4">
                        <c:v>1.6</c:v>
                      </c:pt>
                    </c:numCache>
                  </c:numRef>
                </c:val>
                <c:extLst xmlns:c15="http://schemas.microsoft.com/office/drawing/2012/chart">
                  <c:ext xmlns:c16="http://schemas.microsoft.com/office/drawing/2014/chart" uri="{C3380CC4-5D6E-409C-BE32-E72D297353CC}">
                    <c16:uniqueId val="{0000000C-7A83-4E18-AEE4-36E6BB0CF277}"/>
                  </c:ext>
                </c:extLst>
              </c15:ser>
            </c15:filteredBarSeries>
          </c:ext>
        </c:extLst>
      </c:barChart>
      <c:catAx>
        <c:axId val="552622584"/>
        <c:scaling>
          <c:orientation val="minMax"/>
        </c:scaling>
        <c:delete val="0"/>
        <c:axPos val="b"/>
        <c:numFmt formatCode="0" sourceLinked="0"/>
        <c:majorTickMark val="none"/>
        <c:minorTickMark val="none"/>
        <c:tickLblPos val="nextTo"/>
        <c:spPr>
          <a:noFill/>
          <a:ln w="15875" cap="flat" cmpd="sng" algn="ctr">
            <a:solidFill>
              <a:schemeClr val="bg1">
                <a:lumMod val="50000"/>
              </a:schemeClr>
            </a:solidFill>
            <a:round/>
          </a:ln>
          <a:effectLst/>
        </c:spPr>
        <c:txPr>
          <a:bodyPr rot="0" spcFirstLastPara="1" vertOverflow="ellipsis" wrap="square" anchor="ctr" anchorCtr="1"/>
          <a:lstStyle/>
          <a:p>
            <a:pPr>
              <a:defRPr sz="1050" b="0" i="0" u="none" strike="noStrike" kern="1200" baseline="0">
                <a:solidFill>
                  <a:sysClr val="windowText" lastClr="000000"/>
                </a:solidFill>
                <a:latin typeface="Segoe UI" panose="020B0502040204020203" pitchFamily="34" charset="0"/>
                <a:ea typeface="+mn-ea"/>
                <a:cs typeface="Segoe UI" panose="020B0502040204020203" pitchFamily="34" charset="0"/>
              </a:defRPr>
            </a:pPr>
            <a:endParaRPr lang="en-US"/>
          </a:p>
        </c:txPr>
        <c:crossAx val="552626192"/>
        <c:crosses val="autoZero"/>
        <c:auto val="0"/>
        <c:lblAlgn val="ctr"/>
        <c:lblOffset val="100"/>
        <c:noMultiLvlLbl val="0"/>
      </c:catAx>
      <c:valAx>
        <c:axId val="552626192"/>
        <c:scaling>
          <c:orientation val="minMax"/>
          <c:max val="300"/>
          <c:min val="0"/>
        </c:scaling>
        <c:delete val="0"/>
        <c:axPos val="l"/>
        <c:majorGridlines>
          <c:spPr>
            <a:ln w="9525" cap="flat" cmpd="sng" algn="ctr">
              <a:noFill/>
              <a:round/>
            </a:ln>
            <a:effectLst/>
          </c:spPr>
        </c:majorGridlines>
        <c:title>
          <c:tx>
            <c:rich>
              <a:bodyPr rot="-5400000" spcFirstLastPara="1" vertOverflow="ellipsis" vert="horz" wrap="square" anchor="ctr" anchorCtr="1"/>
              <a:lstStyle/>
              <a:p>
                <a:pPr>
                  <a:defRPr sz="900" b="1" i="0" u="none" strike="noStrike" kern="1200" baseline="0">
                    <a:solidFill>
                      <a:sysClr val="windowText" lastClr="000000"/>
                    </a:solidFill>
                    <a:latin typeface="Segoe UI" panose="020B0502040204020203" pitchFamily="34" charset="0"/>
                    <a:ea typeface="+mn-ea"/>
                    <a:cs typeface="Segoe UI" panose="020B0502040204020203" pitchFamily="34" charset="0"/>
                  </a:defRPr>
                </a:pPr>
                <a:r>
                  <a:rPr lang="en-US" sz="900" b="1">
                    <a:solidFill>
                      <a:sysClr val="windowText" lastClr="000000"/>
                    </a:solidFill>
                    <a:latin typeface="Segoe UI" panose="020B0502040204020203" pitchFamily="34" charset="0"/>
                    <a:cs typeface="Segoe UI" panose="020B0502040204020203" pitchFamily="34" charset="0"/>
                  </a:rPr>
                  <a:t>age-adjusted rate per 100,000 residents </a:t>
                </a:r>
              </a:p>
            </c:rich>
          </c:tx>
          <c:layout>
            <c:manualLayout>
              <c:xMode val="edge"/>
              <c:yMode val="edge"/>
              <c:x val="5.7654599474615702E-2"/>
              <c:y val="0.1629327161807477"/>
            </c:manualLayout>
          </c:layout>
          <c:overlay val="0"/>
          <c:spPr>
            <a:noFill/>
            <a:ln>
              <a:noFill/>
            </a:ln>
            <a:effectLst/>
          </c:spPr>
          <c:txPr>
            <a:bodyPr rot="-5400000" spcFirstLastPara="1" vertOverflow="ellipsis" vert="horz" wrap="square" anchor="ctr" anchorCtr="1"/>
            <a:lstStyle/>
            <a:p>
              <a:pPr>
                <a:defRPr sz="900" b="1" i="0" u="none" strike="noStrike" kern="1200" baseline="0">
                  <a:solidFill>
                    <a:sysClr val="windowText" lastClr="000000"/>
                  </a:solidFill>
                  <a:latin typeface="Segoe UI" panose="020B0502040204020203" pitchFamily="34" charset="0"/>
                  <a:ea typeface="+mn-ea"/>
                  <a:cs typeface="Segoe UI" panose="020B0502040204020203" pitchFamily="34" charset="0"/>
                </a:defRPr>
              </a:pPr>
              <a:endParaRPr lang="en-US"/>
            </a:p>
          </c:txPr>
        </c:title>
        <c:numFmt formatCode="0" sourceLinked="0"/>
        <c:majorTickMark val="none"/>
        <c:minorTickMark val="none"/>
        <c:tickLblPos val="nextTo"/>
        <c:spPr>
          <a:noFill/>
          <a:ln>
            <a:solidFill>
              <a:schemeClr val="bg1">
                <a:lumMod val="50000"/>
              </a:schemeClr>
            </a:solidFill>
          </a:ln>
          <a:effectLst/>
        </c:spPr>
        <c:txPr>
          <a:bodyPr rot="-60000000" spcFirstLastPara="1" vertOverflow="ellipsis" vert="horz" wrap="square" anchor="ctr" anchorCtr="0"/>
          <a:lstStyle/>
          <a:p>
            <a:pPr>
              <a:defRPr sz="1000" b="0" i="0" u="none" strike="noStrike" kern="1200" baseline="0">
                <a:solidFill>
                  <a:schemeClr val="tx1">
                    <a:lumMod val="65000"/>
                    <a:lumOff val="35000"/>
                  </a:schemeClr>
                </a:solidFill>
                <a:latin typeface="+mn-lt"/>
                <a:ea typeface="+mn-ea"/>
                <a:cs typeface="+mn-cs"/>
              </a:defRPr>
            </a:pPr>
            <a:endParaRPr lang="en-US"/>
          </a:p>
        </c:txPr>
        <c:crossAx val="552622584"/>
        <c:crosses val="autoZero"/>
        <c:crossBetween val="between"/>
        <c:majorUnit val="50"/>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4">
    <c:autoUpdate val="0"/>
  </c:externalData>
  <c:userShapes r:id="rId5"/>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7"/>
    </mc:Choice>
    <mc:Fallback>
      <c:style val="7"/>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0.10134616628959404"/>
          <c:y val="0.22550432831584369"/>
          <c:w val="0.81704069319305395"/>
          <c:h val="0.56421270140675694"/>
        </c:manualLayout>
      </c:layout>
      <c:lineChart>
        <c:grouping val="standard"/>
        <c:varyColors val="0"/>
        <c:ser>
          <c:idx val="3"/>
          <c:order val="0"/>
          <c:tx>
            <c:strRef>
              <c:f>'[NFO 2013-2021 data brief figures 10.24.23.xlsx]F7A_C RACE_ETHNICITY'!$F$1</c:f>
              <c:strCache>
                <c:ptCount val="1"/>
                <c:pt idx="0">
                  <c:v>white nH</c:v>
                </c:pt>
              </c:strCache>
            </c:strRef>
          </c:tx>
          <c:spPr>
            <a:ln w="25400" cap="rnd">
              <a:solidFill>
                <a:srgbClr val="5A8B39"/>
              </a:solidFill>
              <a:round/>
            </a:ln>
            <a:effectLst/>
          </c:spPr>
          <c:marker>
            <c:symbol val="circle"/>
            <c:size val="4"/>
            <c:spPr>
              <a:solidFill>
                <a:srgbClr val="5A8B39"/>
              </a:solidFill>
              <a:ln w="12700">
                <a:solidFill>
                  <a:srgbClr val="62983E"/>
                </a:solidFill>
              </a:ln>
              <a:effectLst/>
            </c:spPr>
          </c:marker>
          <c:dLbls>
            <c:dLbl>
              <c:idx val="1"/>
              <c:delete val="1"/>
              <c:extLst>
                <c:ext xmlns:c15="http://schemas.microsoft.com/office/drawing/2012/chart" uri="{CE6537A1-D6FC-4f65-9D91-7224C49458BB}"/>
                <c:ext xmlns:c16="http://schemas.microsoft.com/office/drawing/2014/chart" uri="{C3380CC4-5D6E-409C-BE32-E72D297353CC}">
                  <c16:uniqueId val="{00000000-1F0A-4456-8BD8-C0D69DB91AF5}"/>
                </c:ext>
              </c:extLst>
            </c:dLbl>
            <c:dLbl>
              <c:idx val="2"/>
              <c:delete val="1"/>
              <c:extLst>
                <c:ext xmlns:c15="http://schemas.microsoft.com/office/drawing/2012/chart" uri="{CE6537A1-D6FC-4f65-9D91-7224C49458BB}"/>
                <c:ext xmlns:c16="http://schemas.microsoft.com/office/drawing/2014/chart" uri="{C3380CC4-5D6E-409C-BE32-E72D297353CC}">
                  <c16:uniqueId val="{00000001-1F0A-4456-8BD8-C0D69DB91AF5}"/>
                </c:ext>
              </c:extLst>
            </c:dLbl>
            <c:dLbl>
              <c:idx val="4"/>
              <c:delete val="1"/>
              <c:extLst>
                <c:ext xmlns:c15="http://schemas.microsoft.com/office/drawing/2012/chart" uri="{CE6537A1-D6FC-4f65-9D91-7224C49458BB}"/>
                <c:ext xmlns:c16="http://schemas.microsoft.com/office/drawing/2014/chart" uri="{C3380CC4-5D6E-409C-BE32-E72D297353CC}">
                  <c16:uniqueId val="{00000002-1F0A-4456-8BD8-C0D69DB91AF5}"/>
                </c:ext>
              </c:extLst>
            </c:dLbl>
            <c:dLbl>
              <c:idx val="5"/>
              <c:delete val="1"/>
              <c:extLst>
                <c:ext xmlns:c15="http://schemas.microsoft.com/office/drawing/2012/chart" uri="{CE6537A1-D6FC-4f65-9D91-7224C49458BB}"/>
                <c:ext xmlns:c16="http://schemas.microsoft.com/office/drawing/2014/chart" uri="{C3380CC4-5D6E-409C-BE32-E72D297353CC}">
                  <c16:uniqueId val="{00000003-1F0A-4456-8BD8-C0D69DB91AF5}"/>
                </c:ext>
              </c:extLst>
            </c:dLbl>
            <c:dLbl>
              <c:idx val="6"/>
              <c:delete val="1"/>
              <c:extLst>
                <c:ext xmlns:c15="http://schemas.microsoft.com/office/drawing/2012/chart" uri="{CE6537A1-D6FC-4f65-9D91-7224C49458BB}"/>
                <c:ext xmlns:c16="http://schemas.microsoft.com/office/drawing/2014/chart" uri="{C3380CC4-5D6E-409C-BE32-E72D297353CC}">
                  <c16:uniqueId val="{00000004-1F0A-4456-8BD8-C0D69DB91AF5}"/>
                </c:ext>
              </c:extLst>
            </c:dLbl>
            <c:dLbl>
              <c:idx val="7"/>
              <c:delete val="1"/>
              <c:extLst>
                <c:ext xmlns:c15="http://schemas.microsoft.com/office/drawing/2012/chart" uri="{CE6537A1-D6FC-4f65-9D91-7224C49458BB}">
                  <c15:layout>
                    <c:manualLayout>
                      <c:w val="5.2172008187135806E-2"/>
                      <c:h val="0.10458249474739721"/>
                    </c:manualLayout>
                  </c15:layout>
                </c:ext>
                <c:ext xmlns:c16="http://schemas.microsoft.com/office/drawing/2014/chart" uri="{C3380CC4-5D6E-409C-BE32-E72D297353CC}">
                  <c16:uniqueId val="{00000005-1F0A-4456-8BD8-C0D69DB91AF5}"/>
                </c:ext>
              </c:extLst>
            </c:dLbl>
            <c:dLbl>
              <c:idx val="8"/>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1F0A-4456-8BD8-C0D69DB91AF5}"/>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'[NFO 2013-2021 data brief figures 10.24.23.xlsx]F7A_C RACE_ETHNICITY'!$A$2:$A$10</c:f>
              <c:numCache>
                <c:formatCode>General</c:formatCode>
                <c:ptCount val="9"/>
                <c:pt idx="0" formatCode="0">
                  <c:v>2013</c:v>
                </c:pt>
                <c:pt idx="1">
                  <c:v>2014</c:v>
                </c:pt>
                <c:pt idx="2">
                  <c:v>2015</c:v>
                </c:pt>
                <c:pt idx="3">
                  <c:v>2016</c:v>
                </c:pt>
                <c:pt idx="4">
                  <c:v>2017</c:v>
                </c:pt>
                <c:pt idx="5">
                  <c:v>2018</c:v>
                </c:pt>
                <c:pt idx="6">
                  <c:v>2019</c:v>
                </c:pt>
                <c:pt idx="7">
                  <c:v>2020</c:v>
                </c:pt>
                <c:pt idx="8">
                  <c:v>2021</c:v>
                </c:pt>
              </c:numCache>
            </c:numRef>
          </c:cat>
          <c:val>
            <c:numRef>
              <c:f>'[NFO 2013-2021 data brief figures 10.24.23.xlsx]F7A_C RACE_ETHNICITY'!$F$2:$F$10</c:f>
              <c:numCache>
                <c:formatCode>0.0</c:formatCode>
                <c:ptCount val="9"/>
                <c:pt idx="0">
                  <c:v>130.126</c:v>
                </c:pt>
                <c:pt idx="1">
                  <c:v>194.55600000000001</c:v>
                </c:pt>
                <c:pt idx="2">
                  <c:v>237.453</c:v>
                </c:pt>
                <c:pt idx="3">
                  <c:v>281.39999999999998</c:v>
                </c:pt>
                <c:pt idx="4">
                  <c:v>268.89999999999998</c:v>
                </c:pt>
                <c:pt idx="5">
                  <c:v>244.6</c:v>
                </c:pt>
                <c:pt idx="6">
                  <c:v>220</c:v>
                </c:pt>
                <c:pt idx="7">
                  <c:v>199.2</c:v>
                </c:pt>
                <c:pt idx="8">
                  <c:v>183.13</c:v>
                </c:pt>
              </c:numCache>
            </c:numRef>
          </c:val>
          <c:smooth val="0"/>
          <c:extLst>
            <c:ext xmlns:c16="http://schemas.microsoft.com/office/drawing/2014/chart" uri="{C3380CC4-5D6E-409C-BE32-E72D297353CC}">
              <c16:uniqueId val="{00000007-1F0A-4456-8BD8-C0D69DB91AF5}"/>
            </c:ext>
          </c:extLst>
        </c:ser>
        <c:ser>
          <c:idx val="2"/>
          <c:order val="2"/>
          <c:tx>
            <c:strRef>
              <c:f>'[NFO 2013-2021 data brief figures 10.24.23.xlsx]F7A_C RACE_ETHNICITY'!$E$1</c:f>
              <c:strCache>
                <c:ptCount val="1"/>
                <c:pt idx="0">
                  <c:v>Hispanic</c:v>
                </c:pt>
              </c:strCache>
            </c:strRef>
          </c:tx>
          <c:spPr>
            <a:ln w="25400" cap="rnd">
              <a:solidFill>
                <a:srgbClr val="00A1DA"/>
              </a:solidFill>
              <a:round/>
            </a:ln>
            <a:effectLst/>
          </c:spPr>
          <c:marker>
            <c:symbol val="circle"/>
            <c:size val="4"/>
            <c:spPr>
              <a:solidFill>
                <a:srgbClr val="0091C4"/>
              </a:solidFill>
              <a:ln w="9525">
                <a:noFill/>
              </a:ln>
              <a:effectLst/>
            </c:spPr>
          </c:marker>
          <c:dLbls>
            <c:dLbl>
              <c:idx val="1"/>
              <c:delete val="1"/>
              <c:extLst>
                <c:ext xmlns:c15="http://schemas.microsoft.com/office/drawing/2012/chart" uri="{CE6537A1-D6FC-4f65-9D91-7224C49458BB}"/>
                <c:ext xmlns:c16="http://schemas.microsoft.com/office/drawing/2014/chart" uri="{C3380CC4-5D6E-409C-BE32-E72D297353CC}">
                  <c16:uniqueId val="{00000008-1F0A-4456-8BD8-C0D69DB91AF5}"/>
                </c:ext>
              </c:extLst>
            </c:dLbl>
            <c:dLbl>
              <c:idx val="2"/>
              <c:delete val="1"/>
              <c:extLst>
                <c:ext xmlns:c15="http://schemas.microsoft.com/office/drawing/2012/chart" uri="{CE6537A1-D6FC-4f65-9D91-7224C49458BB}"/>
                <c:ext xmlns:c16="http://schemas.microsoft.com/office/drawing/2014/chart" uri="{C3380CC4-5D6E-409C-BE32-E72D297353CC}">
                  <c16:uniqueId val="{00000009-1F0A-4456-8BD8-C0D69DB91AF5}"/>
                </c:ext>
              </c:extLst>
            </c:dLbl>
            <c:dLbl>
              <c:idx val="3"/>
              <c:layout>
                <c:manualLayout>
                  <c:x val="-1.8021157690521949E-3"/>
                  <c:y val="-2.211764555631248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1F0A-4456-8BD8-C0D69DB91AF5}"/>
                </c:ext>
              </c:extLst>
            </c:dLbl>
            <c:dLbl>
              <c:idx val="4"/>
              <c:delete val="1"/>
              <c:extLst>
                <c:ext xmlns:c15="http://schemas.microsoft.com/office/drawing/2012/chart" uri="{CE6537A1-D6FC-4f65-9D91-7224C49458BB}"/>
                <c:ext xmlns:c16="http://schemas.microsoft.com/office/drawing/2014/chart" uri="{C3380CC4-5D6E-409C-BE32-E72D297353CC}">
                  <c16:uniqueId val="{0000000B-1F0A-4456-8BD8-C0D69DB91AF5}"/>
                </c:ext>
              </c:extLst>
            </c:dLbl>
            <c:dLbl>
              <c:idx val="5"/>
              <c:delete val="1"/>
              <c:extLst>
                <c:ext xmlns:c15="http://schemas.microsoft.com/office/drawing/2012/chart" uri="{CE6537A1-D6FC-4f65-9D91-7224C49458BB}"/>
                <c:ext xmlns:c16="http://schemas.microsoft.com/office/drawing/2014/chart" uri="{C3380CC4-5D6E-409C-BE32-E72D297353CC}">
                  <c16:uniqueId val="{0000000C-1F0A-4456-8BD8-C0D69DB91AF5}"/>
                </c:ext>
              </c:extLst>
            </c:dLbl>
            <c:dLbl>
              <c:idx val="6"/>
              <c:delete val="1"/>
              <c:extLst>
                <c:ext xmlns:c15="http://schemas.microsoft.com/office/drawing/2012/chart" uri="{CE6537A1-D6FC-4f65-9D91-7224C49458BB}"/>
                <c:ext xmlns:c16="http://schemas.microsoft.com/office/drawing/2014/chart" uri="{C3380CC4-5D6E-409C-BE32-E72D297353CC}">
                  <c16:uniqueId val="{0000000D-1F0A-4456-8BD8-C0D69DB91AF5}"/>
                </c:ext>
              </c:extLst>
            </c:dLbl>
            <c:dLbl>
              <c:idx val="7"/>
              <c:delete val="1"/>
              <c:extLst>
                <c:ext xmlns:c15="http://schemas.microsoft.com/office/drawing/2012/chart" uri="{CE6537A1-D6FC-4f65-9D91-7224C49458BB}"/>
                <c:ext xmlns:c16="http://schemas.microsoft.com/office/drawing/2014/chart" uri="{C3380CC4-5D6E-409C-BE32-E72D297353CC}">
                  <c16:uniqueId val="{0000000E-1F0A-4456-8BD8-C0D69DB91AF5}"/>
                </c:ext>
              </c:extLst>
            </c:dLbl>
            <c:dLbl>
              <c:idx val="8"/>
              <c:layout>
                <c:manualLayout>
                  <c:x val="-1.9805336832895887E-2"/>
                  <c:y val="-1.7904750491685488E-2"/>
                </c:manualLayout>
              </c:layout>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r"/>
              <c:showLegendKey val="0"/>
              <c:showVal val="1"/>
              <c:showCatName val="0"/>
              <c:showSerName val="0"/>
              <c:showPercent val="0"/>
              <c:showBubbleSize val="0"/>
              <c:extLst>
                <c:ext xmlns:c15="http://schemas.microsoft.com/office/drawing/2012/chart" uri="{CE6537A1-D6FC-4f65-9D91-7224C49458BB}">
                  <c15:layout>
                    <c:manualLayout>
                      <c:w val="9.2034120734908131E-2"/>
                      <c:h val="0.11106063062618515"/>
                    </c:manualLayout>
                  </c15:layout>
                </c:ext>
                <c:ext xmlns:c16="http://schemas.microsoft.com/office/drawing/2014/chart" uri="{C3380CC4-5D6E-409C-BE32-E72D297353CC}">
                  <c16:uniqueId val="{0000000F-1F0A-4456-8BD8-C0D69DB91AF5}"/>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'[NFO 2013-2021 data brief figures 10.24.23.xlsx]F7A_C RACE_ETHNICITY'!$A$2:$A$10</c:f>
              <c:numCache>
                <c:formatCode>General</c:formatCode>
                <c:ptCount val="9"/>
                <c:pt idx="0" formatCode="0">
                  <c:v>2013</c:v>
                </c:pt>
                <c:pt idx="1">
                  <c:v>2014</c:v>
                </c:pt>
                <c:pt idx="2">
                  <c:v>2015</c:v>
                </c:pt>
                <c:pt idx="3">
                  <c:v>2016</c:v>
                </c:pt>
                <c:pt idx="4">
                  <c:v>2017</c:v>
                </c:pt>
                <c:pt idx="5">
                  <c:v>2018</c:v>
                </c:pt>
                <c:pt idx="6">
                  <c:v>2019</c:v>
                </c:pt>
                <c:pt idx="7">
                  <c:v>2020</c:v>
                </c:pt>
                <c:pt idx="8">
                  <c:v>2021</c:v>
                </c:pt>
              </c:numCache>
            </c:numRef>
          </c:cat>
          <c:val>
            <c:numRef>
              <c:f>'[NFO 2013-2021 data brief figures 10.24.23.xlsx]F7A_C RACE_ETHNICITY'!$E$2:$E$10</c:f>
              <c:numCache>
                <c:formatCode>0.0</c:formatCode>
                <c:ptCount val="9"/>
                <c:pt idx="0">
                  <c:v>77.362200000000001</c:v>
                </c:pt>
                <c:pt idx="1">
                  <c:v>111.00700000000001</c:v>
                </c:pt>
                <c:pt idx="2">
                  <c:v>146.82400000000001</c:v>
                </c:pt>
                <c:pt idx="3">
                  <c:v>194.4</c:v>
                </c:pt>
                <c:pt idx="4">
                  <c:v>180.6</c:v>
                </c:pt>
                <c:pt idx="5">
                  <c:v>212.7</c:v>
                </c:pt>
                <c:pt idx="6">
                  <c:v>213.73</c:v>
                </c:pt>
                <c:pt idx="7">
                  <c:v>199.78399999999999</c:v>
                </c:pt>
                <c:pt idx="8">
                  <c:v>197.24100000000001</c:v>
                </c:pt>
              </c:numCache>
            </c:numRef>
          </c:val>
          <c:smooth val="0"/>
          <c:extLst>
            <c:ext xmlns:c16="http://schemas.microsoft.com/office/drawing/2014/chart" uri="{C3380CC4-5D6E-409C-BE32-E72D297353CC}">
              <c16:uniqueId val="{00000010-1F0A-4456-8BD8-C0D69DB91AF5}"/>
            </c:ext>
          </c:extLst>
        </c:ser>
        <c:ser>
          <c:idx val="1"/>
          <c:order val="3"/>
          <c:tx>
            <c:strRef>
              <c:f>'[NFO 2013-2021 data brief figures 10.24.23.xlsx]F7A_C RACE_ETHNICITY'!$D$1</c:f>
              <c:strCache>
                <c:ptCount val="1"/>
                <c:pt idx="0">
                  <c:v>Black nH</c:v>
                </c:pt>
              </c:strCache>
            </c:strRef>
          </c:tx>
          <c:spPr>
            <a:ln w="25400" cap="rnd">
              <a:solidFill>
                <a:srgbClr val="DA5D00"/>
              </a:solidFill>
              <a:round/>
            </a:ln>
            <a:effectLst/>
          </c:spPr>
          <c:marker>
            <c:symbol val="circle"/>
            <c:size val="4"/>
            <c:spPr>
              <a:solidFill>
                <a:srgbClr val="FF874B"/>
              </a:solidFill>
              <a:ln w="9525">
                <a:noFill/>
              </a:ln>
              <a:effectLst/>
            </c:spPr>
          </c:marker>
          <c:dLbls>
            <c:dLbl>
              <c:idx val="0"/>
              <c:layout>
                <c:manualLayout>
                  <c:x val="-5.2171251514061046E-2"/>
                  <c:y val="-3.8761357982864974E-3"/>
                </c:manualLayout>
              </c:layout>
              <c:dLblPos val="r"/>
              <c:showLegendKey val="0"/>
              <c:showVal val="1"/>
              <c:showCatName val="0"/>
              <c:showSerName val="0"/>
              <c:showPercent val="0"/>
              <c:showBubbleSize val="0"/>
              <c:extLst>
                <c:ext xmlns:c15="http://schemas.microsoft.com/office/drawing/2012/chart" uri="{CE6537A1-D6FC-4f65-9D91-7224C49458BB}">
                  <c15:layout>
                    <c:manualLayout>
                      <c:w val="5.0369135745008849E-2"/>
                      <c:h val="5.4210045996587637E-2"/>
                    </c:manualLayout>
                  </c15:layout>
                </c:ext>
                <c:ext xmlns:c16="http://schemas.microsoft.com/office/drawing/2014/chart" uri="{C3380CC4-5D6E-409C-BE32-E72D297353CC}">
                  <c16:uniqueId val="{00000011-1F0A-4456-8BD8-C0D69DB91AF5}"/>
                </c:ext>
              </c:extLst>
            </c:dLbl>
            <c:dLbl>
              <c:idx val="1"/>
              <c:delete val="1"/>
              <c:extLst>
                <c:ext xmlns:c15="http://schemas.microsoft.com/office/drawing/2012/chart" uri="{CE6537A1-D6FC-4f65-9D91-7224C49458BB}"/>
                <c:ext xmlns:c16="http://schemas.microsoft.com/office/drawing/2014/chart" uri="{C3380CC4-5D6E-409C-BE32-E72D297353CC}">
                  <c16:uniqueId val="{00000012-1F0A-4456-8BD8-C0D69DB91AF5}"/>
                </c:ext>
              </c:extLst>
            </c:dLbl>
            <c:dLbl>
              <c:idx val="2"/>
              <c:delete val="1"/>
              <c:extLst>
                <c:ext xmlns:c15="http://schemas.microsoft.com/office/drawing/2012/chart" uri="{CE6537A1-D6FC-4f65-9D91-7224C49458BB}"/>
                <c:ext xmlns:c16="http://schemas.microsoft.com/office/drawing/2014/chart" uri="{C3380CC4-5D6E-409C-BE32-E72D297353CC}">
                  <c16:uniqueId val="{00000013-1F0A-4456-8BD8-C0D69DB91AF5}"/>
                </c:ext>
              </c:extLst>
            </c:dLbl>
            <c:dLbl>
              <c:idx val="3"/>
              <c:delete val="1"/>
              <c:extLst>
                <c:ext xmlns:c15="http://schemas.microsoft.com/office/drawing/2012/chart" uri="{CE6537A1-D6FC-4f65-9D91-7224C49458BB}"/>
                <c:ext xmlns:c16="http://schemas.microsoft.com/office/drawing/2014/chart" uri="{C3380CC4-5D6E-409C-BE32-E72D297353CC}">
                  <c16:uniqueId val="{00000014-1F0A-4456-8BD8-C0D69DB91AF5}"/>
                </c:ext>
              </c:extLst>
            </c:dLbl>
            <c:dLbl>
              <c:idx val="4"/>
              <c:delete val="1"/>
              <c:extLst>
                <c:ext xmlns:c15="http://schemas.microsoft.com/office/drawing/2012/chart" uri="{CE6537A1-D6FC-4f65-9D91-7224C49458BB}">
                  <c15:layout>
                    <c:manualLayout>
                      <c:w val="5.782854541295606E-2"/>
                      <c:h val="5.0001042128236993E-2"/>
                    </c:manualLayout>
                  </c15:layout>
                </c:ext>
                <c:ext xmlns:c16="http://schemas.microsoft.com/office/drawing/2014/chart" uri="{C3380CC4-5D6E-409C-BE32-E72D297353CC}">
                  <c16:uniqueId val="{00000015-1F0A-4456-8BD8-C0D69DB91AF5}"/>
                </c:ext>
              </c:extLst>
            </c:dLbl>
            <c:dLbl>
              <c:idx val="5"/>
              <c:delete val="1"/>
              <c:extLst>
                <c:ext xmlns:c15="http://schemas.microsoft.com/office/drawing/2012/chart" uri="{CE6537A1-D6FC-4f65-9D91-7224C49458BB}"/>
                <c:ext xmlns:c16="http://schemas.microsoft.com/office/drawing/2014/chart" uri="{C3380CC4-5D6E-409C-BE32-E72D297353CC}">
                  <c16:uniqueId val="{00000016-1F0A-4456-8BD8-C0D69DB91AF5}"/>
                </c:ext>
              </c:extLst>
            </c:dLbl>
            <c:dLbl>
              <c:idx val="6"/>
              <c:delete val="1"/>
              <c:extLst>
                <c:ext xmlns:c15="http://schemas.microsoft.com/office/drawing/2012/chart" uri="{CE6537A1-D6FC-4f65-9D91-7224C49458BB}"/>
                <c:ext xmlns:c16="http://schemas.microsoft.com/office/drawing/2014/chart" uri="{C3380CC4-5D6E-409C-BE32-E72D297353CC}">
                  <c16:uniqueId val="{00000017-1F0A-4456-8BD8-C0D69DB91AF5}"/>
                </c:ext>
              </c:extLst>
            </c:dLbl>
            <c:dLbl>
              <c:idx val="8"/>
              <c:layout>
                <c:manualLayout>
                  <c:x val="-3.3403907014567545E-2"/>
                  <c:y val="-3.4228852737260035E-2"/>
                </c:manualLayout>
              </c:layout>
              <c:spPr>
                <a:solidFill>
                  <a:schemeClr val="bg1">
                    <a:alpha val="50000"/>
                  </a:schemeClr>
                </a:solid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r"/>
              <c:showLegendKey val="0"/>
              <c:showVal val="1"/>
              <c:showCatName val="0"/>
              <c:showSerName val="0"/>
              <c:showPercent val="0"/>
              <c:showBubbleSize val="0"/>
              <c:extLst>
                <c:ext xmlns:c15="http://schemas.microsoft.com/office/drawing/2012/chart" uri="{CE6537A1-D6FC-4f65-9D91-7224C49458BB}">
                  <c15:layout>
                    <c:manualLayout>
                      <c:w val="5.7793852713503895E-2"/>
                      <c:h val="4.4180142127642028E-2"/>
                    </c:manualLayout>
                  </c15:layout>
                </c:ext>
                <c:ext xmlns:c16="http://schemas.microsoft.com/office/drawing/2014/chart" uri="{C3380CC4-5D6E-409C-BE32-E72D297353CC}">
                  <c16:uniqueId val="{00000018-1F0A-4456-8BD8-C0D69DB91AF5}"/>
                </c:ext>
              </c:extLst>
            </c:dLbl>
            <c:spPr>
              <a:solidFill>
                <a:schemeClr val="bg1">
                  <a:alpha val="50000"/>
                </a:schemeClr>
              </a:solid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'[NFO 2013-2021 data brief figures 10.24.23.xlsx]F7A_C RACE_ETHNICITY'!$A$2:$A$10</c:f>
              <c:numCache>
                <c:formatCode>General</c:formatCode>
                <c:ptCount val="9"/>
                <c:pt idx="0" formatCode="0">
                  <c:v>2013</c:v>
                </c:pt>
                <c:pt idx="1">
                  <c:v>2014</c:v>
                </c:pt>
                <c:pt idx="2">
                  <c:v>2015</c:v>
                </c:pt>
                <c:pt idx="3">
                  <c:v>2016</c:v>
                </c:pt>
                <c:pt idx="4">
                  <c:v>2017</c:v>
                </c:pt>
                <c:pt idx="5">
                  <c:v>2018</c:v>
                </c:pt>
                <c:pt idx="6">
                  <c:v>2019</c:v>
                </c:pt>
                <c:pt idx="7">
                  <c:v>2020</c:v>
                </c:pt>
                <c:pt idx="8">
                  <c:v>2021</c:v>
                </c:pt>
              </c:numCache>
            </c:numRef>
          </c:cat>
          <c:val>
            <c:numRef>
              <c:f>'[NFO 2013-2021 data brief figures 10.24.23.xlsx]F7A_C RACE_ETHNICITY'!$D$2:$D$10</c:f>
              <c:numCache>
                <c:formatCode>0.0</c:formatCode>
                <c:ptCount val="9"/>
                <c:pt idx="0">
                  <c:v>64.459599999999995</c:v>
                </c:pt>
                <c:pt idx="1">
                  <c:v>97.4422</c:v>
                </c:pt>
                <c:pt idx="2">
                  <c:v>131.702</c:v>
                </c:pt>
                <c:pt idx="3">
                  <c:v>160.88</c:v>
                </c:pt>
                <c:pt idx="4">
                  <c:v>189.08</c:v>
                </c:pt>
                <c:pt idx="5">
                  <c:v>177.3</c:v>
                </c:pt>
                <c:pt idx="6">
                  <c:v>201.82</c:v>
                </c:pt>
                <c:pt idx="7">
                  <c:v>211.90600000000001</c:v>
                </c:pt>
                <c:pt idx="8">
                  <c:v>202.15</c:v>
                </c:pt>
              </c:numCache>
            </c:numRef>
          </c:val>
          <c:smooth val="0"/>
          <c:extLst>
            <c:ext xmlns:c16="http://schemas.microsoft.com/office/drawing/2014/chart" uri="{C3380CC4-5D6E-409C-BE32-E72D297353CC}">
              <c16:uniqueId val="{00000019-1F0A-4456-8BD8-C0D69DB91AF5}"/>
            </c:ext>
          </c:extLst>
        </c:ser>
        <c:ser>
          <c:idx val="0"/>
          <c:order val="4"/>
          <c:tx>
            <c:strRef>
              <c:f>'[NFO 2013-2021 data brief figures 10.24.23.xlsx]F7A_C RACE_ETHNICITY'!$C$1</c:f>
              <c:strCache>
                <c:ptCount val="1"/>
                <c:pt idx="0">
                  <c:v>Asian, Pacific Islander nH</c:v>
                </c:pt>
              </c:strCache>
            </c:strRef>
          </c:tx>
          <c:spPr>
            <a:ln w="25400" cap="rnd">
              <a:solidFill>
                <a:srgbClr val="8038B6"/>
              </a:solidFill>
              <a:round/>
            </a:ln>
            <a:effectLst/>
          </c:spPr>
          <c:marker>
            <c:symbol val="circle"/>
            <c:size val="4"/>
            <c:spPr>
              <a:solidFill>
                <a:srgbClr val="9651C9"/>
              </a:solidFill>
              <a:ln w="9525">
                <a:solidFill>
                  <a:srgbClr val="9149C7"/>
                </a:solidFill>
              </a:ln>
              <a:effectLst/>
            </c:spPr>
          </c:marker>
          <c:dLbls>
            <c:dLbl>
              <c:idx val="1"/>
              <c:delete val="1"/>
              <c:extLst>
                <c:ext xmlns:c15="http://schemas.microsoft.com/office/drawing/2012/chart" uri="{CE6537A1-D6FC-4f65-9D91-7224C49458BB}"/>
                <c:ext xmlns:c16="http://schemas.microsoft.com/office/drawing/2014/chart" uri="{C3380CC4-5D6E-409C-BE32-E72D297353CC}">
                  <c16:uniqueId val="{0000001A-1F0A-4456-8BD8-C0D69DB91AF5}"/>
                </c:ext>
              </c:extLst>
            </c:dLbl>
            <c:dLbl>
              <c:idx val="2"/>
              <c:delete val="1"/>
              <c:extLst>
                <c:ext xmlns:c15="http://schemas.microsoft.com/office/drawing/2012/chart" uri="{CE6537A1-D6FC-4f65-9D91-7224C49458BB}"/>
                <c:ext xmlns:c16="http://schemas.microsoft.com/office/drawing/2014/chart" uri="{C3380CC4-5D6E-409C-BE32-E72D297353CC}">
                  <c16:uniqueId val="{0000001B-1F0A-4456-8BD8-C0D69DB91AF5}"/>
                </c:ext>
              </c:extLst>
            </c:dLbl>
            <c:dLbl>
              <c:idx val="3"/>
              <c:delete val="1"/>
              <c:extLst>
                <c:ext xmlns:c15="http://schemas.microsoft.com/office/drawing/2012/chart" uri="{CE6537A1-D6FC-4f65-9D91-7224C49458BB}"/>
                <c:ext xmlns:c16="http://schemas.microsoft.com/office/drawing/2014/chart" uri="{C3380CC4-5D6E-409C-BE32-E72D297353CC}">
                  <c16:uniqueId val="{0000001C-1F0A-4456-8BD8-C0D69DB91AF5}"/>
                </c:ext>
              </c:extLst>
            </c:dLbl>
            <c:dLbl>
              <c:idx val="5"/>
              <c:delete val="1"/>
              <c:extLst>
                <c:ext xmlns:c15="http://schemas.microsoft.com/office/drawing/2012/chart" uri="{CE6537A1-D6FC-4f65-9D91-7224C49458BB}"/>
                <c:ext xmlns:c16="http://schemas.microsoft.com/office/drawing/2014/chart" uri="{C3380CC4-5D6E-409C-BE32-E72D297353CC}">
                  <c16:uniqueId val="{0000001D-1F0A-4456-8BD8-C0D69DB91AF5}"/>
                </c:ext>
              </c:extLst>
            </c:dLbl>
            <c:dLbl>
              <c:idx val="6"/>
              <c:delete val="1"/>
              <c:extLst>
                <c:ext xmlns:c15="http://schemas.microsoft.com/office/drawing/2012/chart" uri="{CE6537A1-D6FC-4f65-9D91-7224C49458BB}"/>
                <c:ext xmlns:c16="http://schemas.microsoft.com/office/drawing/2014/chart" uri="{C3380CC4-5D6E-409C-BE32-E72D297353CC}">
                  <c16:uniqueId val="{0000001E-1F0A-4456-8BD8-C0D69DB91AF5}"/>
                </c:ext>
              </c:extLst>
            </c:dLbl>
            <c:dLbl>
              <c:idx val="7"/>
              <c:delete val="1"/>
              <c:extLst>
                <c:ext xmlns:c15="http://schemas.microsoft.com/office/drawing/2012/chart" uri="{CE6537A1-D6FC-4f65-9D91-7224C49458BB}"/>
                <c:ext xmlns:c16="http://schemas.microsoft.com/office/drawing/2014/chart" uri="{C3380CC4-5D6E-409C-BE32-E72D297353CC}">
                  <c16:uniqueId val="{0000001F-1F0A-4456-8BD8-C0D69DB91AF5}"/>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'[NFO 2013-2021 data brief figures 10.24.23.xlsx]F7A_C RACE_ETHNICITY'!$A$2:$A$10</c:f>
              <c:numCache>
                <c:formatCode>General</c:formatCode>
                <c:ptCount val="9"/>
                <c:pt idx="0" formatCode="0">
                  <c:v>2013</c:v>
                </c:pt>
                <c:pt idx="1">
                  <c:v>2014</c:v>
                </c:pt>
                <c:pt idx="2">
                  <c:v>2015</c:v>
                </c:pt>
                <c:pt idx="3">
                  <c:v>2016</c:v>
                </c:pt>
                <c:pt idx="4">
                  <c:v>2017</c:v>
                </c:pt>
                <c:pt idx="5">
                  <c:v>2018</c:v>
                </c:pt>
                <c:pt idx="6">
                  <c:v>2019</c:v>
                </c:pt>
                <c:pt idx="7">
                  <c:v>2020</c:v>
                </c:pt>
                <c:pt idx="8">
                  <c:v>2021</c:v>
                </c:pt>
              </c:numCache>
            </c:numRef>
          </c:cat>
          <c:val>
            <c:numRef>
              <c:f>'[NFO 2013-2021 data brief figures 10.24.23.xlsx]F7A_C RACE_ETHNICITY'!$C$2:$C$10</c:f>
              <c:numCache>
                <c:formatCode>0.0</c:formatCode>
                <c:ptCount val="9"/>
                <c:pt idx="0">
                  <c:v>8.4747699999999995</c:v>
                </c:pt>
                <c:pt idx="1">
                  <c:v>10.7468</c:v>
                </c:pt>
                <c:pt idx="2">
                  <c:v>14.163</c:v>
                </c:pt>
                <c:pt idx="3">
                  <c:v>15</c:v>
                </c:pt>
                <c:pt idx="4">
                  <c:v>15.3</c:v>
                </c:pt>
                <c:pt idx="5">
                  <c:v>15</c:v>
                </c:pt>
                <c:pt idx="6">
                  <c:v>13.1</c:v>
                </c:pt>
                <c:pt idx="7">
                  <c:v>11.414400000000001</c:v>
                </c:pt>
                <c:pt idx="8">
                  <c:v>14.168900000000001</c:v>
                </c:pt>
              </c:numCache>
            </c:numRef>
          </c:val>
          <c:smooth val="0"/>
          <c:extLst>
            <c:ext xmlns:c16="http://schemas.microsoft.com/office/drawing/2014/chart" uri="{C3380CC4-5D6E-409C-BE32-E72D297353CC}">
              <c16:uniqueId val="{00000020-1F0A-4456-8BD8-C0D69DB91AF5}"/>
            </c:ext>
          </c:extLst>
        </c:ser>
        <c:dLbls>
          <c:showLegendKey val="0"/>
          <c:showVal val="1"/>
          <c:showCatName val="0"/>
          <c:showSerName val="0"/>
          <c:showPercent val="0"/>
          <c:showBubbleSize val="0"/>
        </c:dLbls>
        <c:marker val="1"/>
        <c:smooth val="0"/>
        <c:axId val="390770152"/>
        <c:axId val="390770480"/>
        <c:extLst>
          <c:ext xmlns:c15="http://schemas.microsoft.com/office/drawing/2012/chart" uri="{02D57815-91ED-43cb-92C2-25804820EDAC}">
            <c15:filteredLineSeries>
              <c15:ser>
                <c:idx val="7"/>
                <c:order val="1"/>
                <c:tx>
                  <c:strRef>
                    <c:extLst>
                      <c:ext uri="{02D57815-91ED-43cb-92C2-25804820EDAC}">
                        <c15:formulaRef>
                          <c15:sqref>'[NFO 2013-2021 data brief figures 10.24.23.xlsx]F7A_C RACE_ETHNICITY'!$B$1</c15:sqref>
                        </c15:formulaRef>
                      </c:ext>
                    </c:extLst>
                    <c:strCache>
                      <c:ptCount val="1"/>
                      <c:pt idx="0">
                        <c:v>All races</c:v>
                      </c:pt>
                    </c:strCache>
                  </c:strRef>
                </c:tx>
                <c:spPr>
                  <a:ln w="28575" cap="rnd">
                    <a:solidFill>
                      <a:schemeClr val="tx1">
                        <a:lumMod val="50000"/>
                        <a:lumOff val="50000"/>
                      </a:schemeClr>
                    </a:solidFill>
                    <a:round/>
                  </a:ln>
                  <a:effectLst/>
                </c:spPr>
                <c:marker>
                  <c:symbol val="square"/>
                  <c:size val="4"/>
                  <c:spPr>
                    <a:solidFill>
                      <a:schemeClr val="tx1">
                        <a:lumMod val="50000"/>
                        <a:lumOff val="50000"/>
                      </a:schemeClr>
                    </a:solidFill>
                    <a:ln w="9525">
                      <a:noFill/>
                    </a:ln>
                    <a:effectLst/>
                  </c:spPr>
                </c:marker>
                <c:dLbls>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uri="{CE6537A1-D6FC-4f65-9D91-7224C49458BB}">
                      <c15:showLeaderLines val="1"/>
                      <c15:leaderLines>
                        <c:spPr>
                          <a:ln w="9525" cap="flat" cmpd="sng" algn="ctr">
                            <a:solidFill>
                              <a:schemeClr val="tx1">
                                <a:lumMod val="35000"/>
                                <a:lumOff val="65000"/>
                              </a:schemeClr>
                            </a:solidFill>
                            <a:round/>
                          </a:ln>
                          <a:effectLst/>
                        </c:spPr>
                      </c15:leaderLines>
                    </c:ext>
                  </c:extLst>
                </c:dLbls>
                <c:cat>
                  <c:numRef>
                    <c:extLst>
                      <c:ext uri="{02D57815-91ED-43cb-92C2-25804820EDAC}">
                        <c15:formulaRef>
                          <c15:sqref>'[NFO 2013-2021 data brief figures 10.24.23.xlsx]F7A_C RACE_ETHNICITY'!$A$2:$A$10</c15:sqref>
                        </c15:formulaRef>
                      </c:ext>
                    </c:extLst>
                    <c:numCache>
                      <c:formatCode>General</c:formatCode>
                      <c:ptCount val="9"/>
                      <c:pt idx="0" formatCode="0">
                        <c:v>2013</c:v>
                      </c:pt>
                      <c:pt idx="1">
                        <c:v>2014</c:v>
                      </c:pt>
                      <c:pt idx="2">
                        <c:v>2015</c:v>
                      </c:pt>
                      <c:pt idx="3">
                        <c:v>2016</c:v>
                      </c:pt>
                      <c:pt idx="4">
                        <c:v>2017</c:v>
                      </c:pt>
                      <c:pt idx="5">
                        <c:v>2018</c:v>
                      </c:pt>
                      <c:pt idx="6">
                        <c:v>2019</c:v>
                      </c:pt>
                      <c:pt idx="7">
                        <c:v>2020</c:v>
                      </c:pt>
                      <c:pt idx="8">
                        <c:v>2021</c:v>
                      </c:pt>
                    </c:numCache>
                  </c:numRef>
                </c:cat>
                <c:val>
                  <c:numRef>
                    <c:extLst>
                      <c:ext uri="{02D57815-91ED-43cb-92C2-25804820EDAC}">
                        <c15:formulaRef>
                          <c15:sqref>'[NFO 2013-2021 data brief figures 10.24.23.xlsx]F7A_C RACE_ETHNICITY'!$B$2:$B$10</c15:sqref>
                        </c15:formulaRef>
                      </c:ext>
                    </c:extLst>
                    <c:numCache>
                      <c:formatCode>0.0</c:formatCode>
                      <c:ptCount val="9"/>
                      <c:pt idx="0">
                        <c:v>116.096</c:v>
                      </c:pt>
                      <c:pt idx="1">
                        <c:v>174.60400000000001</c:v>
                      </c:pt>
                      <c:pt idx="2">
                        <c:v>217.52600000000001</c:v>
                      </c:pt>
                      <c:pt idx="3">
                        <c:v>257.60000000000002</c:v>
                      </c:pt>
                      <c:pt idx="4">
                        <c:v>259.7</c:v>
                      </c:pt>
                      <c:pt idx="5">
                        <c:v>248.1</c:v>
                      </c:pt>
                      <c:pt idx="6">
                        <c:v>231.9</c:v>
                      </c:pt>
                      <c:pt idx="7">
                        <c:v>208.73</c:v>
                      </c:pt>
                      <c:pt idx="8">
                        <c:v>192.75200000000001</c:v>
                      </c:pt>
                    </c:numCache>
                  </c:numRef>
                </c:val>
                <c:smooth val="0"/>
                <c:extLst>
                  <c:ext xmlns:c16="http://schemas.microsoft.com/office/drawing/2014/chart" uri="{C3380CC4-5D6E-409C-BE32-E72D297353CC}">
                    <c16:uniqueId val="{00000021-1F0A-4456-8BD8-C0D69DB91AF5}"/>
                  </c:ext>
                </c:extLst>
              </c15:ser>
            </c15:filteredLineSeries>
          </c:ext>
        </c:extLst>
      </c:lineChart>
      <c:catAx>
        <c:axId val="390770152"/>
        <c:scaling>
          <c:orientation val="minMax"/>
        </c:scaling>
        <c:delete val="0"/>
        <c:axPos val="b"/>
        <c:numFmt formatCode="0" sourceLinked="1"/>
        <c:majorTickMark val="none"/>
        <c:minorTickMark val="none"/>
        <c:tickLblPos val="nextTo"/>
        <c:spPr>
          <a:noFill/>
          <a:ln w="9525" cap="flat" cmpd="sng" algn="ctr">
            <a:solidFill>
              <a:schemeClr val="tx1">
                <a:lumMod val="50000"/>
                <a:lumOff val="50000"/>
              </a:schemeClr>
            </a:solidFill>
            <a:round/>
          </a:ln>
          <a:effectLst/>
        </c:spPr>
        <c:txPr>
          <a:bodyPr rot="-60000000" spcFirstLastPara="1" vertOverflow="ellipsis" vert="horz" wrap="square" anchor="ctr" anchorCtr="1"/>
          <a:lstStyle/>
          <a:p>
            <a:pPr>
              <a:defRPr sz="1000" b="1" i="0" u="none" strike="noStrike" kern="1200" baseline="0">
                <a:solidFill>
                  <a:sysClr val="windowText" lastClr="000000"/>
                </a:solidFill>
                <a:latin typeface="Segoe UI" panose="020B0502040204020203" pitchFamily="34" charset="0"/>
                <a:ea typeface="+mn-ea"/>
                <a:cs typeface="Segoe UI" panose="020B0502040204020203" pitchFamily="34" charset="0"/>
              </a:defRPr>
            </a:pPr>
            <a:endParaRPr lang="en-US"/>
          </a:p>
        </c:txPr>
        <c:crossAx val="390770480"/>
        <c:crosses val="autoZero"/>
        <c:auto val="1"/>
        <c:lblAlgn val="ctr"/>
        <c:lblOffset val="100"/>
        <c:noMultiLvlLbl val="0"/>
      </c:catAx>
      <c:valAx>
        <c:axId val="390770480"/>
        <c:scaling>
          <c:orientation val="minMax"/>
          <c:max val="400"/>
        </c:scaling>
        <c:delete val="0"/>
        <c:axPos val="l"/>
        <c:majorGridlines>
          <c:spPr>
            <a:ln w="9525" cap="flat" cmpd="sng" algn="ctr">
              <a:noFill/>
              <a:round/>
            </a:ln>
            <a:effectLst/>
          </c:spPr>
        </c:majorGridlines>
        <c:title>
          <c:tx>
            <c:rich>
              <a:bodyPr rot="-5400000" spcFirstLastPara="1" vertOverflow="ellipsis" vert="horz" wrap="square" anchor="ctr" anchorCtr="1"/>
              <a:lstStyle/>
              <a:p>
                <a:pPr>
                  <a:defRPr sz="900" b="1" i="0" u="none" strike="noStrike" kern="1200" baseline="0">
                    <a:solidFill>
                      <a:schemeClr val="tx1">
                        <a:lumMod val="65000"/>
                        <a:lumOff val="35000"/>
                      </a:schemeClr>
                    </a:solidFill>
                    <a:latin typeface="Segoe UI" panose="020B0502040204020203" pitchFamily="34" charset="0"/>
                    <a:ea typeface="+mn-ea"/>
                    <a:cs typeface="Segoe UI" panose="020B0502040204020203" pitchFamily="34" charset="0"/>
                  </a:defRPr>
                </a:pPr>
                <a:r>
                  <a:rPr lang="en-US" sz="900" b="1">
                    <a:latin typeface="Segoe UI" panose="020B0502040204020203" pitchFamily="34" charset="0"/>
                    <a:cs typeface="Segoe UI" panose="020B0502040204020203" pitchFamily="34" charset="0"/>
                  </a:rPr>
                  <a:t>age-adjusted</a:t>
                </a:r>
                <a:r>
                  <a:rPr lang="en-US" sz="900" b="1" baseline="0">
                    <a:latin typeface="Segoe UI" panose="020B0502040204020203" pitchFamily="34" charset="0"/>
                    <a:cs typeface="Segoe UI" panose="020B0502040204020203" pitchFamily="34" charset="0"/>
                  </a:rPr>
                  <a:t> rate per 100,000 residents </a:t>
                </a:r>
                <a:endParaRPr lang="en-US" sz="900" b="1">
                  <a:latin typeface="Segoe UI" panose="020B0502040204020203" pitchFamily="34" charset="0"/>
                  <a:cs typeface="Segoe UI" panose="020B0502040204020203" pitchFamily="34" charset="0"/>
                </a:endParaRPr>
              </a:p>
            </c:rich>
          </c:tx>
          <c:layout>
            <c:manualLayout>
              <c:xMode val="edge"/>
              <c:yMode val="edge"/>
              <c:x val="1.9083047311393767E-2"/>
              <c:y val="0.17626516470579942"/>
            </c:manualLayout>
          </c:layout>
          <c:overlay val="0"/>
          <c:spPr>
            <a:noFill/>
            <a:ln>
              <a:noFill/>
            </a:ln>
            <a:effectLst/>
          </c:spPr>
          <c:txPr>
            <a:bodyPr rot="-5400000" spcFirstLastPara="1" vertOverflow="ellipsis" vert="horz" wrap="square" anchor="ctr" anchorCtr="1"/>
            <a:lstStyle/>
            <a:p>
              <a:pPr>
                <a:defRPr sz="900" b="1" i="0" u="none" strike="noStrike" kern="1200" baseline="0">
                  <a:solidFill>
                    <a:schemeClr val="tx1">
                      <a:lumMod val="65000"/>
                      <a:lumOff val="35000"/>
                    </a:schemeClr>
                  </a:solidFill>
                  <a:latin typeface="Segoe UI" panose="020B0502040204020203" pitchFamily="34" charset="0"/>
                  <a:ea typeface="+mn-ea"/>
                  <a:cs typeface="Segoe UI" panose="020B0502040204020203" pitchFamily="34" charset="0"/>
                </a:defRPr>
              </a:pPr>
              <a:endParaRPr lang="en-US"/>
            </a:p>
          </c:txPr>
        </c:title>
        <c:numFmt formatCode="0" sourceLinked="0"/>
        <c:majorTickMark val="out"/>
        <c:minorTickMark val="none"/>
        <c:tickLblPos val="nextTo"/>
        <c:spPr>
          <a:noFill/>
          <a:ln>
            <a:solidFill>
              <a:schemeClr val="tx1">
                <a:lumMod val="50000"/>
                <a:lumOff val="50000"/>
              </a:schemeClr>
            </a:solid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90770152"/>
        <c:crossesAt val="1"/>
        <c:crossBetween val="between"/>
        <c:majorUnit val="100"/>
      </c:valAx>
      <c:spPr>
        <a:noFill/>
        <a:ln>
          <a:noFill/>
        </a:ln>
        <a:effectLst/>
      </c:spPr>
    </c:plotArea>
    <c:legend>
      <c:legendPos val="t"/>
      <c:layout>
        <c:manualLayout>
          <c:xMode val="edge"/>
          <c:yMode val="edge"/>
          <c:x val="0.14949997672858378"/>
          <c:y val="0.21354472840037481"/>
          <c:w val="0.70100004654283243"/>
          <c:h val="0.10968217487249454"/>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Segoe UI" panose="020B0502040204020203" pitchFamily="34" charset="0"/>
              <a:ea typeface="+mn-ea"/>
              <a:cs typeface="Segoe UI" panose="020B0502040204020203"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4">
    <c:autoUpdate val="0"/>
  </c:externalData>
  <c:userShapes r:id="rId5"/>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4072260191581462"/>
          <c:y val="0.25201933187023601"/>
          <c:w val="0.77760493313941303"/>
          <c:h val="0.56022510994899299"/>
        </c:manualLayout>
      </c:layout>
      <c:lineChart>
        <c:grouping val="standard"/>
        <c:varyColors val="0"/>
        <c:ser>
          <c:idx val="4"/>
          <c:order val="0"/>
          <c:tx>
            <c:strRef>
              <c:f>'[NFO 2013-2021 data brief figures 10.24.23.xlsx]F7A_C RACE_ETHNICITY'!$F$1</c:f>
              <c:strCache>
                <c:ptCount val="1"/>
                <c:pt idx="0">
                  <c:v>white nH</c:v>
                </c:pt>
              </c:strCache>
            </c:strRef>
          </c:tx>
          <c:spPr>
            <a:ln w="25400" cap="rnd">
              <a:solidFill>
                <a:srgbClr val="62983E"/>
              </a:solidFill>
              <a:round/>
            </a:ln>
            <a:effectLst/>
          </c:spPr>
          <c:marker>
            <c:symbol val="circle"/>
            <c:size val="4"/>
            <c:spPr>
              <a:solidFill>
                <a:srgbClr val="62983E"/>
              </a:solidFill>
              <a:ln w="9525">
                <a:noFill/>
              </a:ln>
              <a:effectLst/>
            </c:spPr>
          </c:marker>
          <c:dLbls>
            <c:dLbl>
              <c:idx val="1"/>
              <c:delete val="1"/>
              <c:extLst>
                <c:ext xmlns:c15="http://schemas.microsoft.com/office/drawing/2012/chart" uri="{CE6537A1-D6FC-4f65-9D91-7224C49458BB}"/>
                <c:ext xmlns:c16="http://schemas.microsoft.com/office/drawing/2014/chart" uri="{C3380CC4-5D6E-409C-BE32-E72D297353CC}">
                  <c16:uniqueId val="{00000000-3F58-4E28-A909-9F351F1667B9}"/>
                </c:ext>
              </c:extLst>
            </c:dLbl>
            <c:dLbl>
              <c:idx val="2"/>
              <c:delete val="1"/>
              <c:extLst>
                <c:ext xmlns:c15="http://schemas.microsoft.com/office/drawing/2012/chart" uri="{CE6537A1-D6FC-4f65-9D91-7224C49458BB}"/>
                <c:ext xmlns:c16="http://schemas.microsoft.com/office/drawing/2014/chart" uri="{C3380CC4-5D6E-409C-BE32-E72D297353CC}">
                  <c16:uniqueId val="{00000001-3F58-4E28-A909-9F351F1667B9}"/>
                </c:ext>
              </c:extLst>
            </c:dLbl>
            <c:dLbl>
              <c:idx val="3"/>
              <c:layout>
                <c:manualLayout>
                  <c:x val="-3.9006494380510126E-2"/>
                  <c:y val="-2.567489153830064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6-3F58-4E28-A909-9F351F1667B9}"/>
                </c:ext>
              </c:extLst>
            </c:dLbl>
            <c:dLbl>
              <c:idx val="4"/>
              <c:delete val="1"/>
              <c:extLst>
                <c:ext xmlns:c15="http://schemas.microsoft.com/office/drawing/2012/chart" uri="{CE6537A1-D6FC-4f65-9D91-7224C49458BB}"/>
                <c:ext xmlns:c16="http://schemas.microsoft.com/office/drawing/2014/chart" uri="{C3380CC4-5D6E-409C-BE32-E72D297353CC}">
                  <c16:uniqueId val="{00000002-3F58-4E28-A909-9F351F1667B9}"/>
                </c:ext>
              </c:extLst>
            </c:dLbl>
            <c:dLbl>
              <c:idx val="5"/>
              <c:delete val="1"/>
              <c:extLst>
                <c:ext xmlns:c15="http://schemas.microsoft.com/office/drawing/2012/chart" uri="{CE6537A1-D6FC-4f65-9D91-7224C49458BB}"/>
                <c:ext xmlns:c16="http://schemas.microsoft.com/office/drawing/2014/chart" uri="{C3380CC4-5D6E-409C-BE32-E72D297353CC}">
                  <c16:uniqueId val="{00000003-3F58-4E28-A909-9F351F1667B9}"/>
                </c:ext>
              </c:extLst>
            </c:dLbl>
            <c:dLbl>
              <c:idx val="6"/>
              <c:delete val="1"/>
              <c:extLst>
                <c:ext xmlns:c15="http://schemas.microsoft.com/office/drawing/2012/chart" uri="{CE6537A1-D6FC-4f65-9D91-7224C49458BB}"/>
                <c:ext xmlns:c16="http://schemas.microsoft.com/office/drawing/2014/chart" uri="{C3380CC4-5D6E-409C-BE32-E72D297353CC}">
                  <c16:uniqueId val="{00000004-3F58-4E28-A909-9F351F1667B9}"/>
                </c:ext>
              </c:extLst>
            </c:dLbl>
            <c:dLbl>
              <c:idx val="7"/>
              <c:delete val="1"/>
              <c:extLst>
                <c:ext xmlns:c15="http://schemas.microsoft.com/office/drawing/2012/chart" uri="{CE6537A1-D6FC-4f65-9D91-7224C49458BB}"/>
                <c:ext xmlns:c16="http://schemas.microsoft.com/office/drawing/2014/chart" uri="{C3380CC4-5D6E-409C-BE32-E72D297353CC}">
                  <c16:uniqueId val="{00000005-3F58-4E28-A909-9F351F1667B9}"/>
                </c:ext>
              </c:extLst>
            </c:dLbl>
            <c:dLbl>
              <c:idx val="8"/>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3F58-4E28-A909-9F351F1667B9}"/>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'[NFO 2013-2021 data brief figures 10.24.23.xlsx]F7A_C RACE_ETHNICITY'!$A$24:$A$32</c:f>
              <c:numCache>
                <c:formatCode>General</c:formatCode>
                <c:ptCount val="9"/>
                <c:pt idx="0" formatCode="0">
                  <c:v>2013</c:v>
                </c:pt>
                <c:pt idx="1">
                  <c:v>2014</c:v>
                </c:pt>
                <c:pt idx="2">
                  <c:v>2015</c:v>
                </c:pt>
                <c:pt idx="3">
                  <c:v>2016</c:v>
                </c:pt>
                <c:pt idx="4">
                  <c:v>2017</c:v>
                </c:pt>
                <c:pt idx="5">
                  <c:v>2018</c:v>
                </c:pt>
                <c:pt idx="6">
                  <c:v>2019</c:v>
                </c:pt>
                <c:pt idx="7">
                  <c:v>2020</c:v>
                </c:pt>
                <c:pt idx="8">
                  <c:v>2021</c:v>
                </c:pt>
              </c:numCache>
            </c:numRef>
          </c:cat>
          <c:val>
            <c:numRef>
              <c:f>'[NFO 2013-2021 data brief figures 10.24.23.xlsx]F7A_C RACE_ETHNICITY'!$F$13:$F$21</c:f>
              <c:numCache>
                <c:formatCode>0.0</c:formatCode>
                <c:ptCount val="9"/>
                <c:pt idx="0">
                  <c:v>161.922</c:v>
                </c:pt>
                <c:pt idx="1">
                  <c:v>258.65800000000002</c:v>
                </c:pt>
                <c:pt idx="2">
                  <c:v>313.29700000000003</c:v>
                </c:pt>
                <c:pt idx="3">
                  <c:v>371.52</c:v>
                </c:pt>
                <c:pt idx="4">
                  <c:v>355.32</c:v>
                </c:pt>
                <c:pt idx="5">
                  <c:v>324.8</c:v>
                </c:pt>
                <c:pt idx="6">
                  <c:v>290</c:v>
                </c:pt>
                <c:pt idx="7">
                  <c:v>266.79700000000003</c:v>
                </c:pt>
                <c:pt idx="8">
                  <c:v>248.08099999999999</c:v>
                </c:pt>
              </c:numCache>
            </c:numRef>
          </c:val>
          <c:smooth val="0"/>
          <c:extLst>
            <c:ext xmlns:c16="http://schemas.microsoft.com/office/drawing/2014/chart" uri="{C3380CC4-5D6E-409C-BE32-E72D297353CC}">
              <c16:uniqueId val="{00000007-3F58-4E28-A909-9F351F1667B9}"/>
            </c:ext>
          </c:extLst>
        </c:ser>
        <c:ser>
          <c:idx val="2"/>
          <c:order val="2"/>
          <c:tx>
            <c:strRef>
              <c:f>'[NFO 2013-2021 data brief figures 10.24.23.xlsx]F7A_C RACE_ETHNICITY'!$D$1</c:f>
              <c:strCache>
                <c:ptCount val="1"/>
                <c:pt idx="0">
                  <c:v>Black nH</c:v>
                </c:pt>
              </c:strCache>
            </c:strRef>
          </c:tx>
          <c:spPr>
            <a:ln w="22225" cap="rnd">
              <a:solidFill>
                <a:srgbClr val="DA5D00"/>
              </a:solidFill>
              <a:round/>
            </a:ln>
            <a:effectLst/>
          </c:spPr>
          <c:marker>
            <c:symbol val="circle"/>
            <c:size val="4"/>
            <c:spPr>
              <a:solidFill>
                <a:schemeClr val="accent5"/>
              </a:solidFill>
              <a:ln w="9525">
                <a:noFill/>
              </a:ln>
              <a:effectLst/>
            </c:spPr>
          </c:marker>
          <c:dLbls>
            <c:dLbl>
              <c:idx val="0"/>
              <c:layout>
                <c:manualLayout>
                  <c:x val="-4.8892094412674905E-2"/>
                  <c:y val="-3.7154144647230073E-3"/>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3F58-4E28-A909-9F351F1667B9}"/>
                </c:ext>
              </c:extLst>
            </c:dLbl>
            <c:dLbl>
              <c:idx val="1"/>
              <c:delete val="1"/>
              <c:extLst>
                <c:ext xmlns:c15="http://schemas.microsoft.com/office/drawing/2012/chart" uri="{CE6537A1-D6FC-4f65-9D91-7224C49458BB}"/>
                <c:ext xmlns:c16="http://schemas.microsoft.com/office/drawing/2014/chart" uri="{C3380CC4-5D6E-409C-BE32-E72D297353CC}">
                  <c16:uniqueId val="{00000009-3F58-4E28-A909-9F351F1667B9}"/>
                </c:ext>
              </c:extLst>
            </c:dLbl>
            <c:dLbl>
              <c:idx val="2"/>
              <c:delete val="1"/>
              <c:extLst>
                <c:ext xmlns:c15="http://schemas.microsoft.com/office/drawing/2012/chart" uri="{CE6537A1-D6FC-4f65-9D91-7224C49458BB}"/>
                <c:ext xmlns:c16="http://schemas.microsoft.com/office/drawing/2014/chart" uri="{C3380CC4-5D6E-409C-BE32-E72D297353CC}">
                  <c16:uniqueId val="{0000000A-3F58-4E28-A909-9F351F1667B9}"/>
                </c:ext>
              </c:extLst>
            </c:dLbl>
            <c:dLbl>
              <c:idx val="3"/>
              <c:delete val="1"/>
              <c:extLst>
                <c:ext xmlns:c15="http://schemas.microsoft.com/office/drawing/2012/chart" uri="{CE6537A1-D6FC-4f65-9D91-7224C49458BB}"/>
                <c:ext xmlns:c16="http://schemas.microsoft.com/office/drawing/2014/chart" uri="{C3380CC4-5D6E-409C-BE32-E72D297353CC}">
                  <c16:uniqueId val="{0000000B-3F58-4E28-A909-9F351F1667B9}"/>
                </c:ext>
              </c:extLst>
            </c:dLbl>
            <c:dLbl>
              <c:idx val="4"/>
              <c:delete val="1"/>
              <c:extLst>
                <c:ext xmlns:c15="http://schemas.microsoft.com/office/drawing/2012/chart" uri="{CE6537A1-D6FC-4f65-9D91-7224C49458BB}"/>
                <c:ext xmlns:c16="http://schemas.microsoft.com/office/drawing/2014/chart" uri="{C3380CC4-5D6E-409C-BE32-E72D297353CC}">
                  <c16:uniqueId val="{0000000C-3F58-4E28-A909-9F351F1667B9}"/>
                </c:ext>
              </c:extLst>
            </c:dLbl>
            <c:dLbl>
              <c:idx val="5"/>
              <c:delete val="1"/>
              <c:extLst>
                <c:ext xmlns:c15="http://schemas.microsoft.com/office/drawing/2012/chart" uri="{CE6537A1-D6FC-4f65-9D91-7224C49458BB}"/>
                <c:ext xmlns:c16="http://schemas.microsoft.com/office/drawing/2014/chart" uri="{C3380CC4-5D6E-409C-BE32-E72D297353CC}">
                  <c16:uniqueId val="{0000000D-3F58-4E28-A909-9F351F1667B9}"/>
                </c:ext>
              </c:extLst>
            </c:dLbl>
            <c:dLbl>
              <c:idx val="6"/>
              <c:delete val="1"/>
              <c:extLst>
                <c:ext xmlns:c15="http://schemas.microsoft.com/office/drawing/2012/chart" uri="{CE6537A1-D6FC-4f65-9D91-7224C49458BB}"/>
                <c:ext xmlns:c16="http://schemas.microsoft.com/office/drawing/2014/chart" uri="{C3380CC4-5D6E-409C-BE32-E72D297353CC}">
                  <c16:uniqueId val="{0000000E-3F58-4E28-A909-9F351F1667B9}"/>
                </c:ext>
              </c:extLst>
            </c:dLbl>
            <c:dLbl>
              <c:idx val="7"/>
              <c:dLblPos val="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3F58-4E28-A909-9F351F1667B9}"/>
                </c:ext>
              </c:extLst>
            </c:dLbl>
            <c:dLbl>
              <c:idx val="8"/>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3F58-4E28-A909-9F351F1667B9}"/>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l"/>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'[NFO 2013-2021 data brief figures 10.24.23.xlsx]F7A_C RACE_ETHNICITY'!$A$24:$A$32</c:f>
              <c:numCache>
                <c:formatCode>General</c:formatCode>
                <c:ptCount val="9"/>
                <c:pt idx="0" formatCode="0">
                  <c:v>2013</c:v>
                </c:pt>
                <c:pt idx="1">
                  <c:v>2014</c:v>
                </c:pt>
                <c:pt idx="2">
                  <c:v>2015</c:v>
                </c:pt>
                <c:pt idx="3">
                  <c:v>2016</c:v>
                </c:pt>
                <c:pt idx="4">
                  <c:v>2017</c:v>
                </c:pt>
                <c:pt idx="5">
                  <c:v>2018</c:v>
                </c:pt>
                <c:pt idx="6">
                  <c:v>2019</c:v>
                </c:pt>
                <c:pt idx="7">
                  <c:v>2020</c:v>
                </c:pt>
                <c:pt idx="8">
                  <c:v>2021</c:v>
                </c:pt>
              </c:numCache>
            </c:numRef>
          </c:cat>
          <c:val>
            <c:numRef>
              <c:f>'[NFO 2013-2021 data brief figures 10.24.23.xlsx]F7A_C RACE_ETHNICITY'!$D$13:$D$21</c:f>
              <c:numCache>
                <c:formatCode>0.0</c:formatCode>
                <c:ptCount val="9"/>
                <c:pt idx="0">
                  <c:v>88.9696</c:v>
                </c:pt>
                <c:pt idx="1">
                  <c:v>133.221</c:v>
                </c:pt>
                <c:pt idx="2">
                  <c:v>180.386</c:v>
                </c:pt>
                <c:pt idx="3">
                  <c:v>238.6</c:v>
                </c:pt>
                <c:pt idx="4">
                  <c:v>287.8</c:v>
                </c:pt>
                <c:pt idx="5">
                  <c:v>270.7</c:v>
                </c:pt>
                <c:pt idx="6">
                  <c:v>305.89999999999998</c:v>
                </c:pt>
                <c:pt idx="7">
                  <c:v>335.14100000000002</c:v>
                </c:pt>
                <c:pt idx="8">
                  <c:v>304.67399999999998</c:v>
                </c:pt>
              </c:numCache>
            </c:numRef>
          </c:val>
          <c:smooth val="0"/>
          <c:extLst>
            <c:ext xmlns:c16="http://schemas.microsoft.com/office/drawing/2014/chart" uri="{C3380CC4-5D6E-409C-BE32-E72D297353CC}">
              <c16:uniqueId val="{00000011-3F58-4E28-A909-9F351F1667B9}"/>
            </c:ext>
          </c:extLst>
        </c:ser>
        <c:ser>
          <c:idx val="3"/>
          <c:order val="3"/>
          <c:tx>
            <c:strRef>
              <c:f>'[NFO 2013-2021 data brief figures 10.24.23.xlsx]F7A_C RACE_ETHNICITY'!$E$1</c:f>
              <c:strCache>
                <c:ptCount val="1"/>
                <c:pt idx="0">
                  <c:v>Hispanic</c:v>
                </c:pt>
              </c:strCache>
            </c:strRef>
          </c:tx>
          <c:spPr>
            <a:ln w="25400" cap="rnd">
              <a:solidFill>
                <a:srgbClr val="0091C4"/>
              </a:solidFill>
              <a:round/>
            </a:ln>
            <a:effectLst/>
          </c:spPr>
          <c:marker>
            <c:symbol val="circle"/>
            <c:size val="4"/>
            <c:spPr>
              <a:solidFill>
                <a:srgbClr val="0091C4"/>
              </a:solidFill>
              <a:ln w="9525">
                <a:solidFill>
                  <a:srgbClr val="0091C4"/>
                </a:solidFill>
              </a:ln>
              <a:effectLst/>
            </c:spPr>
          </c:marker>
          <c:dLbls>
            <c:dLbl>
              <c:idx val="1"/>
              <c:delete val="1"/>
              <c:extLst>
                <c:ext xmlns:c15="http://schemas.microsoft.com/office/drawing/2012/chart" uri="{CE6537A1-D6FC-4f65-9D91-7224C49458BB}"/>
                <c:ext xmlns:c16="http://schemas.microsoft.com/office/drawing/2014/chart" uri="{C3380CC4-5D6E-409C-BE32-E72D297353CC}">
                  <c16:uniqueId val="{00000012-3F58-4E28-A909-9F351F1667B9}"/>
                </c:ext>
              </c:extLst>
            </c:dLbl>
            <c:dLbl>
              <c:idx val="2"/>
              <c:delete val="1"/>
              <c:extLst>
                <c:ext xmlns:c15="http://schemas.microsoft.com/office/drawing/2012/chart" uri="{CE6537A1-D6FC-4f65-9D91-7224C49458BB}"/>
                <c:ext xmlns:c16="http://schemas.microsoft.com/office/drawing/2014/chart" uri="{C3380CC4-5D6E-409C-BE32-E72D297353CC}">
                  <c16:uniqueId val="{00000013-3F58-4E28-A909-9F351F1667B9}"/>
                </c:ext>
              </c:extLst>
            </c:dLbl>
            <c:dLbl>
              <c:idx val="3"/>
              <c:delete val="1"/>
              <c:extLst>
                <c:ext xmlns:c15="http://schemas.microsoft.com/office/drawing/2012/chart" uri="{CE6537A1-D6FC-4f65-9D91-7224C49458BB}"/>
                <c:ext xmlns:c16="http://schemas.microsoft.com/office/drawing/2014/chart" uri="{C3380CC4-5D6E-409C-BE32-E72D297353CC}">
                  <c16:uniqueId val="{00000014-3F58-4E28-A909-9F351F1667B9}"/>
                </c:ext>
              </c:extLst>
            </c:dLbl>
            <c:dLbl>
              <c:idx val="4"/>
              <c:delete val="1"/>
              <c:extLst>
                <c:ext xmlns:c15="http://schemas.microsoft.com/office/drawing/2012/chart" uri="{CE6537A1-D6FC-4f65-9D91-7224C49458BB}"/>
                <c:ext xmlns:c16="http://schemas.microsoft.com/office/drawing/2014/chart" uri="{C3380CC4-5D6E-409C-BE32-E72D297353CC}">
                  <c16:uniqueId val="{00000015-3F58-4E28-A909-9F351F1667B9}"/>
                </c:ext>
              </c:extLst>
            </c:dLbl>
            <c:dLbl>
              <c:idx val="5"/>
              <c:delete val="1"/>
              <c:extLst>
                <c:ext xmlns:c15="http://schemas.microsoft.com/office/drawing/2012/chart" uri="{CE6537A1-D6FC-4f65-9D91-7224C49458BB}"/>
                <c:ext xmlns:c16="http://schemas.microsoft.com/office/drawing/2014/chart" uri="{C3380CC4-5D6E-409C-BE32-E72D297353CC}">
                  <c16:uniqueId val="{00000016-3F58-4E28-A909-9F351F1667B9}"/>
                </c:ext>
              </c:extLst>
            </c:dLbl>
            <c:dLbl>
              <c:idx val="7"/>
              <c:delete val="1"/>
              <c:extLst>
                <c:ext xmlns:c15="http://schemas.microsoft.com/office/drawing/2012/chart" uri="{CE6537A1-D6FC-4f65-9D91-7224C49458BB}"/>
                <c:ext xmlns:c16="http://schemas.microsoft.com/office/drawing/2014/chart" uri="{C3380CC4-5D6E-409C-BE32-E72D297353CC}">
                  <c16:uniqueId val="{00000017-3F58-4E28-A909-9F351F1667B9}"/>
                </c:ext>
              </c:extLst>
            </c:dLbl>
            <c:dLbl>
              <c:idx val="8"/>
              <c:layout>
                <c:manualLayout>
                  <c:x val="-1.0026647772261301E-2"/>
                  <c:y val="-1.4874590802349482E-2"/>
                </c:manualLayout>
              </c:layout>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r"/>
              <c:showLegendKey val="0"/>
              <c:showVal val="1"/>
              <c:showCatName val="0"/>
              <c:showSerName val="0"/>
              <c:showPercent val="0"/>
              <c:showBubbleSize val="0"/>
              <c:extLst>
                <c:ext xmlns:c15="http://schemas.microsoft.com/office/drawing/2012/chart" uri="{CE6537A1-D6FC-4f65-9D91-7224C49458BB}">
                  <c15:layout>
                    <c:manualLayout>
                      <c:w val="6.473568407145347E-2"/>
                      <c:h val="7.431732069969138E-2"/>
                    </c:manualLayout>
                  </c15:layout>
                </c:ext>
                <c:ext xmlns:c16="http://schemas.microsoft.com/office/drawing/2014/chart" uri="{C3380CC4-5D6E-409C-BE32-E72D297353CC}">
                  <c16:uniqueId val="{00000018-3F58-4E28-A909-9F351F1667B9}"/>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'[NFO 2013-2021 data brief figures 10.24.23.xlsx]F7A_C RACE_ETHNICITY'!$A$24:$A$32</c:f>
              <c:numCache>
                <c:formatCode>General</c:formatCode>
                <c:ptCount val="9"/>
                <c:pt idx="0" formatCode="0">
                  <c:v>2013</c:v>
                </c:pt>
                <c:pt idx="1">
                  <c:v>2014</c:v>
                </c:pt>
                <c:pt idx="2">
                  <c:v>2015</c:v>
                </c:pt>
                <c:pt idx="3">
                  <c:v>2016</c:v>
                </c:pt>
                <c:pt idx="4">
                  <c:v>2017</c:v>
                </c:pt>
                <c:pt idx="5">
                  <c:v>2018</c:v>
                </c:pt>
                <c:pt idx="6">
                  <c:v>2019</c:v>
                </c:pt>
                <c:pt idx="7">
                  <c:v>2020</c:v>
                </c:pt>
                <c:pt idx="8">
                  <c:v>2021</c:v>
                </c:pt>
              </c:numCache>
            </c:numRef>
          </c:cat>
          <c:val>
            <c:numRef>
              <c:f>'[NFO 2013-2021 data brief figures 10.24.23.xlsx]F7A_C RACE_ETHNICITY'!$E$13:$E$21</c:f>
              <c:numCache>
                <c:formatCode>0.0</c:formatCode>
                <c:ptCount val="9"/>
                <c:pt idx="0">
                  <c:v>101.622</c:v>
                </c:pt>
                <c:pt idx="1">
                  <c:v>164.809</c:v>
                </c:pt>
                <c:pt idx="2">
                  <c:v>221.285</c:v>
                </c:pt>
                <c:pt idx="3">
                  <c:v>307.20999999999998</c:v>
                </c:pt>
                <c:pt idx="4">
                  <c:v>288.7</c:v>
                </c:pt>
                <c:pt idx="5">
                  <c:v>350.95</c:v>
                </c:pt>
                <c:pt idx="6">
                  <c:v>352.3</c:v>
                </c:pt>
                <c:pt idx="7">
                  <c:v>328.70600000000002</c:v>
                </c:pt>
                <c:pt idx="8">
                  <c:v>318.68599999999998</c:v>
                </c:pt>
              </c:numCache>
            </c:numRef>
          </c:val>
          <c:smooth val="0"/>
          <c:extLst>
            <c:ext xmlns:c16="http://schemas.microsoft.com/office/drawing/2014/chart" uri="{C3380CC4-5D6E-409C-BE32-E72D297353CC}">
              <c16:uniqueId val="{00000019-3F58-4E28-A909-9F351F1667B9}"/>
            </c:ext>
          </c:extLst>
        </c:ser>
        <c:ser>
          <c:idx val="1"/>
          <c:order val="4"/>
          <c:tx>
            <c:strRef>
              <c:f>'[NFO 2013-2021 data brief figures 10.24.23.xlsx]F7A_C RACE_ETHNICITY'!$C$1</c:f>
              <c:strCache>
                <c:ptCount val="1"/>
                <c:pt idx="0">
                  <c:v>Asian, Pacific Islander nH</c:v>
                </c:pt>
              </c:strCache>
            </c:strRef>
          </c:tx>
          <c:spPr>
            <a:ln w="25400" cap="rnd">
              <a:solidFill>
                <a:srgbClr val="8038B6"/>
              </a:solidFill>
              <a:round/>
            </a:ln>
            <a:effectLst/>
          </c:spPr>
          <c:marker>
            <c:symbol val="circle"/>
            <c:size val="4"/>
            <c:spPr>
              <a:solidFill>
                <a:srgbClr val="9651C9"/>
              </a:solidFill>
              <a:ln w="9525">
                <a:solidFill>
                  <a:srgbClr val="9651C9"/>
                </a:solidFill>
              </a:ln>
              <a:effectLst/>
            </c:spPr>
          </c:marker>
          <c:dLbls>
            <c:dLbl>
              <c:idx val="1"/>
              <c:delete val="1"/>
              <c:extLst>
                <c:ext xmlns:c15="http://schemas.microsoft.com/office/drawing/2012/chart" uri="{CE6537A1-D6FC-4f65-9D91-7224C49458BB}"/>
                <c:ext xmlns:c16="http://schemas.microsoft.com/office/drawing/2014/chart" uri="{C3380CC4-5D6E-409C-BE32-E72D297353CC}">
                  <c16:uniqueId val="{0000001A-3F58-4E28-A909-9F351F1667B9}"/>
                </c:ext>
              </c:extLst>
            </c:dLbl>
            <c:dLbl>
              <c:idx val="2"/>
              <c:delete val="1"/>
              <c:extLst>
                <c:ext xmlns:c15="http://schemas.microsoft.com/office/drawing/2012/chart" uri="{CE6537A1-D6FC-4f65-9D91-7224C49458BB}"/>
                <c:ext xmlns:c16="http://schemas.microsoft.com/office/drawing/2014/chart" uri="{C3380CC4-5D6E-409C-BE32-E72D297353CC}">
                  <c16:uniqueId val="{0000001B-3F58-4E28-A909-9F351F1667B9}"/>
                </c:ext>
              </c:extLst>
            </c:dLbl>
            <c:dLbl>
              <c:idx val="3"/>
              <c:delete val="1"/>
              <c:extLst>
                <c:ext xmlns:c15="http://schemas.microsoft.com/office/drawing/2012/chart" uri="{CE6537A1-D6FC-4f65-9D91-7224C49458BB}"/>
                <c:ext xmlns:c16="http://schemas.microsoft.com/office/drawing/2014/chart" uri="{C3380CC4-5D6E-409C-BE32-E72D297353CC}">
                  <c16:uniqueId val="{0000001C-3F58-4E28-A909-9F351F1667B9}"/>
                </c:ext>
              </c:extLst>
            </c:dLbl>
            <c:dLbl>
              <c:idx val="4"/>
              <c:delete val="1"/>
              <c:extLst>
                <c:ext xmlns:c15="http://schemas.microsoft.com/office/drawing/2012/chart" uri="{CE6537A1-D6FC-4f65-9D91-7224C49458BB}"/>
                <c:ext xmlns:c16="http://schemas.microsoft.com/office/drawing/2014/chart" uri="{C3380CC4-5D6E-409C-BE32-E72D297353CC}">
                  <c16:uniqueId val="{0000001D-3F58-4E28-A909-9F351F1667B9}"/>
                </c:ext>
              </c:extLst>
            </c:dLbl>
            <c:dLbl>
              <c:idx val="6"/>
              <c:delete val="1"/>
              <c:extLst>
                <c:ext xmlns:c15="http://schemas.microsoft.com/office/drawing/2012/chart" uri="{CE6537A1-D6FC-4f65-9D91-7224C49458BB}"/>
                <c:ext xmlns:c16="http://schemas.microsoft.com/office/drawing/2014/chart" uri="{C3380CC4-5D6E-409C-BE32-E72D297353CC}">
                  <c16:uniqueId val="{0000001E-3F58-4E28-A909-9F351F1667B9}"/>
                </c:ext>
              </c:extLst>
            </c:dLbl>
            <c:dLbl>
              <c:idx val="7"/>
              <c:delete val="1"/>
              <c:extLst>
                <c:ext xmlns:c15="http://schemas.microsoft.com/office/drawing/2012/chart" uri="{CE6537A1-D6FC-4f65-9D91-7224C49458BB}"/>
                <c:ext xmlns:c16="http://schemas.microsoft.com/office/drawing/2014/chart" uri="{C3380CC4-5D6E-409C-BE32-E72D297353CC}">
                  <c16:uniqueId val="{0000001F-3F58-4E28-A909-9F351F1667B9}"/>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'[NFO 2013-2021 data brief figures 10.24.23.xlsx]F7A_C RACE_ETHNICITY'!$A$24:$A$32</c:f>
              <c:numCache>
                <c:formatCode>General</c:formatCode>
                <c:ptCount val="9"/>
                <c:pt idx="0" formatCode="0">
                  <c:v>2013</c:v>
                </c:pt>
                <c:pt idx="1">
                  <c:v>2014</c:v>
                </c:pt>
                <c:pt idx="2">
                  <c:v>2015</c:v>
                </c:pt>
                <c:pt idx="3">
                  <c:v>2016</c:v>
                </c:pt>
                <c:pt idx="4">
                  <c:v>2017</c:v>
                </c:pt>
                <c:pt idx="5">
                  <c:v>2018</c:v>
                </c:pt>
                <c:pt idx="6">
                  <c:v>2019</c:v>
                </c:pt>
                <c:pt idx="7">
                  <c:v>2020</c:v>
                </c:pt>
                <c:pt idx="8">
                  <c:v>2021</c:v>
                </c:pt>
              </c:numCache>
            </c:numRef>
          </c:cat>
          <c:val>
            <c:numRef>
              <c:f>'[NFO 2013-2021 data brief figures 10.24.23.xlsx]F7A_C RACE_ETHNICITY'!$C$13:$C$21</c:f>
              <c:numCache>
                <c:formatCode>0.0</c:formatCode>
                <c:ptCount val="9"/>
                <c:pt idx="0">
                  <c:v>12.425700000000001</c:v>
                </c:pt>
                <c:pt idx="1">
                  <c:v>13.0709</c:v>
                </c:pt>
                <c:pt idx="2">
                  <c:v>16.324400000000001</c:v>
                </c:pt>
                <c:pt idx="3">
                  <c:v>21.9</c:v>
                </c:pt>
                <c:pt idx="4">
                  <c:v>18.7</c:v>
                </c:pt>
                <c:pt idx="5">
                  <c:v>23.5</c:v>
                </c:pt>
                <c:pt idx="6">
                  <c:v>17</c:v>
                </c:pt>
                <c:pt idx="7">
                  <c:v>17.221699999999998</c:v>
                </c:pt>
                <c:pt idx="8">
                  <c:v>20.7178</c:v>
                </c:pt>
              </c:numCache>
            </c:numRef>
          </c:val>
          <c:smooth val="0"/>
          <c:extLst>
            <c:ext xmlns:c16="http://schemas.microsoft.com/office/drawing/2014/chart" uri="{C3380CC4-5D6E-409C-BE32-E72D297353CC}">
              <c16:uniqueId val="{00000020-3F58-4E28-A909-9F351F1667B9}"/>
            </c:ext>
          </c:extLst>
        </c:ser>
        <c:dLbls>
          <c:showLegendKey val="0"/>
          <c:showVal val="0"/>
          <c:showCatName val="0"/>
          <c:showSerName val="0"/>
          <c:showPercent val="0"/>
          <c:showBubbleSize val="0"/>
        </c:dLbls>
        <c:marker val="1"/>
        <c:smooth val="0"/>
        <c:axId val="778527232"/>
        <c:axId val="778537400"/>
        <c:extLst>
          <c:ext xmlns:c15="http://schemas.microsoft.com/office/drawing/2012/chart" uri="{02D57815-91ED-43cb-92C2-25804820EDAC}">
            <c15:filteredLineSeries>
              <c15:ser>
                <c:idx val="0"/>
                <c:order val="1"/>
                <c:tx>
                  <c:strRef>
                    <c:extLst>
                      <c:ext uri="{02D57815-91ED-43cb-92C2-25804820EDAC}">
                        <c15:formulaRef>
                          <c15:sqref>'[NFO 2013-2021 data brief figures 10.24.23.xlsx]F7A_C RACE_ETHNICITY'!$B$1</c15:sqref>
                        </c15:formulaRef>
                      </c:ext>
                    </c:extLst>
                    <c:strCache>
                      <c:ptCount val="1"/>
                      <c:pt idx="0">
                        <c:v>All races</c:v>
                      </c:pt>
                    </c:strCache>
                  </c:strRef>
                </c:tx>
                <c:spPr>
                  <a:ln w="28575" cap="rnd">
                    <a:solidFill>
                      <a:schemeClr val="tx1">
                        <a:lumMod val="50000"/>
                        <a:lumOff val="50000"/>
                      </a:schemeClr>
                    </a:solidFill>
                    <a:round/>
                  </a:ln>
                  <a:effectLst/>
                </c:spPr>
                <c:marker>
                  <c:symbol val="square"/>
                  <c:size val="5"/>
                  <c:spPr>
                    <a:solidFill>
                      <a:schemeClr val="tx1">
                        <a:lumMod val="50000"/>
                        <a:lumOff val="50000"/>
                      </a:schemeClr>
                    </a:solidFill>
                    <a:ln w="9525">
                      <a:solidFill>
                        <a:schemeClr val="tx1">
                          <a:lumMod val="50000"/>
                          <a:lumOff val="50000"/>
                        </a:schemeClr>
                      </a:solidFill>
                    </a:ln>
                    <a:effectLst/>
                  </c:spPr>
                </c:marker>
                <c:dLbls>
                  <c:dLbl>
                    <c:idx val="5"/>
                    <c:spPr>
                      <a:noFill/>
                      <a:ln>
                        <a:noFill/>
                      </a:ln>
                      <a:effectLst/>
                    </c:spPr>
                    <c:txPr>
                      <a:bodyPr rot="0" spcFirstLastPara="1" vertOverflow="ellipsis" vert="horz" wrap="square" lIns="38100" tIns="19050" rIns="38100" bIns="19050" anchor="ctr" anchorCtr="1">
                        <a:noAutofit/>
                      </a:bodyPr>
                      <a:lstStyle/>
                      <a:p>
                        <a:pPr>
                          <a:defRPr sz="7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c:ext uri="{CE6537A1-D6FC-4f65-9D91-7224C49458BB}">
                        <c15:layout>
                          <c:manualLayout>
                            <c:w val="5.4363177188964822E-2"/>
                            <c:h val="0.11051707319296743"/>
                          </c:manualLayout>
                        </c15:layout>
                      </c:ext>
                      <c:ext xmlns:c16="http://schemas.microsoft.com/office/drawing/2014/chart" uri="{C3380CC4-5D6E-409C-BE32-E72D297353CC}">
                        <c16:uniqueId val="{00000021-3F58-4E28-A909-9F351F1667B9}"/>
                      </c:ext>
                    </c:extLst>
                  </c:dLbl>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uri="{CE6537A1-D6FC-4f65-9D91-7224C49458BB}">
                      <c15:showLeaderLines val="1"/>
                      <c15:leaderLines>
                        <c:spPr>
                          <a:ln w="9525" cap="flat" cmpd="sng" algn="ctr">
                            <a:solidFill>
                              <a:schemeClr val="tx1">
                                <a:lumMod val="35000"/>
                                <a:lumOff val="65000"/>
                              </a:schemeClr>
                            </a:solidFill>
                            <a:round/>
                          </a:ln>
                          <a:effectLst/>
                        </c:spPr>
                      </c15:leaderLines>
                    </c:ext>
                  </c:extLst>
                </c:dLbls>
                <c:cat>
                  <c:numRef>
                    <c:extLst>
                      <c:ext uri="{02D57815-91ED-43cb-92C2-25804820EDAC}">
                        <c15:formulaRef>
                          <c15:sqref>'[NFO 2013-2021 data brief figures 10.24.23.xlsx]F7A_C RACE_ETHNICITY'!$A$24:$A$32</c15:sqref>
                        </c15:formulaRef>
                      </c:ext>
                    </c:extLst>
                    <c:numCache>
                      <c:formatCode>General</c:formatCode>
                      <c:ptCount val="9"/>
                      <c:pt idx="0" formatCode="0">
                        <c:v>2013</c:v>
                      </c:pt>
                      <c:pt idx="1">
                        <c:v>2014</c:v>
                      </c:pt>
                      <c:pt idx="2">
                        <c:v>2015</c:v>
                      </c:pt>
                      <c:pt idx="3">
                        <c:v>2016</c:v>
                      </c:pt>
                      <c:pt idx="4">
                        <c:v>2017</c:v>
                      </c:pt>
                      <c:pt idx="5">
                        <c:v>2018</c:v>
                      </c:pt>
                      <c:pt idx="6">
                        <c:v>2019</c:v>
                      </c:pt>
                      <c:pt idx="7">
                        <c:v>2020</c:v>
                      </c:pt>
                      <c:pt idx="8">
                        <c:v>2021</c:v>
                      </c:pt>
                    </c:numCache>
                  </c:numRef>
                </c:cat>
                <c:val>
                  <c:numRef>
                    <c:extLst>
                      <c:ext uri="{02D57815-91ED-43cb-92C2-25804820EDAC}">
                        <c15:formulaRef>
                          <c15:sqref>'[NFO 2013-2021 data brief figures 10.24.23.xlsx]F7A_C RACE_ETHNICITY'!$B$13:$B$21</c15:sqref>
                        </c15:formulaRef>
                      </c:ext>
                    </c:extLst>
                    <c:numCache>
                      <c:formatCode>0.0</c:formatCode>
                      <c:ptCount val="9"/>
                      <c:pt idx="0">
                        <c:v>145.297</c:v>
                      </c:pt>
                      <c:pt idx="1">
                        <c:v>234.196</c:v>
                      </c:pt>
                      <c:pt idx="2">
                        <c:v>292.06200000000001</c:v>
                      </c:pt>
                      <c:pt idx="3">
                        <c:v>350.09699999999998</c:v>
                      </c:pt>
                      <c:pt idx="4">
                        <c:v>355.9</c:v>
                      </c:pt>
                      <c:pt idx="5">
                        <c:v>344.85</c:v>
                      </c:pt>
                      <c:pt idx="6">
                        <c:v>322.60000000000002</c:v>
                      </c:pt>
                      <c:pt idx="7">
                        <c:v>296.03100000000001</c:v>
                      </c:pt>
                      <c:pt idx="8">
                        <c:v>273.24200000000002</c:v>
                      </c:pt>
                    </c:numCache>
                  </c:numRef>
                </c:val>
                <c:smooth val="0"/>
                <c:extLst>
                  <c:ext xmlns:c16="http://schemas.microsoft.com/office/drawing/2014/chart" uri="{C3380CC4-5D6E-409C-BE32-E72D297353CC}">
                    <c16:uniqueId val="{00000022-3F58-4E28-A909-9F351F1667B9}"/>
                  </c:ext>
                </c:extLst>
              </c15:ser>
            </c15:filteredLineSeries>
            <c15:filteredLineSeries>
              <c15:ser>
                <c:idx val="5"/>
                <c:order val="5"/>
                <c:spPr>
                  <a:ln w="28575" cap="rnd">
                    <a:solidFill>
                      <a:schemeClr val="accent6"/>
                    </a:solidFill>
                    <a:round/>
                  </a:ln>
                  <a:effectLst/>
                </c:spPr>
                <c:marker>
                  <c:symbol val="none"/>
                </c:marker>
                <c:cat>
                  <c:numRef>
                    <c:extLst xmlns:c15="http://schemas.microsoft.com/office/drawing/2012/chart">
                      <c:ext xmlns:c15="http://schemas.microsoft.com/office/drawing/2012/chart" uri="{02D57815-91ED-43cb-92C2-25804820EDAC}">
                        <c15:formulaRef>
                          <c15:sqref>'[NFO 2013-2021 data brief figures 10.24.23.xlsx]F7A_C RACE_ETHNICITY'!$A$24:$A$32</c15:sqref>
                        </c15:formulaRef>
                      </c:ext>
                    </c:extLst>
                    <c:numCache>
                      <c:formatCode>General</c:formatCode>
                      <c:ptCount val="9"/>
                      <c:pt idx="0" formatCode="0">
                        <c:v>2013</c:v>
                      </c:pt>
                      <c:pt idx="1">
                        <c:v>2014</c:v>
                      </c:pt>
                      <c:pt idx="2">
                        <c:v>2015</c:v>
                      </c:pt>
                      <c:pt idx="3">
                        <c:v>2016</c:v>
                      </c:pt>
                      <c:pt idx="4">
                        <c:v>2017</c:v>
                      </c:pt>
                      <c:pt idx="5">
                        <c:v>2018</c:v>
                      </c:pt>
                      <c:pt idx="6">
                        <c:v>2019</c:v>
                      </c:pt>
                      <c:pt idx="7">
                        <c:v>2020</c:v>
                      </c:pt>
                      <c:pt idx="8">
                        <c:v>2021</c:v>
                      </c:pt>
                    </c:numCache>
                  </c:numRef>
                </c:cat>
                <c:val>
                  <c:numRef>
                    <c:extLst xmlns:c15="http://schemas.microsoft.com/office/drawing/2012/chart">
                      <c:ext xmlns:c15="http://schemas.microsoft.com/office/drawing/2012/chart" uri="{02D57815-91ED-43cb-92C2-25804820EDAC}">
                        <c15:formulaRef>
                          <c15:sqref>'[NFO 2013-2021 data brief figures 10.24.23.xlsx]F7A_C RACE_ETHNICITY'!$A$18:$F$18</c15:sqref>
                        </c15:formulaRef>
                      </c:ext>
                    </c:extLst>
                    <c:numCache>
                      <c:formatCode>0.0</c:formatCode>
                      <c:ptCount val="6"/>
                      <c:pt idx="0" formatCode="General">
                        <c:v>2018</c:v>
                      </c:pt>
                      <c:pt idx="1">
                        <c:v>344.85</c:v>
                      </c:pt>
                      <c:pt idx="2">
                        <c:v>23.5</c:v>
                      </c:pt>
                      <c:pt idx="3">
                        <c:v>270.7</c:v>
                      </c:pt>
                      <c:pt idx="4">
                        <c:v>350.95</c:v>
                      </c:pt>
                      <c:pt idx="5">
                        <c:v>324.8</c:v>
                      </c:pt>
                    </c:numCache>
                  </c:numRef>
                </c:val>
                <c:smooth val="0"/>
                <c:extLst xmlns:c15="http://schemas.microsoft.com/office/drawing/2012/chart">
                  <c:ext xmlns:c16="http://schemas.microsoft.com/office/drawing/2014/chart" uri="{C3380CC4-5D6E-409C-BE32-E72D297353CC}">
                    <c16:uniqueId val="{00000023-3F58-4E28-A909-9F351F1667B9}"/>
                  </c:ext>
                </c:extLst>
              </c15:ser>
            </c15:filteredLineSeries>
            <c15:filteredLineSeries>
              <c15:ser>
                <c:idx val="6"/>
                <c:order val="6"/>
                <c:spPr>
                  <a:ln w="28575" cap="rnd">
                    <a:solidFill>
                      <a:schemeClr val="accent1">
                        <a:lumMod val="60000"/>
                      </a:schemeClr>
                    </a:solidFill>
                    <a:round/>
                  </a:ln>
                  <a:effectLst/>
                </c:spPr>
                <c:marker>
                  <c:symbol val="none"/>
                </c:marker>
                <c:cat>
                  <c:numRef>
                    <c:extLst xmlns:c15="http://schemas.microsoft.com/office/drawing/2012/chart">
                      <c:ext xmlns:c15="http://schemas.microsoft.com/office/drawing/2012/chart" uri="{02D57815-91ED-43cb-92C2-25804820EDAC}">
                        <c15:formulaRef>
                          <c15:sqref>'[NFO 2013-2021 data brief figures 10.24.23.xlsx]F7A_C RACE_ETHNICITY'!$A$24:$A$32</c15:sqref>
                        </c15:formulaRef>
                      </c:ext>
                    </c:extLst>
                    <c:numCache>
                      <c:formatCode>General</c:formatCode>
                      <c:ptCount val="9"/>
                      <c:pt idx="0" formatCode="0">
                        <c:v>2013</c:v>
                      </c:pt>
                      <c:pt idx="1">
                        <c:v>2014</c:v>
                      </c:pt>
                      <c:pt idx="2">
                        <c:v>2015</c:v>
                      </c:pt>
                      <c:pt idx="3">
                        <c:v>2016</c:v>
                      </c:pt>
                      <c:pt idx="4">
                        <c:v>2017</c:v>
                      </c:pt>
                      <c:pt idx="5">
                        <c:v>2018</c:v>
                      </c:pt>
                      <c:pt idx="6">
                        <c:v>2019</c:v>
                      </c:pt>
                      <c:pt idx="7">
                        <c:v>2020</c:v>
                      </c:pt>
                      <c:pt idx="8">
                        <c:v>2021</c:v>
                      </c:pt>
                    </c:numCache>
                  </c:numRef>
                </c:cat>
                <c:val>
                  <c:numRef>
                    <c:extLst xmlns:c15="http://schemas.microsoft.com/office/drawing/2012/chart">
                      <c:ext xmlns:c15="http://schemas.microsoft.com/office/drawing/2012/chart" uri="{02D57815-91ED-43cb-92C2-25804820EDAC}">
                        <c15:formulaRef>
                          <c15:sqref>'[NFO 2013-2021 data brief figures 10.24.23.xlsx]F7A_C RACE_ETHNICITY'!$A$19:$F$19</c15:sqref>
                        </c15:formulaRef>
                      </c:ext>
                    </c:extLst>
                    <c:numCache>
                      <c:formatCode>0.0</c:formatCode>
                      <c:ptCount val="6"/>
                      <c:pt idx="0" formatCode="General">
                        <c:v>2019</c:v>
                      </c:pt>
                      <c:pt idx="1">
                        <c:v>322.60000000000002</c:v>
                      </c:pt>
                      <c:pt idx="2">
                        <c:v>17</c:v>
                      </c:pt>
                      <c:pt idx="3">
                        <c:v>305.89999999999998</c:v>
                      </c:pt>
                      <c:pt idx="4">
                        <c:v>352.3</c:v>
                      </c:pt>
                      <c:pt idx="5">
                        <c:v>290</c:v>
                      </c:pt>
                    </c:numCache>
                  </c:numRef>
                </c:val>
                <c:smooth val="0"/>
                <c:extLst xmlns:c15="http://schemas.microsoft.com/office/drawing/2012/chart">
                  <c:ext xmlns:c16="http://schemas.microsoft.com/office/drawing/2014/chart" uri="{C3380CC4-5D6E-409C-BE32-E72D297353CC}">
                    <c16:uniqueId val="{00000024-3F58-4E28-A909-9F351F1667B9}"/>
                  </c:ext>
                </c:extLst>
              </c15:ser>
            </c15:filteredLineSeries>
            <c15:filteredLineSeries>
              <c15:ser>
                <c:idx val="7"/>
                <c:order val="7"/>
                <c:spPr>
                  <a:ln w="28575" cap="rnd">
                    <a:solidFill>
                      <a:schemeClr val="accent2">
                        <a:lumMod val="60000"/>
                      </a:schemeClr>
                    </a:solidFill>
                    <a:round/>
                  </a:ln>
                  <a:effectLst/>
                </c:spPr>
                <c:marker>
                  <c:symbol val="none"/>
                </c:marker>
                <c:cat>
                  <c:numRef>
                    <c:extLst xmlns:c15="http://schemas.microsoft.com/office/drawing/2012/chart">
                      <c:ext xmlns:c15="http://schemas.microsoft.com/office/drawing/2012/chart" uri="{02D57815-91ED-43cb-92C2-25804820EDAC}">
                        <c15:formulaRef>
                          <c15:sqref>'[NFO 2013-2021 data brief figures 10.24.23.xlsx]F7A_C RACE_ETHNICITY'!$A$24:$A$32</c15:sqref>
                        </c15:formulaRef>
                      </c:ext>
                    </c:extLst>
                    <c:numCache>
                      <c:formatCode>General</c:formatCode>
                      <c:ptCount val="9"/>
                      <c:pt idx="0" formatCode="0">
                        <c:v>2013</c:v>
                      </c:pt>
                      <c:pt idx="1">
                        <c:v>2014</c:v>
                      </c:pt>
                      <c:pt idx="2">
                        <c:v>2015</c:v>
                      </c:pt>
                      <c:pt idx="3">
                        <c:v>2016</c:v>
                      </c:pt>
                      <c:pt idx="4">
                        <c:v>2017</c:v>
                      </c:pt>
                      <c:pt idx="5">
                        <c:v>2018</c:v>
                      </c:pt>
                      <c:pt idx="6">
                        <c:v>2019</c:v>
                      </c:pt>
                      <c:pt idx="7">
                        <c:v>2020</c:v>
                      </c:pt>
                      <c:pt idx="8">
                        <c:v>2021</c:v>
                      </c:pt>
                    </c:numCache>
                  </c:numRef>
                </c:cat>
                <c:val>
                  <c:numRef>
                    <c:extLst xmlns:c15="http://schemas.microsoft.com/office/drawing/2012/chart">
                      <c:ext xmlns:c15="http://schemas.microsoft.com/office/drawing/2012/chart" uri="{02D57815-91ED-43cb-92C2-25804820EDAC}">
                        <c15:formulaRef>
                          <c15:sqref>'[NFO 2013-2021 data brief figures 10.24.23.xlsx]F7A_C RACE_ETHNICITY'!$A$20:$F$20</c15:sqref>
                        </c15:formulaRef>
                      </c:ext>
                    </c:extLst>
                    <c:numCache>
                      <c:formatCode>0.0</c:formatCode>
                      <c:ptCount val="6"/>
                      <c:pt idx="0" formatCode="General">
                        <c:v>2020</c:v>
                      </c:pt>
                      <c:pt idx="1">
                        <c:v>296.03100000000001</c:v>
                      </c:pt>
                      <c:pt idx="2">
                        <c:v>17.221699999999998</c:v>
                      </c:pt>
                      <c:pt idx="3">
                        <c:v>335.14100000000002</c:v>
                      </c:pt>
                      <c:pt idx="4">
                        <c:v>328.70600000000002</c:v>
                      </c:pt>
                      <c:pt idx="5">
                        <c:v>266.79700000000003</c:v>
                      </c:pt>
                    </c:numCache>
                  </c:numRef>
                </c:val>
                <c:smooth val="0"/>
                <c:extLst xmlns:c15="http://schemas.microsoft.com/office/drawing/2012/chart">
                  <c:ext xmlns:c16="http://schemas.microsoft.com/office/drawing/2014/chart" uri="{C3380CC4-5D6E-409C-BE32-E72D297353CC}">
                    <c16:uniqueId val="{00000025-3F58-4E28-A909-9F351F1667B9}"/>
                  </c:ext>
                </c:extLst>
              </c15:ser>
            </c15:filteredLineSeries>
          </c:ext>
        </c:extLst>
      </c:lineChart>
      <c:catAx>
        <c:axId val="778527232"/>
        <c:scaling>
          <c:orientation val="minMax"/>
        </c:scaling>
        <c:delete val="0"/>
        <c:axPos val="b"/>
        <c:numFmt formatCode="0"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000" b="1" i="0" u="none" strike="noStrike" kern="1200" baseline="0">
                <a:solidFill>
                  <a:schemeClr val="tx1">
                    <a:lumMod val="65000"/>
                    <a:lumOff val="35000"/>
                  </a:schemeClr>
                </a:solidFill>
                <a:latin typeface="Segoe UI" panose="020B0502040204020203" pitchFamily="34" charset="0"/>
                <a:ea typeface="+mn-ea"/>
                <a:cs typeface="Segoe UI" panose="020B0502040204020203" pitchFamily="34" charset="0"/>
              </a:defRPr>
            </a:pPr>
            <a:endParaRPr lang="en-US"/>
          </a:p>
        </c:txPr>
        <c:crossAx val="778537400"/>
        <c:crosses val="autoZero"/>
        <c:auto val="1"/>
        <c:lblAlgn val="ctr"/>
        <c:lblOffset val="100"/>
        <c:noMultiLvlLbl val="0"/>
      </c:catAx>
      <c:valAx>
        <c:axId val="778537400"/>
        <c:scaling>
          <c:orientation val="minMax"/>
        </c:scaling>
        <c:delete val="0"/>
        <c:axPos val="l"/>
        <c:majorGridlines>
          <c:spPr>
            <a:ln w="9525" cap="flat" cmpd="sng" algn="ctr">
              <a:noFill/>
              <a:round/>
            </a:ln>
            <a:effectLst/>
          </c:spPr>
        </c:majorGridlines>
        <c:title>
          <c:tx>
            <c:rich>
              <a:bodyPr rot="-5400000" spcFirstLastPara="1" vertOverflow="ellipsis" vert="horz" wrap="square" anchor="ctr" anchorCtr="1"/>
              <a:lstStyle/>
              <a:p>
                <a:pPr>
                  <a:defRPr sz="1000" b="1" i="0" u="none" strike="noStrike" kern="1200" baseline="0">
                    <a:solidFill>
                      <a:schemeClr val="tx1">
                        <a:lumMod val="65000"/>
                        <a:lumOff val="35000"/>
                      </a:schemeClr>
                    </a:solidFill>
                    <a:latin typeface="Segoe UI" panose="020B0502040204020203" pitchFamily="34" charset="0"/>
                    <a:ea typeface="+mn-ea"/>
                    <a:cs typeface="Segoe UI" panose="020B0502040204020203" pitchFamily="34" charset="0"/>
                  </a:defRPr>
                </a:pPr>
                <a:r>
                  <a:rPr lang="en-US" sz="900" b="1">
                    <a:latin typeface="Segoe UI" panose="020B0502040204020203" pitchFamily="34" charset="0"/>
                    <a:cs typeface="Segoe UI" panose="020B0502040204020203" pitchFamily="34" charset="0"/>
                  </a:rPr>
                  <a:t>age-adjusted rate per 100,000</a:t>
                </a:r>
                <a:r>
                  <a:rPr lang="en-US" sz="900" b="1" baseline="0">
                    <a:latin typeface="Segoe UI" panose="020B0502040204020203" pitchFamily="34" charset="0"/>
                    <a:cs typeface="Segoe UI" panose="020B0502040204020203" pitchFamily="34" charset="0"/>
                  </a:rPr>
                  <a:t> residents</a:t>
                </a:r>
                <a:endParaRPr lang="en-US" sz="900" b="1">
                  <a:latin typeface="Segoe UI" panose="020B0502040204020203" pitchFamily="34" charset="0"/>
                  <a:cs typeface="Segoe UI" panose="020B0502040204020203" pitchFamily="34" charset="0"/>
                </a:endParaRPr>
              </a:p>
            </c:rich>
          </c:tx>
          <c:layout>
            <c:manualLayout>
              <c:xMode val="edge"/>
              <c:yMode val="edge"/>
              <c:x val="4.8936671377616259E-2"/>
              <c:y val="0.18346760318199296"/>
            </c:manualLayout>
          </c:layout>
          <c:overlay val="0"/>
          <c:spPr>
            <a:noFill/>
            <a:ln>
              <a:noFill/>
            </a:ln>
            <a:effectLst/>
          </c:spPr>
          <c:txPr>
            <a:bodyPr rot="-5400000" spcFirstLastPara="1" vertOverflow="ellipsis" vert="horz" wrap="square" anchor="ctr" anchorCtr="1"/>
            <a:lstStyle/>
            <a:p>
              <a:pPr>
                <a:defRPr sz="1000" b="1" i="0" u="none" strike="noStrike" kern="1200" baseline="0">
                  <a:solidFill>
                    <a:schemeClr val="tx1">
                      <a:lumMod val="65000"/>
                      <a:lumOff val="35000"/>
                    </a:schemeClr>
                  </a:solidFill>
                  <a:latin typeface="Segoe UI" panose="020B0502040204020203" pitchFamily="34" charset="0"/>
                  <a:ea typeface="+mn-ea"/>
                  <a:cs typeface="Segoe UI" panose="020B0502040204020203" pitchFamily="34" charset="0"/>
                </a:defRPr>
              </a:pPr>
              <a:endParaRPr lang="en-US"/>
            </a:p>
          </c:txPr>
        </c:title>
        <c:numFmt formatCode="0" sourceLinked="0"/>
        <c:majorTickMark val="none"/>
        <c:minorTickMark val="none"/>
        <c:tickLblPos val="nextTo"/>
        <c:spPr>
          <a:noFill/>
          <a:ln w="6350">
            <a:solidFill>
              <a:schemeClr val="tx1">
                <a:lumMod val="50000"/>
                <a:lumOff val="50000"/>
              </a:schemeClr>
            </a:solidFill>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crossAx val="778527232"/>
        <c:crosses val="autoZero"/>
        <c:crossBetween val="between"/>
        <c:majorUnit val="100"/>
      </c:valAx>
      <c:spPr>
        <a:noFill/>
        <a:ln>
          <a:noFill/>
        </a:ln>
        <a:effectLst/>
      </c:spPr>
    </c:plotArea>
    <c:legend>
      <c:legendPos val="t"/>
      <c:layout>
        <c:manualLayout>
          <c:xMode val="edge"/>
          <c:yMode val="edge"/>
          <c:x val="0.16721439233228921"/>
          <c:y val="0.18088510144458159"/>
          <c:w val="0.70801955044081033"/>
          <c:h val="5.9568244843430561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Segoe UI" panose="020B0502040204020203" pitchFamily="34" charset="0"/>
              <a:ea typeface="+mn-ea"/>
              <a:cs typeface="Segoe UI" panose="020B0502040204020203"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4">
    <c:autoUpdate val="0"/>
  </c:externalData>
  <c:userShapes r:id="rId5"/>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withinLinearReversed" id="25">
  <a:schemeClr val="accent5"/>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ocumenttasks/documenttasks1.xml><?xml version="1.0" encoding="utf-8"?>
<t:Tasks xmlns:t="http://schemas.microsoft.com/office/tasks/2019/documenttasks" xmlns:oel="http://schemas.microsoft.com/office/2019/extlst">
  <t:Task id="{BA622729-D2A5-458F-8F12-3BE2004BCE6F}">
    <t:Anchor>
      <t:Comment id="1838150927"/>
    </t:Anchor>
    <t:History>
      <t:Event id="{CE3F1E90-B88A-4C1F-BFA0-D01A987CCF7A}" time="2023-11-16T18:51:27.237Z">
        <t:Attribution userId="S::amy.kaplan@mass.gov::f1015638-69ff-4a80-acb4-9827cd3c3602" userProvider="AD" userName="Kaplan, Amy (DPH)"/>
        <t:Anchor>
          <t:Comment id="359721886"/>
        </t:Anchor>
        <t:Create/>
      </t:Event>
      <t:Event id="{509F8060-A623-445F-965B-A0D71E386DCC}" time="2023-11-16T18:51:27.237Z">
        <t:Attribution userId="S::amy.kaplan@mass.gov::f1015638-69ff-4a80-acb4-9827cd3c3602" userProvider="AD" userName="Kaplan, Amy (DPH)"/>
        <t:Anchor>
          <t:Comment id="359721886"/>
        </t:Anchor>
        <t:Assign userId="S::dana.bernson@mass.gov::97eae133-f84b-40f6-a65b-10529a249ac7" userProvider="AD" userName="Bernson, Dana (DPH)"/>
      </t:Event>
      <t:Event id="{341EE6F5-04CE-4511-9A62-7AF0D62D4A25}" time="2023-11-16T18:51:27.237Z">
        <t:Attribution userId="S::amy.kaplan@mass.gov::f1015638-69ff-4a80-acb4-9827cd3c3602" userProvider="AD" userName="Kaplan, Amy (DPH)"/>
        <t:Anchor>
          <t:Comment id="359721886"/>
        </t:Anchor>
        <t:SetTitle title="@Bernson, Dana (DPH) "/>
      </t:Event>
      <t:Event id="{528E5B66-DF8A-4DF3-A91A-DBA1FAF9D037}" time="2023-11-17T13:32:43.797Z">
        <t:Attribution userId="S::dana.bernson@mass.gov::97eae133-f84b-40f6-a65b-10529a249ac7" userProvider="AD" userName="Bernson, Dana (DPH)"/>
        <t:Progress percentComplete="100"/>
      </t:Event>
    </t:History>
  </t:Task>
  <t:Task id="{DA75F8BA-20D4-4DB0-B885-64AFCF8859B3}">
    <t:Anchor>
      <t:Comment id="637562652"/>
    </t:Anchor>
    <t:History>
      <t:Event id="{01A209D8-BA0B-4090-9E4A-1540BA34F07D}" time="2023-11-16T18:51:46.562Z">
        <t:Attribution userId="S::amy.kaplan@mass.gov::f1015638-69ff-4a80-acb4-9827cd3c3602" userProvider="AD" userName="Kaplan, Amy (DPH)"/>
        <t:Anchor>
          <t:Comment id="619256904"/>
        </t:Anchor>
        <t:Create/>
      </t:Event>
      <t:Event id="{B101BF94-86AE-4A95-B032-31277A7EA4AE}" time="2023-11-16T18:51:46.562Z">
        <t:Attribution userId="S::amy.kaplan@mass.gov::f1015638-69ff-4a80-acb4-9827cd3c3602" userProvider="AD" userName="Kaplan, Amy (DPH)"/>
        <t:Anchor>
          <t:Comment id="619256904"/>
        </t:Anchor>
        <t:Assign userId="S::dana.bernson@mass.gov::97eae133-f84b-40f6-a65b-10529a249ac7" userProvider="AD" userName="Bernson, Dana (DPH)"/>
      </t:Event>
      <t:Event id="{49A2BF2D-DBAF-455B-BBC9-FFD111B79AD8}" time="2023-11-16T18:51:46.562Z">
        <t:Attribution userId="S::amy.kaplan@mass.gov::f1015638-69ff-4a80-acb4-9827cd3c3602" userProvider="AD" userName="Kaplan, Amy (DPH)"/>
        <t:Anchor>
          <t:Comment id="619256904"/>
        </t:Anchor>
        <t:SetTitle title="@Bernson, Dana (DPH) "/>
      </t:Event>
      <t:Event id="{FA50C799-6348-4F33-B44A-1F63938E3DCA}" time="2023-11-17T13:32:45.997Z">
        <t:Attribution userId="S::dana.bernson@mass.gov::97eae133-f84b-40f6-a65b-10529a249ac7" userProvider="AD" userName="Bernson, Dana (DPH)"/>
        <t:Progress percentComplete="100"/>
      </t:Event>
    </t:History>
  </t:Task>
  <t:Task id="{CFE2607A-5349-4997-9650-733CF283B8FA}">
    <t:Anchor>
      <t:Comment id="122247800"/>
    </t:Anchor>
    <t:History>
      <t:Event id="{9622A84B-7E5C-4A9B-BB59-3EDFFEA6A6B0}" time="2023-11-16T18:52:31.853Z">
        <t:Attribution userId="S::amy.kaplan@mass.gov::f1015638-69ff-4a80-acb4-9827cd3c3602" userProvider="AD" userName="Kaplan, Amy (DPH)"/>
        <t:Anchor>
          <t:Comment id="1424402240"/>
        </t:Anchor>
        <t:Create/>
      </t:Event>
      <t:Event id="{88C4AE66-9D97-42D9-83B4-CB0A69A931DC}" time="2023-11-16T18:52:31.853Z">
        <t:Attribution userId="S::amy.kaplan@mass.gov::f1015638-69ff-4a80-acb4-9827cd3c3602" userProvider="AD" userName="Kaplan, Amy (DPH)"/>
        <t:Anchor>
          <t:Comment id="1424402240"/>
        </t:Anchor>
        <t:Assign userId="S::dana.bernson@mass.gov::97eae133-f84b-40f6-a65b-10529a249ac7" userProvider="AD" userName="Bernson, Dana (DPH)"/>
      </t:Event>
      <t:Event id="{3A05F34D-C5FA-46B8-B46D-935AA32F4003}" time="2023-11-16T18:52:31.853Z">
        <t:Attribution userId="S::amy.kaplan@mass.gov::f1015638-69ff-4a80-acb4-9827cd3c3602" userProvider="AD" userName="Kaplan, Amy (DPH)"/>
        <t:Anchor>
          <t:Comment id="1424402240"/>
        </t:Anchor>
        <t:SetTitle title="@Bernson, Dana (DPH) "/>
      </t:Event>
      <t:Event id="{10812958-2654-4C34-9788-A19CA46DF4D8}" time="2023-11-17T13:32:47.623Z">
        <t:Attribution userId="S::dana.bernson@mass.gov::97eae133-f84b-40f6-a65b-10529a249ac7" userProvider="AD" userName="Bernson, Dana (DPH)"/>
        <t:Progress percentComplete="100"/>
      </t:Event>
    </t:History>
  </t:Task>
</t:Tasks>
</file>

<file path=word/drawings/drawing1.xml><?xml version="1.0" encoding="utf-8"?>
<c:userShapes xmlns:c="http://schemas.openxmlformats.org/drawingml/2006/chart">
  <cdr:relSizeAnchor xmlns:cdr="http://schemas.openxmlformats.org/drawingml/2006/chartDrawing">
    <cdr:from>
      <cdr:x>0</cdr:x>
      <cdr:y>0.00116</cdr:y>
    </cdr:from>
    <cdr:to>
      <cdr:x>0.99514</cdr:x>
      <cdr:y>0.21718</cdr:y>
    </cdr:to>
    <cdr:sp macro="" textlink="">
      <cdr:nvSpPr>
        <cdr:cNvPr id="2" name="TextBox 1">
          <a:extLst xmlns:a="http://schemas.openxmlformats.org/drawingml/2006/main">
            <a:ext uri="{FF2B5EF4-FFF2-40B4-BE49-F238E27FC236}">
              <a16:creationId xmlns:a16="http://schemas.microsoft.com/office/drawing/2014/main" id="{FC439A2D-2BC4-43D5-8368-B114E4DB3C35}"/>
            </a:ext>
          </a:extLst>
        </cdr:cNvPr>
        <cdr:cNvSpPr txBox="1"/>
      </cdr:nvSpPr>
      <cdr:spPr>
        <a:xfrm xmlns:a="http://schemas.openxmlformats.org/drawingml/2006/main">
          <a:off x="0" y="3548"/>
          <a:ext cx="6000022" cy="660662"/>
        </a:xfrm>
        <a:prstGeom xmlns:a="http://schemas.openxmlformats.org/drawingml/2006/main" prst="rect">
          <a:avLst/>
        </a:prstGeom>
        <a:noFill xmlns:a="http://schemas.openxmlformats.org/drawingml/2006/main"/>
      </cdr:spPr>
      <cdr:txBody>
        <a:bodyPr xmlns:a="http://schemas.openxmlformats.org/drawingml/2006/main" vertOverflow="clip" wrap="square" rtlCol="0" anchor="ctr"/>
        <a:lstStyle xmlns:a="http://schemas.openxmlformats.org/drawingml/2006/main"/>
        <a:p xmlns:a="http://schemas.openxmlformats.org/drawingml/2006/main">
          <a:pPr marL="0" marR="0" lvl="0" indent="0" algn="ctr" defTabSz="914400" rtl="0" eaLnBrk="1" fontAlgn="auto" latinLnBrk="0" hangingPunct="1">
            <a:lnSpc>
              <a:spcPct val="100000"/>
            </a:lnSpc>
            <a:spcBef>
              <a:spcPts val="0"/>
            </a:spcBef>
            <a:spcAft>
              <a:spcPts val="0"/>
            </a:spcAft>
            <a:buClrTx/>
            <a:buSzTx/>
            <a:buFontTx/>
            <a:buNone/>
            <a:tabLst/>
            <a:defRPr/>
          </a:pPr>
          <a:r>
            <a:rPr lang="en-US" sz="1200" b="1" i="0" baseline="0">
              <a:solidFill>
                <a:sysClr val="windowText" lastClr="000000"/>
              </a:solidFill>
              <a:effectLst/>
              <a:latin typeface="Segoe UI" panose="020B0502040204020203" pitchFamily="34" charset="0"/>
              <a:ea typeface="+mn-ea"/>
              <a:cs typeface="Segoe UI" panose="020B0502040204020203" pitchFamily="34" charset="0"/>
            </a:rPr>
            <a:t>Figure 1. Non-fatal opioid-related overdoses, Massachusetts residents</a:t>
          </a:r>
        </a:p>
        <a:p xmlns:a="http://schemas.openxmlformats.org/drawingml/2006/main">
          <a:pPr marL="0" marR="0" lvl="0" indent="0" algn="ctr" defTabSz="914400" rtl="0" eaLnBrk="1" fontAlgn="auto" latinLnBrk="0" hangingPunct="1">
            <a:lnSpc>
              <a:spcPct val="100000"/>
            </a:lnSpc>
            <a:spcBef>
              <a:spcPts val="0"/>
            </a:spcBef>
            <a:spcAft>
              <a:spcPts val="0"/>
            </a:spcAft>
            <a:buClrTx/>
            <a:buSzTx/>
            <a:buFontTx/>
            <a:buNone/>
            <a:tabLst/>
            <a:defRPr/>
          </a:pPr>
          <a:r>
            <a:rPr lang="en-US" sz="1200" b="1" i="0" baseline="0">
              <a:solidFill>
                <a:sysClr val="windowText" lastClr="000000"/>
              </a:solidFill>
              <a:effectLst/>
              <a:latin typeface="Segoe UI" panose="020B0502040204020203" pitchFamily="34" charset="0"/>
              <a:ea typeface="+mn-ea"/>
              <a:cs typeface="Segoe UI" panose="020B0502040204020203" pitchFamily="34" charset="0"/>
            </a:rPr>
            <a:t> 2013-2021. (n=133,295)</a:t>
          </a:r>
          <a:endParaRPr lang="en-US" sz="1400" b="1">
            <a:effectLst/>
            <a:latin typeface="+mj-lt"/>
          </a:endParaRPr>
        </a:p>
        <a:p xmlns:a="http://schemas.openxmlformats.org/drawingml/2006/main">
          <a:endParaRPr lang="en-US" sz="1100"/>
        </a:p>
      </cdr:txBody>
    </cdr:sp>
  </cdr:relSizeAnchor>
</c:userShapes>
</file>

<file path=word/drawings/drawing10.xml><?xml version="1.0" encoding="utf-8"?>
<c:userShapes xmlns:c="http://schemas.openxmlformats.org/drawingml/2006/chart">
  <cdr:relSizeAnchor xmlns:cdr="http://schemas.openxmlformats.org/drawingml/2006/chartDrawing">
    <cdr:from>
      <cdr:x>0.03192</cdr:x>
      <cdr:y>0.00887</cdr:y>
    </cdr:from>
    <cdr:to>
      <cdr:x>0.98759</cdr:x>
      <cdr:y>0.22754</cdr:y>
    </cdr:to>
    <cdr:sp macro="" textlink="">
      <cdr:nvSpPr>
        <cdr:cNvPr id="2" name="TextBox 1">
          <a:extLst xmlns:a="http://schemas.openxmlformats.org/drawingml/2006/main">
            <a:ext uri="{FF2B5EF4-FFF2-40B4-BE49-F238E27FC236}">
              <a16:creationId xmlns:a16="http://schemas.microsoft.com/office/drawing/2014/main" id="{B51C17BC-E23C-4859-A8DE-B48AC62A198C}"/>
            </a:ext>
          </a:extLst>
        </cdr:cNvPr>
        <cdr:cNvSpPr txBox="1"/>
      </cdr:nvSpPr>
      <cdr:spPr>
        <a:xfrm xmlns:a="http://schemas.openxmlformats.org/drawingml/2006/main">
          <a:off x="145917" y="24319"/>
          <a:ext cx="4369340" cy="599871"/>
        </a:xfrm>
        <a:prstGeom xmlns:a="http://schemas.openxmlformats.org/drawingml/2006/main" prst="rect">
          <a:avLst/>
        </a:prstGeom>
      </cdr:spPr>
      <cdr:txBody>
        <a:bodyPr xmlns:a="http://schemas.openxmlformats.org/drawingml/2006/main" vertOverflow="clip" wrap="square" rtlCol="0" anchor="ctr"/>
        <a:lstStyle xmlns:a="http://schemas.openxmlformats.org/drawingml/2006/main"/>
        <a:p xmlns:a="http://schemas.openxmlformats.org/drawingml/2006/main">
          <a:pPr marL="0" marR="0" lvl="0" indent="0" algn="ctr" defTabSz="914400" rtl="0" eaLnBrk="1" fontAlgn="auto" latinLnBrk="0" hangingPunct="1">
            <a:lnSpc>
              <a:spcPct val="100000"/>
            </a:lnSpc>
            <a:spcBef>
              <a:spcPts val="0"/>
            </a:spcBef>
            <a:spcAft>
              <a:spcPts val="0"/>
            </a:spcAft>
            <a:buClrTx/>
            <a:buSzTx/>
            <a:buFontTx/>
            <a:buNone/>
            <a:tabLst/>
            <a:defRPr/>
          </a:pPr>
          <a:r>
            <a:rPr lang="en-US" sz="1200" b="1" i="0" baseline="0">
              <a:effectLst/>
              <a:latin typeface="Segoe UI" panose="020B0502040204020203" pitchFamily="34" charset="0"/>
              <a:ea typeface="+mn-ea"/>
              <a:cs typeface="Segoe UI" panose="020B0502040204020203" pitchFamily="34" charset="0"/>
            </a:rPr>
            <a:t>Figure 7C. Age-adjusted rate of non-fatal opioid overdose by race* and Hispanic ethnicity. Female Massachusetts residents, 2013-2021</a:t>
          </a:r>
          <a:endParaRPr lang="en-US" sz="1200" b="1">
            <a:effectLst/>
            <a:latin typeface="Segoe UI" panose="020B0502040204020203" pitchFamily="34" charset="0"/>
            <a:cs typeface="Segoe UI" panose="020B0502040204020203" pitchFamily="34" charset="0"/>
          </a:endParaRPr>
        </a:p>
      </cdr:txBody>
    </cdr:sp>
  </cdr:relSizeAnchor>
  <cdr:relSizeAnchor xmlns:cdr="http://schemas.openxmlformats.org/drawingml/2006/chartDrawing">
    <cdr:from>
      <cdr:x>0.03674</cdr:x>
      <cdr:y>0.87332</cdr:y>
    </cdr:from>
    <cdr:to>
      <cdr:x>0.98718</cdr:x>
      <cdr:y>0.99156</cdr:y>
    </cdr:to>
    <cdr:sp macro="" textlink="">
      <cdr:nvSpPr>
        <cdr:cNvPr id="3" name="TextBox 2">
          <a:extLst xmlns:a="http://schemas.openxmlformats.org/drawingml/2006/main">
            <a:ext uri="{FF2B5EF4-FFF2-40B4-BE49-F238E27FC236}">
              <a16:creationId xmlns:a16="http://schemas.microsoft.com/office/drawing/2014/main" id="{9AAC25B5-2E41-4A44-B0CE-FB368E7D598D}"/>
            </a:ext>
          </a:extLst>
        </cdr:cNvPr>
        <cdr:cNvSpPr txBox="1"/>
      </cdr:nvSpPr>
      <cdr:spPr>
        <a:xfrm xmlns:a="http://schemas.openxmlformats.org/drawingml/2006/main">
          <a:off x="218368" y="2635250"/>
          <a:ext cx="5649032" cy="356802"/>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marL="0" marR="0" lvl="0" indent="0" defTabSz="914400" eaLnBrk="1" fontAlgn="auto" latinLnBrk="0" hangingPunct="1">
            <a:lnSpc>
              <a:spcPct val="100000"/>
            </a:lnSpc>
            <a:spcBef>
              <a:spcPts val="0"/>
            </a:spcBef>
            <a:spcAft>
              <a:spcPts val="0"/>
            </a:spcAft>
            <a:buClrTx/>
            <a:buSzTx/>
            <a:buFontTx/>
            <a:buNone/>
            <a:tabLst/>
            <a:defRPr/>
          </a:pPr>
          <a:r>
            <a:rPr lang="en-US" sz="800">
              <a:effectLst/>
              <a:latin typeface="+mn-lt"/>
              <a:ea typeface="+mn-ea"/>
              <a:cs typeface="Segoe UI" panose="020B0502040204020203" pitchFamily="34" charset="0"/>
            </a:rPr>
            <a:t>* Note.Rates for American Indian and Alaska Natives are not shown as they are combined with </a:t>
          </a:r>
          <a:r>
            <a:rPr lang="en-US" sz="800" strike="sngStrike" baseline="0">
              <a:effectLst/>
              <a:latin typeface="+mn-lt"/>
              <a:ea typeface="+mn-ea"/>
              <a:cs typeface="Segoe UI" panose="020B0502040204020203" pitchFamily="34" charset="0"/>
            </a:rPr>
            <a:t> '</a:t>
          </a:r>
          <a:r>
            <a:rPr lang="en-US" sz="800" strike="noStrike">
              <a:effectLst/>
              <a:latin typeface="+mn-lt"/>
              <a:ea typeface="+mn-ea"/>
              <a:cs typeface="Segoe UI" panose="020B0502040204020203" pitchFamily="34" charset="0"/>
            </a:rPr>
            <a:t>O</a:t>
          </a:r>
          <a:r>
            <a:rPr lang="en-US" sz="800">
              <a:effectLst/>
              <a:latin typeface="+mn-lt"/>
              <a:ea typeface="+mn-ea"/>
              <a:cs typeface="Segoe UI" panose="020B0502040204020203" pitchFamily="34" charset="0"/>
            </a:rPr>
            <a:t>ther race' in the PHD; nH=non=Hispanic; 4,643 records with missing race and Hispanic ethnicity and 2,903 with missing sex are excluded.</a:t>
          </a:r>
          <a:endParaRPr lang="en-US" sz="800">
            <a:effectLst/>
            <a:latin typeface="+mn-lt"/>
            <a:cs typeface="Segoe UI" panose="020B0502040204020203" pitchFamily="34" charset="0"/>
          </a:endParaRPr>
        </a:p>
        <a:p xmlns:a="http://schemas.openxmlformats.org/drawingml/2006/main">
          <a:endParaRPr lang="en-US" sz="1100"/>
        </a:p>
      </cdr:txBody>
    </cdr:sp>
  </cdr:relSizeAnchor>
</c:userShapes>
</file>

<file path=word/drawings/drawing11.xml><?xml version="1.0" encoding="utf-8"?>
<c:userShapes xmlns:c="http://schemas.openxmlformats.org/drawingml/2006/chart">
  <cdr:relSizeAnchor xmlns:cdr="http://schemas.openxmlformats.org/drawingml/2006/chartDrawing">
    <cdr:from>
      <cdr:x>0.00715</cdr:x>
      <cdr:y>0.93182</cdr:y>
    </cdr:from>
    <cdr:to>
      <cdr:x>0.71103</cdr:x>
      <cdr:y>1</cdr:y>
    </cdr:to>
    <cdr:sp macro="" textlink="">
      <cdr:nvSpPr>
        <cdr:cNvPr id="2" name="TextBox 1">
          <a:extLst xmlns:a="http://schemas.openxmlformats.org/drawingml/2006/main">
            <a:ext uri="{FF2B5EF4-FFF2-40B4-BE49-F238E27FC236}">
              <a16:creationId xmlns:a16="http://schemas.microsoft.com/office/drawing/2014/main" id="{E231B5C2-74EF-4E20-9025-63C3A7E06381}"/>
            </a:ext>
          </a:extLst>
        </cdr:cNvPr>
        <cdr:cNvSpPr txBox="1"/>
      </cdr:nvSpPr>
      <cdr:spPr>
        <a:xfrm xmlns:a="http://schemas.openxmlformats.org/drawingml/2006/main">
          <a:off x="43815" y="2811780"/>
          <a:ext cx="4312284" cy="20574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900">
              <a:latin typeface="Segoe UI" panose="020B0502040204020203" pitchFamily="34" charset="0"/>
              <a:cs typeface="Segoe UI" panose="020B0502040204020203" pitchFamily="34" charset="0"/>
            </a:rPr>
            <a:t>* Note: 5,532 records with missing Zip Codes are excluded. </a:t>
          </a:r>
        </a:p>
      </cdr:txBody>
    </cdr:sp>
  </cdr:relSizeAnchor>
</c:userShapes>
</file>

<file path=word/drawings/drawing12.xml><?xml version="1.0" encoding="utf-8"?>
<c:userShapes xmlns:c="http://schemas.openxmlformats.org/drawingml/2006/chart">
  <cdr:relSizeAnchor xmlns:cdr="http://schemas.openxmlformats.org/drawingml/2006/chartDrawing">
    <cdr:from>
      <cdr:x>0.11683</cdr:x>
      <cdr:y>0.02168</cdr:y>
    </cdr:from>
    <cdr:to>
      <cdr:x>0.91279</cdr:x>
      <cdr:y>0.20448</cdr:y>
    </cdr:to>
    <cdr:sp macro="" textlink="">
      <cdr:nvSpPr>
        <cdr:cNvPr id="2" name="TextBox 1" descr="Figure 9. Age-adjusted rate of non-fatal opioid overdoses by rurality*. Massachusetts residents, 2013-2021. A line chart showing the rate for most rural exceeded urban and rural in 2018 and has decreased but stayed higest through 2021,">
          <a:extLst xmlns:a="http://schemas.openxmlformats.org/drawingml/2006/main">
            <a:ext uri="{FF2B5EF4-FFF2-40B4-BE49-F238E27FC236}">
              <a16:creationId xmlns:a16="http://schemas.microsoft.com/office/drawing/2014/main" id="{C76F3F02-AC06-4BE1-A3A4-2080DDDC8BF0}"/>
            </a:ext>
          </a:extLst>
        </cdr:cNvPr>
        <cdr:cNvSpPr txBox="1"/>
      </cdr:nvSpPr>
      <cdr:spPr>
        <a:xfrm xmlns:a="http://schemas.openxmlformats.org/drawingml/2006/main">
          <a:off x="661457" y="74295"/>
          <a:ext cx="4506465" cy="626489"/>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algn="ctr"/>
          <a:r>
            <a:rPr lang="en-US" sz="1200" b="1">
              <a:latin typeface="Segoe UI" panose="020B0502040204020203" pitchFamily="34" charset="0"/>
              <a:cs typeface="Segoe UI" panose="020B0502040204020203" pitchFamily="34" charset="0"/>
            </a:rPr>
            <a:t>Figure 9. Age-adjusted rate of non-fatal opioid overdoses by rurality*. Massachusetts residents, 2013-2021. </a:t>
          </a:r>
        </a:p>
      </cdr:txBody>
    </cdr:sp>
  </cdr:relSizeAnchor>
  <cdr:relSizeAnchor xmlns:cdr="http://schemas.openxmlformats.org/drawingml/2006/chartDrawing">
    <cdr:from>
      <cdr:x>0.02147</cdr:x>
      <cdr:y>0.9025</cdr:y>
    </cdr:from>
    <cdr:to>
      <cdr:x>0.73485</cdr:x>
      <cdr:y>0.9875</cdr:y>
    </cdr:to>
    <cdr:sp macro="" textlink="">
      <cdr:nvSpPr>
        <cdr:cNvPr id="3" name="TextBox 2">
          <a:extLst xmlns:a="http://schemas.openxmlformats.org/drawingml/2006/main">
            <a:ext uri="{FF2B5EF4-FFF2-40B4-BE49-F238E27FC236}">
              <a16:creationId xmlns:a16="http://schemas.microsoft.com/office/drawing/2014/main" id="{7D619B61-AB79-4C90-BA96-C5BB75C1A9F5}"/>
            </a:ext>
          </a:extLst>
        </cdr:cNvPr>
        <cdr:cNvSpPr txBox="1"/>
      </cdr:nvSpPr>
      <cdr:spPr>
        <a:xfrm xmlns:a="http://schemas.openxmlformats.org/drawingml/2006/main">
          <a:off x="129543" y="2750820"/>
          <a:ext cx="4305300" cy="25908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900"/>
            <a:t>* Note: 5,532 records with missing Zip Codes are excluded. </a:t>
          </a:r>
        </a:p>
      </cdr:txBody>
    </cdr:sp>
  </cdr:relSizeAnchor>
</c:userShapes>
</file>

<file path=word/drawings/drawing13.xml><?xml version="1.0" encoding="utf-8"?>
<c:userShapes xmlns:c="http://schemas.openxmlformats.org/drawingml/2006/chart">
  <cdr:relSizeAnchor xmlns:cdr="http://schemas.openxmlformats.org/drawingml/2006/chartDrawing">
    <cdr:from>
      <cdr:x>0.04583</cdr:x>
      <cdr:y>0.03753</cdr:y>
    </cdr:from>
    <cdr:to>
      <cdr:x>0.98542</cdr:x>
      <cdr:y>0.15878</cdr:y>
    </cdr:to>
    <cdr:sp macro="" textlink="">
      <cdr:nvSpPr>
        <cdr:cNvPr id="2" name="TextBox 1">
          <a:extLst xmlns:a="http://schemas.openxmlformats.org/drawingml/2006/main">
            <a:ext uri="{FF2B5EF4-FFF2-40B4-BE49-F238E27FC236}">
              <a16:creationId xmlns:a16="http://schemas.microsoft.com/office/drawing/2014/main" id="{1F71B9B6-23BA-6339-4694-BE0D93F2AFB5}"/>
            </a:ext>
          </a:extLst>
        </cdr:cNvPr>
        <cdr:cNvSpPr txBox="1"/>
      </cdr:nvSpPr>
      <cdr:spPr>
        <a:xfrm xmlns:a="http://schemas.openxmlformats.org/drawingml/2006/main">
          <a:off x="209550" y="103188"/>
          <a:ext cx="4295775" cy="33337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en-US" sz="1100"/>
        </a:p>
      </cdr:txBody>
    </cdr:sp>
  </cdr:relSizeAnchor>
  <cdr:relSizeAnchor xmlns:cdr="http://schemas.openxmlformats.org/drawingml/2006/chartDrawing">
    <cdr:from>
      <cdr:x>0.03333</cdr:x>
      <cdr:y>0.02367</cdr:y>
    </cdr:from>
    <cdr:to>
      <cdr:x>0.97292</cdr:x>
      <cdr:y>0.21074</cdr:y>
    </cdr:to>
    <cdr:sp macro="" textlink="">
      <cdr:nvSpPr>
        <cdr:cNvPr id="3" name="TextBox 2" descr="Figure 10. Age-adjusted rate of non-fatal opioid overdoses by major city. &#10;Massachusetts Residents, 2013-2021. A line chart showing Boston, Springfield Worcester and statewide rates. From 2017- 2019 Springfield increased over 100% and remained the highest of the four cities in 2021.">
          <a:extLst xmlns:a="http://schemas.openxmlformats.org/drawingml/2006/main">
            <a:ext uri="{FF2B5EF4-FFF2-40B4-BE49-F238E27FC236}">
              <a16:creationId xmlns:a16="http://schemas.microsoft.com/office/drawing/2014/main" id="{DF9BCBA1-4925-7E0B-6B9B-DD93B028FB9B}"/>
            </a:ext>
          </a:extLst>
        </cdr:cNvPr>
        <cdr:cNvSpPr txBox="1"/>
      </cdr:nvSpPr>
      <cdr:spPr>
        <a:xfrm xmlns:a="http://schemas.openxmlformats.org/drawingml/2006/main">
          <a:off x="152400" y="65088"/>
          <a:ext cx="4295775" cy="51435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algn="ctr"/>
          <a:r>
            <a:rPr lang="en-US" sz="1200" b="1">
              <a:latin typeface="Segoe UI" panose="020B0502040204020203" pitchFamily="34" charset="0"/>
              <a:cs typeface="Segoe UI" panose="020B0502040204020203" pitchFamily="34" charset="0"/>
            </a:rPr>
            <a:t>Figure</a:t>
          </a:r>
          <a:r>
            <a:rPr lang="en-US" sz="1200" b="1" baseline="0">
              <a:latin typeface="Segoe UI" panose="020B0502040204020203" pitchFamily="34" charset="0"/>
              <a:cs typeface="Segoe UI" panose="020B0502040204020203" pitchFamily="34" charset="0"/>
            </a:rPr>
            <a:t> 10. Age-adjusted rate of non-fatal opioid overdoses by major city. </a:t>
          </a:r>
        </a:p>
        <a:p xmlns:a="http://schemas.openxmlformats.org/drawingml/2006/main">
          <a:pPr algn="ctr"/>
          <a:r>
            <a:rPr lang="en-US" sz="1200" b="1" baseline="0">
              <a:latin typeface="Segoe UI" panose="020B0502040204020203" pitchFamily="34" charset="0"/>
              <a:cs typeface="Segoe UI" panose="020B0502040204020203" pitchFamily="34" charset="0"/>
            </a:rPr>
            <a:t>Massachusetts Residents, 2013-2021. </a:t>
          </a:r>
          <a:endParaRPr lang="en-US" sz="1200" b="1">
            <a:latin typeface="Segoe UI" panose="020B0502040204020203" pitchFamily="34" charset="0"/>
            <a:cs typeface="Segoe UI" panose="020B0502040204020203" pitchFamily="34" charset="0"/>
          </a:endParaRPr>
        </a:p>
      </cdr:txBody>
    </cdr:sp>
  </cdr:relSizeAnchor>
  <cdr:relSizeAnchor xmlns:cdr="http://schemas.openxmlformats.org/drawingml/2006/chartDrawing">
    <cdr:from>
      <cdr:x>0.02244</cdr:x>
      <cdr:y>0.90334</cdr:y>
    </cdr:from>
    <cdr:to>
      <cdr:x>0.71795</cdr:x>
      <cdr:y>0.98062</cdr:y>
    </cdr:to>
    <cdr:sp macro="" textlink="">
      <cdr:nvSpPr>
        <cdr:cNvPr id="4" name="TextBox 3">
          <a:extLst xmlns:a="http://schemas.openxmlformats.org/drawingml/2006/main">
            <a:ext uri="{FF2B5EF4-FFF2-40B4-BE49-F238E27FC236}">
              <a16:creationId xmlns:a16="http://schemas.microsoft.com/office/drawing/2014/main" id="{83E21E40-D3D9-2B61-3B18-ACFE7DCD81CB}"/>
            </a:ext>
          </a:extLst>
        </cdr:cNvPr>
        <cdr:cNvSpPr txBox="1"/>
      </cdr:nvSpPr>
      <cdr:spPr>
        <a:xfrm xmlns:a="http://schemas.openxmlformats.org/drawingml/2006/main">
          <a:off x="133368" y="2560638"/>
          <a:ext cx="4133850" cy="21907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900"/>
            <a:t>Note, 5,532 records with missing Zip Codes are excluded.</a:t>
          </a:r>
          <a:endParaRPr lang="en-US" sz="1100"/>
        </a:p>
      </cdr:txBody>
    </cdr:sp>
  </cdr:relSizeAnchor>
</c:userShapes>
</file>

<file path=word/drawings/drawing14.xml><?xml version="1.0" encoding="utf-8"?>
<c:userShapes xmlns:c="http://schemas.openxmlformats.org/drawingml/2006/chart">
  <cdr:relSizeAnchor xmlns:cdr="http://schemas.openxmlformats.org/drawingml/2006/chartDrawing">
    <cdr:from>
      <cdr:x>0.03064</cdr:x>
      <cdr:y>0</cdr:y>
    </cdr:from>
    <cdr:to>
      <cdr:x>0.99889</cdr:x>
      <cdr:y>0.22311</cdr:y>
    </cdr:to>
    <cdr:sp macro="" textlink="">
      <cdr:nvSpPr>
        <cdr:cNvPr id="2" name="TextBox 1">
          <a:extLst xmlns:a="http://schemas.openxmlformats.org/drawingml/2006/main">
            <a:ext uri="{FF2B5EF4-FFF2-40B4-BE49-F238E27FC236}">
              <a16:creationId xmlns:a16="http://schemas.microsoft.com/office/drawing/2014/main" id="{B20C7FB2-0204-4588-A50B-D7DFF6821D6D}"/>
            </a:ext>
          </a:extLst>
        </cdr:cNvPr>
        <cdr:cNvSpPr txBox="1"/>
      </cdr:nvSpPr>
      <cdr:spPr>
        <a:xfrm xmlns:a="http://schemas.openxmlformats.org/drawingml/2006/main">
          <a:off x="192406" y="0"/>
          <a:ext cx="6079490" cy="74295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algn="ctr"/>
          <a:r>
            <a:rPr lang="en-US" sz="1200" b="1">
              <a:latin typeface="Segoe UI" panose="020B0502040204020203" pitchFamily="34" charset="0"/>
              <a:cs typeface="Segoe UI" panose="020B0502040204020203" pitchFamily="34" charset="0"/>
            </a:rPr>
            <a:t>Figure 11. Percent</a:t>
          </a:r>
          <a:r>
            <a:rPr lang="en-US" sz="1200" b="1" baseline="0">
              <a:latin typeface="Segoe UI" panose="020B0502040204020203" pitchFamily="34" charset="0"/>
              <a:cs typeface="Segoe UI" panose="020B0502040204020203" pitchFamily="34" charset="0"/>
            </a:rPr>
            <a:t> of population groups who experienced a non-fatal opioid overdose. MA residents 2013-2021. (n=72,018)</a:t>
          </a:r>
          <a:endParaRPr lang="en-US" sz="1100" b="1">
            <a:latin typeface="Segoe UI" panose="020B0502040204020203" pitchFamily="34" charset="0"/>
            <a:cs typeface="Segoe UI" panose="020B0502040204020203" pitchFamily="34" charset="0"/>
          </a:endParaRPr>
        </a:p>
      </cdr:txBody>
    </cdr:sp>
  </cdr:relSizeAnchor>
  <cdr:relSizeAnchor xmlns:cdr="http://schemas.openxmlformats.org/drawingml/2006/chartDrawing">
    <cdr:from>
      <cdr:x>0.01801</cdr:x>
      <cdr:y>0.9217</cdr:y>
    </cdr:from>
    <cdr:to>
      <cdr:x>0.96793</cdr:x>
      <cdr:y>0.98814</cdr:y>
    </cdr:to>
    <cdr:sp macro="" textlink="">
      <cdr:nvSpPr>
        <cdr:cNvPr id="3" name="TextBox 2">
          <a:extLst xmlns:a="http://schemas.openxmlformats.org/drawingml/2006/main">
            <a:ext uri="{FF2B5EF4-FFF2-40B4-BE49-F238E27FC236}">
              <a16:creationId xmlns:a16="http://schemas.microsoft.com/office/drawing/2014/main" id="{637F4121-F0AB-83F2-276A-CE12DC737110}"/>
            </a:ext>
          </a:extLst>
        </cdr:cNvPr>
        <cdr:cNvSpPr txBox="1"/>
      </cdr:nvSpPr>
      <cdr:spPr>
        <a:xfrm xmlns:a="http://schemas.openxmlformats.org/drawingml/2006/main">
          <a:off x="107044" y="2616200"/>
          <a:ext cx="5645945" cy="188586"/>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800">
              <a:latin typeface="Segoe UI" panose="020B0502040204020203" pitchFamily="34" charset="0"/>
              <a:cs typeface="Segoe UI" panose="020B0502040204020203" pitchFamily="34" charset="0"/>
            </a:rPr>
            <a:t>*MA population prevelance based on 2011-2021</a:t>
          </a:r>
          <a:r>
            <a:rPr lang="en-US" sz="800" baseline="0">
              <a:latin typeface="Segoe UI" panose="020B0502040204020203" pitchFamily="34" charset="0"/>
              <a:cs typeface="Segoe UI" panose="020B0502040204020203" pitchFamily="34" charset="0"/>
            </a:rPr>
            <a:t>; HS=High School.</a:t>
          </a:r>
          <a:endParaRPr lang="en-US" sz="800">
            <a:latin typeface="Segoe UI" panose="020B0502040204020203" pitchFamily="34" charset="0"/>
            <a:cs typeface="Segoe UI" panose="020B0502040204020203" pitchFamily="34" charset="0"/>
          </a:endParaRPr>
        </a:p>
      </cdr:txBody>
    </cdr:sp>
  </cdr:relSizeAnchor>
</c:userShapes>
</file>

<file path=word/drawings/drawing15.xml><?xml version="1.0" encoding="utf-8"?>
<c:userShapes xmlns:c="http://schemas.openxmlformats.org/drawingml/2006/chart">
  <cdr:relSizeAnchor xmlns:cdr="http://schemas.openxmlformats.org/drawingml/2006/chartDrawing">
    <cdr:from>
      <cdr:x>0.01651</cdr:x>
      <cdr:y>0.0137</cdr:y>
    </cdr:from>
    <cdr:to>
      <cdr:x>0.99104</cdr:x>
      <cdr:y>0.2261</cdr:y>
    </cdr:to>
    <cdr:sp macro="" textlink="">
      <cdr:nvSpPr>
        <cdr:cNvPr id="2" name="TextBox 1">
          <a:extLst xmlns:a="http://schemas.openxmlformats.org/drawingml/2006/main">
            <a:ext uri="{FF2B5EF4-FFF2-40B4-BE49-F238E27FC236}">
              <a16:creationId xmlns:a16="http://schemas.microsoft.com/office/drawing/2014/main" id="{18FD2FEB-D5AB-41A7-B2AB-0B72E14211B7}"/>
            </a:ext>
          </a:extLst>
        </cdr:cNvPr>
        <cdr:cNvSpPr txBox="1"/>
      </cdr:nvSpPr>
      <cdr:spPr>
        <a:xfrm xmlns:a="http://schemas.openxmlformats.org/drawingml/2006/main">
          <a:off x="89642" y="44814"/>
          <a:ext cx="5291296" cy="694774"/>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marL="0" marR="0" lvl="0" indent="0" algn="ctr" defTabSz="914400" eaLnBrk="1" fontAlgn="auto" latinLnBrk="0" hangingPunct="1">
            <a:lnSpc>
              <a:spcPct val="100000"/>
            </a:lnSpc>
            <a:spcBef>
              <a:spcPts val="0"/>
            </a:spcBef>
            <a:spcAft>
              <a:spcPts val="0"/>
            </a:spcAft>
            <a:buClrTx/>
            <a:buSzTx/>
            <a:buFontTx/>
            <a:buNone/>
            <a:tabLst/>
            <a:defRPr/>
          </a:pPr>
          <a:r>
            <a:rPr kumimoji="0" lang="en-US" sz="1200" b="1" i="0" u="none" strike="noStrike" kern="0" cap="none" spc="0" normalizeH="0" baseline="0" noProof="0">
              <a:ln>
                <a:noFill/>
              </a:ln>
              <a:solidFill>
                <a:sysClr val="windowText" lastClr="000000"/>
              </a:solidFill>
              <a:effectLst/>
              <a:uLnTx/>
              <a:uFillTx/>
              <a:latin typeface="Segoe UI" panose="020B0502040204020203" pitchFamily="34" charset="0"/>
              <a:ea typeface="+mn-ea"/>
              <a:cs typeface="Segoe UI" panose="020B0502040204020203" pitchFamily="34" charset="0"/>
            </a:rPr>
            <a:t>Figure 12. Non-fatal overdose by disability status. Massachusetts residents, 2013-2021. (n=72,018)</a:t>
          </a:r>
        </a:p>
        <a:p xmlns:a="http://schemas.openxmlformats.org/drawingml/2006/main">
          <a:endParaRPr lang="en-US" sz="1100"/>
        </a:p>
      </cdr:txBody>
    </cdr:sp>
  </cdr:relSizeAnchor>
  <cdr:relSizeAnchor xmlns:cdr="http://schemas.openxmlformats.org/drawingml/2006/chartDrawing">
    <cdr:from>
      <cdr:x>0.03953</cdr:x>
      <cdr:y>0.93013</cdr:y>
    </cdr:from>
    <cdr:to>
      <cdr:x>0.76175</cdr:x>
      <cdr:y>1</cdr:y>
    </cdr:to>
    <cdr:sp macro="" textlink="">
      <cdr:nvSpPr>
        <cdr:cNvPr id="3" name="Text Box 2"/>
        <cdr:cNvSpPr txBox="1"/>
      </cdr:nvSpPr>
      <cdr:spPr>
        <a:xfrm xmlns:a="http://schemas.openxmlformats.org/drawingml/2006/main">
          <a:off x="234950" y="2806700"/>
          <a:ext cx="4292600" cy="21082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900"/>
            <a:t>*Note MA resident population based on 2011-2021 prevelance.</a:t>
          </a:r>
          <a:endParaRPr lang="en-US" sz="1050"/>
        </a:p>
      </cdr:txBody>
    </cdr:sp>
  </cdr:relSizeAnchor>
</c:userShapes>
</file>

<file path=word/drawings/drawing2.xml><?xml version="1.0" encoding="utf-8"?>
<c:userShapes xmlns:c="http://schemas.openxmlformats.org/drawingml/2006/chart">
  <cdr:relSizeAnchor xmlns:cdr="http://schemas.openxmlformats.org/drawingml/2006/chartDrawing">
    <cdr:from>
      <cdr:x>0.01042</cdr:x>
      <cdr:y>0.02735</cdr:y>
    </cdr:from>
    <cdr:to>
      <cdr:x>1</cdr:x>
      <cdr:y>0.29062</cdr:y>
    </cdr:to>
    <cdr:sp macro="" textlink="">
      <cdr:nvSpPr>
        <cdr:cNvPr id="2" name="TextBox 1">
          <a:extLst xmlns:a="http://schemas.openxmlformats.org/drawingml/2006/main">
            <a:ext uri="{FF2B5EF4-FFF2-40B4-BE49-F238E27FC236}">
              <a16:creationId xmlns:a16="http://schemas.microsoft.com/office/drawing/2014/main" id="{FD4B62B3-6650-475F-86F9-4B6B9D4CF1F1}"/>
            </a:ext>
          </a:extLst>
        </cdr:cNvPr>
        <cdr:cNvSpPr txBox="1"/>
      </cdr:nvSpPr>
      <cdr:spPr>
        <a:xfrm xmlns:a="http://schemas.openxmlformats.org/drawingml/2006/main">
          <a:off x="61218" y="78882"/>
          <a:ext cx="5813802" cy="759318"/>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algn="ctr"/>
          <a:r>
            <a:rPr lang="en-US" sz="1200" b="1">
              <a:effectLst/>
              <a:latin typeface="Segoe UI" panose="020B0502040204020203" pitchFamily="34" charset="0"/>
              <a:ea typeface="+mn-ea"/>
              <a:cs typeface="Segoe UI" panose="020B0502040204020203" pitchFamily="34" charset="0"/>
            </a:rPr>
            <a:t>Figure 3. Number</a:t>
          </a:r>
          <a:r>
            <a:rPr lang="en-US" sz="1200" b="1" baseline="0">
              <a:effectLst/>
              <a:latin typeface="Segoe UI" panose="020B0502040204020203" pitchFamily="34" charset="0"/>
              <a:ea typeface="+mn-ea"/>
              <a:cs typeface="Segoe UI" panose="020B0502040204020203" pitchFamily="34" charset="0"/>
            </a:rPr>
            <a:t> </a:t>
          </a:r>
          <a:r>
            <a:rPr lang="en-US" sz="1200" b="1">
              <a:effectLst/>
              <a:latin typeface="Segoe UI" panose="020B0502040204020203" pitchFamily="34" charset="0"/>
              <a:ea typeface="+mn-ea"/>
              <a:cs typeface="Segoe UI" panose="020B0502040204020203" pitchFamily="34" charset="0"/>
            </a:rPr>
            <a:t>of non-fatal</a:t>
          </a:r>
          <a:r>
            <a:rPr lang="en-US" sz="1200" b="1" baseline="0">
              <a:effectLst/>
              <a:latin typeface="Segoe UI" panose="020B0502040204020203" pitchFamily="34" charset="0"/>
              <a:ea typeface="+mn-ea"/>
              <a:cs typeface="Segoe UI" panose="020B0502040204020203" pitchFamily="34" charset="0"/>
            </a:rPr>
            <a:t> overdoses per fatal opioid overdose, </a:t>
          </a:r>
          <a:r>
            <a:rPr lang="en-US" sz="1200" b="1">
              <a:effectLst/>
              <a:latin typeface="Segoe UI" panose="020B0502040204020203" pitchFamily="34" charset="0"/>
              <a:ea typeface="+mn-ea"/>
              <a:cs typeface="Segoe UI" panose="020B0502040204020203" pitchFamily="34" charset="0"/>
            </a:rPr>
            <a:t>Massachusetts residents, 2013-2021. </a:t>
          </a:r>
          <a:endParaRPr lang="en-US" sz="1200">
            <a:latin typeface="Segoe UI" panose="020B0502040204020203" pitchFamily="34" charset="0"/>
            <a:cs typeface="Segoe UI" panose="020B0502040204020203" pitchFamily="34" charset="0"/>
          </a:endParaRPr>
        </a:p>
      </cdr:txBody>
    </cdr:sp>
  </cdr:relSizeAnchor>
</c:userShapes>
</file>

<file path=word/drawings/drawing3.xml><?xml version="1.0" encoding="utf-8"?>
<c:userShapes xmlns:c="http://schemas.openxmlformats.org/drawingml/2006/chart">
  <cdr:relSizeAnchor xmlns:cdr="http://schemas.openxmlformats.org/drawingml/2006/chartDrawing">
    <cdr:from>
      <cdr:x>0.04933</cdr:x>
      <cdr:y>0.01157</cdr:y>
    </cdr:from>
    <cdr:to>
      <cdr:x>0.95331</cdr:x>
      <cdr:y>0.25242</cdr:y>
    </cdr:to>
    <cdr:sp macro="" textlink="">
      <cdr:nvSpPr>
        <cdr:cNvPr id="2" name="TextBox 1">
          <a:extLst xmlns:a="http://schemas.openxmlformats.org/drawingml/2006/main">
            <a:ext uri="{FF2B5EF4-FFF2-40B4-BE49-F238E27FC236}">
              <a16:creationId xmlns:a16="http://schemas.microsoft.com/office/drawing/2014/main" id="{F4092BE7-A016-492D-BAA7-3F876977D826}"/>
            </a:ext>
          </a:extLst>
        </cdr:cNvPr>
        <cdr:cNvSpPr txBox="1"/>
      </cdr:nvSpPr>
      <cdr:spPr>
        <a:xfrm xmlns:a="http://schemas.openxmlformats.org/drawingml/2006/main">
          <a:off x="298022" y="34986"/>
          <a:ext cx="5461296" cy="728286"/>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marL="0" marR="0" lvl="0" indent="0" algn="ctr" defTabSz="914400" rtl="0" eaLnBrk="1" fontAlgn="auto" latinLnBrk="0" hangingPunct="1">
            <a:lnSpc>
              <a:spcPct val="100000"/>
            </a:lnSpc>
            <a:spcBef>
              <a:spcPts val="0"/>
            </a:spcBef>
            <a:spcAft>
              <a:spcPts val="0"/>
            </a:spcAft>
            <a:buClrTx/>
            <a:buSzTx/>
            <a:buFontTx/>
            <a:buNone/>
            <a:tabLst/>
            <a:defRPr/>
          </a:pPr>
          <a:r>
            <a:rPr lang="en-US" sz="1200" b="1" i="0" baseline="0">
              <a:effectLst/>
              <a:latin typeface="Segoe UI" panose="020B0502040204020203" pitchFamily="34" charset="0"/>
              <a:ea typeface="+mn-ea"/>
              <a:cs typeface="Segoe UI" panose="020B0502040204020203" pitchFamily="34" charset="0"/>
            </a:rPr>
            <a:t>Figure 4. Count of Non-fatal overdoses, Massachusetts residents </a:t>
          </a:r>
        </a:p>
        <a:p xmlns:a="http://schemas.openxmlformats.org/drawingml/2006/main">
          <a:pPr marL="0" marR="0" lvl="0" indent="0" algn="ctr" defTabSz="914400" rtl="0" eaLnBrk="1" fontAlgn="auto" latinLnBrk="0" hangingPunct="1">
            <a:lnSpc>
              <a:spcPct val="100000"/>
            </a:lnSpc>
            <a:spcBef>
              <a:spcPts val="0"/>
            </a:spcBef>
            <a:spcAft>
              <a:spcPts val="0"/>
            </a:spcAft>
            <a:buClrTx/>
            <a:buSzTx/>
            <a:buFontTx/>
            <a:buNone/>
            <a:tabLst/>
            <a:defRPr/>
          </a:pPr>
          <a:r>
            <a:rPr lang="en-US" sz="1200" b="1" i="0" baseline="0">
              <a:effectLst/>
              <a:latin typeface="Segoe UI" panose="020B0502040204020203" pitchFamily="34" charset="0"/>
              <a:ea typeface="+mn-ea"/>
              <a:cs typeface="Segoe UI" panose="020B0502040204020203" pitchFamily="34" charset="0"/>
            </a:rPr>
            <a:t>2013-2021. (n=133,295)</a:t>
          </a:r>
          <a:endParaRPr lang="en-US" sz="1200">
            <a:effectLst/>
            <a:latin typeface="Segoe UI" panose="020B0502040204020203" pitchFamily="34" charset="0"/>
            <a:cs typeface="Segoe UI" panose="020B0502040204020203" pitchFamily="34" charset="0"/>
          </a:endParaRPr>
        </a:p>
        <a:p xmlns:a="http://schemas.openxmlformats.org/drawingml/2006/main">
          <a:endParaRPr lang="en-US" sz="1100"/>
        </a:p>
      </cdr:txBody>
    </cdr:sp>
  </cdr:relSizeAnchor>
</c:userShapes>
</file>

<file path=word/drawings/drawing4.xml><?xml version="1.0" encoding="utf-8"?>
<c:userShapes xmlns:c="http://schemas.openxmlformats.org/drawingml/2006/chart">
  <cdr:relSizeAnchor xmlns:cdr="http://schemas.openxmlformats.org/drawingml/2006/chartDrawing">
    <cdr:from>
      <cdr:x>0.80128</cdr:x>
      <cdr:y>0.28472</cdr:y>
    </cdr:from>
    <cdr:to>
      <cdr:x>0.98157</cdr:x>
      <cdr:y>0.45662</cdr:y>
    </cdr:to>
    <cdr:sp macro="" textlink="">
      <cdr:nvSpPr>
        <cdr:cNvPr id="2" name="TextBox 1">
          <a:extLst xmlns:a="http://schemas.openxmlformats.org/drawingml/2006/main">
            <a:ext uri="{FF2B5EF4-FFF2-40B4-BE49-F238E27FC236}">
              <a16:creationId xmlns:a16="http://schemas.microsoft.com/office/drawing/2014/main" id="{D5D932B8-F9B2-443D-8A64-CA75CBDFEEC5}"/>
            </a:ext>
          </a:extLst>
        </cdr:cNvPr>
        <cdr:cNvSpPr txBox="1"/>
      </cdr:nvSpPr>
      <cdr:spPr>
        <a:xfrm xmlns:a="http://schemas.openxmlformats.org/drawingml/2006/main">
          <a:off x="4762501" y="781050"/>
          <a:ext cx="1071560" cy="471550"/>
        </a:xfrm>
        <a:prstGeom xmlns:a="http://schemas.openxmlformats.org/drawingml/2006/main" prst="rect">
          <a:avLst/>
        </a:prstGeom>
        <a:noFill xmlns:a="http://schemas.openxmlformats.org/drawingml/2006/main"/>
      </cdr:spPr>
      <cdr:txBody>
        <a:bodyPr xmlns:a="http://schemas.openxmlformats.org/drawingml/2006/main" vertOverflow="clip" wrap="square" rtlCol="0"/>
        <a:lstStyle xmlns:a="http://schemas.openxmlformats.org/drawingml/2006/main"/>
        <a:p xmlns:a="http://schemas.openxmlformats.org/drawingml/2006/main">
          <a:r>
            <a:rPr lang="en-US" sz="1050" b="1">
              <a:solidFill>
                <a:srgbClr val="5A8B39"/>
              </a:solidFill>
              <a:latin typeface="Segoe UI" panose="020B0502040204020203" pitchFamily="34" charset="0"/>
              <a:cs typeface="Segoe UI" panose="020B0502040204020203" pitchFamily="34" charset="0"/>
            </a:rPr>
            <a:t>Male</a:t>
          </a:r>
        </a:p>
      </cdr:txBody>
    </cdr:sp>
  </cdr:relSizeAnchor>
  <cdr:relSizeAnchor xmlns:cdr="http://schemas.openxmlformats.org/drawingml/2006/chartDrawing">
    <cdr:from>
      <cdr:x>0.76603</cdr:x>
      <cdr:y>0.52413</cdr:y>
    </cdr:from>
    <cdr:to>
      <cdr:x>0.93486</cdr:x>
      <cdr:y>0.63233</cdr:y>
    </cdr:to>
    <cdr:sp macro="" textlink="">
      <cdr:nvSpPr>
        <cdr:cNvPr id="3" name="TextBox 2">
          <a:extLst xmlns:a="http://schemas.openxmlformats.org/drawingml/2006/main">
            <a:ext uri="{FF2B5EF4-FFF2-40B4-BE49-F238E27FC236}">
              <a16:creationId xmlns:a16="http://schemas.microsoft.com/office/drawing/2014/main" id="{AB98FB0E-A80C-49C7-BBC5-D22B445CD311}"/>
            </a:ext>
          </a:extLst>
        </cdr:cNvPr>
        <cdr:cNvSpPr txBox="1"/>
      </cdr:nvSpPr>
      <cdr:spPr>
        <a:xfrm xmlns:a="http://schemas.openxmlformats.org/drawingml/2006/main">
          <a:off x="4552950" y="1437782"/>
          <a:ext cx="1003467" cy="296814"/>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100" b="1">
              <a:solidFill>
                <a:srgbClr val="7030A0"/>
              </a:solidFill>
            </a:rPr>
            <a:t>    </a:t>
          </a:r>
          <a:r>
            <a:rPr lang="en-US" sz="1050" b="1">
              <a:solidFill>
                <a:srgbClr val="7C8FD6"/>
              </a:solidFill>
              <a:latin typeface="Segoe UI" panose="020B0502040204020203" pitchFamily="34" charset="0"/>
              <a:cs typeface="Segoe UI" panose="020B0502040204020203" pitchFamily="34" charset="0"/>
            </a:rPr>
            <a:t>Female</a:t>
          </a:r>
          <a:endParaRPr lang="en-US" sz="1100" b="1">
            <a:solidFill>
              <a:srgbClr val="7C8FD6"/>
            </a:solidFill>
            <a:latin typeface="Segoe UI" panose="020B0502040204020203" pitchFamily="34" charset="0"/>
            <a:cs typeface="Segoe UI" panose="020B0502040204020203" pitchFamily="34" charset="0"/>
          </a:endParaRPr>
        </a:p>
      </cdr:txBody>
    </cdr:sp>
  </cdr:relSizeAnchor>
  <cdr:relSizeAnchor xmlns:cdr="http://schemas.openxmlformats.org/drawingml/2006/chartDrawing">
    <cdr:from>
      <cdr:x>0.05195</cdr:x>
      <cdr:y>0.91677</cdr:y>
    </cdr:from>
    <cdr:to>
      <cdr:x>0.78187</cdr:x>
      <cdr:y>0.98986</cdr:y>
    </cdr:to>
    <cdr:sp macro="" textlink="">
      <cdr:nvSpPr>
        <cdr:cNvPr id="4" name="TextBox 3">
          <a:extLst xmlns:a="http://schemas.openxmlformats.org/drawingml/2006/main">
            <a:ext uri="{FF2B5EF4-FFF2-40B4-BE49-F238E27FC236}">
              <a16:creationId xmlns:a16="http://schemas.microsoft.com/office/drawing/2014/main" id="{C62F21FF-1254-4802-8799-4C2810F3F9E4}"/>
            </a:ext>
          </a:extLst>
        </cdr:cNvPr>
        <cdr:cNvSpPr txBox="1"/>
      </cdr:nvSpPr>
      <cdr:spPr>
        <a:xfrm xmlns:a="http://schemas.openxmlformats.org/drawingml/2006/main">
          <a:off x="285293" y="2465983"/>
          <a:ext cx="4008827" cy="196602"/>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900"/>
            <a:t>*Note. 2,945 individuals with</a:t>
          </a:r>
          <a:r>
            <a:rPr lang="en-US" sz="900" baseline="0"/>
            <a:t> missing</a:t>
          </a:r>
          <a:r>
            <a:rPr lang="en-US" sz="900"/>
            <a:t> sex are excluded.</a:t>
          </a:r>
          <a:endParaRPr lang="en-US" sz="1050"/>
        </a:p>
      </cdr:txBody>
    </cdr:sp>
  </cdr:relSizeAnchor>
  <cdr:relSizeAnchor xmlns:cdr="http://schemas.openxmlformats.org/drawingml/2006/chartDrawing">
    <cdr:from>
      <cdr:x>0.04135</cdr:x>
      <cdr:y>0.02811</cdr:y>
    </cdr:from>
    <cdr:to>
      <cdr:x>0.94765</cdr:x>
      <cdr:y>0.26425</cdr:y>
    </cdr:to>
    <cdr:sp macro="" textlink="">
      <cdr:nvSpPr>
        <cdr:cNvPr id="5" name="TextBox 4">
          <a:extLst xmlns:a="http://schemas.openxmlformats.org/drawingml/2006/main">
            <a:ext uri="{FF2B5EF4-FFF2-40B4-BE49-F238E27FC236}">
              <a16:creationId xmlns:a16="http://schemas.microsoft.com/office/drawing/2014/main" id="{E765DEEE-283E-419D-AFC2-02076BEF8C83}"/>
            </a:ext>
          </a:extLst>
        </cdr:cNvPr>
        <cdr:cNvSpPr txBox="1"/>
      </cdr:nvSpPr>
      <cdr:spPr>
        <a:xfrm xmlns:a="http://schemas.openxmlformats.org/drawingml/2006/main">
          <a:off x="225622" y="73152"/>
          <a:ext cx="4944700" cy="61447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marL="0" marR="0" lvl="0" indent="0" algn="ctr" defTabSz="914400" rtl="0" eaLnBrk="1" fontAlgn="auto" latinLnBrk="0" hangingPunct="1">
            <a:lnSpc>
              <a:spcPct val="100000"/>
            </a:lnSpc>
            <a:spcBef>
              <a:spcPts val="0"/>
            </a:spcBef>
            <a:spcAft>
              <a:spcPts val="0"/>
            </a:spcAft>
            <a:buClrTx/>
            <a:buSzTx/>
            <a:buFontTx/>
            <a:buNone/>
            <a:tabLst/>
            <a:defRPr/>
          </a:pPr>
          <a:r>
            <a:rPr lang="en-US" sz="1200" b="1" i="0" baseline="0">
              <a:effectLst/>
              <a:latin typeface="Segoe UI" panose="020B0502040204020203" pitchFamily="34" charset="0"/>
              <a:ea typeface="+mn-ea"/>
              <a:cs typeface="Segoe UI" panose="020B0502040204020203" pitchFamily="34" charset="0"/>
            </a:rPr>
            <a:t>Figure 5. Age-adjusted non-fatal opioid overdose rate by binary sex*. Massachusetts Residents, 2013-2021 (n=133,295)</a:t>
          </a:r>
          <a:endParaRPr lang="en-US" sz="1200">
            <a:effectLst/>
            <a:latin typeface="Segoe UI" panose="020B0502040204020203" pitchFamily="34" charset="0"/>
            <a:cs typeface="Segoe UI" panose="020B0502040204020203" pitchFamily="34" charset="0"/>
          </a:endParaRPr>
        </a:p>
        <a:p xmlns:a="http://schemas.openxmlformats.org/drawingml/2006/main">
          <a:endParaRPr lang="en-US" sz="1100"/>
        </a:p>
      </cdr:txBody>
    </cdr:sp>
  </cdr:relSizeAnchor>
</c:userShapes>
</file>

<file path=word/drawings/drawing5.xml><?xml version="1.0" encoding="utf-8"?>
<c:userShapes xmlns:c="http://schemas.openxmlformats.org/drawingml/2006/chart">
  <cdr:relSizeAnchor xmlns:cdr="http://schemas.openxmlformats.org/drawingml/2006/chartDrawing">
    <cdr:from>
      <cdr:x>0</cdr:x>
      <cdr:y>0.01736</cdr:y>
    </cdr:from>
    <cdr:to>
      <cdr:x>1</cdr:x>
      <cdr:y>0.1721</cdr:y>
    </cdr:to>
    <cdr:sp macro="" textlink="">
      <cdr:nvSpPr>
        <cdr:cNvPr id="3" name="TextBox 2">
          <a:extLst xmlns:a="http://schemas.openxmlformats.org/drawingml/2006/main">
            <a:ext uri="{FF2B5EF4-FFF2-40B4-BE49-F238E27FC236}">
              <a16:creationId xmlns:a16="http://schemas.microsoft.com/office/drawing/2014/main" id="{8DF5C8A2-9468-4573-9D51-7066435C2AC9}"/>
            </a:ext>
          </a:extLst>
        </cdr:cNvPr>
        <cdr:cNvSpPr txBox="1"/>
      </cdr:nvSpPr>
      <cdr:spPr>
        <a:xfrm xmlns:a="http://schemas.openxmlformats.org/drawingml/2006/main">
          <a:off x="0" y="44160"/>
          <a:ext cx="2743200" cy="393629"/>
        </a:xfrm>
        <a:prstGeom xmlns:a="http://schemas.openxmlformats.org/drawingml/2006/main" prst="rect">
          <a:avLst/>
        </a:prstGeom>
      </cdr:spPr>
      <cdr:txBody>
        <a:bodyPr xmlns:a="http://schemas.openxmlformats.org/drawingml/2006/main" vertOverflow="clip" wrap="square" tIns="9144" bIns="9144" rtlCol="0"/>
        <a:lstStyle xmlns:a="http://schemas.openxmlformats.org/drawingml/2006/main"/>
        <a:p xmlns:a="http://schemas.openxmlformats.org/drawingml/2006/main">
          <a:pPr marL="0" marR="0" lvl="0" indent="0" algn="ctr" defTabSz="914400" rtl="0" eaLnBrk="1" fontAlgn="auto" latinLnBrk="0" hangingPunct="1">
            <a:lnSpc>
              <a:spcPct val="100000"/>
            </a:lnSpc>
            <a:spcBef>
              <a:spcPts val="0"/>
            </a:spcBef>
            <a:spcAft>
              <a:spcPts val="0"/>
            </a:spcAft>
            <a:buClrTx/>
            <a:buSzTx/>
            <a:buFontTx/>
            <a:buNone/>
            <a:tabLst/>
            <a:defRPr/>
          </a:pPr>
          <a:r>
            <a:rPr lang="en-US" sz="850" b="1" i="0" baseline="0">
              <a:effectLst/>
              <a:latin typeface="Segoe UI" panose="020B0502040204020203" pitchFamily="34" charset="0"/>
              <a:ea typeface="+mn-ea"/>
              <a:cs typeface="Segoe UI" panose="020B0502040204020203" pitchFamily="34" charset="0"/>
            </a:rPr>
            <a:t>Figure 5B. Fatal opioid overdose by sex; MA residents, 2013-2021. (n=16,095)</a:t>
          </a:r>
          <a:endParaRPr lang="en-US" sz="850">
            <a:effectLst/>
            <a:latin typeface="Segoe UI" panose="020B0502040204020203" pitchFamily="34" charset="0"/>
            <a:cs typeface="Segoe UI" panose="020B0502040204020203" pitchFamily="34" charset="0"/>
          </a:endParaRPr>
        </a:p>
      </cdr:txBody>
    </cdr:sp>
  </cdr:relSizeAnchor>
</c:userShapes>
</file>

<file path=word/drawings/drawing6.xml><?xml version="1.0" encoding="utf-8"?>
<c:userShapes xmlns:c="http://schemas.openxmlformats.org/drawingml/2006/chart">
  <cdr:relSizeAnchor xmlns:cdr="http://schemas.openxmlformats.org/drawingml/2006/chartDrawing">
    <cdr:from>
      <cdr:x>0</cdr:x>
      <cdr:y>0.0184</cdr:y>
    </cdr:from>
    <cdr:to>
      <cdr:x>1</cdr:x>
      <cdr:y>0.21242</cdr:y>
    </cdr:to>
    <cdr:sp macro="" textlink="">
      <cdr:nvSpPr>
        <cdr:cNvPr id="2" name="TextBox 1">
          <a:extLst xmlns:a="http://schemas.openxmlformats.org/drawingml/2006/main">
            <a:ext uri="{FF2B5EF4-FFF2-40B4-BE49-F238E27FC236}">
              <a16:creationId xmlns:a16="http://schemas.microsoft.com/office/drawing/2014/main" id="{4AA8F98F-2272-4939-9019-0106B3CB87C3}"/>
            </a:ext>
          </a:extLst>
        </cdr:cNvPr>
        <cdr:cNvSpPr txBox="1"/>
      </cdr:nvSpPr>
      <cdr:spPr>
        <a:xfrm xmlns:a="http://schemas.openxmlformats.org/drawingml/2006/main">
          <a:off x="0" y="46572"/>
          <a:ext cx="2834640" cy="491086"/>
        </a:xfrm>
        <a:prstGeom xmlns:a="http://schemas.openxmlformats.org/drawingml/2006/main" prst="rect">
          <a:avLst/>
        </a:prstGeom>
      </cdr:spPr>
      <cdr:txBody>
        <a:bodyPr xmlns:a="http://schemas.openxmlformats.org/drawingml/2006/main" vertOverflow="clip" wrap="square" lIns="0" tIns="9144" rIns="0" rtlCol="0"/>
        <a:lstStyle xmlns:a="http://schemas.openxmlformats.org/drawingml/2006/main"/>
        <a:p xmlns:a="http://schemas.openxmlformats.org/drawingml/2006/main">
          <a:pPr marL="0" marR="0" lvl="0" indent="0" algn="ctr" defTabSz="914400" rtl="0" eaLnBrk="1" fontAlgn="auto" latinLnBrk="0" hangingPunct="1">
            <a:lnSpc>
              <a:spcPct val="100000"/>
            </a:lnSpc>
            <a:spcBef>
              <a:spcPts val="0"/>
            </a:spcBef>
            <a:spcAft>
              <a:spcPts val="0"/>
            </a:spcAft>
            <a:buClrTx/>
            <a:buSzTx/>
            <a:buFontTx/>
            <a:buNone/>
            <a:tabLst/>
            <a:defRPr/>
          </a:pPr>
          <a:r>
            <a:rPr lang="en-US" sz="850" b="1" i="0" baseline="0">
              <a:effectLst/>
              <a:latin typeface="Segoe UI" panose="020B0502040204020203" pitchFamily="34" charset="0"/>
              <a:ea typeface="+mn-ea"/>
              <a:cs typeface="Segoe UI" panose="020B0502040204020203" pitchFamily="34" charset="0"/>
            </a:rPr>
            <a:t>Figure 5A. Non-fatal opioid-related overdose by sex. MA residents, 2013-2021. (n=133,295)</a:t>
          </a:r>
          <a:endParaRPr lang="en-US" sz="850">
            <a:effectLst/>
            <a:latin typeface="Segoe UI" panose="020B0502040204020203" pitchFamily="34" charset="0"/>
            <a:cs typeface="Segoe UI" panose="020B0502040204020203" pitchFamily="34" charset="0"/>
          </a:endParaRPr>
        </a:p>
      </cdr:txBody>
    </cdr:sp>
  </cdr:relSizeAnchor>
</c:userShapes>
</file>

<file path=word/drawings/drawing7.xml><?xml version="1.0" encoding="utf-8"?>
<c:userShapes xmlns:c="http://schemas.openxmlformats.org/drawingml/2006/chart">
  <cdr:relSizeAnchor xmlns:cdr="http://schemas.openxmlformats.org/drawingml/2006/chartDrawing">
    <cdr:from>
      <cdr:x>0.0082</cdr:x>
      <cdr:y>0.01072</cdr:y>
    </cdr:from>
    <cdr:to>
      <cdr:x>0.96206</cdr:x>
      <cdr:y>0.15936</cdr:y>
    </cdr:to>
    <cdr:sp macro="" textlink="">
      <cdr:nvSpPr>
        <cdr:cNvPr id="2" name="TextBox 1">
          <a:extLst xmlns:a="http://schemas.openxmlformats.org/drawingml/2006/main">
            <a:ext uri="{FF2B5EF4-FFF2-40B4-BE49-F238E27FC236}">
              <a16:creationId xmlns:a16="http://schemas.microsoft.com/office/drawing/2014/main" id="{5FDAD7BE-2949-4DF8-A06F-BCD01D6AB0FD}"/>
            </a:ext>
          </a:extLst>
        </cdr:cNvPr>
        <cdr:cNvSpPr txBox="1"/>
      </cdr:nvSpPr>
      <cdr:spPr>
        <a:xfrm xmlns:a="http://schemas.openxmlformats.org/drawingml/2006/main">
          <a:off x="48818" y="39292"/>
          <a:ext cx="5675392" cy="544596"/>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algn="ctr"/>
          <a:r>
            <a:rPr lang="en-US" sz="1200" b="1" baseline="0">
              <a:solidFill>
                <a:sysClr val="windowText" lastClr="000000"/>
              </a:solidFill>
              <a:latin typeface="Segoe UI" panose="020B0502040204020203" pitchFamily="34" charset="0"/>
              <a:cs typeface="Segoe UI" panose="020B0502040204020203" pitchFamily="34" charset="0"/>
            </a:rPr>
            <a:t>Figure 6. Age-adjusted rate of non-fatal overdose per 100,000 by race* and Hispanic ethnicity. Massachusetts residents 2013-2021 (n=133,295).</a:t>
          </a:r>
          <a:endParaRPr lang="en-US" sz="1200" b="1">
            <a:solidFill>
              <a:sysClr val="windowText" lastClr="000000"/>
            </a:solidFill>
            <a:latin typeface="Segoe UI" panose="020B0502040204020203" pitchFamily="34" charset="0"/>
            <a:cs typeface="Segoe UI" panose="020B0502040204020203" pitchFamily="34" charset="0"/>
          </a:endParaRPr>
        </a:p>
      </cdr:txBody>
    </cdr:sp>
  </cdr:relSizeAnchor>
  <cdr:relSizeAnchor xmlns:cdr="http://schemas.openxmlformats.org/drawingml/2006/chartDrawing">
    <cdr:from>
      <cdr:x>0.03249</cdr:x>
      <cdr:y>0.88026</cdr:y>
    </cdr:from>
    <cdr:to>
      <cdr:x>0.9325</cdr:x>
      <cdr:y>1</cdr:y>
    </cdr:to>
    <cdr:sp macro="" textlink="">
      <cdr:nvSpPr>
        <cdr:cNvPr id="5" name="TextBox 4">
          <a:extLst xmlns:a="http://schemas.openxmlformats.org/drawingml/2006/main">
            <a:ext uri="{FF2B5EF4-FFF2-40B4-BE49-F238E27FC236}">
              <a16:creationId xmlns:a16="http://schemas.microsoft.com/office/drawing/2014/main" id="{02512FFF-2595-4422-BBE1-BCE444DB4C65}"/>
            </a:ext>
          </a:extLst>
        </cdr:cNvPr>
        <cdr:cNvSpPr txBox="1"/>
      </cdr:nvSpPr>
      <cdr:spPr>
        <a:xfrm xmlns:a="http://schemas.openxmlformats.org/drawingml/2006/main">
          <a:off x="192571" y="2978151"/>
          <a:ext cx="5334440" cy="405129"/>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900"/>
            <a:t>*Rates for American Indian and Alaska Natives are not calculated as they are combined with 'Other races' in the PHD. 18,340 records with missing race are excluded.</a:t>
          </a:r>
        </a:p>
      </cdr:txBody>
    </cdr:sp>
  </cdr:relSizeAnchor>
</c:userShapes>
</file>

<file path=word/drawings/drawing8.xml><?xml version="1.0" encoding="utf-8"?>
<c:userShapes xmlns:c="http://schemas.openxmlformats.org/drawingml/2006/chart">
  <cdr:relSizeAnchor xmlns:cdr="http://schemas.openxmlformats.org/drawingml/2006/chartDrawing">
    <cdr:from>
      <cdr:x>0.04404</cdr:x>
      <cdr:y>0.01251</cdr:y>
    </cdr:from>
    <cdr:to>
      <cdr:x>1</cdr:x>
      <cdr:y>0.18557</cdr:y>
    </cdr:to>
    <cdr:sp macro="" textlink="">
      <cdr:nvSpPr>
        <cdr:cNvPr id="2" name="TextBox 1" descr="Figure 7A. Age-adjusted rate of non-fatal opioid overdose by race* and Hispanic ethnicity. Massachusetts residents, 2013-2021. A line chart showing the rates from 2013-2021 ending with Black nh 202.2 per 100,000, Hispanic 197.2 and white nH 183.1, Asian Pacific Islander NH 14.2.&#10;">
          <a:extLst xmlns:a="http://schemas.openxmlformats.org/drawingml/2006/main">
            <a:ext uri="{FF2B5EF4-FFF2-40B4-BE49-F238E27FC236}">
              <a16:creationId xmlns:a16="http://schemas.microsoft.com/office/drawing/2014/main" id="{6B83D947-5891-4ACF-9A18-055E7F08F3EE}"/>
            </a:ext>
          </a:extLst>
        </cdr:cNvPr>
        <cdr:cNvSpPr txBox="1"/>
      </cdr:nvSpPr>
      <cdr:spPr>
        <a:xfrm xmlns:a="http://schemas.openxmlformats.org/drawingml/2006/main">
          <a:off x="310362" y="40987"/>
          <a:ext cx="6736910" cy="566991"/>
        </a:xfrm>
        <a:prstGeom xmlns:a="http://schemas.openxmlformats.org/drawingml/2006/main" prst="rect">
          <a:avLst/>
        </a:prstGeom>
      </cdr:spPr>
      <cdr:txBody>
        <a:bodyPr xmlns:a="http://schemas.openxmlformats.org/drawingml/2006/main" vertOverflow="clip" wrap="square" tIns="18288" bIns="18288" rtlCol="0"/>
        <a:lstStyle xmlns:a="http://schemas.openxmlformats.org/drawingml/2006/main"/>
        <a:p xmlns:a="http://schemas.openxmlformats.org/drawingml/2006/main">
          <a:pPr marL="0" marR="0" lvl="0" indent="0" algn="ctr" defTabSz="914400" rtl="0" eaLnBrk="1" fontAlgn="auto" latinLnBrk="0" hangingPunct="1">
            <a:lnSpc>
              <a:spcPct val="100000"/>
            </a:lnSpc>
            <a:spcBef>
              <a:spcPts val="0"/>
            </a:spcBef>
            <a:spcAft>
              <a:spcPts val="0"/>
            </a:spcAft>
            <a:buClrTx/>
            <a:buSzTx/>
            <a:buFontTx/>
            <a:buNone/>
            <a:tabLst/>
            <a:defRPr/>
          </a:pPr>
          <a:r>
            <a:rPr lang="en-US" sz="1200" b="1" i="0" baseline="0">
              <a:solidFill>
                <a:sysClr val="windowText" lastClr="000000"/>
              </a:solidFill>
              <a:effectLst/>
              <a:latin typeface="Segoe UI" panose="020B0502040204020203" pitchFamily="34" charset="0"/>
              <a:ea typeface="Tahoma" panose="020B0604030504040204" pitchFamily="34" charset="0"/>
              <a:cs typeface="Segoe UI" panose="020B0502040204020203" pitchFamily="34" charset="0"/>
            </a:rPr>
            <a:t>Figure 7A. Age-adjusted rate of non-fatal opioid overdose by race* and Hispanic ethnicity. Massachusetts residents, 2013-2021</a:t>
          </a:r>
          <a:endParaRPr lang="en-US" sz="1200" b="1">
            <a:solidFill>
              <a:sysClr val="windowText" lastClr="000000"/>
            </a:solidFill>
            <a:effectLst/>
            <a:latin typeface="Segoe UI" panose="020B0502040204020203" pitchFamily="34" charset="0"/>
            <a:ea typeface="Tahoma" panose="020B0604030504040204" pitchFamily="34" charset="0"/>
            <a:cs typeface="Segoe UI" panose="020B0502040204020203" pitchFamily="34" charset="0"/>
          </a:endParaRPr>
        </a:p>
        <a:p xmlns:a="http://schemas.openxmlformats.org/drawingml/2006/main">
          <a:endParaRPr lang="en-US" sz="1100"/>
        </a:p>
      </cdr:txBody>
    </cdr:sp>
  </cdr:relSizeAnchor>
  <cdr:relSizeAnchor xmlns:cdr="http://schemas.openxmlformats.org/drawingml/2006/chartDrawing">
    <cdr:from>
      <cdr:x>0.08004</cdr:x>
      <cdr:y>0.87835</cdr:y>
    </cdr:from>
    <cdr:to>
      <cdr:x>0.91642</cdr:x>
      <cdr:y>1</cdr:y>
    </cdr:to>
    <cdr:sp macro="" textlink="">
      <cdr:nvSpPr>
        <cdr:cNvPr id="3" name="TextBox 2">
          <a:extLst xmlns:a="http://schemas.openxmlformats.org/drawingml/2006/main">
            <a:ext uri="{FF2B5EF4-FFF2-40B4-BE49-F238E27FC236}">
              <a16:creationId xmlns:a16="http://schemas.microsoft.com/office/drawing/2014/main" id="{FB852105-9603-41E3-8064-46BBE138F402}"/>
            </a:ext>
          </a:extLst>
        </cdr:cNvPr>
        <cdr:cNvSpPr txBox="1"/>
      </cdr:nvSpPr>
      <cdr:spPr>
        <a:xfrm xmlns:a="http://schemas.openxmlformats.org/drawingml/2006/main">
          <a:off x="564071" y="2877767"/>
          <a:ext cx="5894164" cy="398563"/>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marL="0" marR="0" lvl="0" indent="0" defTabSz="914400" eaLnBrk="1" fontAlgn="auto" latinLnBrk="0" hangingPunct="1">
            <a:lnSpc>
              <a:spcPct val="100000"/>
            </a:lnSpc>
            <a:spcBef>
              <a:spcPts val="0"/>
            </a:spcBef>
            <a:spcAft>
              <a:spcPts val="0"/>
            </a:spcAft>
            <a:buClrTx/>
            <a:buSzTx/>
            <a:buFontTx/>
            <a:buNone/>
            <a:tabLst/>
            <a:defRPr/>
          </a:pPr>
          <a:r>
            <a:rPr lang="en-US" sz="800">
              <a:effectLst/>
              <a:latin typeface="+mn-lt"/>
              <a:ea typeface="+mn-ea"/>
              <a:cs typeface="Segoe UI" panose="020B0502040204020203" pitchFamily="34" charset="0"/>
            </a:rPr>
            <a:t>*</a:t>
          </a:r>
          <a:r>
            <a:rPr lang="en-US" sz="800" baseline="0">
              <a:effectLst/>
              <a:latin typeface="+mn-lt"/>
              <a:ea typeface="+mn-ea"/>
              <a:cs typeface="Segoe UI" panose="020B0502040204020203" pitchFamily="34" charset="0"/>
            </a:rPr>
            <a:t> </a:t>
          </a:r>
          <a:r>
            <a:rPr lang="en-US" sz="800">
              <a:effectLst/>
              <a:latin typeface="+mn-lt"/>
              <a:ea typeface="+mn-ea"/>
              <a:cs typeface="Segoe UI" panose="020B0502040204020203" pitchFamily="34" charset="0"/>
            </a:rPr>
            <a:t>Notes: Rates for American Indian and Alaska Natives are not shown as they are combined with </a:t>
          </a:r>
          <a:r>
            <a:rPr lang="en-US" sz="800" strike="sngStrike">
              <a:effectLst/>
              <a:latin typeface="+mn-lt"/>
              <a:ea typeface="+mn-ea"/>
              <a:cs typeface="Segoe UI" panose="020B0502040204020203" pitchFamily="34" charset="0"/>
            </a:rPr>
            <a:t>'O</a:t>
          </a:r>
          <a:r>
            <a:rPr lang="en-US" sz="800">
              <a:effectLst/>
              <a:latin typeface="+mn-lt"/>
              <a:ea typeface="+mn-ea"/>
              <a:cs typeface="Segoe UI" panose="020B0502040204020203" pitchFamily="34" charset="0"/>
            </a:rPr>
            <a:t>ther race' in the PHD; nH=non-Hispanic. 18,340 records</a:t>
          </a:r>
          <a:r>
            <a:rPr lang="en-US" sz="800" baseline="0">
              <a:effectLst/>
              <a:latin typeface="+mn-lt"/>
              <a:ea typeface="+mn-ea"/>
              <a:cs typeface="Segoe UI" panose="020B0502040204020203" pitchFamily="34" charset="0"/>
            </a:rPr>
            <a:t> with missing race and Hispanic ethnicity excluded.</a:t>
          </a:r>
          <a:endParaRPr lang="en-US" sz="800">
            <a:effectLst/>
            <a:latin typeface="+mn-lt"/>
            <a:ea typeface="+mn-ea"/>
            <a:cs typeface="Segoe UI" panose="020B0502040204020203" pitchFamily="34" charset="0"/>
          </a:endParaRPr>
        </a:p>
        <a:p xmlns:a="http://schemas.openxmlformats.org/drawingml/2006/main">
          <a:pPr marL="0" marR="0" lvl="0" indent="0" defTabSz="914400" eaLnBrk="1" fontAlgn="auto" latinLnBrk="0" hangingPunct="1">
            <a:lnSpc>
              <a:spcPct val="100000"/>
            </a:lnSpc>
            <a:spcBef>
              <a:spcPts val="0"/>
            </a:spcBef>
            <a:spcAft>
              <a:spcPts val="0"/>
            </a:spcAft>
            <a:buClrTx/>
            <a:buSzTx/>
            <a:buFontTx/>
            <a:buNone/>
            <a:tabLst/>
            <a:defRPr/>
          </a:pPr>
          <a:endParaRPr lang="en-US" sz="800">
            <a:effectLst/>
            <a:latin typeface="Segoe UI" panose="020B0502040204020203" pitchFamily="34" charset="0"/>
            <a:cs typeface="Segoe UI" panose="020B0502040204020203" pitchFamily="34" charset="0"/>
          </a:endParaRPr>
        </a:p>
        <a:p xmlns:a="http://schemas.openxmlformats.org/drawingml/2006/main">
          <a:endParaRPr lang="en-US" sz="800">
            <a:latin typeface="Segoe UI" panose="020B0502040204020203" pitchFamily="34" charset="0"/>
            <a:cs typeface="Segoe UI" panose="020B0502040204020203" pitchFamily="34" charset="0"/>
          </a:endParaRPr>
        </a:p>
      </cdr:txBody>
    </cdr:sp>
  </cdr:relSizeAnchor>
</c:userShapes>
</file>

<file path=word/drawings/drawing9.xml><?xml version="1.0" encoding="utf-8"?>
<c:userShapes xmlns:c="http://schemas.openxmlformats.org/drawingml/2006/chart">
  <cdr:relSizeAnchor xmlns:cdr="http://schemas.openxmlformats.org/drawingml/2006/chartDrawing">
    <cdr:from>
      <cdr:x>0.01337</cdr:x>
      <cdr:y>0.01172</cdr:y>
    </cdr:from>
    <cdr:to>
      <cdr:x>0.99272</cdr:x>
      <cdr:y>0.23993</cdr:y>
    </cdr:to>
    <cdr:sp macro="" textlink="">
      <cdr:nvSpPr>
        <cdr:cNvPr id="2" name="TextBox 1">
          <a:extLst xmlns:a="http://schemas.openxmlformats.org/drawingml/2006/main">
            <a:ext uri="{FF2B5EF4-FFF2-40B4-BE49-F238E27FC236}">
              <a16:creationId xmlns:a16="http://schemas.microsoft.com/office/drawing/2014/main" id="{37FDD528-E775-438B-8FF7-3D2BA3EF6C65}"/>
            </a:ext>
          </a:extLst>
        </cdr:cNvPr>
        <cdr:cNvSpPr txBox="1"/>
      </cdr:nvSpPr>
      <cdr:spPr>
        <a:xfrm xmlns:a="http://schemas.openxmlformats.org/drawingml/2006/main">
          <a:off x="79466" y="34740"/>
          <a:ext cx="5820865" cy="67646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marL="0" marR="0" lvl="0" indent="0" algn="ctr" defTabSz="914400" rtl="0" eaLnBrk="1" fontAlgn="auto" latinLnBrk="0" hangingPunct="1">
            <a:lnSpc>
              <a:spcPct val="100000"/>
            </a:lnSpc>
            <a:spcBef>
              <a:spcPts val="0"/>
            </a:spcBef>
            <a:spcAft>
              <a:spcPts val="0"/>
            </a:spcAft>
            <a:buClrTx/>
            <a:buSzTx/>
            <a:buFontTx/>
            <a:buNone/>
            <a:tabLst/>
            <a:defRPr/>
          </a:pPr>
          <a:r>
            <a:rPr lang="en-US" sz="1200" b="1" i="0" baseline="0">
              <a:effectLst/>
              <a:latin typeface="Segoe UI" panose="020B0502040204020203" pitchFamily="34" charset="0"/>
              <a:ea typeface="+mn-ea"/>
              <a:cs typeface="Segoe UI" panose="020B0502040204020203" pitchFamily="34" charset="0"/>
            </a:rPr>
            <a:t>Figure 7B. Age-adjusted rate of non-fatal opioid overdose by race* and Hispanic ethnicity. Male Massachusetts residents, 2013-2021.</a:t>
          </a:r>
          <a:endParaRPr lang="en-US" sz="1200" b="1">
            <a:effectLst/>
            <a:latin typeface="Segoe UI" panose="020B0502040204020203" pitchFamily="34" charset="0"/>
            <a:cs typeface="Segoe UI" panose="020B0502040204020203" pitchFamily="34" charset="0"/>
          </a:endParaRPr>
        </a:p>
        <a:p xmlns:a="http://schemas.openxmlformats.org/drawingml/2006/main">
          <a:endParaRPr lang="en-US" sz="1100"/>
        </a:p>
      </cdr:txBody>
    </cdr:sp>
  </cdr:relSizeAnchor>
  <cdr:relSizeAnchor xmlns:cdr="http://schemas.openxmlformats.org/drawingml/2006/chartDrawing">
    <cdr:from>
      <cdr:x>0.07799</cdr:x>
      <cdr:y>0.87189</cdr:y>
    </cdr:from>
    <cdr:to>
      <cdr:x>0.98077</cdr:x>
      <cdr:y>0.99627</cdr:y>
    </cdr:to>
    <cdr:sp macro="" textlink="">
      <cdr:nvSpPr>
        <cdr:cNvPr id="3" name="TextBox 2">
          <a:extLst xmlns:a="http://schemas.openxmlformats.org/drawingml/2006/main">
            <a:ext uri="{FF2B5EF4-FFF2-40B4-BE49-F238E27FC236}">
              <a16:creationId xmlns:a16="http://schemas.microsoft.com/office/drawing/2014/main" id="{C9FCB521-33AF-47A9-B55B-62CED9D88940}"/>
            </a:ext>
          </a:extLst>
        </cdr:cNvPr>
        <cdr:cNvSpPr txBox="1"/>
      </cdr:nvSpPr>
      <cdr:spPr>
        <a:xfrm xmlns:a="http://schemas.openxmlformats.org/drawingml/2006/main">
          <a:off x="463550" y="2584450"/>
          <a:ext cx="5365750" cy="368674"/>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marL="0" marR="0" lvl="0" indent="0" defTabSz="914400" eaLnBrk="1" fontAlgn="auto" latinLnBrk="0" hangingPunct="1">
            <a:lnSpc>
              <a:spcPct val="100000"/>
            </a:lnSpc>
            <a:spcBef>
              <a:spcPts val="0"/>
            </a:spcBef>
            <a:spcAft>
              <a:spcPts val="0"/>
            </a:spcAft>
            <a:buClrTx/>
            <a:buSzTx/>
            <a:buFontTx/>
            <a:buNone/>
            <a:tabLst/>
            <a:defRPr/>
          </a:pPr>
          <a:r>
            <a:rPr lang="en-US" sz="800">
              <a:effectLst/>
              <a:latin typeface="+mn-lt"/>
              <a:ea typeface="+mn-ea"/>
              <a:cs typeface="+mn-cs"/>
            </a:rPr>
            <a:t>*Note. Rates for American Indian and Alaska Natives are not shown as they are combined with </a:t>
          </a:r>
          <a:r>
            <a:rPr lang="en-US" sz="800" strike="sngStrike">
              <a:effectLst/>
              <a:latin typeface="+mn-lt"/>
              <a:ea typeface="+mn-ea"/>
              <a:cs typeface="+mn-cs"/>
            </a:rPr>
            <a:t>'</a:t>
          </a:r>
          <a:r>
            <a:rPr lang="en-US" sz="800">
              <a:effectLst/>
              <a:latin typeface="+mn-lt"/>
              <a:ea typeface="+mn-ea"/>
              <a:cs typeface="+mn-cs"/>
            </a:rPr>
            <a:t>other race</a:t>
          </a:r>
          <a:r>
            <a:rPr lang="en-US" sz="800" strike="sngStrike">
              <a:effectLst/>
              <a:latin typeface="+mn-lt"/>
              <a:ea typeface="+mn-ea"/>
              <a:cs typeface="+mn-cs"/>
            </a:rPr>
            <a:t>'</a:t>
          </a:r>
          <a:r>
            <a:rPr lang="en-US" sz="800">
              <a:effectLst/>
              <a:latin typeface="+mn-lt"/>
              <a:ea typeface="+mn-ea"/>
              <a:cs typeface="+mn-cs"/>
            </a:rPr>
            <a:t> in the PHD.  nH=non-Hispanic.10,794 records with missing race and Hispanic ethnicity</a:t>
          </a:r>
          <a:r>
            <a:rPr lang="en-US" sz="800" baseline="0">
              <a:effectLst/>
              <a:latin typeface="+mn-lt"/>
              <a:ea typeface="+mn-ea"/>
              <a:cs typeface="+mn-cs"/>
            </a:rPr>
            <a:t>  and 2,903 with missing sex excluded.</a:t>
          </a:r>
          <a:endParaRPr lang="en-US" sz="800">
            <a:effectLst/>
          </a:endParaRPr>
        </a:p>
        <a:p xmlns:a="http://schemas.openxmlformats.org/drawingml/2006/main">
          <a:endParaRPr lang="en-US" sz="1100"/>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Slipstream">
    <a:dk1>
      <a:sysClr val="windowText" lastClr="000000"/>
    </a:dk1>
    <a:lt1>
      <a:sysClr val="window" lastClr="FFFFFF"/>
    </a:lt1>
    <a:dk2>
      <a:srgbClr val="212745"/>
    </a:dk2>
    <a:lt2>
      <a:srgbClr val="B4DCFA"/>
    </a:lt2>
    <a:accent1>
      <a:srgbClr val="4E67C8"/>
    </a:accent1>
    <a:accent2>
      <a:srgbClr val="5ECCF3"/>
    </a:accent2>
    <a:accent3>
      <a:srgbClr val="A7EA52"/>
    </a:accent3>
    <a:accent4>
      <a:srgbClr val="5DCEAF"/>
    </a:accent4>
    <a:accent5>
      <a:srgbClr val="FF8021"/>
    </a:accent5>
    <a:accent6>
      <a:srgbClr val="F14124"/>
    </a:accent6>
    <a:hlink>
      <a:srgbClr val="56C7AA"/>
    </a:hlink>
    <a:folHlink>
      <a:srgbClr val="59A8D1"/>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0.xml><?xml version="1.0" encoding="utf-8"?>
<a:themeOverride xmlns:a="http://schemas.openxmlformats.org/drawingml/2006/main">
  <a:clrScheme name="Slipstream">
    <a:dk1>
      <a:sysClr val="windowText" lastClr="000000"/>
    </a:dk1>
    <a:lt1>
      <a:sysClr val="window" lastClr="FFFFFF"/>
    </a:lt1>
    <a:dk2>
      <a:srgbClr val="212745"/>
    </a:dk2>
    <a:lt2>
      <a:srgbClr val="B4DCFA"/>
    </a:lt2>
    <a:accent1>
      <a:srgbClr val="4E67C8"/>
    </a:accent1>
    <a:accent2>
      <a:srgbClr val="5ECCF3"/>
    </a:accent2>
    <a:accent3>
      <a:srgbClr val="A7EA52"/>
    </a:accent3>
    <a:accent4>
      <a:srgbClr val="5DCEAF"/>
    </a:accent4>
    <a:accent5>
      <a:srgbClr val="FF8021"/>
    </a:accent5>
    <a:accent6>
      <a:srgbClr val="F14124"/>
    </a:accent6>
    <a:hlink>
      <a:srgbClr val="56C7AA"/>
    </a:hlink>
    <a:folHlink>
      <a:srgbClr val="59A8D1"/>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1.xml><?xml version="1.0" encoding="utf-8"?>
<a:themeOverride xmlns:a="http://schemas.openxmlformats.org/drawingml/2006/main">
  <a:clrScheme name="Slipstream">
    <a:dk1>
      <a:sysClr val="windowText" lastClr="000000"/>
    </a:dk1>
    <a:lt1>
      <a:sysClr val="window" lastClr="FFFFFF"/>
    </a:lt1>
    <a:dk2>
      <a:srgbClr val="212745"/>
    </a:dk2>
    <a:lt2>
      <a:srgbClr val="B4DCFA"/>
    </a:lt2>
    <a:accent1>
      <a:srgbClr val="4E67C8"/>
    </a:accent1>
    <a:accent2>
      <a:srgbClr val="5ECCF3"/>
    </a:accent2>
    <a:accent3>
      <a:srgbClr val="A7EA52"/>
    </a:accent3>
    <a:accent4>
      <a:srgbClr val="5DCEAF"/>
    </a:accent4>
    <a:accent5>
      <a:srgbClr val="FF8021"/>
    </a:accent5>
    <a:accent6>
      <a:srgbClr val="F14124"/>
    </a:accent6>
    <a:hlink>
      <a:srgbClr val="56C7AA"/>
    </a:hlink>
    <a:folHlink>
      <a:srgbClr val="59A8D1"/>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2.xml><?xml version="1.0" encoding="utf-8"?>
<a:themeOverride xmlns:a="http://schemas.openxmlformats.org/drawingml/2006/main">
  <a:clrScheme name="Slipstream">
    <a:dk1>
      <a:sysClr val="windowText" lastClr="000000"/>
    </a:dk1>
    <a:lt1>
      <a:sysClr val="window" lastClr="FFFFFF"/>
    </a:lt1>
    <a:dk2>
      <a:srgbClr val="212745"/>
    </a:dk2>
    <a:lt2>
      <a:srgbClr val="B4DCFA"/>
    </a:lt2>
    <a:accent1>
      <a:srgbClr val="4E67C8"/>
    </a:accent1>
    <a:accent2>
      <a:srgbClr val="5ECCF3"/>
    </a:accent2>
    <a:accent3>
      <a:srgbClr val="A7EA52"/>
    </a:accent3>
    <a:accent4>
      <a:srgbClr val="5DCEAF"/>
    </a:accent4>
    <a:accent5>
      <a:srgbClr val="FF8021"/>
    </a:accent5>
    <a:accent6>
      <a:srgbClr val="F14124"/>
    </a:accent6>
    <a:hlink>
      <a:srgbClr val="56C7AA"/>
    </a:hlink>
    <a:folHlink>
      <a:srgbClr val="59A8D1"/>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3.xml><?xml version="1.0" encoding="utf-8"?>
<a:themeOverride xmlns:a="http://schemas.openxmlformats.org/drawingml/2006/main">
  <a:clrScheme name="Slipstream">
    <a:dk1>
      <a:sysClr val="windowText" lastClr="000000"/>
    </a:dk1>
    <a:lt1>
      <a:sysClr val="window" lastClr="FFFFFF"/>
    </a:lt1>
    <a:dk2>
      <a:srgbClr val="212745"/>
    </a:dk2>
    <a:lt2>
      <a:srgbClr val="B4DCFA"/>
    </a:lt2>
    <a:accent1>
      <a:srgbClr val="4E67C8"/>
    </a:accent1>
    <a:accent2>
      <a:srgbClr val="5ECCF3"/>
    </a:accent2>
    <a:accent3>
      <a:srgbClr val="A7EA52"/>
    </a:accent3>
    <a:accent4>
      <a:srgbClr val="5DCEAF"/>
    </a:accent4>
    <a:accent5>
      <a:srgbClr val="FF8021"/>
    </a:accent5>
    <a:accent6>
      <a:srgbClr val="F14124"/>
    </a:accent6>
    <a:hlink>
      <a:srgbClr val="56C7AA"/>
    </a:hlink>
    <a:folHlink>
      <a:srgbClr val="59A8D1"/>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4.xml><?xml version="1.0" encoding="utf-8"?>
<a:themeOverride xmlns:a="http://schemas.openxmlformats.org/drawingml/2006/main">
  <a:clrScheme name="Slipstream">
    <a:dk1>
      <a:sysClr val="windowText" lastClr="000000"/>
    </a:dk1>
    <a:lt1>
      <a:sysClr val="window" lastClr="FFFFFF"/>
    </a:lt1>
    <a:dk2>
      <a:srgbClr val="212745"/>
    </a:dk2>
    <a:lt2>
      <a:srgbClr val="B4DCFA"/>
    </a:lt2>
    <a:accent1>
      <a:srgbClr val="4E67C8"/>
    </a:accent1>
    <a:accent2>
      <a:srgbClr val="5ECCF3"/>
    </a:accent2>
    <a:accent3>
      <a:srgbClr val="A7EA52"/>
    </a:accent3>
    <a:accent4>
      <a:srgbClr val="5DCEAF"/>
    </a:accent4>
    <a:accent5>
      <a:srgbClr val="FF8021"/>
    </a:accent5>
    <a:accent6>
      <a:srgbClr val="F14124"/>
    </a:accent6>
    <a:hlink>
      <a:srgbClr val="56C7AA"/>
    </a:hlink>
    <a:folHlink>
      <a:srgbClr val="59A8D1"/>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5.xml><?xml version="1.0" encoding="utf-8"?>
<a:themeOverride xmlns:a="http://schemas.openxmlformats.org/drawingml/2006/main">
  <a:clrScheme name="Slipstream">
    <a:dk1>
      <a:sysClr val="windowText" lastClr="000000"/>
    </a:dk1>
    <a:lt1>
      <a:sysClr val="window" lastClr="FFFFFF"/>
    </a:lt1>
    <a:dk2>
      <a:srgbClr val="212745"/>
    </a:dk2>
    <a:lt2>
      <a:srgbClr val="B4DCFA"/>
    </a:lt2>
    <a:accent1>
      <a:srgbClr val="4E67C8"/>
    </a:accent1>
    <a:accent2>
      <a:srgbClr val="5ECCF3"/>
    </a:accent2>
    <a:accent3>
      <a:srgbClr val="A7EA52"/>
    </a:accent3>
    <a:accent4>
      <a:srgbClr val="5DCEAF"/>
    </a:accent4>
    <a:accent5>
      <a:srgbClr val="FF8021"/>
    </a:accent5>
    <a:accent6>
      <a:srgbClr val="F14124"/>
    </a:accent6>
    <a:hlink>
      <a:srgbClr val="56C7AA"/>
    </a:hlink>
    <a:folHlink>
      <a:srgbClr val="59A8D1"/>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Slipstream">
    <a:dk1>
      <a:sysClr val="windowText" lastClr="000000"/>
    </a:dk1>
    <a:lt1>
      <a:sysClr val="window" lastClr="FFFFFF"/>
    </a:lt1>
    <a:dk2>
      <a:srgbClr val="212745"/>
    </a:dk2>
    <a:lt2>
      <a:srgbClr val="B4DCFA"/>
    </a:lt2>
    <a:accent1>
      <a:srgbClr val="4E67C8"/>
    </a:accent1>
    <a:accent2>
      <a:srgbClr val="5ECCF3"/>
    </a:accent2>
    <a:accent3>
      <a:srgbClr val="A7EA52"/>
    </a:accent3>
    <a:accent4>
      <a:srgbClr val="5DCEAF"/>
    </a:accent4>
    <a:accent5>
      <a:srgbClr val="FF8021"/>
    </a:accent5>
    <a:accent6>
      <a:srgbClr val="F14124"/>
    </a:accent6>
    <a:hlink>
      <a:srgbClr val="56C7AA"/>
    </a:hlink>
    <a:folHlink>
      <a:srgbClr val="59A8D1"/>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Slipstream">
    <a:dk1>
      <a:sysClr val="windowText" lastClr="000000"/>
    </a:dk1>
    <a:lt1>
      <a:sysClr val="window" lastClr="FFFFFF"/>
    </a:lt1>
    <a:dk2>
      <a:srgbClr val="212745"/>
    </a:dk2>
    <a:lt2>
      <a:srgbClr val="B4DCFA"/>
    </a:lt2>
    <a:accent1>
      <a:srgbClr val="4E67C8"/>
    </a:accent1>
    <a:accent2>
      <a:srgbClr val="5ECCF3"/>
    </a:accent2>
    <a:accent3>
      <a:srgbClr val="A7EA52"/>
    </a:accent3>
    <a:accent4>
      <a:srgbClr val="5DCEAF"/>
    </a:accent4>
    <a:accent5>
      <a:srgbClr val="FF8021"/>
    </a:accent5>
    <a:accent6>
      <a:srgbClr val="F14124"/>
    </a:accent6>
    <a:hlink>
      <a:srgbClr val="56C7AA"/>
    </a:hlink>
    <a:folHlink>
      <a:srgbClr val="59A8D1"/>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Slipstream">
    <a:dk1>
      <a:sysClr val="windowText" lastClr="000000"/>
    </a:dk1>
    <a:lt1>
      <a:sysClr val="window" lastClr="FFFFFF"/>
    </a:lt1>
    <a:dk2>
      <a:srgbClr val="212745"/>
    </a:dk2>
    <a:lt2>
      <a:srgbClr val="B4DCFA"/>
    </a:lt2>
    <a:accent1>
      <a:srgbClr val="4E67C8"/>
    </a:accent1>
    <a:accent2>
      <a:srgbClr val="5ECCF3"/>
    </a:accent2>
    <a:accent3>
      <a:srgbClr val="A7EA52"/>
    </a:accent3>
    <a:accent4>
      <a:srgbClr val="5DCEAF"/>
    </a:accent4>
    <a:accent5>
      <a:srgbClr val="FF8021"/>
    </a:accent5>
    <a:accent6>
      <a:srgbClr val="F14124"/>
    </a:accent6>
    <a:hlink>
      <a:srgbClr val="56C7AA"/>
    </a:hlink>
    <a:folHlink>
      <a:srgbClr val="59A8D1"/>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Slipstream">
    <a:dk1>
      <a:sysClr val="windowText" lastClr="000000"/>
    </a:dk1>
    <a:lt1>
      <a:sysClr val="window" lastClr="FFFFFF"/>
    </a:lt1>
    <a:dk2>
      <a:srgbClr val="212745"/>
    </a:dk2>
    <a:lt2>
      <a:srgbClr val="B4DCFA"/>
    </a:lt2>
    <a:accent1>
      <a:srgbClr val="4E67C8"/>
    </a:accent1>
    <a:accent2>
      <a:srgbClr val="5ECCF3"/>
    </a:accent2>
    <a:accent3>
      <a:srgbClr val="A7EA52"/>
    </a:accent3>
    <a:accent4>
      <a:srgbClr val="5DCEAF"/>
    </a:accent4>
    <a:accent5>
      <a:srgbClr val="FF8021"/>
    </a:accent5>
    <a:accent6>
      <a:srgbClr val="F14124"/>
    </a:accent6>
    <a:hlink>
      <a:srgbClr val="56C7AA"/>
    </a:hlink>
    <a:folHlink>
      <a:srgbClr val="59A8D1"/>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Slipstream">
    <a:dk1>
      <a:sysClr val="windowText" lastClr="000000"/>
    </a:dk1>
    <a:lt1>
      <a:sysClr val="window" lastClr="FFFFFF"/>
    </a:lt1>
    <a:dk2>
      <a:srgbClr val="212745"/>
    </a:dk2>
    <a:lt2>
      <a:srgbClr val="B4DCFA"/>
    </a:lt2>
    <a:accent1>
      <a:srgbClr val="4E67C8"/>
    </a:accent1>
    <a:accent2>
      <a:srgbClr val="5ECCF3"/>
    </a:accent2>
    <a:accent3>
      <a:srgbClr val="A7EA52"/>
    </a:accent3>
    <a:accent4>
      <a:srgbClr val="5DCEAF"/>
    </a:accent4>
    <a:accent5>
      <a:srgbClr val="FF8021"/>
    </a:accent5>
    <a:accent6>
      <a:srgbClr val="F14124"/>
    </a:accent6>
    <a:hlink>
      <a:srgbClr val="56C7AA"/>
    </a:hlink>
    <a:folHlink>
      <a:srgbClr val="59A8D1"/>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Slipstream">
    <a:dk1>
      <a:sysClr val="windowText" lastClr="000000"/>
    </a:dk1>
    <a:lt1>
      <a:sysClr val="window" lastClr="FFFFFF"/>
    </a:lt1>
    <a:dk2>
      <a:srgbClr val="212745"/>
    </a:dk2>
    <a:lt2>
      <a:srgbClr val="B4DCFA"/>
    </a:lt2>
    <a:accent1>
      <a:srgbClr val="4E67C8"/>
    </a:accent1>
    <a:accent2>
      <a:srgbClr val="5ECCF3"/>
    </a:accent2>
    <a:accent3>
      <a:srgbClr val="A7EA52"/>
    </a:accent3>
    <a:accent4>
      <a:srgbClr val="5DCEAF"/>
    </a:accent4>
    <a:accent5>
      <a:srgbClr val="FF8021"/>
    </a:accent5>
    <a:accent6>
      <a:srgbClr val="F14124"/>
    </a:accent6>
    <a:hlink>
      <a:srgbClr val="56C7AA"/>
    </a:hlink>
    <a:folHlink>
      <a:srgbClr val="59A8D1"/>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xml><?xml version="1.0" encoding="utf-8"?>
<a:themeOverride xmlns:a="http://schemas.openxmlformats.org/drawingml/2006/main">
  <a:clrScheme name="Slipstream">
    <a:dk1>
      <a:sysClr val="windowText" lastClr="000000"/>
    </a:dk1>
    <a:lt1>
      <a:sysClr val="window" lastClr="FFFFFF"/>
    </a:lt1>
    <a:dk2>
      <a:srgbClr val="212745"/>
    </a:dk2>
    <a:lt2>
      <a:srgbClr val="B4DCFA"/>
    </a:lt2>
    <a:accent1>
      <a:srgbClr val="4E67C8"/>
    </a:accent1>
    <a:accent2>
      <a:srgbClr val="5ECCF3"/>
    </a:accent2>
    <a:accent3>
      <a:srgbClr val="A7EA52"/>
    </a:accent3>
    <a:accent4>
      <a:srgbClr val="5DCEAF"/>
    </a:accent4>
    <a:accent5>
      <a:srgbClr val="FF8021"/>
    </a:accent5>
    <a:accent6>
      <a:srgbClr val="F14124"/>
    </a:accent6>
    <a:hlink>
      <a:srgbClr val="56C7AA"/>
    </a:hlink>
    <a:folHlink>
      <a:srgbClr val="59A8D1"/>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MAs23</b:Tag>
    <b:SourceType>InternetSite</b:SourceType>
    <b:Guid>{BF40CBC5-B365-4086-9032-C1E34302942C}</b:Guid>
    <b:Title>Opioid-related Overdose Deaths Demographics - December 2022</b:Title>
    <b:Year>2023</b:Year>
    <b:Author>
      <b:Author>
        <b:NameList>
          <b:Person>
            <b:Last>MDPH</b:Last>
          </b:Person>
        </b:NameList>
      </b:Author>
    </b:Author>
    <b:InternetSiteTitle>Mass.gov</b:InternetSiteTitle>
    <b:Month>March</b:Month>
    <b:Day>1</b:Day>
    <b:URL>https://www.mass.gov/doc/opioid-related-overdose-deaths-demographics-december-2022/download</b:URL>
    <b:RefOrder>1</b:RefOrder>
  </b:Source>
</b:Sourc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a17af8e-411d-4b8d-910b-6c647cf9e860">
      <Terms xmlns="http://schemas.microsoft.com/office/infopath/2007/PartnerControls"/>
    </lcf76f155ced4ddcb4097134ff3c332f>
    <TaxCatchAll xmlns="e0462724-c287-4692-a122-48640871c549" xsi:nil="true"/>
    <SharedWithUsers xmlns="e0462724-c287-4692-a122-48640871c549">
      <UserInfo>
        <DisplayName>Ruiz, Sarah (DPH)</DisplayName>
        <AccountId>110</AccountId>
        <AccountType/>
      </UserInfo>
      <UserInfo>
        <DisplayName>Babakhanlou-Chase, Hermik (DPH)</DisplayName>
        <AccountId>43</AccountId>
        <AccountType/>
      </UserInfo>
      <UserInfo>
        <DisplayName>Schmitt, Nicole M (DPH)</DisplayName>
        <AccountId>112</AccountId>
        <AccountType/>
      </UserInfo>
      <UserInfo>
        <DisplayName>Reilly, Brittni (DPH)</DisplayName>
        <AccountId>116</AccountId>
        <AccountType/>
      </UserInfo>
      <UserInfo>
        <DisplayName>Calvert, Deirdre C (DPH)</DisplayName>
        <AccountId>117</AccountId>
        <AccountType/>
      </UserInfo>
    </SharedWithUser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AB56821AB0234D46B96CFB9019AB4E7E" ma:contentTypeVersion="15" ma:contentTypeDescription="Create a new document." ma:contentTypeScope="" ma:versionID="030ca65b96862aa8b9ebfb556b9d2abb">
  <xsd:schema xmlns:xsd="http://www.w3.org/2001/XMLSchema" xmlns:xs="http://www.w3.org/2001/XMLSchema" xmlns:p="http://schemas.microsoft.com/office/2006/metadata/properties" xmlns:ns2="da17af8e-411d-4b8d-910b-6c647cf9e860" xmlns:ns3="e0462724-c287-4692-a122-48640871c549" targetNamespace="http://schemas.microsoft.com/office/2006/metadata/properties" ma:root="true" ma:fieldsID="df2f7f44ac773f253fd8973023e75cf1" ns2:_="" ns3:_="">
    <xsd:import namespace="da17af8e-411d-4b8d-910b-6c647cf9e860"/>
    <xsd:import namespace="e0462724-c287-4692-a122-48640871c549"/>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LengthInSeconds" minOccurs="0"/>
                <xsd:element ref="ns2:MediaServiceObjectDetectorVersions" minOccurs="0"/>
                <xsd:element ref="ns2:lcf76f155ced4ddcb4097134ff3c332f" minOccurs="0"/>
                <xsd:element ref="ns3:TaxCatchAll"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17af8e-411d-4b8d-910b-6c647cf9e86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0462724-c287-4692-a122-48640871c549"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1ff908cb-7c4d-40a4-8a2b-2da53c8efb66}" ma:internalName="TaxCatchAll" ma:showField="CatchAllData" ma:web="e0462724-c287-4692-a122-48640871c54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F0BB84B-6EB8-42B3-9CBA-A988E1D752A9}">
  <ds:schemaRefs>
    <ds:schemaRef ds:uri="http://schemas.openxmlformats.org/officeDocument/2006/bibliography"/>
  </ds:schemaRefs>
</ds:datastoreItem>
</file>

<file path=customXml/itemProps2.xml><?xml version="1.0" encoding="utf-8"?>
<ds:datastoreItem xmlns:ds="http://schemas.openxmlformats.org/officeDocument/2006/customXml" ds:itemID="{5EF0325D-2DA8-4891-A2C0-F0AFA77E813D}">
  <ds:schemaRefs>
    <ds:schemaRef ds:uri="http://schemas.microsoft.com/sharepoint/v3/contenttype/forms"/>
  </ds:schemaRefs>
</ds:datastoreItem>
</file>

<file path=customXml/itemProps3.xml><?xml version="1.0" encoding="utf-8"?>
<ds:datastoreItem xmlns:ds="http://schemas.openxmlformats.org/officeDocument/2006/customXml" ds:itemID="{4E414B98-AB41-40BC-B65C-FBDFA82AB11C}">
  <ds:schemaRefs>
    <ds:schemaRef ds:uri="http://schemas.microsoft.com/office/2006/metadata/properties"/>
    <ds:schemaRef ds:uri="http://schemas.microsoft.com/office/infopath/2007/PartnerControls"/>
    <ds:schemaRef ds:uri="da17af8e-411d-4b8d-910b-6c647cf9e860"/>
    <ds:schemaRef ds:uri="e0462724-c287-4692-a122-48640871c549"/>
  </ds:schemaRefs>
</ds:datastoreItem>
</file>

<file path=customXml/itemProps4.xml><?xml version="1.0" encoding="utf-8"?>
<ds:datastoreItem xmlns:ds="http://schemas.openxmlformats.org/officeDocument/2006/customXml" ds:itemID="{DC254753-C23A-4452-84A1-F6966E3182F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17af8e-411d-4b8d-910b-6c647cf9e860"/>
    <ds:schemaRef ds:uri="e0462724-c287-4692-a122-48640871c54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122</TotalTime>
  <Pages>14</Pages>
  <Words>3190</Words>
  <Characters>18187</Characters>
  <Application>Microsoft Office Word</Application>
  <DocSecurity>0</DocSecurity>
  <Lines>151</Lines>
  <Paragraphs>42</Paragraphs>
  <ScaleCrop>false</ScaleCrop>
  <Company/>
  <LinksUpToDate>false</LinksUpToDate>
  <CharactersWithSpaces>21335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Erdman, Elizabeth A (DPH)</dc:creator>
  <cp:keywords/>
  <dc:description/>
  <cp:lastModifiedBy>Erdman, Elizabeth A (DPH)</cp:lastModifiedBy>
  <cp:revision>38</cp:revision>
  <cp:lastPrinted>2023-09-08T19:07:00Z</cp:lastPrinted>
  <dcterms:created xsi:type="dcterms:W3CDTF">2023-11-17T22:05:00Z</dcterms:created>
  <dcterms:modified xsi:type="dcterms:W3CDTF">2024-05-15T15:11:00Z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0x010100AB56821AB0234D46B96CFB9019AB4E7E</vt:lpwstr>
  </property>
  <property fmtid="{D5CDD505-2E9C-101B-9397-08002B2CF9AE}" pid="3" name="GrammarlyDocumentId">
    <vt:lpwstr>f78c541259dc8e6bab54769e5e947a5cfdf8d56c78bdd2b357791901f0822cce</vt:lpwstr>
  </property>
  <property fmtid="{D5CDD505-2E9C-101B-9397-08002B2CF9AE}" pid="4" name="MediaServiceImageTags">
    <vt:lpwstr/>
  </property>
</Properties>
</file>