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1D9B3" w14:textId="77777777" w:rsidR="0043115F" w:rsidRDefault="0043115F" w:rsidP="0043115F">
      <w:pPr>
        <w:jc w:val="center"/>
        <w:rPr>
          <w:b/>
          <w:bCs/>
          <w:sz w:val="36"/>
          <w:szCs w:val="36"/>
        </w:rPr>
      </w:pPr>
      <w:bookmarkStart w:id="0" w:name="_GoBack"/>
      <w:bookmarkEnd w:id="0"/>
    </w:p>
    <w:p w14:paraId="72639E4F" w14:textId="77777777" w:rsidR="0043115F" w:rsidRDefault="0043115F" w:rsidP="0043115F">
      <w:pPr>
        <w:jc w:val="center"/>
        <w:rPr>
          <w:b/>
          <w:bCs/>
          <w:sz w:val="36"/>
          <w:szCs w:val="36"/>
        </w:rPr>
      </w:pPr>
    </w:p>
    <w:p w14:paraId="0C7540DC" w14:textId="345F4B99" w:rsidR="0043115F" w:rsidRDefault="0043115F" w:rsidP="0043115F">
      <w:pPr>
        <w:jc w:val="center"/>
        <w:rPr>
          <w:rFonts w:ascii="Times New Roman" w:hAnsi="Times New Roman" w:cs="Times New Roman"/>
          <w:b/>
          <w:bCs/>
          <w:sz w:val="36"/>
          <w:szCs w:val="36"/>
        </w:rPr>
      </w:pPr>
      <w:r w:rsidRPr="0043115F">
        <w:rPr>
          <w:rFonts w:ascii="Times New Roman" w:hAnsi="Times New Roman" w:cs="Times New Roman"/>
          <w:b/>
          <w:bCs/>
          <w:sz w:val="36"/>
          <w:szCs w:val="36"/>
        </w:rPr>
        <w:t>ATTACHMENT 5A</w:t>
      </w:r>
    </w:p>
    <w:p w14:paraId="46E3EC92" w14:textId="77777777" w:rsidR="0043115F" w:rsidRPr="0043115F" w:rsidRDefault="0043115F" w:rsidP="0043115F">
      <w:pPr>
        <w:jc w:val="center"/>
        <w:rPr>
          <w:rFonts w:ascii="Times New Roman" w:hAnsi="Times New Roman" w:cs="Times New Roman"/>
          <w:b/>
          <w:bCs/>
          <w:sz w:val="36"/>
          <w:szCs w:val="36"/>
        </w:rPr>
      </w:pPr>
    </w:p>
    <w:p w14:paraId="5C72820F" w14:textId="77777777" w:rsidR="0043115F" w:rsidRPr="000F31C4" w:rsidRDefault="0043115F" w:rsidP="0043115F">
      <w:pPr>
        <w:pStyle w:val="xxxmsolistparagraph"/>
        <w:autoSpaceDE w:val="0"/>
        <w:autoSpaceDN w:val="0"/>
        <w:spacing w:after="0" w:line="240" w:lineRule="auto"/>
        <w:jc w:val="center"/>
        <w:rPr>
          <w:rFonts w:ascii="Times New Roman" w:eastAsia="Times New Roman" w:hAnsi="Times New Roman" w:cs="Times New Roman"/>
          <w:b/>
          <w:bCs/>
          <w:sz w:val="36"/>
          <w:szCs w:val="36"/>
        </w:rPr>
      </w:pPr>
      <w:r w:rsidRPr="000F31C4">
        <w:rPr>
          <w:rFonts w:ascii="Times New Roman" w:eastAsia="Times New Roman" w:hAnsi="Times New Roman" w:cs="Times New Roman"/>
          <w:b/>
          <w:bCs/>
          <w:sz w:val="36"/>
          <w:szCs w:val="36"/>
        </w:rPr>
        <w:t>COMMUNITY HEALTH INITIATIVE NARRATIVE</w:t>
      </w:r>
    </w:p>
    <w:p w14:paraId="1C33DB6A" w14:textId="77777777" w:rsidR="0043115F" w:rsidRDefault="0043115F">
      <w:pPr>
        <w:rPr>
          <w:rFonts w:ascii="Arial" w:hAnsi="Arial" w:cs="Arial"/>
          <w:b/>
        </w:rPr>
      </w:pPr>
      <w:r>
        <w:rPr>
          <w:rFonts w:ascii="Arial" w:hAnsi="Arial" w:cs="Arial"/>
          <w:b/>
        </w:rPr>
        <w:br w:type="page"/>
      </w:r>
    </w:p>
    <w:p w14:paraId="2EABB53F" w14:textId="0FCF3BC0" w:rsidR="00D629F7" w:rsidRDefault="007F4384" w:rsidP="00D629F7">
      <w:pPr>
        <w:spacing w:after="0" w:line="240" w:lineRule="auto"/>
        <w:jc w:val="center"/>
        <w:rPr>
          <w:rFonts w:ascii="Arial" w:hAnsi="Arial" w:cs="Arial"/>
          <w:b/>
          <w:highlight w:val="yellow"/>
        </w:rPr>
      </w:pPr>
      <w:r>
        <w:rPr>
          <w:rFonts w:ascii="Arial" w:hAnsi="Arial" w:cs="Arial"/>
          <w:b/>
        </w:rPr>
        <w:t>South Shore Health System</w:t>
      </w:r>
      <w:r w:rsidR="00D629F7" w:rsidRPr="000E2918">
        <w:rPr>
          <w:rFonts w:ascii="Arial" w:hAnsi="Arial" w:cs="Arial"/>
          <w:b/>
        </w:rPr>
        <w:t xml:space="preserve"> (“Applicant”)</w:t>
      </w:r>
    </w:p>
    <w:p w14:paraId="42866A71" w14:textId="5350C30B" w:rsidR="00D629F7" w:rsidRPr="00F40D2F" w:rsidRDefault="00D629F7" w:rsidP="00D629F7">
      <w:pPr>
        <w:spacing w:after="0" w:line="240" w:lineRule="auto"/>
        <w:jc w:val="center"/>
        <w:rPr>
          <w:rFonts w:ascii="Arial" w:hAnsi="Arial" w:cs="Arial"/>
          <w:b/>
        </w:rPr>
      </w:pPr>
      <w:r w:rsidRPr="00F40D2F">
        <w:rPr>
          <w:rFonts w:ascii="Arial" w:hAnsi="Arial" w:cs="Arial"/>
          <w:b/>
        </w:rPr>
        <w:t>Community Health Initiative Narrative</w:t>
      </w:r>
    </w:p>
    <w:p w14:paraId="4BCDA64B" w14:textId="77777777" w:rsidR="00584465" w:rsidRPr="00F40D2F" w:rsidRDefault="00584465" w:rsidP="00F40D2F">
      <w:pPr>
        <w:pStyle w:val="ListParagraph"/>
        <w:ind w:left="1080"/>
        <w:jc w:val="both"/>
        <w:rPr>
          <w:rFonts w:ascii="Arial" w:hAnsi="Arial" w:cs="Arial"/>
        </w:rPr>
      </w:pPr>
    </w:p>
    <w:p w14:paraId="2B7164F0" w14:textId="45B0E464" w:rsidR="00B22D14" w:rsidRPr="00F40D2F" w:rsidRDefault="00B22D14" w:rsidP="00D629F7">
      <w:pPr>
        <w:pStyle w:val="ListParagraph"/>
        <w:numPr>
          <w:ilvl w:val="0"/>
          <w:numId w:val="4"/>
        </w:numPr>
        <w:jc w:val="both"/>
        <w:rPr>
          <w:rFonts w:ascii="Arial" w:hAnsi="Arial" w:cs="Arial"/>
          <w:u w:val="single"/>
        </w:rPr>
      </w:pPr>
      <w:r w:rsidRPr="00F40D2F">
        <w:rPr>
          <w:rFonts w:ascii="Arial" w:hAnsi="Arial" w:cs="Arial"/>
          <w:u w:val="single"/>
        </w:rPr>
        <w:t>C</w:t>
      </w:r>
      <w:r w:rsidR="00202930" w:rsidRPr="00F40D2F">
        <w:rPr>
          <w:rFonts w:ascii="Arial" w:hAnsi="Arial" w:cs="Arial"/>
          <w:u w:val="single"/>
        </w:rPr>
        <w:t xml:space="preserve">ommunity Health Initiative </w:t>
      </w:r>
      <w:r w:rsidRPr="00F40D2F">
        <w:rPr>
          <w:rFonts w:ascii="Arial" w:hAnsi="Arial" w:cs="Arial"/>
          <w:u w:val="single"/>
        </w:rPr>
        <w:t>Monies</w:t>
      </w:r>
    </w:p>
    <w:p w14:paraId="75680731" w14:textId="0227D575" w:rsidR="00C041B7" w:rsidRPr="00BF7EC4" w:rsidRDefault="00C041B7" w:rsidP="00C041B7">
      <w:pPr>
        <w:spacing w:after="0" w:line="240" w:lineRule="auto"/>
        <w:rPr>
          <w:rFonts w:ascii="Arial" w:hAnsi="Arial" w:cs="Arial"/>
        </w:rPr>
      </w:pPr>
      <w:bookmarkStart w:id="1" w:name="_Hlk3556169"/>
      <w:r w:rsidRPr="00BF7EC4">
        <w:rPr>
          <w:rFonts w:ascii="Arial" w:hAnsi="Arial" w:cs="Arial"/>
        </w:rPr>
        <w:t xml:space="preserve">The breakdown of Community Health Initiative (“CHI”) monies for the </w:t>
      </w:r>
      <w:r w:rsidR="00762EF4">
        <w:rPr>
          <w:rFonts w:ascii="Arial" w:hAnsi="Arial" w:cs="Arial"/>
        </w:rPr>
        <w:t>p</w:t>
      </w:r>
      <w:r w:rsidRPr="00BF7EC4">
        <w:rPr>
          <w:rFonts w:ascii="Arial" w:hAnsi="Arial" w:cs="Arial"/>
        </w:rPr>
        <w:t xml:space="preserve">roposed </w:t>
      </w:r>
      <w:r w:rsidR="00762EF4" w:rsidRPr="00F40D2F">
        <w:rPr>
          <w:rFonts w:ascii="Arial" w:hAnsi="Arial" w:cs="Arial"/>
        </w:rPr>
        <w:t>Determination of Need (“DoN”) Project</w:t>
      </w:r>
      <w:r w:rsidR="00762EF4" w:rsidRPr="00BF7EC4">
        <w:rPr>
          <w:rFonts w:ascii="Arial" w:hAnsi="Arial" w:cs="Arial"/>
        </w:rPr>
        <w:t xml:space="preserve"> </w:t>
      </w:r>
      <w:r w:rsidRPr="00BF7EC4">
        <w:rPr>
          <w:rFonts w:ascii="Arial" w:hAnsi="Arial" w:cs="Arial"/>
        </w:rPr>
        <w:t>is as follows</w:t>
      </w:r>
      <w:r w:rsidR="00995881">
        <w:rPr>
          <w:rFonts w:ascii="Arial" w:hAnsi="Arial" w:cs="Arial"/>
        </w:rPr>
        <w:t xml:space="preserve">. Please note, all totals are presented in the order calculated, beginning with the Maximum Capital Expenditure (“MCE”). </w:t>
      </w:r>
      <w:r w:rsidRPr="00BF7EC4">
        <w:rPr>
          <w:rFonts w:ascii="Arial" w:hAnsi="Arial" w:cs="Arial"/>
        </w:rPr>
        <w:t xml:space="preserve"> </w:t>
      </w:r>
    </w:p>
    <w:bookmarkEnd w:id="1"/>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mmunity Health Initiative Monies"/>
        <w:tblDescription w:val="Community Health Initiative Monies table"/>
      </w:tblPr>
      <w:tblGrid>
        <w:gridCol w:w="2705"/>
        <w:gridCol w:w="1890"/>
        <w:gridCol w:w="4860"/>
      </w:tblGrid>
      <w:tr w:rsidR="00BC605A" w14:paraId="19540796" w14:textId="77777777" w:rsidTr="005D553B">
        <w:trPr>
          <w:tblHeader/>
        </w:trPr>
        <w:tc>
          <w:tcPr>
            <w:tcW w:w="2705" w:type="dxa"/>
            <w:vAlign w:val="center"/>
          </w:tcPr>
          <w:p w14:paraId="6C5DFEEB" w14:textId="77777777" w:rsidR="00BC605A" w:rsidRDefault="00BC605A" w:rsidP="000C3505">
            <w:pPr>
              <w:spacing w:after="40"/>
              <w:rPr>
                <w:rFonts w:ascii="Arial" w:hAnsi="Arial" w:cs="Arial"/>
              </w:rPr>
            </w:pPr>
          </w:p>
        </w:tc>
        <w:tc>
          <w:tcPr>
            <w:tcW w:w="1890" w:type="dxa"/>
            <w:vAlign w:val="center"/>
          </w:tcPr>
          <w:p w14:paraId="6D097E05" w14:textId="18B78033" w:rsidR="00BC605A" w:rsidRPr="00150449" w:rsidRDefault="00BC605A" w:rsidP="000C3505">
            <w:pPr>
              <w:spacing w:after="40"/>
              <w:rPr>
                <w:rFonts w:ascii="Arial" w:hAnsi="Arial" w:cs="Arial"/>
                <w:b/>
                <w:bCs/>
              </w:rPr>
            </w:pPr>
            <w:r>
              <w:rPr>
                <w:rFonts w:ascii="Arial" w:hAnsi="Arial" w:cs="Arial"/>
                <w:b/>
                <w:bCs/>
              </w:rPr>
              <w:t>Total</w:t>
            </w:r>
          </w:p>
        </w:tc>
        <w:tc>
          <w:tcPr>
            <w:tcW w:w="4860" w:type="dxa"/>
            <w:vAlign w:val="center"/>
          </w:tcPr>
          <w:p w14:paraId="20348160" w14:textId="77777777" w:rsidR="00BC605A" w:rsidRDefault="00BC605A" w:rsidP="000C3505">
            <w:pPr>
              <w:spacing w:after="40"/>
              <w:rPr>
                <w:rFonts w:ascii="Arial" w:hAnsi="Arial" w:cs="Arial"/>
                <w:b/>
                <w:bCs/>
              </w:rPr>
            </w:pPr>
            <w:r>
              <w:rPr>
                <w:rFonts w:ascii="Arial" w:hAnsi="Arial" w:cs="Arial"/>
                <w:b/>
                <w:bCs/>
              </w:rPr>
              <w:t>Description</w:t>
            </w:r>
          </w:p>
        </w:tc>
      </w:tr>
      <w:tr w:rsidR="00BC605A" w14:paraId="1AAA56CE" w14:textId="77777777" w:rsidTr="00D0148A">
        <w:tc>
          <w:tcPr>
            <w:tcW w:w="2705" w:type="dxa"/>
            <w:tcBorders>
              <w:bottom w:val="single" w:sz="4" w:space="0" w:color="auto"/>
            </w:tcBorders>
            <w:vAlign w:val="center"/>
          </w:tcPr>
          <w:p w14:paraId="47B3B273" w14:textId="77777777" w:rsidR="00BC605A" w:rsidRPr="00150449" w:rsidRDefault="00BC605A" w:rsidP="000C3505">
            <w:pPr>
              <w:spacing w:after="40"/>
              <w:rPr>
                <w:rFonts w:ascii="Arial" w:hAnsi="Arial" w:cs="Arial"/>
                <w:b/>
                <w:bCs/>
              </w:rPr>
            </w:pPr>
            <w:r w:rsidRPr="00150449">
              <w:rPr>
                <w:rFonts w:ascii="Arial" w:hAnsi="Arial" w:cs="Arial"/>
                <w:b/>
                <w:bCs/>
              </w:rPr>
              <w:t>MCE</w:t>
            </w:r>
          </w:p>
        </w:tc>
        <w:tc>
          <w:tcPr>
            <w:tcW w:w="1890" w:type="dxa"/>
            <w:tcBorders>
              <w:bottom w:val="single" w:sz="4" w:space="0" w:color="auto"/>
            </w:tcBorders>
            <w:vAlign w:val="center"/>
          </w:tcPr>
          <w:p w14:paraId="53D1BF04" w14:textId="5A2E6B98" w:rsidR="00BC605A" w:rsidRDefault="00F7560A" w:rsidP="000C3505">
            <w:pPr>
              <w:spacing w:after="40"/>
              <w:rPr>
                <w:rFonts w:ascii="Arial" w:hAnsi="Arial" w:cs="Arial"/>
              </w:rPr>
            </w:pPr>
            <w:r w:rsidRPr="00F7560A">
              <w:rPr>
                <w:rFonts w:ascii="Arial" w:hAnsi="Arial" w:cs="Arial"/>
              </w:rPr>
              <w:t>$2,387,481.00</w:t>
            </w:r>
          </w:p>
        </w:tc>
        <w:tc>
          <w:tcPr>
            <w:tcW w:w="4860" w:type="dxa"/>
            <w:tcBorders>
              <w:bottom w:val="single" w:sz="4" w:space="0" w:color="auto"/>
            </w:tcBorders>
            <w:vAlign w:val="center"/>
          </w:tcPr>
          <w:p w14:paraId="3099E31B" w14:textId="77777777" w:rsidR="00BC605A" w:rsidRDefault="00BC605A" w:rsidP="000C3505">
            <w:pPr>
              <w:spacing w:after="40"/>
              <w:rPr>
                <w:rFonts w:ascii="Arial" w:hAnsi="Arial" w:cs="Arial"/>
              </w:rPr>
            </w:pPr>
          </w:p>
        </w:tc>
      </w:tr>
      <w:tr w:rsidR="00BC605A" w14:paraId="636F1D70" w14:textId="77777777" w:rsidTr="00D0148A">
        <w:tc>
          <w:tcPr>
            <w:tcW w:w="2705" w:type="dxa"/>
            <w:tcBorders>
              <w:top w:val="single" w:sz="4" w:space="0" w:color="auto"/>
              <w:bottom w:val="single" w:sz="4" w:space="0" w:color="auto"/>
            </w:tcBorders>
            <w:vAlign w:val="center"/>
          </w:tcPr>
          <w:p w14:paraId="13D0E811" w14:textId="77777777" w:rsidR="00BC605A" w:rsidRPr="00150449" w:rsidRDefault="00BC605A" w:rsidP="000C3505">
            <w:pPr>
              <w:spacing w:after="40"/>
              <w:rPr>
                <w:rFonts w:ascii="Arial" w:hAnsi="Arial" w:cs="Arial"/>
                <w:b/>
                <w:bCs/>
              </w:rPr>
            </w:pPr>
            <w:r w:rsidRPr="00150449">
              <w:rPr>
                <w:rFonts w:ascii="Arial" w:hAnsi="Arial" w:cs="Arial"/>
                <w:b/>
                <w:bCs/>
              </w:rPr>
              <w:t>CHI</w:t>
            </w:r>
            <w:r>
              <w:rPr>
                <w:rFonts w:ascii="Arial" w:hAnsi="Arial" w:cs="Arial"/>
                <w:b/>
                <w:bCs/>
              </w:rPr>
              <w:t xml:space="preserve"> Monies </w:t>
            </w:r>
          </w:p>
        </w:tc>
        <w:tc>
          <w:tcPr>
            <w:tcW w:w="1890" w:type="dxa"/>
            <w:tcBorders>
              <w:top w:val="single" w:sz="4" w:space="0" w:color="auto"/>
              <w:bottom w:val="single" w:sz="4" w:space="0" w:color="auto"/>
            </w:tcBorders>
            <w:vAlign w:val="center"/>
          </w:tcPr>
          <w:p w14:paraId="506395BD" w14:textId="199F2545" w:rsidR="00BC605A" w:rsidRDefault="001575C9" w:rsidP="000C3505">
            <w:pPr>
              <w:tabs>
                <w:tab w:val="left" w:pos="1425"/>
              </w:tabs>
              <w:spacing w:after="40"/>
              <w:rPr>
                <w:rFonts w:ascii="Arial" w:hAnsi="Arial" w:cs="Arial"/>
              </w:rPr>
            </w:pPr>
            <w:r>
              <w:rPr>
                <w:rFonts w:ascii="Arial" w:hAnsi="Arial" w:cs="Arial"/>
              </w:rPr>
              <w:t>$</w:t>
            </w:r>
            <w:r w:rsidR="00F7560A">
              <w:rPr>
                <w:rFonts w:ascii="Arial" w:hAnsi="Arial" w:cs="Arial"/>
              </w:rPr>
              <w:t>119,374.05</w:t>
            </w:r>
          </w:p>
        </w:tc>
        <w:tc>
          <w:tcPr>
            <w:tcW w:w="4860" w:type="dxa"/>
            <w:tcBorders>
              <w:top w:val="single" w:sz="4" w:space="0" w:color="auto"/>
              <w:bottom w:val="single" w:sz="4" w:space="0" w:color="auto"/>
            </w:tcBorders>
            <w:vAlign w:val="center"/>
          </w:tcPr>
          <w:p w14:paraId="17744B08" w14:textId="77777777" w:rsidR="00BC605A" w:rsidRPr="00BF7EC4" w:rsidRDefault="00BC605A" w:rsidP="000C3505">
            <w:pPr>
              <w:tabs>
                <w:tab w:val="left" w:pos="1425"/>
              </w:tabs>
              <w:spacing w:after="40"/>
              <w:rPr>
                <w:rFonts w:ascii="Arial" w:hAnsi="Arial" w:cs="Arial"/>
              </w:rPr>
            </w:pPr>
            <w:r>
              <w:rPr>
                <w:rFonts w:ascii="Arial" w:hAnsi="Arial" w:cs="Arial"/>
                <w:sz w:val="18"/>
                <w:szCs w:val="18"/>
              </w:rPr>
              <w:t>(</w:t>
            </w:r>
            <w:r w:rsidRPr="009A756A">
              <w:rPr>
                <w:rFonts w:ascii="Arial" w:hAnsi="Arial" w:cs="Arial"/>
                <w:sz w:val="18"/>
                <w:szCs w:val="18"/>
              </w:rPr>
              <w:t>5% of Maximum Capital Expenditure)</w:t>
            </w:r>
          </w:p>
        </w:tc>
      </w:tr>
      <w:tr w:rsidR="00BC605A" w14:paraId="54C31497" w14:textId="77777777" w:rsidTr="00D0148A">
        <w:tc>
          <w:tcPr>
            <w:tcW w:w="2705" w:type="dxa"/>
            <w:tcBorders>
              <w:top w:val="single" w:sz="4" w:space="0" w:color="auto"/>
              <w:bottom w:val="single" w:sz="4" w:space="0" w:color="auto"/>
            </w:tcBorders>
            <w:vAlign w:val="center"/>
          </w:tcPr>
          <w:p w14:paraId="38C93FFC" w14:textId="77777777" w:rsidR="00BC605A" w:rsidRPr="00150449" w:rsidRDefault="00BC605A" w:rsidP="000C3505">
            <w:pPr>
              <w:spacing w:after="40"/>
              <w:rPr>
                <w:rFonts w:ascii="Arial" w:hAnsi="Arial" w:cs="Arial"/>
                <w:b/>
                <w:bCs/>
              </w:rPr>
            </w:pPr>
            <w:r w:rsidRPr="00150449">
              <w:rPr>
                <w:rFonts w:ascii="Arial" w:hAnsi="Arial" w:cs="Arial"/>
                <w:b/>
                <w:bCs/>
              </w:rPr>
              <w:t xml:space="preserve">Administrative Fee </w:t>
            </w:r>
          </w:p>
        </w:tc>
        <w:tc>
          <w:tcPr>
            <w:tcW w:w="1890" w:type="dxa"/>
            <w:tcBorders>
              <w:top w:val="single" w:sz="4" w:space="0" w:color="auto"/>
              <w:bottom w:val="single" w:sz="4" w:space="0" w:color="auto"/>
            </w:tcBorders>
            <w:vAlign w:val="center"/>
          </w:tcPr>
          <w:p w14:paraId="1BA86869" w14:textId="3AB03B1A" w:rsidR="00BC605A" w:rsidRDefault="001575C9" w:rsidP="000C3505">
            <w:pPr>
              <w:spacing w:after="40"/>
              <w:rPr>
                <w:rFonts w:ascii="Arial" w:hAnsi="Arial" w:cs="Arial"/>
              </w:rPr>
            </w:pPr>
            <w:r>
              <w:rPr>
                <w:rFonts w:ascii="Arial" w:hAnsi="Arial" w:cs="Arial"/>
              </w:rPr>
              <w:t>$</w:t>
            </w:r>
            <w:r w:rsidR="00F7560A">
              <w:rPr>
                <w:rFonts w:ascii="Arial" w:hAnsi="Arial" w:cs="Arial"/>
              </w:rPr>
              <w:t>4,774.96</w:t>
            </w:r>
          </w:p>
        </w:tc>
        <w:tc>
          <w:tcPr>
            <w:tcW w:w="4860" w:type="dxa"/>
            <w:tcBorders>
              <w:top w:val="single" w:sz="4" w:space="0" w:color="auto"/>
              <w:bottom w:val="single" w:sz="4" w:space="0" w:color="auto"/>
            </w:tcBorders>
            <w:vAlign w:val="center"/>
          </w:tcPr>
          <w:p w14:paraId="26BA5106" w14:textId="5793B69E" w:rsidR="00BC605A" w:rsidRPr="00BF7EC4" w:rsidRDefault="00BC605A" w:rsidP="000C3505">
            <w:pPr>
              <w:spacing w:after="40"/>
              <w:rPr>
                <w:rFonts w:ascii="Arial" w:hAnsi="Arial" w:cs="Arial"/>
              </w:rPr>
            </w:pPr>
            <w:r w:rsidRPr="009A756A">
              <w:rPr>
                <w:rFonts w:ascii="Arial" w:hAnsi="Arial" w:cs="Arial"/>
                <w:sz w:val="18"/>
                <w:szCs w:val="18"/>
              </w:rPr>
              <w:t xml:space="preserve">(4% of the CHI </w:t>
            </w:r>
            <w:r>
              <w:rPr>
                <w:rFonts w:ascii="Arial" w:hAnsi="Arial" w:cs="Arial"/>
                <w:sz w:val="18"/>
                <w:szCs w:val="18"/>
              </w:rPr>
              <w:t>M</w:t>
            </w:r>
            <w:r w:rsidRPr="009A756A">
              <w:rPr>
                <w:rFonts w:ascii="Arial" w:hAnsi="Arial" w:cs="Arial"/>
                <w:sz w:val="18"/>
                <w:szCs w:val="18"/>
              </w:rPr>
              <w:t>onies</w:t>
            </w:r>
            <w:r>
              <w:rPr>
                <w:rFonts w:ascii="Arial" w:hAnsi="Arial" w:cs="Arial"/>
                <w:sz w:val="18"/>
                <w:szCs w:val="18"/>
              </w:rPr>
              <w:t xml:space="preserve">, retained by </w:t>
            </w:r>
            <w:r w:rsidR="001575C9">
              <w:rPr>
                <w:rFonts w:ascii="Arial" w:hAnsi="Arial" w:cs="Arial"/>
                <w:sz w:val="18"/>
                <w:szCs w:val="18"/>
              </w:rPr>
              <w:t>South Shore</w:t>
            </w:r>
            <w:r w:rsidRPr="009A756A">
              <w:rPr>
                <w:rFonts w:ascii="Arial" w:hAnsi="Arial" w:cs="Arial"/>
                <w:sz w:val="18"/>
                <w:szCs w:val="18"/>
              </w:rPr>
              <w:t>)</w:t>
            </w:r>
          </w:p>
        </w:tc>
      </w:tr>
      <w:tr w:rsidR="00BC605A" w14:paraId="0516D07E" w14:textId="77777777" w:rsidTr="00D0148A">
        <w:tc>
          <w:tcPr>
            <w:tcW w:w="2705" w:type="dxa"/>
            <w:tcBorders>
              <w:top w:val="single" w:sz="4" w:space="0" w:color="auto"/>
              <w:bottom w:val="single" w:sz="4" w:space="0" w:color="auto"/>
            </w:tcBorders>
            <w:vAlign w:val="center"/>
          </w:tcPr>
          <w:p w14:paraId="5AF9D4A6" w14:textId="77777777" w:rsidR="00BC605A" w:rsidRPr="00150449" w:rsidRDefault="00BC605A" w:rsidP="000C3505">
            <w:pPr>
              <w:spacing w:after="40"/>
              <w:rPr>
                <w:rFonts w:ascii="Arial" w:hAnsi="Arial" w:cs="Arial"/>
                <w:b/>
                <w:bCs/>
              </w:rPr>
            </w:pPr>
            <w:r>
              <w:rPr>
                <w:rFonts w:ascii="Arial" w:hAnsi="Arial" w:cs="Arial"/>
                <w:b/>
                <w:bCs/>
              </w:rPr>
              <w:t xml:space="preserve">Remaining Monies </w:t>
            </w:r>
          </w:p>
        </w:tc>
        <w:tc>
          <w:tcPr>
            <w:tcW w:w="1890" w:type="dxa"/>
            <w:tcBorders>
              <w:top w:val="single" w:sz="4" w:space="0" w:color="auto"/>
              <w:bottom w:val="single" w:sz="4" w:space="0" w:color="auto"/>
            </w:tcBorders>
            <w:vAlign w:val="center"/>
          </w:tcPr>
          <w:p w14:paraId="3D5FBE72" w14:textId="28712971" w:rsidR="00BC605A" w:rsidRPr="00BF7EC4" w:rsidRDefault="001575C9" w:rsidP="000C3505">
            <w:pPr>
              <w:spacing w:after="40"/>
              <w:rPr>
                <w:rFonts w:ascii="Arial" w:hAnsi="Arial" w:cs="Arial"/>
              </w:rPr>
            </w:pPr>
            <w:r>
              <w:rPr>
                <w:rFonts w:ascii="Arial" w:hAnsi="Arial" w:cs="Arial"/>
              </w:rPr>
              <w:t>$</w:t>
            </w:r>
            <w:r w:rsidR="00F7560A">
              <w:rPr>
                <w:rFonts w:ascii="Arial" w:hAnsi="Arial" w:cs="Arial"/>
              </w:rPr>
              <w:t>114,599.09</w:t>
            </w:r>
          </w:p>
        </w:tc>
        <w:tc>
          <w:tcPr>
            <w:tcW w:w="4860" w:type="dxa"/>
            <w:tcBorders>
              <w:top w:val="single" w:sz="4" w:space="0" w:color="auto"/>
              <w:bottom w:val="single" w:sz="4" w:space="0" w:color="auto"/>
            </w:tcBorders>
            <w:vAlign w:val="center"/>
          </w:tcPr>
          <w:p w14:paraId="1D19E299" w14:textId="77777777" w:rsidR="00BC605A" w:rsidRDefault="00BC605A" w:rsidP="000C3505">
            <w:pPr>
              <w:spacing w:after="40"/>
              <w:rPr>
                <w:rFonts w:ascii="Arial" w:hAnsi="Arial" w:cs="Arial"/>
              </w:rPr>
            </w:pPr>
            <w:r w:rsidRPr="00DD0550">
              <w:rPr>
                <w:rFonts w:ascii="Arial" w:hAnsi="Arial" w:cs="Arial"/>
                <w:sz w:val="18"/>
                <w:szCs w:val="18"/>
              </w:rPr>
              <w:t>(CHI Monies minus the Administrative fee)</w:t>
            </w:r>
          </w:p>
        </w:tc>
      </w:tr>
      <w:tr w:rsidR="00BC605A" w14:paraId="2636AA7B" w14:textId="77777777" w:rsidTr="00D0148A">
        <w:tc>
          <w:tcPr>
            <w:tcW w:w="2705" w:type="dxa"/>
            <w:tcBorders>
              <w:top w:val="single" w:sz="4" w:space="0" w:color="auto"/>
              <w:bottom w:val="single" w:sz="4" w:space="0" w:color="auto"/>
            </w:tcBorders>
            <w:vAlign w:val="center"/>
          </w:tcPr>
          <w:p w14:paraId="57491B22" w14:textId="77777777" w:rsidR="00BC605A" w:rsidRPr="00150449" w:rsidRDefault="00BC605A" w:rsidP="000C3505">
            <w:pPr>
              <w:spacing w:after="40"/>
              <w:rPr>
                <w:rFonts w:ascii="Arial" w:hAnsi="Arial" w:cs="Arial"/>
                <w:b/>
                <w:bCs/>
              </w:rPr>
            </w:pPr>
            <w:r w:rsidRPr="00150449">
              <w:rPr>
                <w:rFonts w:ascii="Arial" w:hAnsi="Arial" w:cs="Arial"/>
                <w:b/>
                <w:bCs/>
              </w:rPr>
              <w:t xml:space="preserve">Statewide Initiative </w:t>
            </w:r>
          </w:p>
        </w:tc>
        <w:tc>
          <w:tcPr>
            <w:tcW w:w="1890" w:type="dxa"/>
            <w:tcBorders>
              <w:top w:val="single" w:sz="4" w:space="0" w:color="auto"/>
              <w:bottom w:val="single" w:sz="4" w:space="0" w:color="auto"/>
            </w:tcBorders>
            <w:vAlign w:val="center"/>
          </w:tcPr>
          <w:p w14:paraId="2AA2CB62" w14:textId="6EFED6FF" w:rsidR="00BC605A" w:rsidRDefault="001575C9" w:rsidP="000C3505">
            <w:pPr>
              <w:spacing w:after="40"/>
              <w:rPr>
                <w:rFonts w:ascii="Arial" w:hAnsi="Arial" w:cs="Arial"/>
              </w:rPr>
            </w:pPr>
            <w:r>
              <w:rPr>
                <w:rFonts w:ascii="Arial" w:hAnsi="Arial" w:cs="Arial"/>
              </w:rPr>
              <w:t>$</w:t>
            </w:r>
            <w:r w:rsidR="00F7560A">
              <w:rPr>
                <w:rFonts w:ascii="Arial" w:hAnsi="Arial" w:cs="Arial"/>
              </w:rPr>
              <w:t>11,459.91</w:t>
            </w:r>
          </w:p>
        </w:tc>
        <w:tc>
          <w:tcPr>
            <w:tcW w:w="4860" w:type="dxa"/>
            <w:tcBorders>
              <w:top w:val="single" w:sz="4" w:space="0" w:color="auto"/>
              <w:bottom w:val="single" w:sz="4" w:space="0" w:color="auto"/>
            </w:tcBorders>
            <w:vAlign w:val="center"/>
          </w:tcPr>
          <w:p w14:paraId="426134E2" w14:textId="77777777" w:rsidR="00BC605A" w:rsidRPr="00BF7EC4" w:rsidRDefault="00BC605A" w:rsidP="000C3505">
            <w:pPr>
              <w:spacing w:after="40"/>
              <w:rPr>
                <w:rFonts w:ascii="Arial" w:hAnsi="Arial" w:cs="Arial"/>
              </w:rPr>
            </w:pPr>
            <w:r w:rsidRPr="009A756A">
              <w:rPr>
                <w:rFonts w:ascii="Arial" w:hAnsi="Arial" w:cs="Arial"/>
                <w:sz w:val="18"/>
                <w:szCs w:val="18"/>
              </w:rPr>
              <w:t>(</w:t>
            </w:r>
            <w:r>
              <w:rPr>
                <w:rFonts w:ascii="Arial" w:hAnsi="Arial" w:cs="Arial"/>
                <w:sz w:val="18"/>
                <w:szCs w:val="18"/>
              </w:rPr>
              <w:t>10</w:t>
            </w:r>
            <w:r w:rsidRPr="009A756A">
              <w:rPr>
                <w:rFonts w:ascii="Arial" w:hAnsi="Arial" w:cs="Arial"/>
                <w:sz w:val="18"/>
                <w:szCs w:val="18"/>
              </w:rPr>
              <w:t>% of remaining monies</w:t>
            </w:r>
            <w:r>
              <w:rPr>
                <w:rFonts w:ascii="Arial" w:hAnsi="Arial" w:cs="Arial"/>
                <w:sz w:val="18"/>
                <w:szCs w:val="18"/>
              </w:rPr>
              <w:t>, paid to State-wide fund</w:t>
            </w:r>
            <w:r w:rsidRPr="009A756A">
              <w:rPr>
                <w:rFonts w:ascii="Arial" w:hAnsi="Arial" w:cs="Arial"/>
                <w:sz w:val="18"/>
                <w:szCs w:val="18"/>
              </w:rPr>
              <w:t>)</w:t>
            </w:r>
          </w:p>
        </w:tc>
      </w:tr>
      <w:tr w:rsidR="00BC605A" w14:paraId="602ACB09" w14:textId="77777777" w:rsidTr="00D0148A">
        <w:tc>
          <w:tcPr>
            <w:tcW w:w="2705" w:type="dxa"/>
            <w:tcBorders>
              <w:top w:val="single" w:sz="4" w:space="0" w:color="auto"/>
              <w:bottom w:val="single" w:sz="4" w:space="0" w:color="auto"/>
            </w:tcBorders>
            <w:vAlign w:val="center"/>
          </w:tcPr>
          <w:p w14:paraId="1A36E523" w14:textId="77777777" w:rsidR="00BC605A" w:rsidRPr="00150449" w:rsidRDefault="00BC605A" w:rsidP="000C3505">
            <w:pPr>
              <w:spacing w:after="40"/>
              <w:rPr>
                <w:rFonts w:ascii="Arial" w:hAnsi="Arial" w:cs="Arial"/>
                <w:b/>
                <w:bCs/>
              </w:rPr>
            </w:pPr>
            <w:r>
              <w:rPr>
                <w:rFonts w:ascii="Arial" w:hAnsi="Arial" w:cs="Arial"/>
                <w:b/>
                <w:bCs/>
              </w:rPr>
              <w:t xml:space="preserve">Local Initiative </w:t>
            </w:r>
          </w:p>
        </w:tc>
        <w:tc>
          <w:tcPr>
            <w:tcW w:w="1890" w:type="dxa"/>
            <w:tcBorders>
              <w:top w:val="single" w:sz="4" w:space="0" w:color="auto"/>
              <w:bottom w:val="single" w:sz="4" w:space="0" w:color="auto"/>
            </w:tcBorders>
            <w:vAlign w:val="center"/>
          </w:tcPr>
          <w:p w14:paraId="470128E3" w14:textId="2BA3D2DC" w:rsidR="00BC605A" w:rsidRPr="00BF7EC4" w:rsidRDefault="001575C9" w:rsidP="000C3505">
            <w:pPr>
              <w:spacing w:after="40"/>
              <w:rPr>
                <w:rFonts w:ascii="Arial" w:hAnsi="Arial" w:cs="Arial"/>
              </w:rPr>
            </w:pPr>
            <w:r>
              <w:rPr>
                <w:rFonts w:ascii="Arial" w:hAnsi="Arial" w:cs="Arial"/>
              </w:rPr>
              <w:t>$</w:t>
            </w:r>
            <w:r w:rsidR="00F7560A">
              <w:rPr>
                <w:rFonts w:ascii="Arial" w:hAnsi="Arial" w:cs="Arial"/>
              </w:rPr>
              <w:t>103,139.18</w:t>
            </w:r>
          </w:p>
        </w:tc>
        <w:tc>
          <w:tcPr>
            <w:tcW w:w="4860" w:type="dxa"/>
            <w:tcBorders>
              <w:top w:val="single" w:sz="4" w:space="0" w:color="auto"/>
              <w:bottom w:val="single" w:sz="4" w:space="0" w:color="auto"/>
            </w:tcBorders>
            <w:vAlign w:val="center"/>
          </w:tcPr>
          <w:p w14:paraId="128A56A6" w14:textId="77777777" w:rsidR="00BC605A" w:rsidRDefault="00BC605A" w:rsidP="000C3505">
            <w:pPr>
              <w:spacing w:after="40"/>
              <w:rPr>
                <w:rFonts w:ascii="Arial" w:hAnsi="Arial" w:cs="Arial"/>
              </w:rPr>
            </w:pPr>
            <w:r w:rsidRPr="00995881">
              <w:rPr>
                <w:rFonts w:ascii="Arial" w:hAnsi="Arial" w:cs="Arial"/>
                <w:sz w:val="18"/>
                <w:szCs w:val="18"/>
              </w:rPr>
              <w:t>(90% of remaining monies)</w:t>
            </w:r>
          </w:p>
        </w:tc>
      </w:tr>
      <w:tr w:rsidR="00BC605A" w14:paraId="662553C4" w14:textId="77777777" w:rsidTr="00D0148A">
        <w:tc>
          <w:tcPr>
            <w:tcW w:w="2705" w:type="dxa"/>
            <w:tcBorders>
              <w:top w:val="single" w:sz="4" w:space="0" w:color="auto"/>
              <w:bottom w:val="single" w:sz="4" w:space="0" w:color="auto"/>
            </w:tcBorders>
            <w:vAlign w:val="center"/>
          </w:tcPr>
          <w:p w14:paraId="64BC02F7" w14:textId="77777777" w:rsidR="00BC605A" w:rsidRPr="00150449" w:rsidRDefault="00BC605A" w:rsidP="000C3505">
            <w:pPr>
              <w:spacing w:after="40"/>
              <w:rPr>
                <w:rFonts w:ascii="Arial" w:hAnsi="Arial" w:cs="Arial"/>
                <w:b/>
                <w:bCs/>
              </w:rPr>
            </w:pPr>
            <w:r w:rsidRPr="00150449">
              <w:rPr>
                <w:rFonts w:ascii="Arial" w:hAnsi="Arial" w:cs="Arial"/>
                <w:b/>
                <w:bCs/>
              </w:rPr>
              <w:t xml:space="preserve">Evaluation Monies </w:t>
            </w:r>
          </w:p>
        </w:tc>
        <w:tc>
          <w:tcPr>
            <w:tcW w:w="1890" w:type="dxa"/>
            <w:tcBorders>
              <w:top w:val="single" w:sz="4" w:space="0" w:color="auto"/>
              <w:bottom w:val="single" w:sz="4" w:space="0" w:color="auto"/>
            </w:tcBorders>
            <w:vAlign w:val="center"/>
          </w:tcPr>
          <w:p w14:paraId="1BCAB0BF" w14:textId="06F25B49" w:rsidR="00BC605A" w:rsidRDefault="001575C9" w:rsidP="000C3505">
            <w:pPr>
              <w:spacing w:after="40"/>
              <w:rPr>
                <w:rFonts w:ascii="Arial" w:hAnsi="Arial" w:cs="Arial"/>
              </w:rPr>
            </w:pPr>
            <w:r>
              <w:rPr>
                <w:rFonts w:ascii="Arial" w:hAnsi="Arial" w:cs="Arial"/>
              </w:rPr>
              <w:t>$</w:t>
            </w:r>
            <w:r w:rsidR="00F7560A">
              <w:rPr>
                <w:rFonts w:ascii="Arial" w:hAnsi="Arial" w:cs="Arial"/>
              </w:rPr>
              <w:t>10,313.92</w:t>
            </w:r>
          </w:p>
        </w:tc>
        <w:tc>
          <w:tcPr>
            <w:tcW w:w="4860" w:type="dxa"/>
            <w:tcBorders>
              <w:top w:val="single" w:sz="4" w:space="0" w:color="auto"/>
              <w:bottom w:val="single" w:sz="4" w:space="0" w:color="auto"/>
            </w:tcBorders>
            <w:vAlign w:val="center"/>
          </w:tcPr>
          <w:p w14:paraId="49EB6242" w14:textId="11E01F85" w:rsidR="00BC605A" w:rsidRPr="00BF7EC4" w:rsidRDefault="00BC605A" w:rsidP="000C3505">
            <w:pPr>
              <w:spacing w:after="40"/>
              <w:rPr>
                <w:rFonts w:ascii="Arial" w:hAnsi="Arial" w:cs="Arial"/>
              </w:rPr>
            </w:pPr>
            <w:r w:rsidRPr="009A756A">
              <w:rPr>
                <w:rFonts w:ascii="Arial" w:hAnsi="Arial" w:cs="Arial"/>
                <w:sz w:val="18"/>
                <w:szCs w:val="18"/>
              </w:rPr>
              <w:t xml:space="preserve">(10% of Local </w:t>
            </w:r>
            <w:r>
              <w:rPr>
                <w:rFonts w:ascii="Arial" w:hAnsi="Arial" w:cs="Arial"/>
                <w:sz w:val="18"/>
                <w:szCs w:val="18"/>
              </w:rPr>
              <w:t xml:space="preserve">Initiative Monies, retained by </w:t>
            </w:r>
            <w:r w:rsidR="001575C9">
              <w:rPr>
                <w:rFonts w:ascii="Arial" w:hAnsi="Arial" w:cs="Arial"/>
                <w:sz w:val="18"/>
                <w:szCs w:val="18"/>
              </w:rPr>
              <w:t>South Shore</w:t>
            </w:r>
            <w:r w:rsidRPr="009A756A">
              <w:rPr>
                <w:rFonts w:ascii="Arial" w:hAnsi="Arial" w:cs="Arial"/>
                <w:sz w:val="18"/>
                <w:szCs w:val="18"/>
              </w:rPr>
              <w:t>)</w:t>
            </w:r>
          </w:p>
        </w:tc>
      </w:tr>
      <w:tr w:rsidR="00BC605A" w14:paraId="1FD8A98E" w14:textId="77777777" w:rsidTr="00D0148A">
        <w:tc>
          <w:tcPr>
            <w:tcW w:w="2705" w:type="dxa"/>
            <w:tcBorders>
              <w:top w:val="single" w:sz="4" w:space="0" w:color="auto"/>
            </w:tcBorders>
            <w:shd w:val="clear" w:color="auto" w:fill="F2F2F2" w:themeFill="background1" w:themeFillShade="F2"/>
            <w:vAlign w:val="center"/>
          </w:tcPr>
          <w:p w14:paraId="410B8595" w14:textId="77777777" w:rsidR="00BC605A" w:rsidRPr="00150449" w:rsidRDefault="00BC605A" w:rsidP="000C3505">
            <w:pPr>
              <w:spacing w:after="40"/>
              <w:rPr>
                <w:rFonts w:ascii="Arial" w:hAnsi="Arial" w:cs="Arial"/>
                <w:b/>
                <w:bCs/>
              </w:rPr>
            </w:pPr>
            <w:r>
              <w:rPr>
                <w:rFonts w:ascii="Arial" w:hAnsi="Arial" w:cs="Arial"/>
                <w:b/>
                <w:bCs/>
              </w:rPr>
              <w:t xml:space="preserve">CHI </w:t>
            </w:r>
            <w:r w:rsidRPr="00150449">
              <w:rPr>
                <w:rFonts w:ascii="Arial" w:hAnsi="Arial" w:cs="Arial"/>
                <w:b/>
                <w:bCs/>
              </w:rPr>
              <w:t xml:space="preserve">Monies for </w:t>
            </w:r>
            <w:r>
              <w:rPr>
                <w:rFonts w:ascii="Arial" w:hAnsi="Arial" w:cs="Arial"/>
                <w:b/>
                <w:bCs/>
              </w:rPr>
              <w:t xml:space="preserve">Local </w:t>
            </w:r>
            <w:r w:rsidRPr="00150449">
              <w:rPr>
                <w:rFonts w:ascii="Arial" w:hAnsi="Arial" w:cs="Arial"/>
                <w:b/>
                <w:bCs/>
              </w:rPr>
              <w:t xml:space="preserve">Disbursement </w:t>
            </w:r>
          </w:p>
        </w:tc>
        <w:tc>
          <w:tcPr>
            <w:tcW w:w="1890" w:type="dxa"/>
            <w:tcBorders>
              <w:top w:val="single" w:sz="4" w:space="0" w:color="auto"/>
            </w:tcBorders>
            <w:shd w:val="clear" w:color="auto" w:fill="F2F2F2" w:themeFill="background1" w:themeFillShade="F2"/>
            <w:vAlign w:val="center"/>
          </w:tcPr>
          <w:p w14:paraId="721076DF" w14:textId="776D9066" w:rsidR="00BC605A" w:rsidRDefault="001575C9" w:rsidP="000C3505">
            <w:pPr>
              <w:spacing w:after="40"/>
              <w:rPr>
                <w:rFonts w:ascii="Arial" w:hAnsi="Arial" w:cs="Arial"/>
              </w:rPr>
            </w:pPr>
            <w:r>
              <w:rPr>
                <w:rFonts w:ascii="Arial" w:hAnsi="Arial" w:cs="Arial"/>
              </w:rPr>
              <w:t>$</w:t>
            </w:r>
            <w:r w:rsidR="006E1832">
              <w:rPr>
                <w:rFonts w:ascii="Arial" w:hAnsi="Arial" w:cs="Arial"/>
              </w:rPr>
              <w:t>92,82</w:t>
            </w:r>
            <w:r w:rsidR="009018D4">
              <w:rPr>
                <w:rFonts w:ascii="Arial" w:hAnsi="Arial" w:cs="Arial"/>
              </w:rPr>
              <w:t>5.26</w:t>
            </w:r>
          </w:p>
        </w:tc>
        <w:tc>
          <w:tcPr>
            <w:tcW w:w="4860" w:type="dxa"/>
            <w:tcBorders>
              <w:top w:val="single" w:sz="4" w:space="0" w:color="auto"/>
            </w:tcBorders>
            <w:shd w:val="clear" w:color="auto" w:fill="F2F2F2" w:themeFill="background1" w:themeFillShade="F2"/>
            <w:vAlign w:val="center"/>
          </w:tcPr>
          <w:p w14:paraId="7CAD4FBB" w14:textId="77777777" w:rsidR="00BC605A" w:rsidRDefault="00BC605A" w:rsidP="000C3505">
            <w:pPr>
              <w:spacing w:after="40"/>
              <w:rPr>
                <w:rFonts w:ascii="Arial" w:hAnsi="Arial" w:cs="Arial"/>
              </w:rPr>
            </w:pPr>
          </w:p>
        </w:tc>
      </w:tr>
    </w:tbl>
    <w:p w14:paraId="7DD8B7B2" w14:textId="77777777" w:rsidR="000E2918" w:rsidRPr="000E2918" w:rsidRDefault="000E2918" w:rsidP="000E2918">
      <w:pPr>
        <w:spacing w:after="40" w:line="240" w:lineRule="auto"/>
        <w:rPr>
          <w:rFonts w:ascii="Arial" w:hAnsi="Arial" w:cs="Arial"/>
        </w:rPr>
      </w:pPr>
    </w:p>
    <w:p w14:paraId="7CD3995C" w14:textId="77777777" w:rsidR="00EA79CD" w:rsidRPr="00EA79CD" w:rsidRDefault="00EA79CD" w:rsidP="00EA79CD">
      <w:pPr>
        <w:pStyle w:val="ListParagraph"/>
        <w:rPr>
          <w:rFonts w:ascii="Arial" w:hAnsi="Arial" w:cs="Arial"/>
        </w:rPr>
      </w:pPr>
    </w:p>
    <w:p w14:paraId="53DFADA3" w14:textId="1C0A195D" w:rsidR="00A32FC9" w:rsidRPr="00F40D2F" w:rsidRDefault="00833643" w:rsidP="00D629F7">
      <w:pPr>
        <w:pStyle w:val="ListParagraph"/>
        <w:numPr>
          <w:ilvl w:val="0"/>
          <w:numId w:val="4"/>
        </w:numPr>
        <w:jc w:val="both"/>
        <w:rPr>
          <w:rFonts w:ascii="Arial" w:hAnsi="Arial" w:cs="Arial"/>
          <w:u w:val="single"/>
        </w:rPr>
      </w:pPr>
      <w:r w:rsidRPr="00F40D2F">
        <w:rPr>
          <w:rFonts w:ascii="Arial" w:hAnsi="Arial" w:cs="Arial"/>
          <w:u w:val="single"/>
        </w:rPr>
        <w:t>Overview and</w:t>
      </w:r>
      <w:r w:rsidR="00A32FC9" w:rsidRPr="00F40D2F">
        <w:rPr>
          <w:rFonts w:ascii="Arial" w:hAnsi="Arial" w:cs="Arial"/>
          <w:u w:val="single"/>
        </w:rPr>
        <w:t xml:space="preserve"> Discussion of CHNA/</w:t>
      </w:r>
      <w:r w:rsidR="002A171B">
        <w:rPr>
          <w:rFonts w:ascii="Arial" w:hAnsi="Arial" w:cs="Arial"/>
          <w:u w:val="single"/>
        </w:rPr>
        <w:t xml:space="preserve">CHI </w:t>
      </w:r>
      <w:r w:rsidR="00A32FC9" w:rsidRPr="00F40D2F">
        <w:rPr>
          <w:rFonts w:ascii="Arial" w:hAnsi="Arial" w:cs="Arial"/>
          <w:u w:val="single"/>
        </w:rPr>
        <w:t>Proces</w:t>
      </w:r>
      <w:r w:rsidR="00584465" w:rsidRPr="00F40D2F">
        <w:rPr>
          <w:rFonts w:ascii="Arial" w:hAnsi="Arial" w:cs="Arial"/>
          <w:u w:val="single"/>
        </w:rPr>
        <w:t>s</w:t>
      </w:r>
      <w:r w:rsidR="00F40D2F">
        <w:rPr>
          <w:rFonts w:ascii="Arial" w:hAnsi="Arial" w:cs="Arial"/>
          <w:u w:val="single"/>
        </w:rPr>
        <w:t>es</w:t>
      </w:r>
      <w:r w:rsidR="00584465" w:rsidRPr="00F40D2F">
        <w:rPr>
          <w:rFonts w:ascii="Arial" w:hAnsi="Arial" w:cs="Arial"/>
          <w:u w:val="single"/>
        </w:rPr>
        <w:t xml:space="preserve"> </w:t>
      </w:r>
    </w:p>
    <w:p w14:paraId="4882449F" w14:textId="0B8BC3A6" w:rsidR="007B3366" w:rsidRPr="007B3366" w:rsidRDefault="00BC209B" w:rsidP="007B3366">
      <w:pPr>
        <w:spacing w:after="0" w:line="240" w:lineRule="auto"/>
        <w:jc w:val="both"/>
        <w:rPr>
          <w:rFonts w:ascii="Arial" w:hAnsi="Arial" w:cs="Arial"/>
        </w:rPr>
      </w:pPr>
      <w:r>
        <w:rPr>
          <w:rFonts w:ascii="Arial" w:hAnsi="Arial" w:cs="Arial"/>
        </w:rPr>
        <w:t>T</w:t>
      </w:r>
      <w:r w:rsidR="00A32FC9" w:rsidRPr="00F40D2F">
        <w:rPr>
          <w:rFonts w:ascii="Arial" w:hAnsi="Arial" w:cs="Arial"/>
        </w:rPr>
        <w:t xml:space="preserve">he </w:t>
      </w:r>
      <w:r w:rsidR="00762EF4">
        <w:rPr>
          <w:rFonts w:ascii="Arial" w:hAnsi="Arial" w:cs="Arial"/>
        </w:rPr>
        <w:t>CHI</w:t>
      </w:r>
      <w:r w:rsidR="00584465" w:rsidRPr="00F40D2F">
        <w:rPr>
          <w:rFonts w:ascii="Arial" w:hAnsi="Arial" w:cs="Arial"/>
        </w:rPr>
        <w:t xml:space="preserve"> </w:t>
      </w:r>
      <w:r w:rsidR="00A32FC9" w:rsidRPr="00F40D2F">
        <w:rPr>
          <w:rFonts w:ascii="Arial" w:hAnsi="Arial" w:cs="Arial"/>
        </w:rPr>
        <w:t xml:space="preserve">for the proposed </w:t>
      </w:r>
      <w:r w:rsidR="00762EF4">
        <w:rPr>
          <w:rFonts w:ascii="Arial" w:hAnsi="Arial" w:cs="Arial"/>
        </w:rPr>
        <w:t>DoN project</w:t>
      </w:r>
      <w:r w:rsidR="007502C5">
        <w:rPr>
          <w:rStyle w:val="FootnoteReference"/>
          <w:rFonts w:ascii="Arial" w:hAnsi="Arial" w:cs="Arial"/>
        </w:rPr>
        <w:footnoteReference w:id="1"/>
      </w:r>
      <w:r w:rsidR="00A32FC9" w:rsidRPr="00F40D2F">
        <w:rPr>
          <w:rFonts w:ascii="Arial" w:hAnsi="Arial" w:cs="Arial"/>
        </w:rPr>
        <w:t xml:space="preserve"> will be conducted by</w:t>
      </w:r>
      <w:r w:rsidR="00584465" w:rsidRPr="00F40D2F">
        <w:rPr>
          <w:rFonts w:ascii="Arial" w:hAnsi="Arial" w:cs="Arial"/>
        </w:rPr>
        <w:t xml:space="preserve"> </w:t>
      </w:r>
      <w:r w:rsidR="007F4384">
        <w:rPr>
          <w:rFonts w:ascii="Arial" w:hAnsi="Arial" w:cs="Arial"/>
        </w:rPr>
        <w:t>South Shore</w:t>
      </w:r>
      <w:r w:rsidR="00AB6B6F">
        <w:rPr>
          <w:rFonts w:ascii="Arial" w:hAnsi="Arial" w:cs="Arial"/>
        </w:rPr>
        <w:t xml:space="preserve"> </w:t>
      </w:r>
      <w:r w:rsidR="00537027">
        <w:rPr>
          <w:rFonts w:ascii="Arial" w:hAnsi="Arial" w:cs="Arial"/>
        </w:rPr>
        <w:t>Health System</w:t>
      </w:r>
      <w:r w:rsidR="00AB6B6F">
        <w:rPr>
          <w:rFonts w:ascii="Arial" w:hAnsi="Arial" w:cs="Arial"/>
        </w:rPr>
        <w:t xml:space="preserve"> </w:t>
      </w:r>
      <w:r w:rsidR="007B3366">
        <w:rPr>
          <w:rFonts w:ascii="Arial" w:hAnsi="Arial" w:cs="Arial"/>
        </w:rPr>
        <w:t>(</w:t>
      </w:r>
      <w:r w:rsidR="007F4384">
        <w:rPr>
          <w:rFonts w:ascii="Arial" w:hAnsi="Arial" w:cs="Arial"/>
        </w:rPr>
        <w:t>the “</w:t>
      </w:r>
      <w:r w:rsidR="00537027">
        <w:rPr>
          <w:rFonts w:ascii="Arial" w:hAnsi="Arial" w:cs="Arial"/>
        </w:rPr>
        <w:t>Applicant</w:t>
      </w:r>
      <w:r w:rsidR="007F4384">
        <w:rPr>
          <w:rFonts w:ascii="Arial" w:hAnsi="Arial" w:cs="Arial"/>
        </w:rPr>
        <w:t>”</w:t>
      </w:r>
      <w:r w:rsidR="00AB6B6F">
        <w:rPr>
          <w:rFonts w:ascii="Arial" w:hAnsi="Arial" w:cs="Arial"/>
        </w:rPr>
        <w:t>)</w:t>
      </w:r>
      <w:r w:rsidR="00737017">
        <w:rPr>
          <w:rFonts w:ascii="Arial" w:hAnsi="Arial" w:cs="Arial"/>
        </w:rPr>
        <w:t>.</w:t>
      </w:r>
      <w:r w:rsidR="00833643" w:rsidRPr="00F40D2F">
        <w:rPr>
          <w:rFonts w:ascii="Arial" w:hAnsi="Arial" w:cs="Arial"/>
        </w:rPr>
        <w:t xml:space="preserve"> </w:t>
      </w:r>
      <w:r w:rsidR="00537027">
        <w:rPr>
          <w:rFonts w:ascii="Arial" w:hAnsi="Arial" w:cs="Arial"/>
        </w:rPr>
        <w:t>The Applicant’s</w:t>
      </w:r>
      <w:r w:rsidR="007B3366">
        <w:rPr>
          <w:rFonts w:ascii="Arial" w:hAnsi="Arial" w:cs="Arial"/>
        </w:rPr>
        <w:t xml:space="preserve"> </w:t>
      </w:r>
      <w:r w:rsidR="007B3366" w:rsidRPr="007B3366">
        <w:rPr>
          <w:rFonts w:ascii="Arial" w:hAnsi="Arial" w:cs="Arial"/>
        </w:rPr>
        <w:t xml:space="preserve">2019 Community Health Needs Assessment (CHNA) and Implementation Strategy (IS) were overseen and managed by the </w:t>
      </w:r>
      <w:r w:rsidR="00537027">
        <w:rPr>
          <w:rFonts w:ascii="Arial" w:hAnsi="Arial" w:cs="Arial"/>
        </w:rPr>
        <w:t>Applicant</w:t>
      </w:r>
      <w:r w:rsidR="007B3366" w:rsidRPr="007B3366">
        <w:rPr>
          <w:rFonts w:ascii="Arial" w:hAnsi="Arial" w:cs="Arial"/>
        </w:rPr>
        <w:t>’s Office of Home and Community Care. The CHNA and IS were developed through a collaborative process involving both administrative and clinical staff at SSH, and Steering and Advisory Committees made up of health and social service providers, community health advocates, and other community leaders. The Steering and Advisory Committees met periodically throughout the assessment and planning process in order to inform the assessment and planning approach, oversee progress, and provide critical feedback on preliminary and final results.</w:t>
      </w:r>
      <w:r w:rsidR="007C0192" w:rsidRPr="007C0192">
        <w:rPr>
          <w:rFonts w:ascii="Arial" w:hAnsi="Arial" w:cs="Arial"/>
        </w:rPr>
        <w:t xml:space="preserve"> </w:t>
      </w:r>
    </w:p>
    <w:p w14:paraId="76912FE8" w14:textId="77777777" w:rsidR="007B3366" w:rsidRDefault="007B3366" w:rsidP="007B3366">
      <w:pPr>
        <w:spacing w:after="0" w:line="240" w:lineRule="auto"/>
        <w:jc w:val="both"/>
        <w:rPr>
          <w:rFonts w:ascii="Arial" w:hAnsi="Arial" w:cs="Arial"/>
        </w:rPr>
      </w:pPr>
    </w:p>
    <w:p w14:paraId="6D28002F" w14:textId="2612F6ED" w:rsidR="007B3366" w:rsidRDefault="007B3366" w:rsidP="007B3366">
      <w:pPr>
        <w:spacing w:after="0" w:line="240" w:lineRule="auto"/>
        <w:jc w:val="both"/>
        <w:rPr>
          <w:rFonts w:ascii="Arial" w:hAnsi="Arial" w:cs="Arial"/>
        </w:rPr>
      </w:pPr>
      <w:r w:rsidRPr="007B3366">
        <w:rPr>
          <w:rFonts w:ascii="Arial" w:hAnsi="Arial" w:cs="Arial"/>
        </w:rPr>
        <w:t xml:space="preserve">Since the beginning of the assessment in July of 2018, more than 100 individuals participated in interviews, focus groups, and community forums. </w:t>
      </w:r>
      <w:r w:rsidR="001575C9">
        <w:rPr>
          <w:rFonts w:ascii="Arial" w:hAnsi="Arial" w:cs="Arial"/>
        </w:rPr>
        <w:t>An additional</w:t>
      </w:r>
      <w:r w:rsidRPr="007B3366">
        <w:rPr>
          <w:rFonts w:ascii="Arial" w:hAnsi="Arial" w:cs="Arial"/>
        </w:rPr>
        <w:t xml:space="preserve"> 80 community members from </w:t>
      </w:r>
      <w:r w:rsidR="00537027">
        <w:rPr>
          <w:rFonts w:ascii="Arial" w:hAnsi="Arial" w:cs="Arial"/>
        </w:rPr>
        <w:t>the Applicant</w:t>
      </w:r>
      <w:r w:rsidRPr="007B3366">
        <w:rPr>
          <w:rFonts w:ascii="Arial" w:hAnsi="Arial" w:cs="Arial"/>
        </w:rPr>
        <w:t xml:space="preserve">’s primary service area completed a Community Health Survey. The information gathered as part of these efforts allowed </w:t>
      </w:r>
      <w:r w:rsidR="00537027">
        <w:rPr>
          <w:rFonts w:ascii="Arial" w:hAnsi="Arial" w:cs="Arial"/>
        </w:rPr>
        <w:t>the Applicant</w:t>
      </w:r>
      <w:r w:rsidRPr="007B3366">
        <w:rPr>
          <w:rFonts w:ascii="Arial" w:hAnsi="Arial" w:cs="Arial"/>
        </w:rPr>
        <w:t xml:space="preserve"> to engage the community and gain a better understanding of community health status, barriers to care, service gaps, and </w:t>
      </w:r>
      <w:r w:rsidR="001575C9">
        <w:rPr>
          <w:rFonts w:ascii="Arial" w:hAnsi="Arial" w:cs="Arial"/>
        </w:rPr>
        <w:t>social</w:t>
      </w:r>
      <w:r w:rsidRPr="007B3366">
        <w:rPr>
          <w:rFonts w:ascii="Arial" w:hAnsi="Arial" w:cs="Arial"/>
        </w:rPr>
        <w:t xml:space="preserve"> determinants of health</w:t>
      </w:r>
      <w:r w:rsidR="001575C9">
        <w:rPr>
          <w:rFonts w:ascii="Arial" w:hAnsi="Arial" w:cs="Arial"/>
        </w:rPr>
        <w:t xml:space="preserve"> as well as </w:t>
      </w:r>
      <w:r w:rsidR="001575C9" w:rsidRPr="007B3366">
        <w:rPr>
          <w:rFonts w:ascii="Arial" w:hAnsi="Arial" w:cs="Arial"/>
        </w:rPr>
        <w:t>community capacity</w:t>
      </w:r>
      <w:r w:rsidR="001575C9">
        <w:rPr>
          <w:rFonts w:ascii="Arial" w:hAnsi="Arial" w:cs="Arial"/>
        </w:rPr>
        <w:t xml:space="preserve"> and </w:t>
      </w:r>
      <w:r w:rsidR="001575C9" w:rsidRPr="007B3366">
        <w:rPr>
          <w:rFonts w:ascii="Arial" w:hAnsi="Arial" w:cs="Arial"/>
        </w:rPr>
        <w:t>strengths</w:t>
      </w:r>
      <w:r w:rsidR="001575C9">
        <w:rPr>
          <w:rFonts w:ascii="Arial" w:hAnsi="Arial" w:cs="Arial"/>
        </w:rPr>
        <w:t xml:space="preserve">. </w:t>
      </w:r>
      <w:r w:rsidR="007C0192">
        <w:rPr>
          <w:rFonts w:ascii="Arial" w:hAnsi="Arial" w:cs="Arial"/>
        </w:rPr>
        <w:t xml:space="preserve">In addition to primary sources of information from the community, </w:t>
      </w:r>
      <w:r w:rsidR="00537027">
        <w:rPr>
          <w:rFonts w:ascii="Arial" w:hAnsi="Arial" w:cs="Arial"/>
        </w:rPr>
        <w:t xml:space="preserve">the Applicant </w:t>
      </w:r>
      <w:r w:rsidR="007C0192">
        <w:rPr>
          <w:rFonts w:ascii="Arial" w:hAnsi="Arial" w:cs="Arial"/>
        </w:rPr>
        <w:t>also relied on secondary data from diverse sources to examine the community’s</w:t>
      </w:r>
      <w:r w:rsidR="007C0192" w:rsidRPr="00EF0BC5">
        <w:rPr>
          <w:rFonts w:ascii="Arial" w:hAnsi="Arial" w:cs="Arial"/>
        </w:rPr>
        <w:t xml:space="preserve"> health. </w:t>
      </w:r>
    </w:p>
    <w:p w14:paraId="3E5456EA" w14:textId="77777777" w:rsidR="007B3366" w:rsidRDefault="007B3366" w:rsidP="00C26B21">
      <w:pPr>
        <w:spacing w:after="0" w:line="240" w:lineRule="auto"/>
        <w:jc w:val="both"/>
        <w:rPr>
          <w:rFonts w:ascii="Arial" w:hAnsi="Arial" w:cs="Arial"/>
        </w:rPr>
      </w:pPr>
    </w:p>
    <w:p w14:paraId="4AF08A0F" w14:textId="7F2CF7B3" w:rsidR="00EF0BC5" w:rsidRPr="00C26B21" w:rsidRDefault="007B3366" w:rsidP="00C26B21">
      <w:pPr>
        <w:spacing w:after="0" w:line="240" w:lineRule="auto"/>
        <w:jc w:val="both"/>
        <w:rPr>
          <w:rFonts w:ascii="Arial" w:hAnsi="Arial" w:cs="Arial"/>
        </w:rPr>
      </w:pPr>
      <w:r>
        <w:rPr>
          <w:rFonts w:ascii="Arial" w:hAnsi="Arial" w:cs="Arial"/>
        </w:rPr>
        <w:t xml:space="preserve">In </w:t>
      </w:r>
      <w:r w:rsidR="00EF0BC5" w:rsidRPr="00EF0BC5">
        <w:rPr>
          <w:rFonts w:ascii="Arial" w:hAnsi="Arial" w:cs="Arial"/>
        </w:rPr>
        <w:t xml:space="preserve">addition to fulfilling the requirement by the IRS Section H/Form 990 mandate, </w:t>
      </w:r>
      <w:r w:rsidR="00537027">
        <w:rPr>
          <w:rFonts w:ascii="Arial" w:hAnsi="Arial" w:cs="Arial"/>
        </w:rPr>
        <w:t>the Applicant</w:t>
      </w:r>
      <w:r w:rsidR="00C26B21">
        <w:rPr>
          <w:rFonts w:ascii="Arial" w:hAnsi="Arial" w:cs="Arial"/>
        </w:rPr>
        <w:t>’s</w:t>
      </w:r>
      <w:r w:rsidR="00EF0BC5" w:rsidRPr="00EF0BC5">
        <w:rPr>
          <w:rFonts w:ascii="Arial" w:hAnsi="Arial" w:cs="Arial"/>
        </w:rPr>
        <w:t xml:space="preserve"> CHNA process was undertaken to:</w:t>
      </w:r>
    </w:p>
    <w:p w14:paraId="287C2FE2" w14:textId="77777777" w:rsidR="00762EF4" w:rsidRDefault="00762EF4" w:rsidP="00762EF4">
      <w:pPr>
        <w:pStyle w:val="ListParagraph"/>
        <w:numPr>
          <w:ilvl w:val="0"/>
          <w:numId w:val="13"/>
        </w:numPr>
        <w:spacing w:before="120" w:after="40" w:line="240" w:lineRule="auto"/>
        <w:contextualSpacing w:val="0"/>
        <w:jc w:val="both"/>
        <w:rPr>
          <w:rFonts w:ascii="Arial" w:hAnsi="Arial" w:cs="Arial"/>
        </w:rPr>
      </w:pPr>
      <w:r w:rsidRPr="00762EF4">
        <w:rPr>
          <w:rFonts w:ascii="Arial" w:hAnsi="Arial" w:cs="Arial"/>
        </w:rPr>
        <w:t>Evaluate the community’s perceptions of its unmet health needs</w:t>
      </w:r>
    </w:p>
    <w:p w14:paraId="64C9CFAB" w14:textId="77777777" w:rsidR="00762EF4" w:rsidRDefault="00762EF4" w:rsidP="00762EF4">
      <w:pPr>
        <w:pStyle w:val="ListParagraph"/>
        <w:numPr>
          <w:ilvl w:val="0"/>
          <w:numId w:val="13"/>
        </w:numPr>
        <w:spacing w:before="120" w:after="40" w:line="240" w:lineRule="auto"/>
        <w:contextualSpacing w:val="0"/>
        <w:jc w:val="both"/>
        <w:rPr>
          <w:rFonts w:ascii="Arial" w:hAnsi="Arial" w:cs="Arial"/>
        </w:rPr>
      </w:pPr>
      <w:r w:rsidRPr="00762EF4">
        <w:rPr>
          <w:rFonts w:ascii="Arial" w:hAnsi="Arial" w:cs="Arial"/>
        </w:rPr>
        <w:t>Assist the community to better understand its health needs and health status</w:t>
      </w:r>
    </w:p>
    <w:p w14:paraId="13F295F7" w14:textId="77777777" w:rsidR="00762EF4" w:rsidRDefault="00762EF4" w:rsidP="00762EF4">
      <w:pPr>
        <w:pStyle w:val="ListParagraph"/>
        <w:numPr>
          <w:ilvl w:val="0"/>
          <w:numId w:val="13"/>
        </w:numPr>
        <w:spacing w:before="120" w:after="40" w:line="240" w:lineRule="auto"/>
        <w:contextualSpacing w:val="0"/>
        <w:jc w:val="both"/>
        <w:rPr>
          <w:rFonts w:ascii="Arial" w:hAnsi="Arial" w:cs="Arial"/>
        </w:rPr>
      </w:pPr>
      <w:r w:rsidRPr="00762EF4">
        <w:rPr>
          <w:rFonts w:ascii="Arial" w:hAnsi="Arial" w:cs="Arial"/>
        </w:rPr>
        <w:t>Explore opportunities for new programs to meet unmet health needs</w:t>
      </w:r>
    </w:p>
    <w:p w14:paraId="479545DE" w14:textId="77777777" w:rsidR="00762EF4" w:rsidRDefault="00762EF4" w:rsidP="00762EF4">
      <w:pPr>
        <w:pStyle w:val="ListParagraph"/>
        <w:numPr>
          <w:ilvl w:val="0"/>
          <w:numId w:val="13"/>
        </w:numPr>
        <w:spacing w:before="120" w:after="40" w:line="240" w:lineRule="auto"/>
        <w:contextualSpacing w:val="0"/>
        <w:jc w:val="both"/>
        <w:rPr>
          <w:rFonts w:ascii="Arial" w:hAnsi="Arial" w:cs="Arial"/>
        </w:rPr>
      </w:pPr>
      <w:r w:rsidRPr="00762EF4">
        <w:rPr>
          <w:rFonts w:ascii="Arial" w:hAnsi="Arial" w:cs="Arial"/>
        </w:rPr>
        <w:t>Monitor progress toward improving the health of the community</w:t>
      </w:r>
    </w:p>
    <w:p w14:paraId="0790F972" w14:textId="7EC430E9" w:rsidR="00A55B12" w:rsidRPr="00EF0BC5" w:rsidRDefault="00762EF4" w:rsidP="00762EF4">
      <w:pPr>
        <w:pStyle w:val="ListParagraph"/>
        <w:numPr>
          <w:ilvl w:val="0"/>
          <w:numId w:val="13"/>
        </w:numPr>
        <w:spacing w:before="120" w:after="40" w:line="240" w:lineRule="auto"/>
        <w:contextualSpacing w:val="0"/>
        <w:jc w:val="both"/>
        <w:rPr>
          <w:rFonts w:ascii="Arial" w:hAnsi="Arial" w:cs="Arial"/>
        </w:rPr>
      </w:pPr>
      <w:r w:rsidRPr="00762EF4">
        <w:rPr>
          <w:rFonts w:ascii="Arial" w:hAnsi="Arial" w:cs="Arial"/>
        </w:rPr>
        <w:t>Determine how to effectively allocate Community Benefit resources to best respond to community health needs</w:t>
      </w:r>
    </w:p>
    <w:p w14:paraId="36D24A82" w14:textId="3C8130B2" w:rsidR="00EF0BC5" w:rsidRDefault="00EF0BC5" w:rsidP="00EF0BC5">
      <w:pPr>
        <w:spacing w:after="0" w:line="240" w:lineRule="auto"/>
        <w:jc w:val="both"/>
        <w:rPr>
          <w:rFonts w:ascii="Arial" w:hAnsi="Arial" w:cs="Arial"/>
        </w:rPr>
      </w:pPr>
    </w:p>
    <w:p w14:paraId="30F85934" w14:textId="77777777" w:rsidR="007C0192" w:rsidRPr="00A32FC9" w:rsidRDefault="007C0192" w:rsidP="00423A35">
      <w:pPr>
        <w:spacing w:after="0" w:line="240" w:lineRule="auto"/>
        <w:jc w:val="both"/>
        <w:rPr>
          <w:rFonts w:ascii="Arial" w:hAnsi="Arial" w:cs="Arial"/>
        </w:rPr>
      </w:pPr>
    </w:p>
    <w:p w14:paraId="5777EC92" w14:textId="77777777" w:rsidR="00423A35" w:rsidRDefault="00423A35" w:rsidP="00D629F7">
      <w:pPr>
        <w:pStyle w:val="ListParagraph"/>
        <w:numPr>
          <w:ilvl w:val="0"/>
          <w:numId w:val="4"/>
        </w:numPr>
        <w:rPr>
          <w:rFonts w:ascii="Arial" w:hAnsi="Arial" w:cs="Arial"/>
          <w:u w:val="single"/>
        </w:rPr>
      </w:pPr>
      <w:r>
        <w:rPr>
          <w:rFonts w:ascii="Arial" w:hAnsi="Arial" w:cs="Arial"/>
          <w:u w:val="single"/>
        </w:rPr>
        <w:t>Oversight of the CHI Process</w:t>
      </w:r>
    </w:p>
    <w:p w14:paraId="7682415B" w14:textId="527AD0C1" w:rsidR="00423A35" w:rsidRPr="00DF0D1C" w:rsidRDefault="00537027" w:rsidP="00DF0D1C">
      <w:pPr>
        <w:rPr>
          <w:rFonts w:ascii="Arial" w:hAnsi="Arial" w:cs="Arial"/>
        </w:rPr>
      </w:pPr>
      <w:r>
        <w:rPr>
          <w:rFonts w:ascii="Arial" w:hAnsi="Arial" w:cs="Arial"/>
        </w:rPr>
        <w:t xml:space="preserve">The Applicant will leverage its </w:t>
      </w:r>
      <w:r w:rsidR="00DF0D1C">
        <w:rPr>
          <w:rFonts w:ascii="Arial" w:hAnsi="Arial" w:cs="Arial"/>
        </w:rPr>
        <w:t>robust and well-</w:t>
      </w:r>
      <w:r w:rsidR="00BA3EE0">
        <w:rPr>
          <w:rFonts w:ascii="Arial" w:hAnsi="Arial" w:cs="Arial"/>
        </w:rPr>
        <w:t>represented</w:t>
      </w:r>
      <w:r>
        <w:rPr>
          <w:rFonts w:ascii="Arial" w:hAnsi="Arial" w:cs="Arial"/>
        </w:rPr>
        <w:t xml:space="preserve"> Community Benefits Advisory Council (“CBAC”)</w:t>
      </w:r>
      <w:r w:rsidR="00DF0D1C">
        <w:rPr>
          <w:rFonts w:ascii="Arial" w:hAnsi="Arial" w:cs="Arial"/>
        </w:rPr>
        <w:t xml:space="preserve"> </w:t>
      </w:r>
      <w:r>
        <w:rPr>
          <w:rFonts w:ascii="Arial" w:hAnsi="Arial" w:cs="Arial"/>
        </w:rPr>
        <w:t xml:space="preserve">to oversee the development and implementation of the CHI. The CBAC is comprised of community members, residents, leaders, and stakeholders, as well as keys employees across the Applicant’s organization. </w:t>
      </w:r>
    </w:p>
    <w:p w14:paraId="7E123924" w14:textId="77777777" w:rsidR="00423A35" w:rsidRPr="00593FAD" w:rsidRDefault="00423A35" w:rsidP="00D629F7">
      <w:pPr>
        <w:pStyle w:val="ListParagraph"/>
        <w:numPr>
          <w:ilvl w:val="0"/>
          <w:numId w:val="4"/>
        </w:numPr>
        <w:rPr>
          <w:rFonts w:ascii="Arial" w:hAnsi="Arial" w:cs="Arial"/>
          <w:u w:val="single"/>
        </w:rPr>
      </w:pPr>
      <w:r w:rsidRPr="00593FAD">
        <w:rPr>
          <w:rFonts w:ascii="Arial" w:hAnsi="Arial" w:cs="Arial"/>
          <w:u w:val="single"/>
        </w:rPr>
        <w:t>Advisory Committee Duties</w:t>
      </w:r>
    </w:p>
    <w:p w14:paraId="1C27084D" w14:textId="77777777" w:rsidR="00423A35" w:rsidRPr="00593FAD" w:rsidRDefault="00423A35" w:rsidP="00423A35">
      <w:pPr>
        <w:rPr>
          <w:rFonts w:ascii="Arial" w:hAnsi="Arial" w:cs="Arial"/>
        </w:rPr>
      </w:pPr>
      <w:r>
        <w:rPr>
          <w:rFonts w:ascii="Arial" w:hAnsi="Arial" w:cs="Arial"/>
        </w:rPr>
        <w:t>As</w:t>
      </w:r>
      <w:r w:rsidRPr="00593FAD">
        <w:rPr>
          <w:rFonts w:ascii="Arial" w:hAnsi="Arial" w:cs="Arial"/>
        </w:rPr>
        <w:t xml:space="preserve"> this is a Tier </w:t>
      </w:r>
      <w:r>
        <w:rPr>
          <w:rFonts w:ascii="Arial" w:hAnsi="Arial" w:cs="Arial"/>
        </w:rPr>
        <w:t>1</w:t>
      </w:r>
      <w:r w:rsidRPr="00593FAD">
        <w:rPr>
          <w:rFonts w:ascii="Arial" w:hAnsi="Arial" w:cs="Arial"/>
        </w:rPr>
        <w:t xml:space="preserve"> CHI, the scope of work that the </w:t>
      </w:r>
      <w:r>
        <w:rPr>
          <w:rFonts w:ascii="Arial" w:hAnsi="Arial" w:cs="Arial"/>
        </w:rPr>
        <w:t>Advisory Committee</w:t>
      </w:r>
      <w:r w:rsidRPr="00593FAD">
        <w:rPr>
          <w:rFonts w:ascii="Arial" w:hAnsi="Arial" w:cs="Arial"/>
        </w:rPr>
        <w:t xml:space="preserve"> will carry </w:t>
      </w:r>
      <w:r>
        <w:rPr>
          <w:rFonts w:ascii="Arial" w:hAnsi="Arial" w:cs="Arial"/>
        </w:rPr>
        <w:t>out includes:</w:t>
      </w:r>
    </w:p>
    <w:p w14:paraId="20762CF2" w14:textId="77777777" w:rsidR="00423A35" w:rsidRPr="00BF7EC4" w:rsidRDefault="00423A35" w:rsidP="00423A35">
      <w:pPr>
        <w:pStyle w:val="ListParagraph"/>
        <w:numPr>
          <w:ilvl w:val="0"/>
          <w:numId w:val="14"/>
        </w:numPr>
        <w:rPr>
          <w:rFonts w:ascii="Arial" w:hAnsi="Arial" w:cs="Arial"/>
        </w:rPr>
      </w:pPr>
      <w:r w:rsidRPr="00BF7EC4">
        <w:rPr>
          <w:rFonts w:ascii="Arial" w:hAnsi="Arial" w:cs="Arial"/>
        </w:rPr>
        <w:t xml:space="preserve">Ensuring appropriate engagement with residents from targeted communities and community partners around the CHI. </w:t>
      </w:r>
    </w:p>
    <w:p w14:paraId="70A6F184" w14:textId="285B03CB" w:rsidR="00423A35" w:rsidRPr="00BF7EC4" w:rsidRDefault="00423A35" w:rsidP="00423A35">
      <w:pPr>
        <w:pStyle w:val="ListParagraph"/>
        <w:numPr>
          <w:ilvl w:val="0"/>
          <w:numId w:val="14"/>
        </w:numPr>
        <w:rPr>
          <w:rFonts w:ascii="Arial" w:hAnsi="Arial" w:cs="Arial"/>
        </w:rPr>
      </w:pPr>
      <w:r w:rsidRPr="00BF7EC4">
        <w:rPr>
          <w:rFonts w:ascii="Arial" w:hAnsi="Arial" w:cs="Arial"/>
        </w:rPr>
        <w:t xml:space="preserve">Determining the Health Priorities </w:t>
      </w:r>
      <w:r>
        <w:rPr>
          <w:rFonts w:ascii="Arial" w:hAnsi="Arial" w:cs="Arial"/>
        </w:rPr>
        <w:t xml:space="preserve">for </w:t>
      </w:r>
      <w:r w:rsidRPr="00BF7EC4">
        <w:rPr>
          <w:rFonts w:ascii="Arial" w:hAnsi="Arial" w:cs="Arial"/>
        </w:rPr>
        <w:t xml:space="preserve">CHI funding based upon the </w:t>
      </w:r>
      <w:r>
        <w:rPr>
          <w:rFonts w:ascii="Arial" w:hAnsi="Arial" w:cs="Arial"/>
        </w:rPr>
        <w:t>needs identified in the 201</w:t>
      </w:r>
      <w:r w:rsidR="007C0192">
        <w:rPr>
          <w:rFonts w:ascii="Arial" w:hAnsi="Arial" w:cs="Arial"/>
        </w:rPr>
        <w:t>9</w:t>
      </w:r>
      <w:r>
        <w:rPr>
          <w:rFonts w:ascii="Arial" w:hAnsi="Arial" w:cs="Arial"/>
        </w:rPr>
        <w:t xml:space="preserve"> CHNA.</w:t>
      </w:r>
      <w:r w:rsidRPr="00BF7EC4">
        <w:rPr>
          <w:rFonts w:ascii="Arial" w:hAnsi="Arial" w:cs="Arial"/>
        </w:rPr>
        <w:t xml:space="preserve"> The </w:t>
      </w:r>
      <w:r>
        <w:rPr>
          <w:rFonts w:ascii="Arial" w:hAnsi="Arial" w:cs="Arial"/>
        </w:rPr>
        <w:t>Committee</w:t>
      </w:r>
      <w:r w:rsidRPr="00BF7EC4">
        <w:rPr>
          <w:rFonts w:ascii="Arial" w:hAnsi="Arial" w:cs="Arial"/>
        </w:rPr>
        <w:t xml:space="preserve"> will ensure that all Health Priorities are aligned with </w:t>
      </w:r>
      <w:r>
        <w:rPr>
          <w:rFonts w:ascii="Arial" w:hAnsi="Arial" w:cs="Arial"/>
        </w:rPr>
        <w:t>the Department of Public Health’s (“DPH”)</w:t>
      </w:r>
      <w:r w:rsidRPr="00BF7EC4">
        <w:rPr>
          <w:rFonts w:ascii="Arial" w:hAnsi="Arial" w:cs="Arial"/>
        </w:rPr>
        <w:t xml:space="preserve"> Health Priorities and the Executive Office of Health and Human Services’ Focus Areas. </w:t>
      </w:r>
    </w:p>
    <w:p w14:paraId="4F8C383C" w14:textId="77777777" w:rsidR="00423A35" w:rsidRPr="00BF7EC4" w:rsidRDefault="00423A35" w:rsidP="00423A35">
      <w:pPr>
        <w:pStyle w:val="ListParagraph"/>
        <w:numPr>
          <w:ilvl w:val="0"/>
          <w:numId w:val="5"/>
        </w:numPr>
        <w:rPr>
          <w:rFonts w:ascii="Arial" w:hAnsi="Arial" w:cs="Arial"/>
        </w:rPr>
      </w:pPr>
      <w:r w:rsidRPr="00BF7EC4">
        <w:rPr>
          <w:rFonts w:ascii="Arial" w:hAnsi="Arial" w:cs="Arial"/>
        </w:rPr>
        <w:t xml:space="preserve">Providing oversight to </w:t>
      </w:r>
      <w:r>
        <w:rPr>
          <w:rFonts w:ascii="Arial" w:hAnsi="Arial" w:cs="Arial"/>
        </w:rPr>
        <w:t>the</w:t>
      </w:r>
      <w:r w:rsidRPr="00BF7EC4">
        <w:rPr>
          <w:rFonts w:ascii="Arial" w:hAnsi="Arial" w:cs="Arial"/>
        </w:rPr>
        <w:t xml:space="preserve"> evaluator that </w:t>
      </w:r>
      <w:r>
        <w:rPr>
          <w:rFonts w:ascii="Arial" w:hAnsi="Arial" w:cs="Arial"/>
        </w:rPr>
        <w:t>is carrying</w:t>
      </w:r>
      <w:r w:rsidRPr="00BF7EC4">
        <w:rPr>
          <w:rFonts w:ascii="Arial" w:hAnsi="Arial" w:cs="Arial"/>
        </w:rPr>
        <w:t xml:space="preserve"> out the evaluation of CHI-funded projects.</w:t>
      </w:r>
    </w:p>
    <w:p w14:paraId="51562332" w14:textId="77777777" w:rsidR="00423A35" w:rsidRPr="00BF7EC4" w:rsidRDefault="00423A35" w:rsidP="00423A35">
      <w:pPr>
        <w:pStyle w:val="ListParagraph"/>
        <w:numPr>
          <w:ilvl w:val="0"/>
          <w:numId w:val="5"/>
        </w:numPr>
        <w:rPr>
          <w:rFonts w:ascii="Arial" w:hAnsi="Arial" w:cs="Arial"/>
        </w:rPr>
      </w:pPr>
      <w:r w:rsidRPr="00BF7EC4">
        <w:rPr>
          <w:rFonts w:ascii="Arial" w:hAnsi="Arial" w:cs="Arial"/>
        </w:rPr>
        <w:t>Conducting a conflict of interest disclosure process to determine which members also will</w:t>
      </w:r>
      <w:r>
        <w:rPr>
          <w:rFonts w:ascii="Arial" w:hAnsi="Arial" w:cs="Arial"/>
        </w:rPr>
        <w:t xml:space="preserve"> comprise</w:t>
      </w:r>
      <w:r w:rsidRPr="00BF7EC4">
        <w:rPr>
          <w:rFonts w:ascii="Arial" w:hAnsi="Arial" w:cs="Arial"/>
        </w:rPr>
        <w:t xml:space="preserve"> the Allocation Committee.</w:t>
      </w:r>
    </w:p>
    <w:p w14:paraId="7091275A" w14:textId="77777777" w:rsidR="00423A35" w:rsidRPr="00BF7EC4" w:rsidRDefault="00423A35" w:rsidP="00423A35">
      <w:pPr>
        <w:pStyle w:val="ListParagraph"/>
        <w:numPr>
          <w:ilvl w:val="0"/>
          <w:numId w:val="5"/>
        </w:numPr>
        <w:rPr>
          <w:rFonts w:ascii="Arial" w:hAnsi="Arial" w:cs="Arial"/>
        </w:rPr>
      </w:pPr>
      <w:r w:rsidRPr="00BF7EC4">
        <w:rPr>
          <w:rFonts w:ascii="Arial" w:hAnsi="Arial" w:cs="Arial"/>
        </w:rPr>
        <w:t xml:space="preserve">Reporting to the </w:t>
      </w:r>
      <w:r>
        <w:rPr>
          <w:rFonts w:ascii="Arial" w:hAnsi="Arial" w:cs="Arial"/>
        </w:rPr>
        <w:t>DPH</w:t>
      </w:r>
      <w:r w:rsidRPr="00BF7EC4">
        <w:rPr>
          <w:rFonts w:ascii="Arial" w:hAnsi="Arial" w:cs="Arial"/>
        </w:rPr>
        <w:t xml:space="preserve"> on the DoN – CHI. </w:t>
      </w:r>
    </w:p>
    <w:p w14:paraId="0B9FA102" w14:textId="77777777" w:rsidR="00423A35" w:rsidRPr="00593FAD" w:rsidRDefault="00423A35" w:rsidP="00423A35">
      <w:pPr>
        <w:pStyle w:val="ListParagraph"/>
        <w:rPr>
          <w:rFonts w:ascii="Arial" w:hAnsi="Arial" w:cs="Arial"/>
        </w:rPr>
      </w:pPr>
    </w:p>
    <w:p w14:paraId="05F08034" w14:textId="77777777" w:rsidR="00423A35" w:rsidRDefault="00423A35" w:rsidP="00D629F7">
      <w:pPr>
        <w:pStyle w:val="ListParagraph"/>
        <w:numPr>
          <w:ilvl w:val="0"/>
          <w:numId w:val="4"/>
        </w:numPr>
        <w:rPr>
          <w:rFonts w:ascii="Arial" w:hAnsi="Arial" w:cs="Arial"/>
          <w:u w:val="single"/>
        </w:rPr>
      </w:pPr>
      <w:r w:rsidRPr="00593FAD">
        <w:rPr>
          <w:rFonts w:ascii="Arial" w:hAnsi="Arial" w:cs="Arial"/>
          <w:u w:val="single"/>
        </w:rPr>
        <w:t>Allocation Committee Duties</w:t>
      </w:r>
    </w:p>
    <w:p w14:paraId="76730063" w14:textId="2FDE75A8" w:rsidR="00423A35" w:rsidRPr="00593FAD" w:rsidRDefault="00423A35" w:rsidP="00423A35">
      <w:pPr>
        <w:rPr>
          <w:rFonts w:ascii="Arial" w:hAnsi="Arial" w:cs="Arial"/>
        </w:rPr>
      </w:pPr>
      <w:r>
        <w:rPr>
          <w:rFonts w:ascii="Arial" w:hAnsi="Arial" w:cs="Arial"/>
        </w:rPr>
        <w:t xml:space="preserve">The Allocation Committee </w:t>
      </w:r>
      <w:r w:rsidR="007C0192">
        <w:rPr>
          <w:rFonts w:ascii="Arial" w:hAnsi="Arial" w:cs="Arial"/>
        </w:rPr>
        <w:t xml:space="preserve">will be </w:t>
      </w:r>
      <w:r>
        <w:rPr>
          <w:rFonts w:ascii="Arial" w:hAnsi="Arial" w:cs="Arial"/>
        </w:rPr>
        <w:t>comprised of individuals from the Advisory Committee who do not have a conflict of interest with respect to funding CHI strategies. T</w:t>
      </w:r>
      <w:r w:rsidRPr="00593FAD">
        <w:rPr>
          <w:rFonts w:ascii="Arial" w:hAnsi="Arial" w:cs="Arial"/>
        </w:rPr>
        <w:t xml:space="preserve">he scope of work that the </w:t>
      </w:r>
      <w:r>
        <w:rPr>
          <w:rFonts w:ascii="Arial" w:hAnsi="Arial" w:cs="Arial"/>
        </w:rPr>
        <w:t>Allocation Committee will carry out includes</w:t>
      </w:r>
      <w:r w:rsidRPr="00593FAD">
        <w:rPr>
          <w:rFonts w:ascii="Arial" w:hAnsi="Arial" w:cs="Arial"/>
        </w:rPr>
        <w:t>:</w:t>
      </w:r>
    </w:p>
    <w:p w14:paraId="34E2CA54" w14:textId="77777777" w:rsidR="00423A35" w:rsidRPr="00BF7EC4" w:rsidRDefault="00423A35" w:rsidP="00423A35">
      <w:pPr>
        <w:pStyle w:val="ListParagraph"/>
        <w:numPr>
          <w:ilvl w:val="0"/>
          <w:numId w:val="14"/>
        </w:numPr>
        <w:rPr>
          <w:rFonts w:ascii="Arial" w:hAnsi="Arial" w:cs="Arial"/>
        </w:rPr>
      </w:pPr>
      <w:r w:rsidRPr="00BF7EC4">
        <w:rPr>
          <w:rFonts w:ascii="Arial" w:hAnsi="Arial" w:cs="Arial"/>
        </w:rPr>
        <w:t>Selecting Strategies</w:t>
      </w:r>
      <w:r>
        <w:rPr>
          <w:rFonts w:ascii="Arial" w:hAnsi="Arial" w:cs="Arial"/>
        </w:rPr>
        <w:t xml:space="preserve"> for the noted Health Priorities consistent with DPH’s CHI guidelines. </w:t>
      </w:r>
    </w:p>
    <w:p w14:paraId="7B78D5CC" w14:textId="77777777" w:rsidR="00423A35" w:rsidRDefault="00423A35" w:rsidP="00423A35">
      <w:pPr>
        <w:pStyle w:val="ListParagraph"/>
        <w:numPr>
          <w:ilvl w:val="0"/>
          <w:numId w:val="5"/>
        </w:numPr>
        <w:rPr>
          <w:rFonts w:ascii="Arial" w:hAnsi="Arial" w:cs="Arial"/>
        </w:rPr>
      </w:pPr>
      <w:r w:rsidRPr="00593FAD">
        <w:rPr>
          <w:rFonts w:ascii="Arial" w:hAnsi="Arial" w:cs="Arial"/>
        </w:rPr>
        <w:t>Carry</w:t>
      </w:r>
      <w:r>
        <w:rPr>
          <w:rFonts w:ascii="Arial" w:hAnsi="Arial" w:cs="Arial"/>
        </w:rPr>
        <w:t xml:space="preserve">ing </w:t>
      </w:r>
      <w:r w:rsidRPr="00593FAD">
        <w:rPr>
          <w:rFonts w:ascii="Arial" w:hAnsi="Arial" w:cs="Arial"/>
        </w:rPr>
        <w:t xml:space="preserve">out a formal request for proposal (“RFP”) process </w:t>
      </w:r>
      <w:r>
        <w:rPr>
          <w:rFonts w:ascii="Arial" w:hAnsi="Arial" w:cs="Arial"/>
        </w:rPr>
        <w:t xml:space="preserve">(or an equivalent, transparent process) </w:t>
      </w:r>
      <w:r w:rsidRPr="00593FAD">
        <w:rPr>
          <w:rFonts w:ascii="Arial" w:hAnsi="Arial" w:cs="Arial"/>
        </w:rPr>
        <w:t xml:space="preserve">for the disbursement of </w:t>
      </w:r>
      <w:r>
        <w:rPr>
          <w:rFonts w:ascii="Arial" w:hAnsi="Arial" w:cs="Arial"/>
        </w:rPr>
        <w:t xml:space="preserve">CHI </w:t>
      </w:r>
      <w:r w:rsidRPr="00593FAD">
        <w:rPr>
          <w:rFonts w:ascii="Arial" w:hAnsi="Arial" w:cs="Arial"/>
        </w:rPr>
        <w:t>funds.</w:t>
      </w:r>
    </w:p>
    <w:p w14:paraId="65AEF8C8" w14:textId="77777777" w:rsidR="00423A35" w:rsidRDefault="00423A35" w:rsidP="00423A35">
      <w:pPr>
        <w:pStyle w:val="ListParagraph"/>
        <w:numPr>
          <w:ilvl w:val="0"/>
          <w:numId w:val="5"/>
        </w:numPr>
        <w:rPr>
          <w:rFonts w:ascii="Arial" w:hAnsi="Arial" w:cs="Arial"/>
        </w:rPr>
      </w:pPr>
      <w:r w:rsidRPr="00593FAD">
        <w:rPr>
          <w:rFonts w:ascii="Arial" w:hAnsi="Arial" w:cs="Arial"/>
        </w:rPr>
        <w:t>Engag</w:t>
      </w:r>
      <w:r>
        <w:rPr>
          <w:rFonts w:ascii="Arial" w:hAnsi="Arial" w:cs="Arial"/>
        </w:rPr>
        <w:t>ing</w:t>
      </w:r>
      <w:r w:rsidRPr="00593FAD">
        <w:rPr>
          <w:rFonts w:ascii="Arial" w:hAnsi="Arial" w:cs="Arial"/>
        </w:rPr>
        <w:t xml:space="preserve"> resources that can support and assist applicants with their responses to the </w:t>
      </w:r>
      <w:r>
        <w:rPr>
          <w:rFonts w:ascii="Arial" w:hAnsi="Arial" w:cs="Arial"/>
        </w:rPr>
        <w:t>RFP</w:t>
      </w:r>
      <w:r w:rsidRPr="00593FAD">
        <w:rPr>
          <w:rFonts w:ascii="Arial" w:hAnsi="Arial" w:cs="Arial"/>
        </w:rPr>
        <w:t xml:space="preserve">. </w:t>
      </w:r>
    </w:p>
    <w:p w14:paraId="048AEC4C" w14:textId="77777777" w:rsidR="00423A35" w:rsidRDefault="00423A35" w:rsidP="00423A35">
      <w:pPr>
        <w:pStyle w:val="ListParagraph"/>
        <w:numPr>
          <w:ilvl w:val="0"/>
          <w:numId w:val="5"/>
        </w:numPr>
        <w:rPr>
          <w:rFonts w:ascii="Arial" w:hAnsi="Arial" w:cs="Arial"/>
        </w:rPr>
      </w:pPr>
      <w:r w:rsidRPr="00593FAD">
        <w:rPr>
          <w:rFonts w:ascii="Arial" w:hAnsi="Arial" w:cs="Arial"/>
        </w:rPr>
        <w:t xml:space="preserve">Disbursement of </w:t>
      </w:r>
      <w:r>
        <w:rPr>
          <w:rFonts w:ascii="Arial" w:hAnsi="Arial" w:cs="Arial"/>
        </w:rPr>
        <w:t>CHI</w:t>
      </w:r>
      <w:r w:rsidRPr="00593FAD">
        <w:rPr>
          <w:rFonts w:ascii="Arial" w:hAnsi="Arial" w:cs="Arial"/>
        </w:rPr>
        <w:t xml:space="preserve"> funding. </w:t>
      </w:r>
    </w:p>
    <w:p w14:paraId="6097D8B4" w14:textId="77777777" w:rsidR="00423A35" w:rsidRDefault="00423A35" w:rsidP="00423A35">
      <w:pPr>
        <w:pStyle w:val="ListParagraph"/>
        <w:numPr>
          <w:ilvl w:val="0"/>
          <w:numId w:val="5"/>
        </w:numPr>
        <w:rPr>
          <w:rFonts w:ascii="Arial" w:hAnsi="Arial" w:cs="Arial"/>
        </w:rPr>
      </w:pPr>
      <w:r w:rsidRPr="00593FAD">
        <w:rPr>
          <w:rFonts w:ascii="Arial" w:hAnsi="Arial" w:cs="Arial"/>
        </w:rPr>
        <w:t xml:space="preserve">Providing oversight to a third-party vendor that is selected to carry out </w:t>
      </w:r>
      <w:r>
        <w:rPr>
          <w:rFonts w:ascii="Arial" w:hAnsi="Arial" w:cs="Arial"/>
        </w:rPr>
        <w:t>the evaluation of CHI-funded projects.</w:t>
      </w:r>
    </w:p>
    <w:p w14:paraId="3C615AF7" w14:textId="77777777" w:rsidR="00423A35" w:rsidRPr="00CA767C" w:rsidRDefault="00423A35" w:rsidP="00423A35">
      <w:pPr>
        <w:pStyle w:val="ListParagraph"/>
        <w:rPr>
          <w:rFonts w:ascii="Arial" w:hAnsi="Arial" w:cs="Arial"/>
        </w:rPr>
      </w:pPr>
    </w:p>
    <w:p w14:paraId="7DEB8CF2" w14:textId="77777777" w:rsidR="00423A35" w:rsidRPr="00FD5991" w:rsidRDefault="00423A35" w:rsidP="00D629F7">
      <w:pPr>
        <w:pStyle w:val="ListParagraph"/>
        <w:numPr>
          <w:ilvl w:val="0"/>
          <w:numId w:val="4"/>
        </w:numPr>
        <w:rPr>
          <w:rFonts w:ascii="Arial" w:hAnsi="Arial" w:cs="Arial"/>
          <w:u w:val="single"/>
        </w:rPr>
      </w:pPr>
      <w:r w:rsidRPr="00FD5991">
        <w:rPr>
          <w:rFonts w:ascii="Arial" w:hAnsi="Arial" w:cs="Arial"/>
          <w:u w:val="single"/>
        </w:rPr>
        <w:t>Timeline for CHI Activities</w:t>
      </w:r>
    </w:p>
    <w:p w14:paraId="508B0A3D" w14:textId="77777777" w:rsidR="00423A35" w:rsidRDefault="00423A35" w:rsidP="00423A35">
      <w:pPr>
        <w:rPr>
          <w:rFonts w:ascii="Arial" w:hAnsi="Arial" w:cs="Arial"/>
        </w:rPr>
      </w:pPr>
      <w:r>
        <w:rPr>
          <w:rFonts w:ascii="Arial" w:hAnsi="Arial" w:cs="Arial"/>
        </w:rPr>
        <w:t>Upon a Notice of Determination of Need being issued by the Public Health Council, the Advisory Committee will commence meeting and begin the CHI Process. The timeline for CHI activities is as follows:</w:t>
      </w:r>
    </w:p>
    <w:p w14:paraId="0114966A" w14:textId="103A0E0C" w:rsidR="00423A35" w:rsidRPr="0027180B" w:rsidRDefault="00423A35" w:rsidP="00423A35">
      <w:pPr>
        <w:pStyle w:val="ListParagraph"/>
        <w:numPr>
          <w:ilvl w:val="0"/>
          <w:numId w:val="7"/>
        </w:numPr>
        <w:rPr>
          <w:rFonts w:ascii="Arial" w:hAnsi="Arial" w:cs="Arial"/>
        </w:rPr>
      </w:pPr>
      <w:r>
        <w:rPr>
          <w:rFonts w:ascii="Arial" w:hAnsi="Arial" w:cs="Arial"/>
        </w:rPr>
        <w:t>Six weeks</w:t>
      </w:r>
      <w:r w:rsidRPr="0066791B">
        <w:rPr>
          <w:rFonts w:ascii="Arial" w:hAnsi="Arial" w:cs="Arial"/>
        </w:rPr>
        <w:t xml:space="preserve"> post-approval: </w:t>
      </w:r>
      <w:r>
        <w:rPr>
          <w:rFonts w:ascii="Arial" w:hAnsi="Arial" w:cs="Arial"/>
        </w:rPr>
        <w:t xml:space="preserve">The Advisory Committee will begin meeting and reviewing the </w:t>
      </w:r>
      <w:r w:rsidR="007C0192">
        <w:rPr>
          <w:rFonts w:ascii="Arial" w:hAnsi="Arial" w:cs="Arial"/>
        </w:rPr>
        <w:t>2019 CHNA</w:t>
      </w:r>
      <w:r>
        <w:rPr>
          <w:rFonts w:ascii="Arial" w:hAnsi="Arial" w:cs="Arial"/>
        </w:rPr>
        <w:t xml:space="preserve"> to commence the process of selecting Health Priorities. </w:t>
      </w:r>
    </w:p>
    <w:p w14:paraId="0DDB023B" w14:textId="393A4B80" w:rsidR="00423A35" w:rsidRDefault="00423A35" w:rsidP="00423A35">
      <w:pPr>
        <w:pStyle w:val="ListParagraph"/>
        <w:numPr>
          <w:ilvl w:val="0"/>
          <w:numId w:val="7"/>
        </w:numPr>
        <w:rPr>
          <w:rFonts w:ascii="Arial" w:hAnsi="Arial" w:cs="Arial"/>
        </w:rPr>
      </w:pPr>
      <w:r>
        <w:rPr>
          <w:rFonts w:ascii="Arial" w:hAnsi="Arial" w:cs="Arial"/>
        </w:rPr>
        <w:t xml:space="preserve">Three </w:t>
      </w:r>
      <w:r w:rsidR="00831AC9">
        <w:rPr>
          <w:rFonts w:ascii="Arial" w:hAnsi="Arial" w:cs="Arial"/>
        </w:rPr>
        <w:t xml:space="preserve">months </w:t>
      </w:r>
      <w:r>
        <w:rPr>
          <w:rFonts w:ascii="Arial" w:hAnsi="Arial" w:cs="Arial"/>
        </w:rPr>
        <w:t>post-approval: The Advisory Committee determines Health Priorities and Strategies for funding.</w:t>
      </w:r>
    </w:p>
    <w:p w14:paraId="25F13ADF" w14:textId="77777777" w:rsidR="00423A35" w:rsidRDefault="00423A35" w:rsidP="00423A35">
      <w:pPr>
        <w:pStyle w:val="ListParagraph"/>
        <w:numPr>
          <w:ilvl w:val="0"/>
          <w:numId w:val="7"/>
        </w:numPr>
        <w:rPr>
          <w:rFonts w:ascii="Arial" w:hAnsi="Arial" w:cs="Arial"/>
        </w:rPr>
      </w:pPr>
      <w:r>
        <w:rPr>
          <w:rFonts w:ascii="Arial" w:hAnsi="Arial" w:cs="Arial"/>
        </w:rPr>
        <w:t xml:space="preserve">Four months post-approval: The Advisory Committee conducts a Conflicts of Interest process to determine which members will form the Allocation Committee. </w:t>
      </w:r>
    </w:p>
    <w:p w14:paraId="326C4D26" w14:textId="77777777" w:rsidR="00423A35" w:rsidRPr="008E6AE3" w:rsidRDefault="00423A35" w:rsidP="00423A35">
      <w:pPr>
        <w:pStyle w:val="ListParagraph"/>
        <w:numPr>
          <w:ilvl w:val="0"/>
          <w:numId w:val="7"/>
        </w:numPr>
        <w:rPr>
          <w:rFonts w:ascii="Arial" w:hAnsi="Arial" w:cs="Arial"/>
        </w:rPr>
      </w:pPr>
      <w:r>
        <w:rPr>
          <w:rFonts w:ascii="Arial" w:hAnsi="Arial" w:cs="Arial"/>
        </w:rPr>
        <w:t xml:space="preserve">Five months post-approval: </w:t>
      </w:r>
      <w:r w:rsidRPr="008E6AE3">
        <w:rPr>
          <w:rFonts w:ascii="Arial" w:hAnsi="Arial" w:cs="Arial"/>
        </w:rPr>
        <w:t xml:space="preserve">The Allocation Committee </w:t>
      </w:r>
      <w:r>
        <w:rPr>
          <w:rFonts w:ascii="Arial" w:hAnsi="Arial" w:cs="Arial"/>
        </w:rPr>
        <w:t xml:space="preserve">develops the funding process for the selected strategies. </w:t>
      </w:r>
    </w:p>
    <w:p w14:paraId="2F0B1F33" w14:textId="77777777" w:rsidR="00423A35" w:rsidRDefault="00423A35" w:rsidP="00423A35">
      <w:pPr>
        <w:pStyle w:val="ListParagraph"/>
        <w:numPr>
          <w:ilvl w:val="0"/>
          <w:numId w:val="7"/>
        </w:numPr>
        <w:rPr>
          <w:rFonts w:ascii="Arial" w:hAnsi="Arial" w:cs="Arial"/>
        </w:rPr>
      </w:pPr>
      <w:r>
        <w:rPr>
          <w:rFonts w:ascii="Arial" w:hAnsi="Arial" w:cs="Arial"/>
        </w:rPr>
        <w:t>Six months post-approval: The RFP for funding is released.</w:t>
      </w:r>
    </w:p>
    <w:p w14:paraId="3F9D6A53" w14:textId="77777777" w:rsidR="00423A35" w:rsidRDefault="00423A35" w:rsidP="00423A35">
      <w:pPr>
        <w:pStyle w:val="ListParagraph"/>
        <w:numPr>
          <w:ilvl w:val="0"/>
          <w:numId w:val="7"/>
        </w:numPr>
        <w:rPr>
          <w:rFonts w:ascii="Arial" w:hAnsi="Arial" w:cs="Arial"/>
        </w:rPr>
      </w:pPr>
      <w:r>
        <w:rPr>
          <w:rFonts w:ascii="Arial" w:hAnsi="Arial" w:cs="Arial"/>
        </w:rPr>
        <w:t>Eight months post-approval: Responses are due for the RFP.</w:t>
      </w:r>
    </w:p>
    <w:p w14:paraId="1504D164" w14:textId="7C2D6A8C" w:rsidR="00423A35" w:rsidRDefault="00CA7A9D" w:rsidP="00423A35">
      <w:pPr>
        <w:pStyle w:val="ListParagraph"/>
        <w:numPr>
          <w:ilvl w:val="0"/>
          <w:numId w:val="7"/>
        </w:numPr>
        <w:rPr>
          <w:rFonts w:ascii="Arial" w:hAnsi="Arial" w:cs="Arial"/>
        </w:rPr>
      </w:pPr>
      <w:r>
        <w:rPr>
          <w:rFonts w:ascii="Arial" w:hAnsi="Arial" w:cs="Arial"/>
        </w:rPr>
        <w:t>Nine to t</w:t>
      </w:r>
      <w:r w:rsidR="00423A35">
        <w:rPr>
          <w:rFonts w:ascii="Arial" w:hAnsi="Arial" w:cs="Arial"/>
        </w:rPr>
        <w:t>en months post-approval: Funding decisions are made, and the disbursement of funds begins.</w:t>
      </w:r>
    </w:p>
    <w:p w14:paraId="74E197A2" w14:textId="77777777" w:rsidR="00423A35" w:rsidRDefault="00423A35" w:rsidP="00423A35">
      <w:pPr>
        <w:pStyle w:val="ListParagraph"/>
        <w:numPr>
          <w:ilvl w:val="0"/>
          <w:numId w:val="7"/>
        </w:numPr>
        <w:rPr>
          <w:rFonts w:ascii="Arial" w:hAnsi="Arial" w:cs="Arial"/>
        </w:rPr>
      </w:pPr>
      <w:r>
        <w:rPr>
          <w:rFonts w:ascii="Arial" w:hAnsi="Arial" w:cs="Arial"/>
        </w:rPr>
        <w:t>Eighteen months to two years post-approval: Ongoing evaluation efforts and reporting to DPH.</w:t>
      </w:r>
    </w:p>
    <w:p w14:paraId="0D83056F" w14:textId="77777777" w:rsidR="00423A35" w:rsidRPr="00407EC5" w:rsidRDefault="00423A35" w:rsidP="00423A35">
      <w:pPr>
        <w:pStyle w:val="ListParagraph"/>
        <w:rPr>
          <w:rFonts w:ascii="Arial" w:hAnsi="Arial" w:cs="Arial"/>
        </w:rPr>
      </w:pPr>
    </w:p>
    <w:p w14:paraId="7674363B" w14:textId="36237545" w:rsidR="00423A35" w:rsidRPr="00B22D14" w:rsidRDefault="00423A35" w:rsidP="00D629F7">
      <w:pPr>
        <w:pStyle w:val="ListParagraph"/>
        <w:numPr>
          <w:ilvl w:val="0"/>
          <w:numId w:val="4"/>
        </w:numPr>
        <w:rPr>
          <w:rFonts w:ascii="Arial" w:hAnsi="Arial" w:cs="Arial"/>
          <w:u w:val="single"/>
        </w:rPr>
      </w:pPr>
      <w:r w:rsidRPr="00B22D14">
        <w:rPr>
          <w:rFonts w:ascii="Arial" w:hAnsi="Arial" w:cs="Arial"/>
          <w:u w:val="single"/>
        </w:rPr>
        <w:t xml:space="preserve">Request for </w:t>
      </w:r>
      <w:r w:rsidR="00525A39">
        <w:rPr>
          <w:rFonts w:ascii="Arial" w:hAnsi="Arial" w:cs="Arial"/>
          <w:u w:val="single"/>
        </w:rPr>
        <w:t>Multi-Year</w:t>
      </w:r>
      <w:r w:rsidRPr="00B22D14">
        <w:rPr>
          <w:rFonts w:ascii="Arial" w:hAnsi="Arial" w:cs="Arial"/>
          <w:u w:val="single"/>
        </w:rPr>
        <w:t xml:space="preserve"> Funding</w:t>
      </w:r>
    </w:p>
    <w:p w14:paraId="63517D80" w14:textId="3A7136B4" w:rsidR="00423A35" w:rsidRPr="00B22D14" w:rsidRDefault="007C0192" w:rsidP="00423A35">
      <w:pPr>
        <w:rPr>
          <w:rFonts w:ascii="Arial" w:hAnsi="Arial" w:cs="Arial"/>
        </w:rPr>
      </w:pPr>
      <w:r>
        <w:rPr>
          <w:rFonts w:ascii="Arial" w:hAnsi="Arial" w:cs="Arial"/>
        </w:rPr>
        <w:t xml:space="preserve">SSH </w:t>
      </w:r>
      <w:r w:rsidR="00423A35">
        <w:rPr>
          <w:rFonts w:ascii="Arial" w:hAnsi="Arial" w:cs="Arial"/>
        </w:rPr>
        <w:t xml:space="preserve">is seeking additional time to carry out the disbursement of funds for CHI. </w:t>
      </w:r>
      <w:r w:rsidR="00525A39">
        <w:rPr>
          <w:rFonts w:ascii="Arial" w:hAnsi="Arial" w:cs="Arial"/>
        </w:rPr>
        <w:t>In order to promote sustainability of the CHI grants</w:t>
      </w:r>
      <w:r w:rsidR="00423A35">
        <w:rPr>
          <w:rFonts w:ascii="Arial" w:hAnsi="Arial" w:cs="Arial"/>
        </w:rPr>
        <w:t xml:space="preserve">, </w:t>
      </w:r>
      <w:r w:rsidR="007F19A7">
        <w:rPr>
          <w:rFonts w:ascii="Arial" w:hAnsi="Arial" w:cs="Arial"/>
        </w:rPr>
        <w:t>SSH is requesting</w:t>
      </w:r>
      <w:r w:rsidR="00423A35">
        <w:rPr>
          <w:rFonts w:ascii="Arial" w:hAnsi="Arial" w:cs="Arial"/>
        </w:rPr>
        <w:t xml:space="preserve"> </w:t>
      </w:r>
      <w:r w:rsidR="007F19A7">
        <w:rPr>
          <w:rFonts w:ascii="Arial" w:hAnsi="Arial" w:cs="Arial"/>
        </w:rPr>
        <w:t>additional time in order to distribute funds</w:t>
      </w:r>
      <w:r w:rsidR="00423A35">
        <w:rPr>
          <w:rFonts w:ascii="Arial" w:hAnsi="Arial" w:cs="Arial"/>
        </w:rPr>
        <w:t xml:space="preserve"> over a three (</w:t>
      </w:r>
      <w:r w:rsidR="00423A35" w:rsidRPr="00D825E8">
        <w:rPr>
          <w:rFonts w:ascii="Arial" w:hAnsi="Arial" w:cs="Arial"/>
        </w:rPr>
        <w:t>3</w:t>
      </w:r>
      <w:r w:rsidR="00423A35">
        <w:rPr>
          <w:rFonts w:ascii="Arial" w:hAnsi="Arial" w:cs="Arial"/>
        </w:rPr>
        <w:t xml:space="preserve">) </w:t>
      </w:r>
      <w:r w:rsidR="00423A35" w:rsidRPr="00D825E8">
        <w:rPr>
          <w:rFonts w:ascii="Arial" w:hAnsi="Arial" w:cs="Arial"/>
        </w:rPr>
        <w:t>year period</w:t>
      </w:r>
      <w:r w:rsidR="007F19A7">
        <w:rPr>
          <w:rFonts w:ascii="Arial" w:hAnsi="Arial" w:cs="Arial"/>
        </w:rPr>
        <w:t xml:space="preserve">. </w:t>
      </w:r>
    </w:p>
    <w:p w14:paraId="4848924F" w14:textId="77777777" w:rsidR="00423A35" w:rsidRDefault="00423A35" w:rsidP="00D629F7">
      <w:pPr>
        <w:pStyle w:val="ListParagraph"/>
        <w:numPr>
          <w:ilvl w:val="0"/>
          <w:numId w:val="4"/>
        </w:numPr>
        <w:rPr>
          <w:rFonts w:ascii="Arial" w:hAnsi="Arial" w:cs="Arial"/>
          <w:u w:val="single"/>
        </w:rPr>
      </w:pPr>
      <w:r w:rsidRPr="00B22D14">
        <w:rPr>
          <w:rFonts w:ascii="Arial" w:hAnsi="Arial" w:cs="Arial"/>
          <w:u w:val="single"/>
        </w:rPr>
        <w:t>Evaluation Overview</w:t>
      </w:r>
    </w:p>
    <w:p w14:paraId="74A6A072" w14:textId="51CEC83E" w:rsidR="004C6368" w:rsidRDefault="007F19A7" w:rsidP="00423A35">
      <w:pPr>
        <w:rPr>
          <w:rFonts w:ascii="Arial" w:hAnsi="Arial" w:cs="Arial"/>
        </w:rPr>
      </w:pPr>
      <w:r>
        <w:rPr>
          <w:rFonts w:ascii="Arial" w:hAnsi="Arial" w:cs="Arial"/>
        </w:rPr>
        <w:t>SSH</w:t>
      </w:r>
      <w:r w:rsidR="00423A35">
        <w:rPr>
          <w:rFonts w:ascii="Arial" w:hAnsi="Arial" w:cs="Arial"/>
        </w:rPr>
        <w:t xml:space="preserve"> is seeking to use 10% of local </w:t>
      </w:r>
      <w:r w:rsidR="00423A35" w:rsidRPr="00925670">
        <w:rPr>
          <w:rFonts w:ascii="Arial" w:hAnsi="Arial" w:cs="Arial"/>
        </w:rPr>
        <w:t>CHI funding (</w:t>
      </w:r>
      <w:r w:rsidR="00925670" w:rsidRPr="00925670">
        <w:rPr>
          <w:rFonts w:ascii="Arial" w:hAnsi="Arial" w:cs="Arial"/>
        </w:rPr>
        <w:t>$</w:t>
      </w:r>
      <w:r w:rsidR="00537027">
        <w:rPr>
          <w:rFonts w:ascii="Arial" w:hAnsi="Arial" w:cs="Arial"/>
        </w:rPr>
        <w:t>10,313.92</w:t>
      </w:r>
      <w:r w:rsidR="00423A35" w:rsidRPr="00925670">
        <w:rPr>
          <w:rFonts w:ascii="Arial" w:hAnsi="Arial" w:cs="Arial"/>
        </w:rPr>
        <w:t xml:space="preserve">) for evaluation </w:t>
      </w:r>
      <w:r w:rsidR="00423A35">
        <w:rPr>
          <w:rFonts w:ascii="Arial" w:hAnsi="Arial" w:cs="Arial"/>
        </w:rPr>
        <w:t xml:space="preserve">efforts. </w:t>
      </w:r>
      <w:r>
        <w:rPr>
          <w:rFonts w:ascii="Arial" w:hAnsi="Arial" w:cs="Arial"/>
        </w:rPr>
        <w:t>The money will allow SSH</w:t>
      </w:r>
      <w:r w:rsidR="00423A35">
        <w:rPr>
          <w:rFonts w:ascii="Arial" w:hAnsi="Arial" w:cs="Arial"/>
        </w:rPr>
        <w:t xml:space="preserve"> to develop and implement an evaluation plan for CHI-funded projects.</w:t>
      </w:r>
    </w:p>
    <w:p w14:paraId="5E51C513" w14:textId="77777777" w:rsidR="00423A35" w:rsidRPr="00D814CC" w:rsidRDefault="00423A35" w:rsidP="00D629F7">
      <w:pPr>
        <w:pStyle w:val="ListParagraph"/>
        <w:numPr>
          <w:ilvl w:val="0"/>
          <w:numId w:val="4"/>
        </w:numPr>
        <w:rPr>
          <w:rFonts w:ascii="Arial" w:hAnsi="Arial" w:cs="Arial"/>
          <w:u w:val="single"/>
        </w:rPr>
      </w:pPr>
      <w:r w:rsidRPr="00D814CC">
        <w:rPr>
          <w:rFonts w:ascii="Arial" w:hAnsi="Arial" w:cs="Arial"/>
          <w:u w:val="single"/>
        </w:rPr>
        <w:t>Administrative Monies</w:t>
      </w:r>
    </w:p>
    <w:p w14:paraId="02024385" w14:textId="4D349FE7" w:rsidR="00423A35" w:rsidRPr="00C528AA" w:rsidRDefault="00423A35" w:rsidP="00423A35">
      <w:pPr>
        <w:rPr>
          <w:rFonts w:ascii="Arial" w:hAnsi="Arial" w:cs="Arial"/>
        </w:rPr>
      </w:pPr>
      <w:r w:rsidRPr="00C528AA">
        <w:rPr>
          <w:rFonts w:ascii="Arial" w:hAnsi="Arial" w:cs="Arial"/>
        </w:rPr>
        <w:t xml:space="preserve">Applicants submitting a Tier </w:t>
      </w:r>
      <w:r>
        <w:rPr>
          <w:rFonts w:ascii="Arial" w:hAnsi="Arial" w:cs="Arial"/>
        </w:rPr>
        <w:t>1</w:t>
      </w:r>
      <w:r w:rsidRPr="00C528AA">
        <w:rPr>
          <w:rFonts w:ascii="Arial" w:hAnsi="Arial" w:cs="Arial"/>
        </w:rPr>
        <w:t xml:space="preserve"> CHI are eligible for a </w:t>
      </w:r>
      <w:r>
        <w:rPr>
          <w:rFonts w:ascii="Arial" w:hAnsi="Arial" w:cs="Arial"/>
        </w:rPr>
        <w:t>4</w:t>
      </w:r>
      <w:r w:rsidRPr="00C528AA">
        <w:rPr>
          <w:rFonts w:ascii="Arial" w:hAnsi="Arial" w:cs="Arial"/>
        </w:rPr>
        <w:t xml:space="preserve"> percent (</w:t>
      </w:r>
      <w:r>
        <w:rPr>
          <w:rFonts w:ascii="Arial" w:hAnsi="Arial" w:cs="Arial"/>
        </w:rPr>
        <w:t>4</w:t>
      </w:r>
      <w:r w:rsidRPr="00C528AA">
        <w:rPr>
          <w:rFonts w:ascii="Arial" w:hAnsi="Arial" w:cs="Arial"/>
        </w:rPr>
        <w:t xml:space="preserve">%) administrative fee. </w:t>
      </w:r>
      <w:r>
        <w:rPr>
          <w:rFonts w:ascii="Arial" w:hAnsi="Arial" w:cs="Arial"/>
        </w:rPr>
        <w:t>Accordingly,</w:t>
      </w:r>
      <w:r w:rsidRPr="00C528AA">
        <w:rPr>
          <w:rFonts w:ascii="Arial" w:hAnsi="Arial" w:cs="Arial"/>
        </w:rPr>
        <w:t xml:space="preserve"> </w:t>
      </w:r>
      <w:r w:rsidR="007F19A7">
        <w:rPr>
          <w:rFonts w:ascii="Arial" w:hAnsi="Arial" w:cs="Arial"/>
        </w:rPr>
        <w:t>SSH</w:t>
      </w:r>
      <w:r>
        <w:rPr>
          <w:rFonts w:ascii="Arial" w:hAnsi="Arial" w:cs="Arial"/>
        </w:rPr>
        <w:t xml:space="preserve"> is requesting </w:t>
      </w:r>
      <w:r w:rsidR="007F19A7">
        <w:rPr>
          <w:rFonts w:ascii="Arial" w:hAnsi="Arial" w:cs="Arial"/>
        </w:rPr>
        <w:t>$</w:t>
      </w:r>
      <w:r w:rsidR="00537027">
        <w:rPr>
          <w:rFonts w:ascii="Arial" w:hAnsi="Arial" w:cs="Arial"/>
        </w:rPr>
        <w:t xml:space="preserve">4,774.96 </w:t>
      </w:r>
      <w:r>
        <w:rPr>
          <w:rFonts w:ascii="Arial" w:hAnsi="Arial" w:cs="Arial"/>
        </w:rPr>
        <w:t xml:space="preserve">in administrative funding. </w:t>
      </w:r>
      <w:r w:rsidRPr="00C528AA">
        <w:rPr>
          <w:rFonts w:ascii="Arial" w:hAnsi="Arial" w:cs="Arial"/>
        </w:rPr>
        <w:t xml:space="preserve">These monies </w:t>
      </w:r>
      <w:r w:rsidR="00537027">
        <w:rPr>
          <w:rFonts w:ascii="Arial" w:hAnsi="Arial" w:cs="Arial"/>
        </w:rPr>
        <w:t xml:space="preserve">will be used to fund </w:t>
      </w:r>
      <w:r w:rsidRPr="00C528AA">
        <w:rPr>
          <w:rFonts w:ascii="Arial" w:hAnsi="Arial" w:cs="Arial"/>
        </w:rPr>
        <w:t>support staff</w:t>
      </w:r>
      <w:r w:rsidR="00537027">
        <w:rPr>
          <w:rFonts w:ascii="Arial" w:hAnsi="Arial" w:cs="Arial"/>
        </w:rPr>
        <w:t xml:space="preserve">, provide support to </w:t>
      </w:r>
      <w:r>
        <w:rPr>
          <w:rFonts w:ascii="Arial" w:hAnsi="Arial" w:cs="Arial"/>
        </w:rPr>
        <w:t xml:space="preserve">Advisory Committee </w:t>
      </w:r>
      <w:r w:rsidRPr="00C528AA">
        <w:rPr>
          <w:rFonts w:ascii="Arial" w:hAnsi="Arial" w:cs="Arial"/>
        </w:rPr>
        <w:t>and Allocation Committee</w:t>
      </w:r>
      <w:r w:rsidR="00DF0D1C">
        <w:rPr>
          <w:rFonts w:ascii="Arial" w:hAnsi="Arial" w:cs="Arial"/>
        </w:rPr>
        <w:t xml:space="preserve"> members</w:t>
      </w:r>
      <w:r w:rsidRPr="00C528AA">
        <w:rPr>
          <w:rFonts w:ascii="Arial" w:hAnsi="Arial" w:cs="Arial"/>
        </w:rPr>
        <w:t xml:space="preserve">, </w:t>
      </w:r>
      <w:r w:rsidR="00DF0D1C">
        <w:rPr>
          <w:rFonts w:ascii="Arial" w:hAnsi="Arial" w:cs="Arial"/>
        </w:rPr>
        <w:t xml:space="preserve">and assist with </w:t>
      </w:r>
      <w:r w:rsidRPr="00C528AA">
        <w:rPr>
          <w:rFonts w:ascii="Arial" w:hAnsi="Arial" w:cs="Arial"/>
        </w:rPr>
        <w:t xml:space="preserve">the development of </w:t>
      </w:r>
      <w:r w:rsidR="007F19A7">
        <w:rPr>
          <w:rFonts w:ascii="Arial" w:hAnsi="Arial" w:cs="Arial"/>
        </w:rPr>
        <w:t xml:space="preserve">community </w:t>
      </w:r>
      <w:r w:rsidRPr="00C528AA">
        <w:rPr>
          <w:rFonts w:ascii="Arial" w:hAnsi="Arial" w:cs="Arial"/>
        </w:rPr>
        <w:t>communication materials</w:t>
      </w:r>
      <w:r w:rsidR="007F19A7">
        <w:rPr>
          <w:rFonts w:ascii="Arial" w:hAnsi="Arial" w:cs="Arial"/>
        </w:rPr>
        <w:t>,</w:t>
      </w:r>
      <w:r w:rsidRPr="00C528AA">
        <w:rPr>
          <w:rFonts w:ascii="Arial" w:hAnsi="Arial" w:cs="Arial"/>
        </w:rPr>
        <w:t xml:space="preserve"> </w:t>
      </w:r>
      <w:r w:rsidR="00DF0D1C">
        <w:rPr>
          <w:rFonts w:ascii="Arial" w:hAnsi="Arial" w:cs="Arial"/>
        </w:rPr>
        <w:t xml:space="preserve">including publicizing and facilitating the </w:t>
      </w:r>
      <w:r w:rsidR="007F19A7">
        <w:rPr>
          <w:rFonts w:ascii="Arial" w:hAnsi="Arial" w:cs="Arial"/>
        </w:rPr>
        <w:t>RFP process.</w:t>
      </w:r>
      <w:r>
        <w:rPr>
          <w:rFonts w:ascii="Arial" w:hAnsi="Arial" w:cs="Arial"/>
        </w:rPr>
        <w:t xml:space="preserve"> </w:t>
      </w:r>
    </w:p>
    <w:p w14:paraId="720C6860" w14:textId="1196679F" w:rsidR="00D814CC" w:rsidRPr="00C528AA" w:rsidRDefault="00D814CC" w:rsidP="00423A35">
      <w:pPr>
        <w:spacing w:after="0" w:line="240" w:lineRule="auto"/>
        <w:jc w:val="both"/>
        <w:rPr>
          <w:rFonts w:ascii="Arial" w:hAnsi="Arial" w:cs="Arial"/>
        </w:rPr>
      </w:pPr>
    </w:p>
    <w:sectPr w:rsidR="00D814CC" w:rsidRPr="00C528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993B3" w14:textId="77777777" w:rsidR="00513E40" w:rsidRDefault="00513E40" w:rsidP="00E03C29">
      <w:pPr>
        <w:spacing w:after="0" w:line="240" w:lineRule="auto"/>
      </w:pPr>
      <w:r>
        <w:separator/>
      </w:r>
    </w:p>
  </w:endnote>
  <w:endnote w:type="continuationSeparator" w:id="0">
    <w:p w14:paraId="2B741510" w14:textId="77777777" w:rsidR="00513E40" w:rsidRDefault="00513E40" w:rsidP="00E0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1E18A" w14:textId="77777777" w:rsidR="00361B11" w:rsidRDefault="00361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0604"/>
      <w:docPartObj>
        <w:docPartGallery w:val="Page Numbers (Bottom of Page)"/>
        <w:docPartUnique/>
      </w:docPartObj>
    </w:sdtPr>
    <w:sdtEndPr>
      <w:rPr>
        <w:rFonts w:ascii="Arial" w:hAnsi="Arial" w:cs="Arial"/>
        <w:noProof/>
      </w:rPr>
    </w:sdtEndPr>
    <w:sdtContent>
      <w:p w14:paraId="3AF74D0A" w14:textId="7B13C247" w:rsidR="00625939" w:rsidRPr="00623C35" w:rsidRDefault="00625939">
        <w:pPr>
          <w:pStyle w:val="Footer"/>
          <w:jc w:val="right"/>
          <w:rPr>
            <w:rFonts w:ascii="Arial" w:hAnsi="Arial" w:cs="Arial"/>
          </w:rPr>
        </w:pPr>
        <w:r w:rsidRPr="00623C35">
          <w:rPr>
            <w:rFonts w:ascii="Arial" w:hAnsi="Arial" w:cs="Arial"/>
          </w:rPr>
          <w:fldChar w:fldCharType="begin"/>
        </w:r>
        <w:r w:rsidRPr="00623C35">
          <w:rPr>
            <w:rFonts w:ascii="Arial" w:hAnsi="Arial" w:cs="Arial"/>
          </w:rPr>
          <w:instrText xml:space="preserve"> PAGE   \* MERGEFORMAT </w:instrText>
        </w:r>
        <w:r w:rsidRPr="00623C35">
          <w:rPr>
            <w:rFonts w:ascii="Arial" w:hAnsi="Arial" w:cs="Arial"/>
          </w:rPr>
          <w:fldChar w:fldCharType="separate"/>
        </w:r>
        <w:r w:rsidR="000D6AD7">
          <w:rPr>
            <w:rFonts w:ascii="Arial" w:hAnsi="Arial" w:cs="Arial"/>
            <w:noProof/>
          </w:rPr>
          <w:t>2</w:t>
        </w:r>
        <w:r w:rsidRPr="00623C35">
          <w:rPr>
            <w:rFonts w:ascii="Arial" w:hAnsi="Arial" w:cs="Arial"/>
            <w:noProof/>
          </w:rPr>
          <w:fldChar w:fldCharType="end"/>
        </w:r>
      </w:p>
    </w:sdtContent>
  </w:sdt>
  <w:p w14:paraId="3C5359AA" w14:textId="6004C953" w:rsidR="00625939" w:rsidRPr="00525A39" w:rsidRDefault="00513E40" w:rsidP="00525A39">
    <w:pPr>
      <w:pStyle w:val="DocID"/>
    </w:pPr>
    <w:fldSimple w:instr=" DOCPROPERTY &quot;DocID&quot; ">
      <w:r w:rsidR="00525A39">
        <w:t>794300.1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2D51" w14:textId="77777777" w:rsidR="00361B11" w:rsidRDefault="00361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8EEA4" w14:textId="77777777" w:rsidR="00513E40" w:rsidRDefault="00513E40" w:rsidP="00E03C29">
      <w:pPr>
        <w:spacing w:after="0" w:line="240" w:lineRule="auto"/>
      </w:pPr>
      <w:r>
        <w:separator/>
      </w:r>
    </w:p>
  </w:footnote>
  <w:footnote w:type="continuationSeparator" w:id="0">
    <w:p w14:paraId="716A4952" w14:textId="77777777" w:rsidR="00513E40" w:rsidRDefault="00513E40" w:rsidP="00E03C29">
      <w:pPr>
        <w:spacing w:after="0" w:line="240" w:lineRule="auto"/>
      </w:pPr>
      <w:r>
        <w:continuationSeparator/>
      </w:r>
    </w:p>
  </w:footnote>
  <w:footnote w:id="1">
    <w:p w14:paraId="50E66910" w14:textId="0F9BAD0D" w:rsidR="007502C5" w:rsidRDefault="007502C5">
      <w:pPr>
        <w:pStyle w:val="FootnoteText"/>
      </w:pPr>
      <w:r>
        <w:rPr>
          <w:rStyle w:val="FootnoteReference"/>
        </w:rPr>
        <w:footnoteRef/>
      </w:r>
      <w:r>
        <w:t xml:space="preserve"> </w:t>
      </w:r>
      <w:r w:rsidR="005B4BDB">
        <w:rPr>
          <w:rFonts w:ascii="Arial" w:hAnsi="Arial" w:cs="Arial"/>
          <w:sz w:val="18"/>
          <w:szCs w:val="18"/>
        </w:rPr>
        <w:t xml:space="preserve">The Proposed Project is for </w:t>
      </w:r>
      <w:r w:rsidR="005B4BDB" w:rsidRPr="001E5C1E">
        <w:rPr>
          <w:rFonts w:ascii="Arial" w:eastAsia="Times New Roman" w:hAnsi="Arial" w:cs="Arial"/>
          <w:kern w:val="2"/>
        </w:rPr>
        <w:t xml:space="preserve">the </w:t>
      </w:r>
      <w:r w:rsidR="005B4BDB">
        <w:rPr>
          <w:rFonts w:ascii="Arial" w:eastAsia="Times New Roman" w:hAnsi="Arial" w:cs="Arial"/>
          <w:kern w:val="2"/>
        </w:rPr>
        <w:t xml:space="preserve">acquisition of a 3 Tesla (“3T”) magnetic resonance imaging (“MRI”) unit to be </w:t>
      </w:r>
      <w:r w:rsidR="005B4BDB" w:rsidRPr="001E5C1E">
        <w:rPr>
          <w:rFonts w:ascii="Arial" w:eastAsia="Times New Roman" w:hAnsi="Arial" w:cs="Arial"/>
          <w:kern w:val="2"/>
        </w:rPr>
        <w:t xml:space="preserve">to be located </w:t>
      </w:r>
      <w:r w:rsidR="005B4BDB">
        <w:rPr>
          <w:rFonts w:ascii="Arial" w:eastAsia="Times New Roman" w:hAnsi="Arial" w:cs="Arial"/>
          <w:kern w:val="2"/>
        </w:rPr>
        <w:t>on the main campus of</w:t>
      </w:r>
      <w:r w:rsidR="005B4BDB" w:rsidRPr="001E5C1E">
        <w:rPr>
          <w:rFonts w:ascii="Arial" w:eastAsia="Times New Roman" w:hAnsi="Arial" w:cs="Arial"/>
          <w:kern w:val="2"/>
        </w:rPr>
        <w:t xml:space="preserve"> </w:t>
      </w:r>
      <w:r w:rsidR="005B4BDB">
        <w:rPr>
          <w:rFonts w:ascii="Arial" w:eastAsia="Times New Roman" w:hAnsi="Arial" w:cs="Arial"/>
          <w:kern w:val="2"/>
        </w:rPr>
        <w:t xml:space="preserve">South Shore Hospital (the “Hospital”).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71B9" w14:textId="77777777" w:rsidR="00361B11" w:rsidRDefault="00361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ECDBD" w14:textId="77777777" w:rsidR="00361B11" w:rsidRDefault="00361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4B43" w14:textId="77777777" w:rsidR="00361B11" w:rsidRDefault="0036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20" w:hanging="360"/>
      </w:pPr>
      <w:rPr>
        <w:rFonts w:ascii="Wingdings" w:hAnsi="Wingdings" w:cs="Wingdings"/>
        <w:b w:val="0"/>
        <w:bCs w:val="0"/>
        <w:sz w:val="24"/>
        <w:szCs w:val="24"/>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Wingdings" w:hAnsi="Wingdings" w:cs="Wingdings"/>
        <w:b w:val="0"/>
        <w:bCs w:val="0"/>
        <w:sz w:val="24"/>
        <w:szCs w:val="24"/>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2" w15:restartNumberingAfterBreak="0">
    <w:nsid w:val="0051556E"/>
    <w:multiLevelType w:val="hybridMultilevel"/>
    <w:tmpl w:val="273E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D1B71"/>
    <w:multiLevelType w:val="hybridMultilevel"/>
    <w:tmpl w:val="63B456E0"/>
    <w:lvl w:ilvl="0" w:tplc="975E9F3C">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62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863229"/>
    <w:multiLevelType w:val="hybridMultilevel"/>
    <w:tmpl w:val="3600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43E2D"/>
    <w:multiLevelType w:val="hybridMultilevel"/>
    <w:tmpl w:val="F318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00834"/>
    <w:multiLevelType w:val="hybridMultilevel"/>
    <w:tmpl w:val="B14A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31D92"/>
    <w:multiLevelType w:val="hybridMultilevel"/>
    <w:tmpl w:val="C1D2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81083"/>
    <w:multiLevelType w:val="hybridMultilevel"/>
    <w:tmpl w:val="372868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271435"/>
    <w:multiLevelType w:val="hybridMultilevel"/>
    <w:tmpl w:val="C8ACF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772EA"/>
    <w:multiLevelType w:val="hybridMultilevel"/>
    <w:tmpl w:val="8260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711CA"/>
    <w:multiLevelType w:val="hybridMultilevel"/>
    <w:tmpl w:val="419A45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D0F44C5"/>
    <w:multiLevelType w:val="hybridMultilevel"/>
    <w:tmpl w:val="EE84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84322"/>
    <w:multiLevelType w:val="hybridMultilevel"/>
    <w:tmpl w:val="43C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B3722"/>
    <w:multiLevelType w:val="hybridMultilevel"/>
    <w:tmpl w:val="8BB6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3"/>
  </w:num>
  <w:num w:numId="5">
    <w:abstractNumId w:val="7"/>
  </w:num>
  <w:num w:numId="6">
    <w:abstractNumId w:val="12"/>
  </w:num>
  <w:num w:numId="7">
    <w:abstractNumId w:val="13"/>
  </w:num>
  <w:num w:numId="8">
    <w:abstractNumId w:val="11"/>
  </w:num>
  <w:num w:numId="9">
    <w:abstractNumId w:val="14"/>
  </w:num>
  <w:num w:numId="10">
    <w:abstractNumId w:val="4"/>
  </w:num>
  <w:num w:numId="11">
    <w:abstractNumId w:val="8"/>
  </w:num>
  <w:num w:numId="12">
    <w:abstractNumId w:val="10"/>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F"/>
  </w:docVars>
  <w:rsids>
    <w:rsidRoot w:val="00E03C29"/>
    <w:rsid w:val="00000120"/>
    <w:rsid w:val="00044DF1"/>
    <w:rsid w:val="00061559"/>
    <w:rsid w:val="0007383A"/>
    <w:rsid w:val="00074940"/>
    <w:rsid w:val="00084F30"/>
    <w:rsid w:val="00094833"/>
    <w:rsid w:val="000D3E27"/>
    <w:rsid w:val="000D6895"/>
    <w:rsid w:val="000D6AD7"/>
    <w:rsid w:val="000E2918"/>
    <w:rsid w:val="000E41C3"/>
    <w:rsid w:val="00110779"/>
    <w:rsid w:val="00124A9A"/>
    <w:rsid w:val="00136A82"/>
    <w:rsid w:val="00140028"/>
    <w:rsid w:val="00147211"/>
    <w:rsid w:val="00150449"/>
    <w:rsid w:val="001575C9"/>
    <w:rsid w:val="00157A9E"/>
    <w:rsid w:val="00182A2B"/>
    <w:rsid w:val="001A2FDA"/>
    <w:rsid w:val="001A3713"/>
    <w:rsid w:val="001B7ED5"/>
    <w:rsid w:val="0020229A"/>
    <w:rsid w:val="002028B5"/>
    <w:rsid w:val="00202930"/>
    <w:rsid w:val="00216A10"/>
    <w:rsid w:val="00232A68"/>
    <w:rsid w:val="00237020"/>
    <w:rsid w:val="00254E77"/>
    <w:rsid w:val="002623D1"/>
    <w:rsid w:val="0027180B"/>
    <w:rsid w:val="002735FF"/>
    <w:rsid w:val="00297598"/>
    <w:rsid w:val="002A171B"/>
    <w:rsid w:val="00315728"/>
    <w:rsid w:val="0031746B"/>
    <w:rsid w:val="00354432"/>
    <w:rsid w:val="00361B11"/>
    <w:rsid w:val="003713F8"/>
    <w:rsid w:val="003C3B9A"/>
    <w:rsid w:val="00407F60"/>
    <w:rsid w:val="00423A35"/>
    <w:rsid w:val="0043115F"/>
    <w:rsid w:val="0043734E"/>
    <w:rsid w:val="004B1F3A"/>
    <w:rsid w:val="004C1BAE"/>
    <w:rsid w:val="004C5196"/>
    <w:rsid w:val="004C6368"/>
    <w:rsid w:val="00513E40"/>
    <w:rsid w:val="00525A39"/>
    <w:rsid w:val="00537027"/>
    <w:rsid w:val="00541502"/>
    <w:rsid w:val="00584465"/>
    <w:rsid w:val="00593FAD"/>
    <w:rsid w:val="00597800"/>
    <w:rsid w:val="005A6CE6"/>
    <w:rsid w:val="005B4BDB"/>
    <w:rsid w:val="005D553B"/>
    <w:rsid w:val="005E0E53"/>
    <w:rsid w:val="006025D7"/>
    <w:rsid w:val="00610801"/>
    <w:rsid w:val="006127B4"/>
    <w:rsid w:val="00623C35"/>
    <w:rsid w:val="00625939"/>
    <w:rsid w:val="0063028C"/>
    <w:rsid w:val="00665188"/>
    <w:rsid w:val="0066791B"/>
    <w:rsid w:val="006A7A66"/>
    <w:rsid w:val="006C1B35"/>
    <w:rsid w:val="006E1832"/>
    <w:rsid w:val="006E688A"/>
    <w:rsid w:val="00737017"/>
    <w:rsid w:val="007502C5"/>
    <w:rsid w:val="00762EF4"/>
    <w:rsid w:val="007B07B5"/>
    <w:rsid w:val="007B3366"/>
    <w:rsid w:val="007C0192"/>
    <w:rsid w:val="007F19A7"/>
    <w:rsid w:val="007F1FC8"/>
    <w:rsid w:val="007F4384"/>
    <w:rsid w:val="008001AB"/>
    <w:rsid w:val="00831AC9"/>
    <w:rsid w:val="00832544"/>
    <w:rsid w:val="00833643"/>
    <w:rsid w:val="008771A2"/>
    <w:rsid w:val="008A1BEA"/>
    <w:rsid w:val="008A259E"/>
    <w:rsid w:val="008C3E40"/>
    <w:rsid w:val="008E0F52"/>
    <w:rsid w:val="008E6AE3"/>
    <w:rsid w:val="008F2250"/>
    <w:rsid w:val="009018D4"/>
    <w:rsid w:val="00925670"/>
    <w:rsid w:val="009375AA"/>
    <w:rsid w:val="009470C4"/>
    <w:rsid w:val="0095011A"/>
    <w:rsid w:val="00981BFF"/>
    <w:rsid w:val="00984ADE"/>
    <w:rsid w:val="00995881"/>
    <w:rsid w:val="009A3F0B"/>
    <w:rsid w:val="009A756A"/>
    <w:rsid w:val="009F029F"/>
    <w:rsid w:val="009F3C83"/>
    <w:rsid w:val="00A16413"/>
    <w:rsid w:val="00A32FC9"/>
    <w:rsid w:val="00A55B12"/>
    <w:rsid w:val="00A95E66"/>
    <w:rsid w:val="00A96385"/>
    <w:rsid w:val="00AA7723"/>
    <w:rsid w:val="00AB6B6F"/>
    <w:rsid w:val="00AD3A2B"/>
    <w:rsid w:val="00AE301C"/>
    <w:rsid w:val="00B22D14"/>
    <w:rsid w:val="00B276F7"/>
    <w:rsid w:val="00B31C27"/>
    <w:rsid w:val="00B357FD"/>
    <w:rsid w:val="00B42A43"/>
    <w:rsid w:val="00B47013"/>
    <w:rsid w:val="00B54805"/>
    <w:rsid w:val="00B771CF"/>
    <w:rsid w:val="00BA3EE0"/>
    <w:rsid w:val="00BC209B"/>
    <w:rsid w:val="00BC59C3"/>
    <w:rsid w:val="00BC605A"/>
    <w:rsid w:val="00BD2959"/>
    <w:rsid w:val="00BD3560"/>
    <w:rsid w:val="00BF04F5"/>
    <w:rsid w:val="00C041B7"/>
    <w:rsid w:val="00C2632C"/>
    <w:rsid w:val="00C26B21"/>
    <w:rsid w:val="00C46473"/>
    <w:rsid w:val="00C528AA"/>
    <w:rsid w:val="00C640BF"/>
    <w:rsid w:val="00C6734B"/>
    <w:rsid w:val="00C806A3"/>
    <w:rsid w:val="00CA767C"/>
    <w:rsid w:val="00CA7A9D"/>
    <w:rsid w:val="00CC5EE9"/>
    <w:rsid w:val="00D0148A"/>
    <w:rsid w:val="00D23C03"/>
    <w:rsid w:val="00D5025D"/>
    <w:rsid w:val="00D629F7"/>
    <w:rsid w:val="00D814CC"/>
    <w:rsid w:val="00DA624B"/>
    <w:rsid w:val="00DF0D1C"/>
    <w:rsid w:val="00DF3F84"/>
    <w:rsid w:val="00E03C29"/>
    <w:rsid w:val="00E336C9"/>
    <w:rsid w:val="00E6250A"/>
    <w:rsid w:val="00E6727C"/>
    <w:rsid w:val="00EA6EC2"/>
    <w:rsid w:val="00EA79CD"/>
    <w:rsid w:val="00EF0BC5"/>
    <w:rsid w:val="00EF5293"/>
    <w:rsid w:val="00F04CD4"/>
    <w:rsid w:val="00F07773"/>
    <w:rsid w:val="00F07D79"/>
    <w:rsid w:val="00F15F97"/>
    <w:rsid w:val="00F2735E"/>
    <w:rsid w:val="00F3722B"/>
    <w:rsid w:val="00F40D2F"/>
    <w:rsid w:val="00F71F44"/>
    <w:rsid w:val="00F7560A"/>
    <w:rsid w:val="00F82082"/>
    <w:rsid w:val="00F840F4"/>
    <w:rsid w:val="00F90E9E"/>
    <w:rsid w:val="00FD5991"/>
    <w:rsid w:val="00FE4D90"/>
    <w:rsid w:val="00FF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BB09E"/>
  <w15:chartTrackingRefBased/>
  <w15:docId w15:val="{F541E9D0-EB32-4D86-9879-9DDB4450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3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next w:val="Footer"/>
    <w:link w:val="DocIDChar"/>
    <w:rsid w:val="00525A39"/>
    <w:pPr>
      <w:autoSpaceDE w:val="0"/>
      <w:autoSpaceDN w:val="0"/>
      <w:adjustRightInd w:val="0"/>
      <w:spacing w:after="0" w:line="240" w:lineRule="auto"/>
    </w:pPr>
    <w:rPr>
      <w:rFonts w:ascii="Arial" w:hAnsi="Arial" w:cs="Arial"/>
      <w:color w:val="000000"/>
      <w:sz w:val="16"/>
    </w:rPr>
  </w:style>
  <w:style w:type="character" w:customStyle="1" w:styleId="DocIDChar">
    <w:name w:val="DocID Char"/>
    <w:basedOn w:val="DefaultParagraphFont"/>
    <w:link w:val="DocID"/>
    <w:rsid w:val="00525A39"/>
    <w:rPr>
      <w:rFonts w:ascii="Arial" w:hAnsi="Arial" w:cs="Arial"/>
      <w:color w:val="000000"/>
      <w:sz w:val="16"/>
    </w:rPr>
  </w:style>
  <w:style w:type="paragraph" w:styleId="Footer">
    <w:name w:val="footer"/>
    <w:basedOn w:val="Normal"/>
    <w:link w:val="FooterChar"/>
    <w:uiPriority w:val="99"/>
    <w:unhideWhenUsed/>
    <w:rsid w:val="00E03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29"/>
  </w:style>
  <w:style w:type="paragraph" w:styleId="Header">
    <w:name w:val="header"/>
    <w:basedOn w:val="Normal"/>
    <w:link w:val="HeaderChar"/>
    <w:uiPriority w:val="99"/>
    <w:unhideWhenUsed/>
    <w:rsid w:val="00E03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29"/>
  </w:style>
  <w:style w:type="paragraph" w:styleId="ListParagraph">
    <w:name w:val="List Paragraph"/>
    <w:basedOn w:val="Normal"/>
    <w:uiPriority w:val="34"/>
    <w:qFormat/>
    <w:rsid w:val="00541502"/>
    <w:pPr>
      <w:ind w:left="720"/>
      <w:contextualSpacing/>
    </w:pPr>
  </w:style>
  <w:style w:type="character" w:styleId="Hyperlink">
    <w:name w:val="Hyperlink"/>
    <w:basedOn w:val="DefaultParagraphFont"/>
    <w:uiPriority w:val="99"/>
    <w:unhideWhenUsed/>
    <w:rsid w:val="00541502"/>
    <w:rPr>
      <w:color w:val="0000FF" w:themeColor="hyperlink"/>
      <w:u w:val="single"/>
    </w:rPr>
  </w:style>
  <w:style w:type="character" w:customStyle="1" w:styleId="UnresolvedMention">
    <w:name w:val="Unresolved Mention"/>
    <w:basedOn w:val="DefaultParagraphFont"/>
    <w:uiPriority w:val="99"/>
    <w:semiHidden/>
    <w:unhideWhenUsed/>
    <w:rsid w:val="00541502"/>
    <w:rPr>
      <w:color w:val="808080"/>
      <w:shd w:val="clear" w:color="auto" w:fill="E6E6E6"/>
    </w:rPr>
  </w:style>
  <w:style w:type="character" w:styleId="CommentReference">
    <w:name w:val="annotation reference"/>
    <w:basedOn w:val="DefaultParagraphFont"/>
    <w:uiPriority w:val="99"/>
    <w:semiHidden/>
    <w:unhideWhenUsed/>
    <w:rsid w:val="009A3F0B"/>
    <w:rPr>
      <w:sz w:val="16"/>
      <w:szCs w:val="16"/>
    </w:rPr>
  </w:style>
  <w:style w:type="paragraph" w:styleId="CommentText">
    <w:name w:val="annotation text"/>
    <w:basedOn w:val="Normal"/>
    <w:link w:val="CommentTextChar"/>
    <w:uiPriority w:val="99"/>
    <w:semiHidden/>
    <w:unhideWhenUsed/>
    <w:rsid w:val="009A3F0B"/>
    <w:pPr>
      <w:spacing w:line="240" w:lineRule="auto"/>
    </w:pPr>
    <w:rPr>
      <w:sz w:val="20"/>
      <w:szCs w:val="20"/>
    </w:rPr>
  </w:style>
  <w:style w:type="character" w:customStyle="1" w:styleId="CommentTextChar">
    <w:name w:val="Comment Text Char"/>
    <w:basedOn w:val="DefaultParagraphFont"/>
    <w:link w:val="CommentText"/>
    <w:uiPriority w:val="99"/>
    <w:semiHidden/>
    <w:rsid w:val="009A3F0B"/>
    <w:rPr>
      <w:sz w:val="20"/>
      <w:szCs w:val="20"/>
    </w:rPr>
  </w:style>
  <w:style w:type="paragraph" w:styleId="CommentSubject">
    <w:name w:val="annotation subject"/>
    <w:basedOn w:val="CommentText"/>
    <w:next w:val="CommentText"/>
    <w:link w:val="CommentSubjectChar"/>
    <w:uiPriority w:val="99"/>
    <w:semiHidden/>
    <w:unhideWhenUsed/>
    <w:rsid w:val="009A3F0B"/>
    <w:rPr>
      <w:b/>
      <w:bCs/>
    </w:rPr>
  </w:style>
  <w:style w:type="character" w:customStyle="1" w:styleId="CommentSubjectChar">
    <w:name w:val="Comment Subject Char"/>
    <w:basedOn w:val="CommentTextChar"/>
    <w:link w:val="CommentSubject"/>
    <w:uiPriority w:val="99"/>
    <w:semiHidden/>
    <w:rsid w:val="009A3F0B"/>
    <w:rPr>
      <w:b/>
      <w:bCs/>
      <w:sz w:val="20"/>
      <w:szCs w:val="20"/>
    </w:rPr>
  </w:style>
  <w:style w:type="paragraph" w:styleId="BalloonText">
    <w:name w:val="Balloon Text"/>
    <w:basedOn w:val="Normal"/>
    <w:link w:val="BalloonTextChar"/>
    <w:uiPriority w:val="99"/>
    <w:semiHidden/>
    <w:unhideWhenUsed/>
    <w:rsid w:val="009A3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0B"/>
    <w:rPr>
      <w:rFonts w:ascii="Segoe UI" w:hAnsi="Segoe UI" w:cs="Segoe UI"/>
      <w:sz w:val="18"/>
      <w:szCs w:val="18"/>
    </w:rPr>
  </w:style>
  <w:style w:type="paragraph" w:styleId="FootnoteText">
    <w:name w:val="footnote text"/>
    <w:basedOn w:val="Normal"/>
    <w:link w:val="FootnoteTextChar"/>
    <w:uiPriority w:val="99"/>
    <w:unhideWhenUsed/>
    <w:rsid w:val="006C1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B35"/>
    <w:rPr>
      <w:sz w:val="20"/>
      <w:szCs w:val="20"/>
    </w:rPr>
  </w:style>
  <w:style w:type="character" w:styleId="FootnoteReference">
    <w:name w:val="footnote reference"/>
    <w:basedOn w:val="DefaultParagraphFont"/>
    <w:uiPriority w:val="99"/>
    <w:unhideWhenUsed/>
    <w:rsid w:val="006C1B35"/>
    <w:rPr>
      <w:vertAlign w:val="superscript"/>
    </w:rPr>
  </w:style>
  <w:style w:type="paragraph" w:customStyle="1" w:styleId="Default">
    <w:name w:val="Default"/>
    <w:rsid w:val="0062593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E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rsid w:val="00D629F7"/>
    <w:rPr>
      <w:sz w:val="20"/>
      <w:szCs w:val="20"/>
    </w:rPr>
  </w:style>
  <w:style w:type="paragraph" w:customStyle="1" w:styleId="xxxmsolistparagraph">
    <w:name w:val="x_x_x_msolistparagraph"/>
    <w:basedOn w:val="Normal"/>
    <w:rsid w:val="0043115F"/>
    <w:pPr>
      <w:spacing w:after="160" w:line="252"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81867">
      <w:bodyDiv w:val="1"/>
      <w:marLeft w:val="0"/>
      <w:marRight w:val="0"/>
      <w:marTop w:val="0"/>
      <w:marBottom w:val="0"/>
      <w:divBdr>
        <w:top w:val="none" w:sz="0" w:space="0" w:color="auto"/>
        <w:left w:val="none" w:sz="0" w:space="0" w:color="auto"/>
        <w:bottom w:val="none" w:sz="0" w:space="0" w:color="auto"/>
        <w:right w:val="none" w:sz="0" w:space="0" w:color="auto"/>
      </w:divBdr>
    </w:div>
    <w:div w:id="1066730978">
      <w:bodyDiv w:val="1"/>
      <w:marLeft w:val="0"/>
      <w:marRight w:val="0"/>
      <w:marTop w:val="0"/>
      <w:marBottom w:val="0"/>
      <w:divBdr>
        <w:top w:val="none" w:sz="0" w:space="0" w:color="auto"/>
        <w:left w:val="none" w:sz="0" w:space="0" w:color="auto"/>
        <w:bottom w:val="none" w:sz="0" w:space="0" w:color="auto"/>
        <w:right w:val="none" w:sz="0" w:space="0" w:color="auto"/>
      </w:divBdr>
    </w:div>
    <w:div w:id="1444110056">
      <w:bodyDiv w:val="1"/>
      <w:marLeft w:val="0"/>
      <w:marRight w:val="0"/>
      <w:marTop w:val="0"/>
      <w:marBottom w:val="0"/>
      <w:divBdr>
        <w:top w:val="none" w:sz="0" w:space="0" w:color="auto"/>
        <w:left w:val="none" w:sz="0" w:space="0" w:color="auto"/>
        <w:bottom w:val="none" w:sz="0" w:space="0" w:color="auto"/>
        <w:right w:val="none" w:sz="0" w:space="0" w:color="auto"/>
      </w:divBdr>
    </w:div>
    <w:div w:id="18655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0FAAE-600A-4179-8282-5F2B587D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Harrell</dc:creator>
  <cp:keywords/>
  <dc:description/>
  <cp:lastModifiedBy>Cioffari-Macphee, Diana (DPH)</cp:lastModifiedBy>
  <cp:revision>4</cp:revision>
  <cp:lastPrinted>2017-11-03T12:25:00Z</cp:lastPrinted>
  <dcterms:created xsi:type="dcterms:W3CDTF">2021-08-30T18:10:00Z</dcterms:created>
  <dcterms:modified xsi:type="dcterms:W3CDTF">2021-09-07T20:18:00Z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794300.1</vt:lpwstr>
  </property>
  <property fmtid="{D5CDD505-2E9C-101B-9397-08002B2CF9AE}" pid="4" name="_MarkAsFinal">
    <vt:bool>true</vt:bool>
  </property>
</Properties>
</file>