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FF9" w14:textId="3CCB3ADE" w:rsidR="00B65A85" w:rsidRPr="0065656F" w:rsidRDefault="00B65A85" w:rsidP="00852991">
      <w:pPr>
        <w:pStyle w:val="Heading1"/>
        <w:rPr>
          <w:sz w:val="24"/>
          <w:szCs w:val="24"/>
        </w:rPr>
      </w:pPr>
      <w:r w:rsidRPr="0065656F">
        <w:rPr>
          <w:sz w:val="24"/>
          <w:szCs w:val="24"/>
        </w:rPr>
        <w:t>Factor 6: Community Health Initiative</w:t>
      </w:r>
      <w:r w:rsidR="009E5219">
        <w:rPr>
          <w:sz w:val="24"/>
          <w:szCs w:val="24"/>
        </w:rPr>
        <w:t xml:space="preserve"> (CHI)</w:t>
      </w:r>
      <w:r w:rsidRPr="0065656F">
        <w:rPr>
          <w:sz w:val="24"/>
          <w:szCs w:val="24"/>
        </w:rPr>
        <w:t xml:space="preserve"> Narrative </w:t>
      </w:r>
    </w:p>
    <w:p w14:paraId="0A638872" w14:textId="0857115F" w:rsidR="00B65A85" w:rsidRPr="0065656F" w:rsidRDefault="00B65A85" w:rsidP="00B65A85">
      <w:pPr>
        <w:spacing w:after="120"/>
        <w:jc w:val="both"/>
        <w:rPr>
          <w:rFonts w:ascii="Aptos" w:hAnsi="Aptos" w:cs="Arial"/>
        </w:rPr>
      </w:pPr>
      <w:bookmarkStart w:id="0" w:name="_Hlk3556169"/>
      <w:r w:rsidRPr="0065656F">
        <w:rPr>
          <w:rFonts w:ascii="Aptos" w:hAnsi="Aptos" w:cs="Arial"/>
        </w:rPr>
        <w:t xml:space="preserve">This Amendment will result in an increased CHI of $437,500. A full breakdown of the CHI is as follows, beginning with the MCE. </w:t>
      </w:r>
      <w:bookmarkEnd w:id="0"/>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eakdown of the CHI"/>
      </w:tblPr>
      <w:tblGrid>
        <w:gridCol w:w="2705"/>
        <w:gridCol w:w="1890"/>
        <w:gridCol w:w="4860"/>
      </w:tblGrid>
      <w:tr w:rsidR="00B65A85" w:rsidRPr="0065656F" w14:paraId="7ACB90F0" w14:textId="77777777" w:rsidTr="008044C2">
        <w:trPr>
          <w:cantSplit/>
          <w:tblHeader/>
        </w:trPr>
        <w:tc>
          <w:tcPr>
            <w:tcW w:w="2705" w:type="dxa"/>
            <w:tcBorders>
              <w:bottom w:val="single" w:sz="4" w:space="0" w:color="auto"/>
            </w:tcBorders>
            <w:vAlign w:val="center"/>
          </w:tcPr>
          <w:p w14:paraId="27763131" w14:textId="77777777" w:rsidR="00B65A85" w:rsidRPr="0065656F" w:rsidRDefault="00B65A85" w:rsidP="009E4A9E">
            <w:pPr>
              <w:spacing w:before="40" w:after="40"/>
              <w:jc w:val="both"/>
              <w:rPr>
                <w:rFonts w:ascii="Aptos" w:hAnsi="Aptos" w:cs="Arial"/>
                <w:b/>
                <w:bCs/>
              </w:rPr>
            </w:pPr>
            <w:r w:rsidRPr="0065656F">
              <w:rPr>
                <w:rFonts w:ascii="Aptos" w:hAnsi="Aptos" w:cs="Arial"/>
                <w:b/>
                <w:bCs/>
              </w:rPr>
              <w:t>DoN/CHI Component</w:t>
            </w:r>
          </w:p>
        </w:tc>
        <w:tc>
          <w:tcPr>
            <w:tcW w:w="1890" w:type="dxa"/>
            <w:tcBorders>
              <w:bottom w:val="single" w:sz="4" w:space="0" w:color="auto"/>
            </w:tcBorders>
            <w:vAlign w:val="center"/>
            <w:hideMark/>
          </w:tcPr>
          <w:p w14:paraId="7C49EBFB" w14:textId="77777777" w:rsidR="00B65A85" w:rsidRPr="0065656F" w:rsidRDefault="00B65A85" w:rsidP="00D22DAA">
            <w:pPr>
              <w:spacing w:before="40" w:after="40"/>
              <w:jc w:val="right"/>
              <w:rPr>
                <w:rFonts w:ascii="Aptos" w:hAnsi="Aptos" w:cs="Arial"/>
                <w:b/>
                <w:bCs/>
              </w:rPr>
            </w:pPr>
            <w:r w:rsidRPr="0065656F">
              <w:rPr>
                <w:rFonts w:ascii="Aptos" w:hAnsi="Aptos" w:cs="Arial"/>
                <w:b/>
                <w:bCs/>
              </w:rPr>
              <w:t>Total</w:t>
            </w:r>
          </w:p>
        </w:tc>
        <w:tc>
          <w:tcPr>
            <w:tcW w:w="4860" w:type="dxa"/>
            <w:tcBorders>
              <w:bottom w:val="single" w:sz="4" w:space="0" w:color="auto"/>
            </w:tcBorders>
            <w:vAlign w:val="center"/>
            <w:hideMark/>
          </w:tcPr>
          <w:p w14:paraId="3AEEEB74" w14:textId="77777777" w:rsidR="00B65A85" w:rsidRPr="0065656F" w:rsidRDefault="00B65A85" w:rsidP="009E4A9E">
            <w:pPr>
              <w:spacing w:before="40" w:after="40"/>
              <w:jc w:val="both"/>
              <w:rPr>
                <w:rFonts w:ascii="Aptos" w:hAnsi="Aptos" w:cs="Arial"/>
                <w:b/>
                <w:bCs/>
              </w:rPr>
            </w:pPr>
            <w:r w:rsidRPr="0065656F">
              <w:rPr>
                <w:rFonts w:ascii="Aptos" w:hAnsi="Aptos" w:cs="Arial"/>
                <w:b/>
                <w:bCs/>
              </w:rPr>
              <w:t>Calculation</w:t>
            </w:r>
          </w:p>
        </w:tc>
      </w:tr>
      <w:tr w:rsidR="00B65A85" w:rsidRPr="0065656F" w14:paraId="389AF70B" w14:textId="77777777" w:rsidTr="008044C2">
        <w:trPr>
          <w:cantSplit/>
        </w:trPr>
        <w:tc>
          <w:tcPr>
            <w:tcW w:w="2705" w:type="dxa"/>
            <w:tcBorders>
              <w:top w:val="single" w:sz="4" w:space="0" w:color="auto"/>
              <w:left w:val="nil"/>
              <w:bottom w:val="single" w:sz="4" w:space="0" w:color="auto"/>
              <w:right w:val="nil"/>
            </w:tcBorders>
            <w:vAlign w:val="center"/>
            <w:hideMark/>
          </w:tcPr>
          <w:p w14:paraId="6E84322F" w14:textId="77777777" w:rsidR="00B65A85" w:rsidRPr="0065656F" w:rsidRDefault="00B65A85" w:rsidP="009E4A9E">
            <w:pPr>
              <w:spacing w:before="40" w:after="40"/>
              <w:rPr>
                <w:rFonts w:ascii="Aptos" w:hAnsi="Aptos" w:cs="Arial"/>
                <w:b/>
                <w:bCs/>
              </w:rPr>
            </w:pPr>
            <w:r w:rsidRPr="0065656F">
              <w:rPr>
                <w:rFonts w:ascii="Aptos" w:hAnsi="Aptos" w:cs="Arial"/>
                <w:b/>
                <w:bCs/>
              </w:rPr>
              <w:t>MCE</w:t>
            </w:r>
          </w:p>
        </w:tc>
        <w:tc>
          <w:tcPr>
            <w:tcW w:w="1890" w:type="dxa"/>
            <w:tcBorders>
              <w:top w:val="single" w:sz="4" w:space="0" w:color="auto"/>
              <w:left w:val="nil"/>
              <w:bottom w:val="single" w:sz="4" w:space="0" w:color="auto"/>
              <w:right w:val="nil"/>
            </w:tcBorders>
            <w:vAlign w:val="center"/>
          </w:tcPr>
          <w:p w14:paraId="60861D99" w14:textId="77777777" w:rsidR="00B65A85" w:rsidRPr="0065656F" w:rsidRDefault="00B65A85" w:rsidP="00D22DAA">
            <w:pPr>
              <w:spacing w:before="40" w:after="40"/>
              <w:jc w:val="right"/>
              <w:rPr>
                <w:rFonts w:ascii="Aptos" w:hAnsi="Aptos" w:cs="Arial"/>
              </w:rPr>
            </w:pPr>
            <w:r w:rsidRPr="0065656F">
              <w:rPr>
                <w:rFonts w:ascii="Aptos" w:hAnsi="Aptos"/>
                <w:color w:val="000000"/>
              </w:rPr>
              <w:t>$8,750,000.00</w:t>
            </w:r>
          </w:p>
        </w:tc>
        <w:tc>
          <w:tcPr>
            <w:tcW w:w="4860" w:type="dxa"/>
            <w:tcBorders>
              <w:top w:val="single" w:sz="4" w:space="0" w:color="auto"/>
              <w:left w:val="nil"/>
              <w:bottom w:val="single" w:sz="4" w:space="0" w:color="auto"/>
              <w:right w:val="nil"/>
            </w:tcBorders>
            <w:vAlign w:val="center"/>
          </w:tcPr>
          <w:p w14:paraId="142A5F69" w14:textId="41CB2B0E" w:rsidR="00B65A85" w:rsidRPr="0065656F" w:rsidRDefault="00F7221A" w:rsidP="009E4A9E">
            <w:pPr>
              <w:spacing w:before="40" w:after="40"/>
              <w:jc w:val="both"/>
              <w:rPr>
                <w:rFonts w:ascii="Aptos" w:hAnsi="Aptos" w:cs="Arial"/>
                <w:b/>
                <w:bCs/>
              </w:rPr>
            </w:pPr>
            <w:r>
              <w:rPr>
                <w:rFonts w:ascii="Aptos" w:hAnsi="Aptos" w:cs="Arial"/>
                <w:b/>
                <w:bCs/>
              </w:rPr>
              <w:t>n/a</w:t>
            </w:r>
          </w:p>
        </w:tc>
      </w:tr>
      <w:tr w:rsidR="00B65A85" w:rsidRPr="0065656F" w14:paraId="40E3FE47" w14:textId="77777777" w:rsidTr="008044C2">
        <w:trPr>
          <w:cantSplit/>
        </w:trPr>
        <w:tc>
          <w:tcPr>
            <w:tcW w:w="2705" w:type="dxa"/>
            <w:tcBorders>
              <w:top w:val="single" w:sz="4" w:space="0" w:color="auto"/>
              <w:left w:val="nil"/>
              <w:bottom w:val="single" w:sz="4" w:space="0" w:color="auto"/>
              <w:right w:val="nil"/>
            </w:tcBorders>
            <w:vAlign w:val="center"/>
            <w:hideMark/>
          </w:tcPr>
          <w:p w14:paraId="2C0427CE" w14:textId="77777777" w:rsidR="00B65A85" w:rsidRPr="0065656F" w:rsidRDefault="00B65A85" w:rsidP="009E4A9E">
            <w:pPr>
              <w:spacing w:before="40" w:after="40"/>
              <w:rPr>
                <w:rFonts w:ascii="Aptos" w:hAnsi="Aptos" w:cs="Arial"/>
                <w:b/>
                <w:bCs/>
              </w:rPr>
            </w:pPr>
            <w:r w:rsidRPr="0065656F">
              <w:rPr>
                <w:rFonts w:ascii="Aptos" w:hAnsi="Aptos" w:cs="Arial"/>
                <w:b/>
                <w:bCs/>
              </w:rPr>
              <w:t xml:space="preserve">CHI Monies </w:t>
            </w:r>
          </w:p>
        </w:tc>
        <w:tc>
          <w:tcPr>
            <w:tcW w:w="1890" w:type="dxa"/>
            <w:tcBorders>
              <w:top w:val="single" w:sz="4" w:space="0" w:color="auto"/>
              <w:left w:val="nil"/>
              <w:bottom w:val="single" w:sz="4" w:space="0" w:color="auto"/>
              <w:right w:val="nil"/>
            </w:tcBorders>
            <w:vAlign w:val="center"/>
          </w:tcPr>
          <w:p w14:paraId="3677D644" w14:textId="77777777" w:rsidR="00B65A85" w:rsidRPr="0065656F" w:rsidRDefault="00B65A85" w:rsidP="00D22DAA">
            <w:pPr>
              <w:tabs>
                <w:tab w:val="left" w:pos="1425"/>
              </w:tabs>
              <w:spacing w:before="40" w:after="40"/>
              <w:jc w:val="right"/>
              <w:rPr>
                <w:rFonts w:ascii="Aptos" w:hAnsi="Aptos" w:cs="Arial"/>
              </w:rPr>
            </w:pPr>
            <w:r w:rsidRPr="0065656F">
              <w:rPr>
                <w:rFonts w:ascii="Aptos" w:hAnsi="Aptos"/>
                <w:color w:val="000000"/>
              </w:rPr>
              <w:t>$437,500.00</w:t>
            </w:r>
          </w:p>
        </w:tc>
        <w:tc>
          <w:tcPr>
            <w:tcW w:w="4860" w:type="dxa"/>
            <w:tcBorders>
              <w:top w:val="single" w:sz="4" w:space="0" w:color="auto"/>
              <w:left w:val="nil"/>
              <w:bottom w:val="single" w:sz="4" w:space="0" w:color="auto"/>
              <w:right w:val="nil"/>
            </w:tcBorders>
            <w:vAlign w:val="center"/>
            <w:hideMark/>
          </w:tcPr>
          <w:p w14:paraId="2E63ACAC" w14:textId="77777777" w:rsidR="00B65A85" w:rsidRPr="0065656F" w:rsidRDefault="00B65A85" w:rsidP="009E4A9E">
            <w:pPr>
              <w:tabs>
                <w:tab w:val="left" w:pos="1425"/>
              </w:tabs>
              <w:spacing w:before="40" w:after="40"/>
              <w:jc w:val="both"/>
              <w:rPr>
                <w:rFonts w:ascii="Aptos" w:hAnsi="Aptos" w:cs="Arial"/>
              </w:rPr>
            </w:pPr>
            <w:r w:rsidRPr="0065656F">
              <w:rPr>
                <w:rFonts w:ascii="Aptos" w:hAnsi="Aptos" w:cs="Arial"/>
              </w:rPr>
              <w:t>(5% of Maximum Capital Expenditure)</w:t>
            </w:r>
          </w:p>
        </w:tc>
      </w:tr>
      <w:tr w:rsidR="00B65A85" w:rsidRPr="0065656F" w14:paraId="7BE3787D" w14:textId="77777777" w:rsidTr="008044C2">
        <w:trPr>
          <w:cantSplit/>
        </w:trPr>
        <w:tc>
          <w:tcPr>
            <w:tcW w:w="2705" w:type="dxa"/>
            <w:tcBorders>
              <w:top w:val="single" w:sz="4" w:space="0" w:color="auto"/>
              <w:left w:val="nil"/>
              <w:bottom w:val="single" w:sz="4" w:space="0" w:color="auto"/>
              <w:right w:val="nil"/>
            </w:tcBorders>
            <w:vAlign w:val="center"/>
            <w:hideMark/>
          </w:tcPr>
          <w:p w14:paraId="059EC1B0" w14:textId="4130457C" w:rsidR="00B65A85" w:rsidRPr="0065656F" w:rsidRDefault="00B65A85" w:rsidP="009E4A9E">
            <w:pPr>
              <w:spacing w:before="40" w:after="40"/>
              <w:rPr>
                <w:rFonts w:ascii="Aptos" w:hAnsi="Aptos" w:cs="Arial"/>
                <w:b/>
                <w:bCs/>
              </w:rPr>
            </w:pPr>
            <w:r w:rsidRPr="0065656F">
              <w:rPr>
                <w:rFonts w:ascii="Aptos" w:hAnsi="Aptos" w:cs="Arial"/>
                <w:b/>
                <w:bCs/>
              </w:rPr>
              <w:t xml:space="preserve">Administrative </w:t>
            </w:r>
            <w:r w:rsidR="00D22DAA" w:rsidRPr="0065656F">
              <w:rPr>
                <w:rFonts w:ascii="Aptos" w:hAnsi="Aptos" w:cs="Arial"/>
                <w:b/>
                <w:bCs/>
              </w:rPr>
              <w:t>Allowance</w:t>
            </w:r>
          </w:p>
        </w:tc>
        <w:tc>
          <w:tcPr>
            <w:tcW w:w="1890" w:type="dxa"/>
            <w:tcBorders>
              <w:top w:val="single" w:sz="4" w:space="0" w:color="auto"/>
              <w:left w:val="nil"/>
              <w:bottom w:val="single" w:sz="4" w:space="0" w:color="auto"/>
              <w:right w:val="nil"/>
            </w:tcBorders>
            <w:vAlign w:val="center"/>
          </w:tcPr>
          <w:p w14:paraId="367932E3" w14:textId="77777777" w:rsidR="00B65A85" w:rsidRPr="0065656F" w:rsidRDefault="00B65A85" w:rsidP="00D22DAA">
            <w:pPr>
              <w:spacing w:before="40" w:after="40"/>
              <w:jc w:val="right"/>
              <w:rPr>
                <w:rFonts w:ascii="Aptos" w:hAnsi="Aptos" w:cs="Arial"/>
              </w:rPr>
            </w:pPr>
            <w:r w:rsidRPr="0065656F">
              <w:rPr>
                <w:rFonts w:ascii="Aptos" w:hAnsi="Aptos"/>
                <w:color w:val="000000"/>
              </w:rPr>
              <w:t>$17,500.00</w:t>
            </w:r>
          </w:p>
        </w:tc>
        <w:tc>
          <w:tcPr>
            <w:tcW w:w="4860" w:type="dxa"/>
            <w:tcBorders>
              <w:top w:val="single" w:sz="4" w:space="0" w:color="auto"/>
              <w:left w:val="nil"/>
              <w:bottom w:val="single" w:sz="4" w:space="0" w:color="auto"/>
              <w:right w:val="nil"/>
            </w:tcBorders>
            <w:vAlign w:val="center"/>
            <w:hideMark/>
          </w:tcPr>
          <w:p w14:paraId="62A1FFE9" w14:textId="40492DD7" w:rsidR="00B65A85" w:rsidRPr="0065656F" w:rsidRDefault="00B65A85" w:rsidP="009E4A9E">
            <w:pPr>
              <w:spacing w:before="40" w:after="40"/>
              <w:jc w:val="both"/>
              <w:rPr>
                <w:rFonts w:ascii="Aptos" w:hAnsi="Aptos" w:cs="Arial"/>
              </w:rPr>
            </w:pPr>
            <w:r w:rsidRPr="0065656F">
              <w:rPr>
                <w:rFonts w:ascii="Aptos" w:hAnsi="Aptos" w:cs="Arial"/>
              </w:rPr>
              <w:t xml:space="preserve">(4% of the CHI Monies, retained by </w:t>
            </w:r>
            <w:r w:rsidR="00607D6F" w:rsidRPr="0065656F">
              <w:rPr>
                <w:rFonts w:ascii="Aptos" w:hAnsi="Aptos" w:cs="Arial"/>
              </w:rPr>
              <w:t>the Hospital</w:t>
            </w:r>
            <w:r w:rsidRPr="0065656F">
              <w:rPr>
                <w:rFonts w:ascii="Aptos" w:hAnsi="Aptos" w:cs="Arial"/>
              </w:rPr>
              <w:t>)</w:t>
            </w:r>
          </w:p>
        </w:tc>
      </w:tr>
      <w:tr w:rsidR="00B65A85" w:rsidRPr="0065656F" w14:paraId="60041195" w14:textId="77777777" w:rsidTr="008044C2">
        <w:trPr>
          <w:cantSplit/>
        </w:trPr>
        <w:tc>
          <w:tcPr>
            <w:tcW w:w="2705" w:type="dxa"/>
            <w:tcBorders>
              <w:top w:val="single" w:sz="4" w:space="0" w:color="auto"/>
              <w:left w:val="nil"/>
              <w:bottom w:val="single" w:sz="4" w:space="0" w:color="auto"/>
              <w:right w:val="nil"/>
            </w:tcBorders>
            <w:vAlign w:val="center"/>
            <w:hideMark/>
          </w:tcPr>
          <w:p w14:paraId="6092545C" w14:textId="77777777" w:rsidR="00B65A85" w:rsidRPr="0065656F" w:rsidRDefault="00B65A85" w:rsidP="009E4A9E">
            <w:pPr>
              <w:spacing w:before="40" w:after="40"/>
              <w:rPr>
                <w:rFonts w:ascii="Aptos" w:hAnsi="Aptos" w:cs="Arial"/>
                <w:b/>
                <w:bCs/>
              </w:rPr>
            </w:pPr>
            <w:r w:rsidRPr="0065656F">
              <w:rPr>
                <w:rFonts w:ascii="Aptos" w:hAnsi="Aptos" w:cs="Arial"/>
                <w:b/>
                <w:bCs/>
              </w:rPr>
              <w:t xml:space="preserve">Remaining Monies </w:t>
            </w:r>
          </w:p>
        </w:tc>
        <w:tc>
          <w:tcPr>
            <w:tcW w:w="1890" w:type="dxa"/>
            <w:tcBorders>
              <w:top w:val="single" w:sz="4" w:space="0" w:color="auto"/>
              <w:left w:val="nil"/>
              <w:bottom w:val="single" w:sz="4" w:space="0" w:color="auto"/>
              <w:right w:val="nil"/>
            </w:tcBorders>
            <w:vAlign w:val="center"/>
          </w:tcPr>
          <w:p w14:paraId="68BB3E7D" w14:textId="77777777" w:rsidR="00B65A85" w:rsidRPr="0065656F" w:rsidRDefault="00B65A85" w:rsidP="00D22DAA">
            <w:pPr>
              <w:spacing w:before="40" w:after="40"/>
              <w:jc w:val="right"/>
              <w:rPr>
                <w:rFonts w:ascii="Aptos" w:hAnsi="Aptos" w:cs="Arial"/>
              </w:rPr>
            </w:pPr>
            <w:r w:rsidRPr="0065656F">
              <w:rPr>
                <w:rFonts w:ascii="Aptos" w:hAnsi="Aptos" w:cs="Arial"/>
              </w:rPr>
              <w:t>$420,000.00</w:t>
            </w:r>
          </w:p>
        </w:tc>
        <w:tc>
          <w:tcPr>
            <w:tcW w:w="4860" w:type="dxa"/>
            <w:tcBorders>
              <w:top w:val="single" w:sz="4" w:space="0" w:color="auto"/>
              <w:left w:val="nil"/>
              <w:bottom w:val="single" w:sz="4" w:space="0" w:color="auto"/>
              <w:right w:val="nil"/>
            </w:tcBorders>
            <w:vAlign w:val="center"/>
            <w:hideMark/>
          </w:tcPr>
          <w:p w14:paraId="72591EEB" w14:textId="7E918D71" w:rsidR="00B65A85" w:rsidRPr="0065656F" w:rsidRDefault="00B65A85" w:rsidP="009E4A9E">
            <w:pPr>
              <w:spacing w:before="40" w:after="40"/>
              <w:jc w:val="both"/>
              <w:rPr>
                <w:rFonts w:ascii="Aptos" w:hAnsi="Aptos" w:cs="Arial"/>
              </w:rPr>
            </w:pPr>
            <w:r w:rsidRPr="0065656F">
              <w:rPr>
                <w:rFonts w:ascii="Aptos" w:hAnsi="Aptos" w:cs="Arial"/>
              </w:rPr>
              <w:t xml:space="preserve">(CHI Monies minus the Administrative </w:t>
            </w:r>
            <w:r w:rsidR="00D22DAA" w:rsidRPr="0065656F">
              <w:rPr>
                <w:rFonts w:ascii="Aptos" w:hAnsi="Aptos" w:cs="Arial"/>
              </w:rPr>
              <w:t>Allowance</w:t>
            </w:r>
            <w:r w:rsidRPr="0065656F">
              <w:rPr>
                <w:rFonts w:ascii="Aptos" w:hAnsi="Aptos" w:cs="Arial"/>
              </w:rPr>
              <w:t>)</w:t>
            </w:r>
          </w:p>
        </w:tc>
      </w:tr>
      <w:tr w:rsidR="00B65A85" w:rsidRPr="0065656F" w14:paraId="4E3C4DDF" w14:textId="77777777" w:rsidTr="008044C2">
        <w:trPr>
          <w:cantSplit/>
        </w:trPr>
        <w:tc>
          <w:tcPr>
            <w:tcW w:w="2705" w:type="dxa"/>
            <w:tcBorders>
              <w:top w:val="single" w:sz="4" w:space="0" w:color="auto"/>
              <w:left w:val="nil"/>
              <w:bottom w:val="single" w:sz="4" w:space="0" w:color="auto"/>
              <w:right w:val="nil"/>
            </w:tcBorders>
            <w:vAlign w:val="center"/>
            <w:hideMark/>
          </w:tcPr>
          <w:p w14:paraId="172376D8" w14:textId="77777777" w:rsidR="00B65A85" w:rsidRPr="0065656F" w:rsidRDefault="00B65A85" w:rsidP="009E4A9E">
            <w:pPr>
              <w:spacing w:before="40" w:after="40"/>
              <w:rPr>
                <w:rFonts w:ascii="Aptos" w:hAnsi="Aptos" w:cs="Arial"/>
                <w:b/>
                <w:bCs/>
              </w:rPr>
            </w:pPr>
            <w:r w:rsidRPr="0065656F">
              <w:rPr>
                <w:rFonts w:ascii="Aptos" w:hAnsi="Aptos" w:cs="Arial"/>
                <w:b/>
                <w:bCs/>
              </w:rPr>
              <w:t xml:space="preserve">Statewide Initiative </w:t>
            </w:r>
          </w:p>
        </w:tc>
        <w:tc>
          <w:tcPr>
            <w:tcW w:w="1890" w:type="dxa"/>
            <w:tcBorders>
              <w:top w:val="single" w:sz="4" w:space="0" w:color="auto"/>
              <w:left w:val="nil"/>
              <w:bottom w:val="single" w:sz="4" w:space="0" w:color="auto"/>
              <w:right w:val="nil"/>
            </w:tcBorders>
            <w:vAlign w:val="center"/>
          </w:tcPr>
          <w:p w14:paraId="4692FDA8" w14:textId="77777777" w:rsidR="00B65A85" w:rsidRPr="0065656F" w:rsidRDefault="00B65A85" w:rsidP="00D22DAA">
            <w:pPr>
              <w:spacing w:before="40" w:after="40"/>
              <w:jc w:val="right"/>
              <w:rPr>
                <w:rFonts w:ascii="Aptos" w:hAnsi="Aptos" w:cs="Arial"/>
              </w:rPr>
            </w:pPr>
            <w:r w:rsidRPr="0065656F">
              <w:rPr>
                <w:rFonts w:ascii="Aptos" w:hAnsi="Aptos"/>
                <w:color w:val="000000"/>
              </w:rPr>
              <w:t>$42,000.00</w:t>
            </w:r>
          </w:p>
        </w:tc>
        <w:tc>
          <w:tcPr>
            <w:tcW w:w="4860" w:type="dxa"/>
            <w:tcBorders>
              <w:top w:val="single" w:sz="4" w:space="0" w:color="auto"/>
              <w:left w:val="nil"/>
              <w:bottom w:val="single" w:sz="4" w:space="0" w:color="auto"/>
              <w:right w:val="nil"/>
            </w:tcBorders>
            <w:vAlign w:val="center"/>
            <w:hideMark/>
          </w:tcPr>
          <w:p w14:paraId="1019F0EC" w14:textId="5FA1FA77" w:rsidR="00B65A85" w:rsidRPr="0065656F" w:rsidRDefault="00B65A85" w:rsidP="009E4A9E">
            <w:pPr>
              <w:spacing w:before="40" w:after="40"/>
              <w:jc w:val="both"/>
              <w:rPr>
                <w:rFonts w:ascii="Aptos" w:hAnsi="Aptos" w:cs="Arial"/>
              </w:rPr>
            </w:pPr>
            <w:r w:rsidRPr="0065656F">
              <w:rPr>
                <w:rFonts w:ascii="Aptos" w:hAnsi="Aptos" w:cs="Arial"/>
              </w:rPr>
              <w:t xml:space="preserve">(10% of </w:t>
            </w:r>
            <w:r w:rsidR="00D22DAA" w:rsidRPr="0065656F">
              <w:rPr>
                <w:rFonts w:ascii="Aptos" w:hAnsi="Aptos" w:cs="Arial"/>
              </w:rPr>
              <w:t>R</w:t>
            </w:r>
            <w:r w:rsidRPr="0065656F">
              <w:rPr>
                <w:rFonts w:ascii="Aptos" w:hAnsi="Aptos" w:cs="Arial"/>
              </w:rPr>
              <w:t xml:space="preserve">emaining </w:t>
            </w:r>
            <w:r w:rsidR="00D22DAA" w:rsidRPr="0065656F">
              <w:rPr>
                <w:rFonts w:ascii="Aptos" w:hAnsi="Aptos" w:cs="Arial"/>
              </w:rPr>
              <w:t>M</w:t>
            </w:r>
            <w:r w:rsidRPr="0065656F">
              <w:rPr>
                <w:rFonts w:ascii="Aptos" w:hAnsi="Aptos" w:cs="Arial"/>
              </w:rPr>
              <w:t xml:space="preserve">onies, paid to </w:t>
            </w:r>
            <w:r w:rsidR="00D22DAA" w:rsidRPr="0065656F">
              <w:rPr>
                <w:rFonts w:ascii="Aptos" w:hAnsi="Aptos" w:cs="Arial"/>
              </w:rPr>
              <w:t>statewide</w:t>
            </w:r>
            <w:r w:rsidRPr="0065656F">
              <w:rPr>
                <w:rFonts w:ascii="Aptos" w:hAnsi="Aptos" w:cs="Arial"/>
              </w:rPr>
              <w:t xml:space="preserve"> fund)</w:t>
            </w:r>
          </w:p>
        </w:tc>
      </w:tr>
      <w:tr w:rsidR="00B65A85" w:rsidRPr="0065656F" w14:paraId="6FB632E2" w14:textId="77777777" w:rsidTr="008044C2">
        <w:trPr>
          <w:cantSplit/>
        </w:trPr>
        <w:tc>
          <w:tcPr>
            <w:tcW w:w="2705" w:type="dxa"/>
            <w:tcBorders>
              <w:top w:val="single" w:sz="4" w:space="0" w:color="auto"/>
              <w:left w:val="nil"/>
              <w:bottom w:val="single" w:sz="4" w:space="0" w:color="auto"/>
              <w:right w:val="nil"/>
            </w:tcBorders>
            <w:vAlign w:val="center"/>
            <w:hideMark/>
          </w:tcPr>
          <w:p w14:paraId="7A84506E" w14:textId="77777777" w:rsidR="00B65A85" w:rsidRPr="0065656F" w:rsidRDefault="00B65A85" w:rsidP="009E4A9E">
            <w:pPr>
              <w:spacing w:before="40" w:after="40"/>
              <w:rPr>
                <w:rFonts w:ascii="Aptos" w:hAnsi="Aptos" w:cs="Arial"/>
                <w:b/>
                <w:bCs/>
              </w:rPr>
            </w:pPr>
            <w:r w:rsidRPr="0065656F">
              <w:rPr>
                <w:rFonts w:ascii="Aptos" w:hAnsi="Aptos" w:cs="Arial"/>
                <w:b/>
                <w:bCs/>
              </w:rPr>
              <w:t xml:space="preserve">Local Initiative </w:t>
            </w:r>
          </w:p>
        </w:tc>
        <w:tc>
          <w:tcPr>
            <w:tcW w:w="1890" w:type="dxa"/>
            <w:tcBorders>
              <w:top w:val="single" w:sz="4" w:space="0" w:color="auto"/>
              <w:left w:val="nil"/>
              <w:bottom w:val="single" w:sz="4" w:space="0" w:color="auto"/>
              <w:right w:val="nil"/>
            </w:tcBorders>
            <w:vAlign w:val="center"/>
          </w:tcPr>
          <w:p w14:paraId="410E85CB" w14:textId="77777777" w:rsidR="00B65A85" w:rsidRPr="0065656F" w:rsidRDefault="00B65A85" w:rsidP="00D22DAA">
            <w:pPr>
              <w:spacing w:before="40" w:after="40"/>
              <w:jc w:val="right"/>
              <w:rPr>
                <w:rFonts w:ascii="Aptos" w:hAnsi="Aptos" w:cs="Arial"/>
              </w:rPr>
            </w:pPr>
            <w:r w:rsidRPr="0065656F">
              <w:rPr>
                <w:rFonts w:ascii="Aptos" w:hAnsi="Aptos" w:cs="Arial"/>
              </w:rPr>
              <w:t>$378,000.00</w:t>
            </w:r>
          </w:p>
        </w:tc>
        <w:tc>
          <w:tcPr>
            <w:tcW w:w="4860" w:type="dxa"/>
            <w:tcBorders>
              <w:top w:val="single" w:sz="4" w:space="0" w:color="auto"/>
              <w:left w:val="nil"/>
              <w:bottom w:val="single" w:sz="4" w:space="0" w:color="auto"/>
              <w:right w:val="nil"/>
            </w:tcBorders>
            <w:vAlign w:val="center"/>
            <w:hideMark/>
          </w:tcPr>
          <w:p w14:paraId="652FA412" w14:textId="4A28492F" w:rsidR="00B65A85" w:rsidRPr="0065656F" w:rsidRDefault="00B65A85" w:rsidP="009E4A9E">
            <w:pPr>
              <w:spacing w:before="40" w:after="40"/>
              <w:jc w:val="both"/>
              <w:rPr>
                <w:rFonts w:ascii="Aptos" w:hAnsi="Aptos" w:cs="Arial"/>
              </w:rPr>
            </w:pPr>
            <w:r w:rsidRPr="0065656F">
              <w:rPr>
                <w:rFonts w:ascii="Aptos" w:hAnsi="Aptos" w:cs="Arial"/>
              </w:rPr>
              <w:t xml:space="preserve">(90% of </w:t>
            </w:r>
            <w:r w:rsidR="00D22DAA" w:rsidRPr="0065656F">
              <w:rPr>
                <w:rFonts w:ascii="Aptos" w:hAnsi="Aptos" w:cs="Arial"/>
              </w:rPr>
              <w:t>R</w:t>
            </w:r>
            <w:r w:rsidRPr="0065656F">
              <w:rPr>
                <w:rFonts w:ascii="Aptos" w:hAnsi="Aptos" w:cs="Arial"/>
              </w:rPr>
              <w:t xml:space="preserve">emaining </w:t>
            </w:r>
            <w:r w:rsidR="00D22DAA" w:rsidRPr="0065656F">
              <w:rPr>
                <w:rFonts w:ascii="Aptos" w:hAnsi="Aptos" w:cs="Arial"/>
              </w:rPr>
              <w:t>M</w:t>
            </w:r>
            <w:r w:rsidRPr="0065656F">
              <w:rPr>
                <w:rFonts w:ascii="Aptos" w:hAnsi="Aptos" w:cs="Arial"/>
              </w:rPr>
              <w:t>onies)</w:t>
            </w:r>
          </w:p>
        </w:tc>
      </w:tr>
      <w:tr w:rsidR="00B65A85" w:rsidRPr="0065656F" w14:paraId="4321FAEC" w14:textId="77777777" w:rsidTr="008044C2">
        <w:trPr>
          <w:cantSplit/>
        </w:trPr>
        <w:tc>
          <w:tcPr>
            <w:tcW w:w="2705" w:type="dxa"/>
            <w:tcBorders>
              <w:top w:val="single" w:sz="4" w:space="0" w:color="auto"/>
              <w:left w:val="nil"/>
              <w:bottom w:val="single" w:sz="4" w:space="0" w:color="auto"/>
              <w:right w:val="nil"/>
            </w:tcBorders>
            <w:vAlign w:val="center"/>
            <w:hideMark/>
          </w:tcPr>
          <w:p w14:paraId="3BCAFAF8" w14:textId="77777777" w:rsidR="00B65A85" w:rsidRPr="0065656F" w:rsidRDefault="00B65A85" w:rsidP="009E4A9E">
            <w:pPr>
              <w:spacing w:before="40" w:after="40"/>
              <w:rPr>
                <w:rFonts w:ascii="Aptos" w:hAnsi="Aptos" w:cs="Arial"/>
                <w:b/>
                <w:bCs/>
              </w:rPr>
            </w:pPr>
            <w:r w:rsidRPr="0065656F">
              <w:rPr>
                <w:rFonts w:ascii="Aptos" w:hAnsi="Aptos" w:cs="Arial"/>
                <w:b/>
                <w:bCs/>
              </w:rPr>
              <w:t xml:space="preserve">Evaluation Monies </w:t>
            </w:r>
          </w:p>
        </w:tc>
        <w:tc>
          <w:tcPr>
            <w:tcW w:w="1890" w:type="dxa"/>
            <w:tcBorders>
              <w:top w:val="single" w:sz="4" w:space="0" w:color="auto"/>
              <w:left w:val="nil"/>
              <w:bottom w:val="single" w:sz="4" w:space="0" w:color="auto"/>
              <w:right w:val="nil"/>
            </w:tcBorders>
            <w:vAlign w:val="center"/>
          </w:tcPr>
          <w:p w14:paraId="750AC11A" w14:textId="77777777" w:rsidR="00B65A85" w:rsidRPr="0065656F" w:rsidRDefault="00B65A85" w:rsidP="00D22DAA">
            <w:pPr>
              <w:spacing w:before="40" w:after="40"/>
              <w:jc w:val="right"/>
              <w:rPr>
                <w:rFonts w:ascii="Aptos" w:hAnsi="Aptos" w:cs="Arial"/>
              </w:rPr>
            </w:pPr>
            <w:r w:rsidRPr="0065656F">
              <w:rPr>
                <w:rFonts w:ascii="Aptos" w:hAnsi="Aptos"/>
                <w:color w:val="000000"/>
              </w:rPr>
              <w:t>$37,800.00</w:t>
            </w:r>
          </w:p>
        </w:tc>
        <w:tc>
          <w:tcPr>
            <w:tcW w:w="4860" w:type="dxa"/>
            <w:tcBorders>
              <w:top w:val="single" w:sz="4" w:space="0" w:color="auto"/>
              <w:left w:val="nil"/>
              <w:bottom w:val="single" w:sz="4" w:space="0" w:color="auto"/>
              <w:right w:val="nil"/>
            </w:tcBorders>
            <w:vAlign w:val="center"/>
            <w:hideMark/>
          </w:tcPr>
          <w:p w14:paraId="389EE773" w14:textId="596EAD0D" w:rsidR="00B65A85" w:rsidRPr="0065656F" w:rsidRDefault="00B65A85" w:rsidP="009E4A9E">
            <w:pPr>
              <w:spacing w:before="40" w:after="40"/>
              <w:jc w:val="both"/>
              <w:rPr>
                <w:rFonts w:ascii="Aptos" w:hAnsi="Aptos" w:cs="Arial"/>
              </w:rPr>
            </w:pPr>
            <w:r w:rsidRPr="0065656F">
              <w:rPr>
                <w:rFonts w:ascii="Aptos" w:hAnsi="Aptos" w:cs="Arial"/>
              </w:rPr>
              <w:t xml:space="preserve">(10% of Local Initiative, retained by </w:t>
            </w:r>
            <w:r w:rsidR="00D22DAA" w:rsidRPr="0065656F">
              <w:rPr>
                <w:rFonts w:ascii="Aptos" w:hAnsi="Aptos" w:cs="Arial"/>
              </w:rPr>
              <w:t>the Hospital</w:t>
            </w:r>
            <w:r w:rsidRPr="0065656F">
              <w:rPr>
                <w:rFonts w:ascii="Aptos" w:hAnsi="Aptos" w:cs="Arial"/>
              </w:rPr>
              <w:t>)</w:t>
            </w:r>
          </w:p>
        </w:tc>
      </w:tr>
      <w:tr w:rsidR="00B65A85" w:rsidRPr="0065656F" w14:paraId="585671A5" w14:textId="77777777" w:rsidTr="008044C2">
        <w:trPr>
          <w:cantSplit/>
        </w:trPr>
        <w:tc>
          <w:tcPr>
            <w:tcW w:w="2705" w:type="dxa"/>
            <w:tcBorders>
              <w:top w:val="single" w:sz="4" w:space="0" w:color="auto"/>
              <w:left w:val="nil"/>
              <w:bottom w:val="nil"/>
              <w:right w:val="nil"/>
            </w:tcBorders>
            <w:shd w:val="clear" w:color="auto" w:fill="F2F2F2" w:themeFill="background1" w:themeFillShade="F2"/>
            <w:hideMark/>
          </w:tcPr>
          <w:p w14:paraId="09A408E7" w14:textId="77777777" w:rsidR="00B65A85" w:rsidRPr="0065656F" w:rsidRDefault="00B65A85" w:rsidP="009E4A9E">
            <w:pPr>
              <w:spacing w:before="40" w:after="40"/>
              <w:rPr>
                <w:rFonts w:ascii="Aptos" w:hAnsi="Aptos" w:cs="Arial"/>
                <w:b/>
                <w:bCs/>
              </w:rPr>
            </w:pPr>
            <w:r w:rsidRPr="0065656F">
              <w:rPr>
                <w:rFonts w:ascii="Aptos" w:hAnsi="Aptos" w:cs="Arial"/>
                <w:b/>
                <w:bCs/>
              </w:rPr>
              <w:t xml:space="preserve">CHI Monies for Local Disbursement </w:t>
            </w:r>
          </w:p>
        </w:tc>
        <w:tc>
          <w:tcPr>
            <w:tcW w:w="1890" w:type="dxa"/>
            <w:tcBorders>
              <w:top w:val="single" w:sz="4" w:space="0" w:color="auto"/>
              <w:left w:val="nil"/>
              <w:bottom w:val="nil"/>
              <w:right w:val="nil"/>
            </w:tcBorders>
            <w:shd w:val="clear" w:color="auto" w:fill="F2F2F2" w:themeFill="background1" w:themeFillShade="F2"/>
          </w:tcPr>
          <w:p w14:paraId="74F63F3C" w14:textId="77777777" w:rsidR="00B65A85" w:rsidRPr="0065656F" w:rsidRDefault="00B65A85" w:rsidP="00D22DAA">
            <w:pPr>
              <w:spacing w:before="40" w:after="40"/>
              <w:jc w:val="right"/>
              <w:rPr>
                <w:rFonts w:ascii="Aptos" w:hAnsi="Aptos" w:cs="Arial"/>
              </w:rPr>
            </w:pPr>
            <w:r w:rsidRPr="0065656F">
              <w:rPr>
                <w:rFonts w:ascii="Aptos" w:hAnsi="Aptos"/>
                <w:color w:val="000000"/>
              </w:rPr>
              <w:t>$340,200.00</w:t>
            </w:r>
          </w:p>
        </w:tc>
        <w:tc>
          <w:tcPr>
            <w:tcW w:w="4860" w:type="dxa"/>
            <w:tcBorders>
              <w:top w:val="single" w:sz="4" w:space="0" w:color="auto"/>
              <w:left w:val="nil"/>
              <w:bottom w:val="nil"/>
              <w:right w:val="nil"/>
            </w:tcBorders>
            <w:shd w:val="clear" w:color="auto" w:fill="F2F2F2" w:themeFill="background1" w:themeFillShade="F2"/>
          </w:tcPr>
          <w:p w14:paraId="25E4DF47" w14:textId="48D7C33A" w:rsidR="00B65A85" w:rsidRPr="0065656F" w:rsidRDefault="00D22DAA" w:rsidP="009E4A9E">
            <w:pPr>
              <w:spacing w:before="40" w:after="40"/>
              <w:jc w:val="both"/>
              <w:rPr>
                <w:rFonts w:ascii="Aptos" w:hAnsi="Aptos" w:cs="Arial"/>
              </w:rPr>
            </w:pPr>
            <w:r w:rsidRPr="0065656F">
              <w:rPr>
                <w:rFonts w:ascii="Aptos" w:hAnsi="Aptos" w:cs="Arial"/>
              </w:rPr>
              <w:t>(Local Initiative less Evaluation Monies)</w:t>
            </w:r>
          </w:p>
        </w:tc>
      </w:tr>
    </w:tbl>
    <w:p w14:paraId="0752B264" w14:textId="4927375E" w:rsidR="00B65A85" w:rsidRPr="0065656F" w:rsidRDefault="00B65A85" w:rsidP="00A87623">
      <w:pPr>
        <w:pStyle w:val="Heading2"/>
        <w:rPr>
          <w:sz w:val="24"/>
          <w:szCs w:val="24"/>
        </w:rPr>
      </w:pPr>
      <w:r w:rsidRPr="0065656F">
        <w:rPr>
          <w:sz w:val="24"/>
          <w:szCs w:val="24"/>
        </w:rPr>
        <w:t>Overview of S</w:t>
      </w:r>
      <w:r w:rsidR="00FC7C2C" w:rsidRPr="0065656F">
        <w:rPr>
          <w:sz w:val="24"/>
          <w:szCs w:val="24"/>
        </w:rPr>
        <w:t>aint</w:t>
      </w:r>
      <w:r w:rsidRPr="0065656F">
        <w:rPr>
          <w:sz w:val="24"/>
          <w:szCs w:val="24"/>
        </w:rPr>
        <w:t xml:space="preserve"> Anne’s Hospital and its Community Health Needs Assessment</w:t>
      </w:r>
    </w:p>
    <w:p w14:paraId="2E43A636" w14:textId="0FBE1BDF" w:rsidR="00B65A85" w:rsidRPr="0065656F" w:rsidRDefault="00B65A85" w:rsidP="00B65A85">
      <w:pPr>
        <w:spacing w:after="120"/>
        <w:jc w:val="both"/>
        <w:rPr>
          <w:rFonts w:ascii="Aptos" w:eastAsia="Calibri" w:hAnsi="Aptos" w:cs="Calibri"/>
          <w:color w:val="000000" w:themeColor="text1"/>
        </w:rPr>
      </w:pPr>
      <w:r w:rsidRPr="0065656F">
        <w:rPr>
          <w:rFonts w:ascii="Aptos" w:hAnsi="Aptos" w:cs="Arial"/>
        </w:rPr>
        <w:t xml:space="preserve">The CHI processes and community engagement for the Proposed Project will be conducted by </w:t>
      </w:r>
      <w:r w:rsidRPr="0065656F">
        <w:rPr>
          <w:rFonts w:ascii="Aptos" w:eastAsia="Calibri" w:hAnsi="Aptos" w:cs="Calibri"/>
          <w:color w:val="000000" w:themeColor="text1"/>
        </w:rPr>
        <w:t xml:space="preserve">Saint Anne’s Hospital.  </w:t>
      </w:r>
      <w:r w:rsidR="00616C86" w:rsidRPr="0065656F">
        <w:rPr>
          <w:rFonts w:ascii="Aptos" w:eastAsia="Calibri" w:hAnsi="Aptos" w:cs="Calibri"/>
          <w:color w:val="000000" w:themeColor="text1"/>
        </w:rPr>
        <w:t>The Hospital joined the Brown Health system in 2024. Brown Health is committed</w:t>
      </w:r>
      <w:r w:rsidRPr="0065656F">
        <w:rPr>
          <w:rFonts w:ascii="Aptos" w:eastAsia="Calibri" w:hAnsi="Aptos" w:cs="Calibri"/>
          <w:color w:val="000000" w:themeColor="text1"/>
        </w:rPr>
        <w:t xml:space="preserve"> to restoring people's health and strengthening and supporting the health of the communities it serves. </w:t>
      </w:r>
      <w:r w:rsidR="00616C86" w:rsidRPr="0065656F">
        <w:rPr>
          <w:rFonts w:ascii="Aptos" w:eastAsia="Calibri" w:hAnsi="Aptos" w:cs="Calibri"/>
          <w:color w:val="000000" w:themeColor="text1"/>
        </w:rPr>
        <w:t xml:space="preserve">It strives to provide the highest </w:t>
      </w:r>
      <w:r w:rsidRPr="0065656F">
        <w:rPr>
          <w:rFonts w:ascii="Aptos" w:eastAsia="Calibri" w:hAnsi="Aptos" w:cs="Calibri"/>
          <w:color w:val="000000" w:themeColor="text1"/>
        </w:rPr>
        <w:t>quality, most compassionate, and</w:t>
      </w:r>
      <w:r w:rsidR="00616C86" w:rsidRPr="0065656F">
        <w:rPr>
          <w:rFonts w:ascii="Aptos" w:eastAsia="Calibri" w:hAnsi="Aptos" w:cs="Calibri"/>
          <w:color w:val="000000" w:themeColor="text1"/>
        </w:rPr>
        <w:t xml:space="preserve"> </w:t>
      </w:r>
      <w:r w:rsidRPr="0065656F">
        <w:rPr>
          <w:rFonts w:ascii="Aptos" w:eastAsia="Calibri" w:hAnsi="Aptos" w:cs="Calibri"/>
          <w:color w:val="000000" w:themeColor="text1"/>
        </w:rPr>
        <w:t xml:space="preserve">patient-centered healthcare </w:t>
      </w:r>
      <w:r w:rsidR="00616C86" w:rsidRPr="0065656F">
        <w:rPr>
          <w:rFonts w:ascii="Aptos" w:eastAsia="Calibri" w:hAnsi="Aptos" w:cs="Calibri"/>
          <w:color w:val="000000" w:themeColor="text1"/>
        </w:rPr>
        <w:t>for all ages and at every stage of life</w:t>
      </w:r>
      <w:r w:rsidRPr="0065656F">
        <w:rPr>
          <w:rFonts w:ascii="Aptos" w:eastAsia="Calibri" w:hAnsi="Aptos" w:cs="Calibri"/>
          <w:color w:val="000000" w:themeColor="text1"/>
        </w:rPr>
        <w:t xml:space="preserve">. That goal extends beyond the health system into schools, workplaces, and neighborhoods. </w:t>
      </w:r>
      <w:r w:rsidR="00206425" w:rsidRPr="0065656F">
        <w:rPr>
          <w:rFonts w:ascii="Aptos" w:eastAsia="Calibri" w:hAnsi="Aptos" w:cs="Calibri"/>
          <w:color w:val="000000" w:themeColor="text1"/>
        </w:rPr>
        <w:t xml:space="preserve">As part of the Hospital’s mission </w:t>
      </w:r>
      <w:r w:rsidRPr="0065656F">
        <w:rPr>
          <w:rFonts w:ascii="Aptos" w:eastAsia="Calibri" w:hAnsi="Aptos" w:cs="Calibri"/>
          <w:color w:val="000000" w:themeColor="text1"/>
        </w:rPr>
        <w:t>to put the patient at the center of everything</w:t>
      </w:r>
      <w:r w:rsidR="00206425" w:rsidRPr="0065656F">
        <w:rPr>
          <w:rFonts w:ascii="Aptos" w:eastAsia="Calibri" w:hAnsi="Aptos" w:cs="Calibri"/>
          <w:color w:val="000000" w:themeColor="text1"/>
        </w:rPr>
        <w:t>, the Hospital prioritizes</w:t>
      </w:r>
      <w:r w:rsidRPr="0065656F">
        <w:rPr>
          <w:rFonts w:ascii="Aptos" w:eastAsia="Calibri" w:hAnsi="Aptos" w:cs="Calibri"/>
          <w:color w:val="000000" w:themeColor="text1"/>
        </w:rPr>
        <w:t xml:space="preserve"> investments in charity care, in-kind and subsidized health services, research, provider education, and community initiatives.</w:t>
      </w:r>
    </w:p>
    <w:p w14:paraId="744C3F27" w14:textId="1E9E8498" w:rsidR="00B65A85" w:rsidRPr="0065656F" w:rsidRDefault="00206425" w:rsidP="00B65A85">
      <w:pPr>
        <w:pStyle w:val="NoSpacing"/>
        <w:spacing w:after="120" w:line="240" w:lineRule="auto"/>
        <w:jc w:val="both"/>
        <w:rPr>
          <w:rFonts w:ascii="Aptos" w:eastAsia="Calibri" w:hAnsi="Aptos" w:cs="Calibri"/>
          <w:color w:val="000000" w:themeColor="text1"/>
          <w:sz w:val="24"/>
          <w:szCs w:val="24"/>
        </w:rPr>
      </w:pPr>
      <w:r w:rsidRPr="0065656F">
        <w:rPr>
          <w:rFonts w:ascii="Aptos" w:eastAsia="Calibri" w:hAnsi="Aptos" w:cs="Calibri"/>
          <w:color w:val="000000" w:themeColor="text1"/>
          <w:sz w:val="24"/>
          <w:szCs w:val="24"/>
        </w:rPr>
        <w:t>Further, the Hospital</w:t>
      </w:r>
      <w:r w:rsidR="00B65A85" w:rsidRPr="0065656F">
        <w:rPr>
          <w:rFonts w:ascii="Aptos" w:eastAsia="Calibri" w:hAnsi="Aptos" w:cs="Calibri"/>
          <w:color w:val="000000" w:themeColor="text1"/>
          <w:sz w:val="24"/>
          <w:szCs w:val="24"/>
        </w:rPr>
        <w:t xml:space="preserve"> is dedicated to understanding and addressing the most pressing health and wellness concerns for the communities </w:t>
      </w:r>
      <w:r w:rsidR="00E97BBC" w:rsidRPr="0065656F">
        <w:rPr>
          <w:rFonts w:ascii="Aptos" w:eastAsia="Calibri" w:hAnsi="Aptos" w:cs="Calibri"/>
          <w:color w:val="000000" w:themeColor="text1"/>
          <w:sz w:val="24"/>
          <w:szCs w:val="24"/>
        </w:rPr>
        <w:t>it</w:t>
      </w:r>
      <w:r w:rsidR="00B65A85" w:rsidRPr="0065656F">
        <w:rPr>
          <w:rFonts w:ascii="Aptos" w:eastAsia="Calibri" w:hAnsi="Aptos" w:cs="Calibri"/>
          <w:color w:val="000000" w:themeColor="text1"/>
          <w:sz w:val="24"/>
          <w:szCs w:val="24"/>
        </w:rPr>
        <w:t xml:space="preserve"> serve</w:t>
      </w:r>
      <w:r w:rsidR="00E97BBC" w:rsidRPr="0065656F">
        <w:rPr>
          <w:rFonts w:ascii="Aptos" w:eastAsia="Calibri" w:hAnsi="Aptos" w:cs="Calibri"/>
          <w:color w:val="000000" w:themeColor="text1"/>
          <w:sz w:val="24"/>
          <w:szCs w:val="24"/>
        </w:rPr>
        <w:t>s</w:t>
      </w:r>
      <w:r w:rsidR="00B65A85" w:rsidRPr="0065656F">
        <w:rPr>
          <w:rFonts w:ascii="Aptos" w:eastAsia="Calibri" w:hAnsi="Aptos" w:cs="Calibri"/>
          <w:color w:val="000000" w:themeColor="text1"/>
          <w:sz w:val="24"/>
          <w:szCs w:val="24"/>
        </w:rPr>
        <w:t xml:space="preserve">.  The </w:t>
      </w:r>
      <w:r w:rsidR="00E97BBC" w:rsidRPr="0065656F">
        <w:rPr>
          <w:rFonts w:ascii="Aptos" w:eastAsia="Calibri" w:hAnsi="Aptos" w:cs="Calibri"/>
          <w:color w:val="000000" w:themeColor="text1"/>
          <w:sz w:val="24"/>
          <w:szCs w:val="24"/>
        </w:rPr>
        <w:t>Hospital’s</w:t>
      </w:r>
      <w:r w:rsidR="00B65A85" w:rsidRPr="0065656F">
        <w:rPr>
          <w:rFonts w:ascii="Aptos" w:eastAsia="Calibri" w:hAnsi="Aptos" w:cs="Calibri"/>
          <w:color w:val="000000" w:themeColor="text1"/>
          <w:sz w:val="24"/>
          <w:szCs w:val="24"/>
        </w:rPr>
        <w:t xml:space="preserve"> Community Benefits Service Area includes Fall River, Somerset, Swansea, and Westport, with the concentration of services in Fall River.  To understand the needs of the service area residents, the Hospital conducts a comprehensive Community Health Needs Assessment (CHNA)</w:t>
      </w:r>
      <w:r w:rsidR="00D22DAA" w:rsidRPr="0065656F">
        <w:rPr>
          <w:rFonts w:ascii="Aptos" w:eastAsia="Calibri" w:hAnsi="Aptos" w:cs="Calibri"/>
          <w:color w:val="000000" w:themeColor="text1"/>
          <w:sz w:val="24"/>
          <w:szCs w:val="24"/>
        </w:rPr>
        <w:t xml:space="preserve"> </w:t>
      </w:r>
      <w:r w:rsidR="00B65A85" w:rsidRPr="0065656F">
        <w:rPr>
          <w:rFonts w:ascii="Aptos" w:eastAsia="Calibri" w:hAnsi="Aptos" w:cs="Calibri"/>
          <w:color w:val="000000" w:themeColor="text1"/>
          <w:sz w:val="24"/>
          <w:szCs w:val="24"/>
        </w:rPr>
        <w:t xml:space="preserve">every three years. </w:t>
      </w:r>
      <w:r w:rsidRPr="0065656F">
        <w:rPr>
          <w:rFonts w:ascii="Aptos" w:eastAsia="Calibri" w:hAnsi="Aptos" w:cs="Calibri"/>
          <w:color w:val="000000" w:themeColor="text1"/>
          <w:sz w:val="24"/>
          <w:szCs w:val="24"/>
        </w:rPr>
        <w:t>Saint Anne’s Hospital</w:t>
      </w:r>
      <w:r w:rsidR="00B65A85" w:rsidRPr="0065656F">
        <w:rPr>
          <w:rFonts w:ascii="Aptos" w:eastAsia="Calibri" w:hAnsi="Aptos" w:cs="Calibri"/>
          <w:color w:val="000000" w:themeColor="text1"/>
          <w:sz w:val="24"/>
          <w:szCs w:val="24"/>
        </w:rPr>
        <w:t xml:space="preserve"> finalized its 2025 CHNA in September 2025.</w:t>
      </w:r>
    </w:p>
    <w:p w14:paraId="2C1FBDB2" w14:textId="77777777" w:rsidR="00B65A85" w:rsidRPr="0065656F" w:rsidRDefault="00B65A85" w:rsidP="00B65A85">
      <w:pPr>
        <w:pStyle w:val="NoSpacing"/>
        <w:spacing w:after="120" w:line="240" w:lineRule="auto"/>
        <w:jc w:val="both"/>
        <w:rPr>
          <w:rFonts w:ascii="Aptos" w:eastAsia="Calibri" w:hAnsi="Aptos" w:cs="Calibri"/>
          <w:color w:val="000000" w:themeColor="text1"/>
          <w:sz w:val="24"/>
          <w:szCs w:val="24"/>
        </w:rPr>
      </w:pPr>
      <w:r w:rsidRPr="0065656F">
        <w:rPr>
          <w:rFonts w:ascii="Aptos" w:eastAsia="Calibri" w:hAnsi="Aptos" w:cs="Calibri"/>
          <w:color w:val="000000" w:themeColor="text1"/>
          <w:sz w:val="24"/>
          <w:szCs w:val="24"/>
        </w:rPr>
        <w:t>The goal of the CHNA is to monitor the health of community members and to identify common and unique challenges across the region. The CHNA informs the development of the Hospital’s annual Community Health Implementation Strategy (IS) and the community-wide Community Health Improvement Plan (CHIP) to address identified priority needs and align community resources and investments with the highest needs.</w:t>
      </w:r>
    </w:p>
    <w:p w14:paraId="58BD1953" w14:textId="354D6AEF" w:rsidR="00B65A85" w:rsidRPr="0065656F" w:rsidRDefault="00206425" w:rsidP="00B65A85">
      <w:pPr>
        <w:pStyle w:val="NoSpacing"/>
        <w:spacing w:after="120" w:line="240" w:lineRule="auto"/>
        <w:jc w:val="both"/>
        <w:rPr>
          <w:rFonts w:ascii="Aptos" w:eastAsia="Calibri" w:hAnsi="Aptos" w:cs="Calibri"/>
          <w:color w:val="000000" w:themeColor="text1"/>
          <w:sz w:val="24"/>
          <w:szCs w:val="24"/>
        </w:rPr>
      </w:pPr>
      <w:r w:rsidRPr="0065656F">
        <w:rPr>
          <w:rFonts w:ascii="Aptos" w:eastAsia="Calibri" w:hAnsi="Aptos" w:cs="Calibri"/>
          <w:color w:val="000000" w:themeColor="text1"/>
          <w:sz w:val="24"/>
          <w:szCs w:val="24"/>
        </w:rPr>
        <w:lastRenderedPageBreak/>
        <w:t>Saint Anne’s Hospital</w:t>
      </w:r>
      <w:r w:rsidR="00B65A85" w:rsidRPr="0065656F">
        <w:rPr>
          <w:rFonts w:ascii="Aptos" w:eastAsia="Calibri" w:hAnsi="Aptos" w:cs="Calibri"/>
          <w:color w:val="000000" w:themeColor="text1"/>
          <w:sz w:val="24"/>
          <w:szCs w:val="24"/>
        </w:rPr>
        <w:t xml:space="preserve"> employs a participatory, inclusive approach in conducting its triennial CHNA and looks at health in its broadest sense. The 2025 CHNA primary data collection process included community listening sessions and focus groups, a Key Stakeholder Survey, and an in-person Community Forum. The secondary data collection process included the analysis of quantitative and qualitative data on demographics and social drivers of health (e.g., housing, education, employment, income, etc.) as well as health risk behaviors and health status, and access to quality care and timely services.</w:t>
      </w:r>
    </w:p>
    <w:p w14:paraId="69815FD0" w14:textId="77ED57F9" w:rsidR="00B65A85" w:rsidRPr="0065656F" w:rsidRDefault="00B65A85" w:rsidP="00B65A85">
      <w:pPr>
        <w:pStyle w:val="NoSpacing"/>
        <w:spacing w:after="120" w:line="240" w:lineRule="auto"/>
        <w:jc w:val="both"/>
        <w:rPr>
          <w:rFonts w:ascii="Aptos" w:eastAsia="Calibri" w:hAnsi="Aptos" w:cs="Calibri"/>
          <w:color w:val="000000" w:themeColor="text1"/>
          <w:sz w:val="24"/>
          <w:szCs w:val="24"/>
        </w:rPr>
      </w:pPr>
      <w:r w:rsidRPr="0065656F">
        <w:rPr>
          <w:rFonts w:ascii="Aptos" w:eastAsia="Calibri" w:hAnsi="Aptos" w:cs="Calibri"/>
          <w:color w:val="000000" w:themeColor="text1"/>
          <w:sz w:val="24"/>
          <w:szCs w:val="24"/>
        </w:rPr>
        <w:t xml:space="preserve">Throughout the CHNA process, the Hospital seeks the input and engagement of its Community Benefits Advisory Committee (CBAC) and key Hospital leadership. The results of the CHNA engagement helped </w:t>
      </w:r>
      <w:r w:rsidR="00206425" w:rsidRPr="0065656F">
        <w:rPr>
          <w:rFonts w:ascii="Aptos" w:eastAsia="Calibri" w:hAnsi="Aptos" w:cs="Calibri"/>
          <w:color w:val="000000" w:themeColor="text1"/>
          <w:sz w:val="24"/>
          <w:szCs w:val="24"/>
        </w:rPr>
        <w:t>the Hospital</w:t>
      </w:r>
      <w:r w:rsidRPr="0065656F">
        <w:rPr>
          <w:rFonts w:ascii="Aptos" w:eastAsia="Calibri" w:hAnsi="Aptos" w:cs="Calibri"/>
          <w:color w:val="000000" w:themeColor="text1"/>
          <w:sz w:val="24"/>
          <w:szCs w:val="24"/>
        </w:rPr>
        <w:t xml:space="preserve"> identify priorities and strategies to improve health and wellbeing in the region and promote health for all residents. Responding to the study findings and sharing data with other community-based organizations, </w:t>
      </w:r>
      <w:r w:rsidR="00206425" w:rsidRPr="0065656F">
        <w:rPr>
          <w:rFonts w:ascii="Aptos" w:eastAsia="Calibri" w:hAnsi="Aptos" w:cs="Calibri"/>
          <w:color w:val="000000" w:themeColor="text1"/>
          <w:sz w:val="24"/>
          <w:szCs w:val="24"/>
        </w:rPr>
        <w:t>Saint Anne’s Hospital</w:t>
      </w:r>
      <w:r w:rsidRPr="0065656F">
        <w:rPr>
          <w:rFonts w:ascii="Aptos" w:eastAsia="Calibri" w:hAnsi="Aptos" w:cs="Calibri"/>
          <w:color w:val="000000" w:themeColor="text1"/>
          <w:sz w:val="24"/>
          <w:szCs w:val="24"/>
        </w:rPr>
        <w:t xml:space="preserve"> aims to ensure that all residents benefit from our local resources, robust social service network, and the high-quality healthcare available in our community to help residents live their healthiest lives.   </w:t>
      </w:r>
    </w:p>
    <w:p w14:paraId="2345A686" w14:textId="77777777" w:rsidR="00B65A85" w:rsidRPr="0065656F" w:rsidRDefault="00B65A85" w:rsidP="00A87623">
      <w:pPr>
        <w:pStyle w:val="Heading2"/>
        <w:rPr>
          <w:sz w:val="24"/>
          <w:szCs w:val="24"/>
        </w:rPr>
      </w:pPr>
      <w:r w:rsidRPr="0065656F">
        <w:rPr>
          <w:sz w:val="24"/>
          <w:szCs w:val="24"/>
        </w:rPr>
        <w:t>Oversight of the Community Health Initiative</w:t>
      </w:r>
    </w:p>
    <w:p w14:paraId="4212351A" w14:textId="61E08851" w:rsidR="00B65A85" w:rsidRPr="0065656F" w:rsidRDefault="00B65A85" w:rsidP="00B65A85">
      <w:pPr>
        <w:spacing w:after="120"/>
        <w:jc w:val="both"/>
        <w:rPr>
          <w:rFonts w:ascii="Aptos" w:hAnsi="Aptos"/>
        </w:rPr>
      </w:pPr>
      <w:r w:rsidRPr="0065656F">
        <w:rPr>
          <w:rFonts w:ascii="Aptos" w:hAnsi="Aptos" w:cs="Arial"/>
        </w:rPr>
        <w:t>In order to facilitate a CHI that is transparent and representative of the community, the Hospital will convene its CBAC</w:t>
      </w:r>
      <w:r w:rsidR="00540957" w:rsidRPr="0065656F">
        <w:rPr>
          <w:rFonts w:ascii="Aptos" w:hAnsi="Aptos" w:cs="Arial"/>
        </w:rPr>
        <w:t xml:space="preserve"> whose duties</w:t>
      </w:r>
      <w:r w:rsidRPr="0065656F">
        <w:rPr>
          <w:rFonts w:ascii="Aptos" w:hAnsi="Aptos" w:cs="Arial"/>
        </w:rPr>
        <w:t xml:space="preserve"> include: </w:t>
      </w:r>
    </w:p>
    <w:p w14:paraId="4F8BF8CA" w14:textId="77777777" w:rsidR="00B65A85" w:rsidRPr="0065656F" w:rsidRDefault="00B65A85" w:rsidP="00B65A85">
      <w:pPr>
        <w:pStyle w:val="ListParagraph"/>
        <w:numPr>
          <w:ilvl w:val="0"/>
          <w:numId w:val="6"/>
        </w:numPr>
        <w:suppressAutoHyphens w:val="0"/>
        <w:spacing w:after="120"/>
        <w:contextualSpacing w:val="0"/>
        <w:jc w:val="both"/>
        <w:rPr>
          <w:rFonts w:ascii="Aptos" w:hAnsi="Aptos"/>
        </w:rPr>
      </w:pPr>
      <w:r w:rsidRPr="0065656F">
        <w:rPr>
          <w:rFonts w:ascii="Aptos" w:hAnsi="Aptos" w:cs="Arial"/>
        </w:rPr>
        <w:t xml:space="preserve">Selecting the Health Priority(ies) for CHI funding based upon the needs identified in the 2025 CHNA and in alignment with the Department of Public Health’s Health Priorities; </w:t>
      </w:r>
    </w:p>
    <w:p w14:paraId="47D44F20" w14:textId="77777777" w:rsidR="00B65A85" w:rsidRPr="0065656F" w:rsidRDefault="00B65A85" w:rsidP="00B65A85">
      <w:pPr>
        <w:pStyle w:val="ListParagraph"/>
        <w:numPr>
          <w:ilvl w:val="0"/>
          <w:numId w:val="6"/>
        </w:numPr>
        <w:suppressAutoHyphens w:val="0"/>
        <w:spacing w:after="120"/>
        <w:contextualSpacing w:val="0"/>
        <w:jc w:val="both"/>
        <w:rPr>
          <w:rFonts w:ascii="Aptos" w:hAnsi="Aptos" w:cs="Arial"/>
        </w:rPr>
      </w:pPr>
      <w:r w:rsidRPr="0065656F">
        <w:rPr>
          <w:rFonts w:ascii="Aptos" w:hAnsi="Aptos" w:cs="Arial"/>
        </w:rPr>
        <w:t>Determining the strategies to address the identified Health Priorities; and, following a conflict of interest process,</w:t>
      </w:r>
    </w:p>
    <w:p w14:paraId="36EC4E20" w14:textId="77777777" w:rsidR="00B65A85" w:rsidRPr="0065656F" w:rsidRDefault="00B65A85" w:rsidP="00B65A85">
      <w:pPr>
        <w:pStyle w:val="ListParagraph"/>
        <w:numPr>
          <w:ilvl w:val="0"/>
          <w:numId w:val="6"/>
        </w:numPr>
        <w:suppressAutoHyphens w:val="0"/>
        <w:spacing w:after="120"/>
        <w:contextualSpacing w:val="0"/>
        <w:jc w:val="both"/>
        <w:rPr>
          <w:rFonts w:ascii="Aptos" w:hAnsi="Aptos"/>
        </w:rPr>
      </w:pPr>
      <w:r w:rsidRPr="0065656F">
        <w:rPr>
          <w:rFonts w:ascii="Aptos" w:hAnsi="Aptos" w:cs="Arial"/>
        </w:rPr>
        <w:t xml:space="preserve">Deciding on funding amounts for each strategy and advising on how to award and select CHI grantees; and </w:t>
      </w:r>
    </w:p>
    <w:p w14:paraId="227DF0C0" w14:textId="77777777" w:rsidR="00B65A85" w:rsidRPr="0065656F" w:rsidRDefault="00B65A85" w:rsidP="00B65A85">
      <w:pPr>
        <w:pStyle w:val="ListParagraph"/>
        <w:numPr>
          <w:ilvl w:val="0"/>
          <w:numId w:val="6"/>
        </w:numPr>
        <w:suppressAutoHyphens w:val="0"/>
        <w:spacing w:after="120"/>
        <w:contextualSpacing w:val="0"/>
        <w:jc w:val="both"/>
        <w:rPr>
          <w:rFonts w:ascii="Aptos" w:hAnsi="Aptos"/>
        </w:rPr>
      </w:pPr>
      <w:r w:rsidRPr="0065656F">
        <w:rPr>
          <w:rFonts w:ascii="Aptos" w:hAnsi="Aptos" w:cs="Arial"/>
        </w:rPr>
        <w:t xml:space="preserve">Providing general oversight of CHI projects and progress. </w:t>
      </w:r>
    </w:p>
    <w:p w14:paraId="5489C865" w14:textId="77777777" w:rsidR="00B65A85" w:rsidRPr="0065656F" w:rsidRDefault="00B65A85" w:rsidP="00A87623">
      <w:pPr>
        <w:pStyle w:val="Heading2"/>
        <w:rPr>
          <w:sz w:val="24"/>
          <w:szCs w:val="24"/>
        </w:rPr>
      </w:pPr>
      <w:r w:rsidRPr="0065656F">
        <w:rPr>
          <w:sz w:val="24"/>
          <w:szCs w:val="24"/>
        </w:rPr>
        <w:t>Timeline for CHI Activities</w:t>
      </w:r>
    </w:p>
    <w:p w14:paraId="44D9B1F1" w14:textId="77777777" w:rsidR="00B65A85" w:rsidRPr="0065656F" w:rsidRDefault="00B65A85" w:rsidP="00B65A85">
      <w:pPr>
        <w:spacing w:after="120"/>
        <w:jc w:val="both"/>
        <w:rPr>
          <w:rFonts w:ascii="Aptos" w:hAnsi="Aptos" w:cs="Arial"/>
        </w:rPr>
      </w:pPr>
      <w:r w:rsidRPr="0065656F">
        <w:rPr>
          <w:rFonts w:ascii="Aptos" w:hAnsi="Aptos" w:cs="Arial"/>
        </w:rPr>
        <w:t>The timeline for the CHI activities is as follows:</w:t>
      </w:r>
    </w:p>
    <w:p w14:paraId="6E8C4FED" w14:textId="15CB277B" w:rsidR="00B65A85" w:rsidRPr="0065656F" w:rsidRDefault="00B65A85"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 xml:space="preserve">Four to </w:t>
      </w:r>
      <w:r w:rsidR="00D22DAA" w:rsidRPr="0065656F">
        <w:rPr>
          <w:rFonts w:ascii="Aptos" w:hAnsi="Aptos" w:cs="Arial"/>
        </w:rPr>
        <w:t>s</w:t>
      </w:r>
      <w:r w:rsidRPr="0065656F">
        <w:rPr>
          <w:rFonts w:ascii="Aptos" w:hAnsi="Aptos" w:cs="Arial"/>
        </w:rPr>
        <w:t>ix weeks post-approval: The CBAC will review the 2025 CHNA to commence the process of selecting the CHI Health Priorities.</w:t>
      </w:r>
    </w:p>
    <w:p w14:paraId="17E32E16" w14:textId="2DB64CDC" w:rsidR="00B65A85" w:rsidRPr="0065656F" w:rsidRDefault="00B65A85"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Two to three months post-approval: The CBAC will select the Health Priorities and Strategies for funding.</w:t>
      </w:r>
    </w:p>
    <w:p w14:paraId="016BC68E" w14:textId="23D80688" w:rsidR="00B65A85" w:rsidRPr="0065656F" w:rsidRDefault="00E97BBC"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 xml:space="preserve">Four to five </w:t>
      </w:r>
      <w:r w:rsidR="00B65A85" w:rsidRPr="0065656F">
        <w:rPr>
          <w:rFonts w:ascii="Aptos" w:hAnsi="Aptos" w:cs="Arial"/>
        </w:rPr>
        <w:t xml:space="preserve">months post-approval: </w:t>
      </w:r>
      <w:r w:rsidRPr="0065656F">
        <w:rPr>
          <w:rFonts w:ascii="Aptos" w:hAnsi="Aptos" w:cs="Arial"/>
        </w:rPr>
        <w:t>The Hospital</w:t>
      </w:r>
      <w:r w:rsidR="00B65A85" w:rsidRPr="0065656F">
        <w:rPr>
          <w:rFonts w:ascii="Aptos" w:hAnsi="Aptos" w:cs="Arial"/>
        </w:rPr>
        <w:t xml:space="preserve"> will convene an Allocation Committee.</w:t>
      </w:r>
    </w:p>
    <w:p w14:paraId="1EACF0C8" w14:textId="09E64A60" w:rsidR="00B65A85" w:rsidRPr="0065656F" w:rsidRDefault="00E97BBC"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Six to seven</w:t>
      </w:r>
      <w:r w:rsidR="00B65A85" w:rsidRPr="0065656F">
        <w:rPr>
          <w:rFonts w:ascii="Aptos" w:hAnsi="Aptos" w:cs="Arial"/>
        </w:rPr>
        <w:t xml:space="preserve"> months post-approval: The Allocation Committee </w:t>
      </w:r>
      <w:bookmarkStart w:id="1" w:name="_Int_qgySgCWW"/>
      <w:r w:rsidR="00B65A85" w:rsidRPr="0065656F">
        <w:rPr>
          <w:rFonts w:ascii="Aptos" w:hAnsi="Aptos" w:cs="Arial"/>
        </w:rPr>
        <w:t>advises on</w:t>
      </w:r>
      <w:bookmarkEnd w:id="1"/>
      <w:r w:rsidR="00B65A85" w:rsidRPr="0065656F">
        <w:rPr>
          <w:rFonts w:ascii="Aptos" w:hAnsi="Aptos" w:cs="Arial"/>
        </w:rPr>
        <w:t xml:space="preserve"> the funding method to use and assists with the development of parameters for funding and evaluation.</w:t>
      </w:r>
    </w:p>
    <w:p w14:paraId="6B9DEF2A" w14:textId="2E73437C" w:rsidR="00B65A85" w:rsidRPr="0065656F" w:rsidRDefault="00E97BBC"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Eight to nine</w:t>
      </w:r>
      <w:r w:rsidR="00B65A85" w:rsidRPr="0065656F">
        <w:rPr>
          <w:rFonts w:ascii="Aptos" w:hAnsi="Aptos" w:cs="Arial"/>
        </w:rPr>
        <w:t xml:space="preserve"> months post-approval: Funding decisions are made.</w:t>
      </w:r>
    </w:p>
    <w:p w14:paraId="24ED00AE" w14:textId="54742DB3" w:rsidR="00B65A85" w:rsidRPr="0065656F" w:rsidRDefault="00E97BBC"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lastRenderedPageBreak/>
        <w:t>Ten to twelve</w:t>
      </w:r>
      <w:r w:rsidR="00B65A85" w:rsidRPr="0065656F">
        <w:rPr>
          <w:rFonts w:ascii="Aptos" w:hAnsi="Aptos" w:cs="Arial"/>
        </w:rPr>
        <w:t xml:space="preserve"> months post-approval: Disbursement of funds begins</w:t>
      </w:r>
      <w:r w:rsidR="00540957" w:rsidRPr="0065656F">
        <w:rPr>
          <w:rFonts w:ascii="Aptos" w:hAnsi="Aptos" w:cs="Arial"/>
        </w:rPr>
        <w:t>.</w:t>
      </w:r>
    </w:p>
    <w:p w14:paraId="333FC9FC" w14:textId="6BD6D025" w:rsidR="00B65A85" w:rsidRPr="0065656F" w:rsidRDefault="00E97BBC" w:rsidP="00B65A8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 xml:space="preserve">Twelve </w:t>
      </w:r>
      <w:r w:rsidR="00B65A85" w:rsidRPr="0065656F">
        <w:rPr>
          <w:rFonts w:ascii="Aptos" w:hAnsi="Aptos" w:cs="Arial"/>
        </w:rPr>
        <w:t>months to four years post-approval: Strategies are implemented and annual evaluat</w:t>
      </w:r>
      <w:r w:rsidR="00540957" w:rsidRPr="0065656F">
        <w:rPr>
          <w:rFonts w:ascii="Aptos" w:hAnsi="Aptos" w:cs="Arial"/>
        </w:rPr>
        <w:t>ion</w:t>
      </w:r>
      <w:r w:rsidR="00B65A85" w:rsidRPr="0065656F">
        <w:rPr>
          <w:rFonts w:ascii="Aptos" w:hAnsi="Aptos" w:cs="Arial"/>
        </w:rPr>
        <w:t xml:space="preserve"> occurs</w:t>
      </w:r>
      <w:r w:rsidR="00540957" w:rsidRPr="0065656F">
        <w:rPr>
          <w:rFonts w:ascii="Aptos" w:hAnsi="Aptos" w:cs="Arial"/>
        </w:rPr>
        <w:t>.</w:t>
      </w:r>
    </w:p>
    <w:p w14:paraId="3DD365F6" w14:textId="42AA0E2E" w:rsidR="00B65A85" w:rsidRPr="0065656F" w:rsidRDefault="00B65A85" w:rsidP="00206425">
      <w:pPr>
        <w:pStyle w:val="ListParagraph"/>
        <w:numPr>
          <w:ilvl w:val="0"/>
          <w:numId w:val="4"/>
        </w:numPr>
        <w:suppressAutoHyphens w:val="0"/>
        <w:spacing w:after="120"/>
        <w:contextualSpacing w:val="0"/>
        <w:jc w:val="both"/>
        <w:rPr>
          <w:rFonts w:ascii="Aptos" w:hAnsi="Aptos" w:cs="Arial"/>
        </w:rPr>
      </w:pPr>
      <w:r w:rsidRPr="0065656F">
        <w:rPr>
          <w:rFonts w:ascii="Aptos" w:hAnsi="Aptos" w:cs="Arial"/>
        </w:rPr>
        <w:t>Four to five years post</w:t>
      </w:r>
      <w:r w:rsidR="00184204" w:rsidRPr="0065656F">
        <w:rPr>
          <w:rFonts w:ascii="Aptos" w:hAnsi="Aptos" w:cs="Arial"/>
        </w:rPr>
        <w:t>-</w:t>
      </w:r>
      <w:r w:rsidRPr="0065656F">
        <w:rPr>
          <w:rFonts w:ascii="Aptos" w:hAnsi="Aptos" w:cs="Arial"/>
        </w:rPr>
        <w:t>approval: Final evaluation of funded projects.</w:t>
      </w:r>
    </w:p>
    <w:p w14:paraId="71FB589E" w14:textId="77777777" w:rsidR="00B65A85" w:rsidRPr="0065656F" w:rsidRDefault="00B65A85" w:rsidP="00A87623">
      <w:pPr>
        <w:pStyle w:val="Heading2"/>
        <w:rPr>
          <w:sz w:val="24"/>
          <w:szCs w:val="24"/>
        </w:rPr>
      </w:pPr>
      <w:r w:rsidRPr="0065656F">
        <w:rPr>
          <w:sz w:val="24"/>
          <w:szCs w:val="24"/>
        </w:rPr>
        <w:t>Administrative and Evaluation Monies</w:t>
      </w:r>
    </w:p>
    <w:p w14:paraId="5283A5D3" w14:textId="0E209CCD" w:rsidR="00B65A85" w:rsidRPr="0065656F" w:rsidRDefault="00B65A85" w:rsidP="00B65A85">
      <w:pPr>
        <w:spacing w:after="120"/>
        <w:jc w:val="both"/>
        <w:rPr>
          <w:rFonts w:ascii="Aptos" w:hAnsi="Aptos"/>
          <w:color w:val="000000"/>
        </w:rPr>
      </w:pPr>
      <w:r w:rsidRPr="0065656F">
        <w:rPr>
          <w:rFonts w:ascii="Aptos" w:hAnsi="Aptos" w:cs="Arial"/>
        </w:rPr>
        <w:t>Applicants submitting a Tier 1 CHI are eligible to retain up to four percent (4</w:t>
      </w:r>
      <w:r w:rsidR="002146BD">
        <w:rPr>
          <w:rFonts w:ascii="Aptos" w:hAnsi="Aptos" w:cs="Arial"/>
        </w:rPr>
        <w:t xml:space="preserve"> percent</w:t>
      </w:r>
      <w:r w:rsidRPr="0065656F">
        <w:rPr>
          <w:rFonts w:ascii="Aptos" w:hAnsi="Aptos" w:cs="Arial"/>
        </w:rPr>
        <w:t xml:space="preserve">) of the total CHI for administrative costs. Accordingly, </w:t>
      </w:r>
      <w:r w:rsidR="00206425" w:rsidRPr="0065656F">
        <w:rPr>
          <w:rFonts w:ascii="Aptos" w:eastAsia="Calibri" w:hAnsi="Aptos" w:cs="Calibri"/>
          <w:color w:val="000000" w:themeColor="text1"/>
        </w:rPr>
        <w:t>Saint Anne’s Hospital</w:t>
      </w:r>
      <w:r w:rsidRPr="0065656F">
        <w:rPr>
          <w:rFonts w:ascii="Aptos" w:hAnsi="Aptos" w:cs="Arial"/>
        </w:rPr>
        <w:t xml:space="preserve"> is requesting </w:t>
      </w:r>
      <w:r w:rsidRPr="0065656F">
        <w:rPr>
          <w:rFonts w:ascii="Aptos" w:hAnsi="Aptos"/>
          <w:color w:val="000000" w:themeColor="text1"/>
        </w:rPr>
        <w:t xml:space="preserve">$17,500.00 </w:t>
      </w:r>
      <w:r w:rsidR="00DB4DE2" w:rsidRPr="0065656F">
        <w:rPr>
          <w:rFonts w:ascii="Aptos" w:hAnsi="Aptos" w:cs="Arial"/>
        </w:rPr>
        <w:t xml:space="preserve">to fund </w:t>
      </w:r>
      <w:r w:rsidRPr="0065656F">
        <w:rPr>
          <w:rFonts w:ascii="Aptos" w:hAnsi="Aptos" w:cs="Arial"/>
        </w:rPr>
        <w:t xml:space="preserve">administrative </w:t>
      </w:r>
      <w:r w:rsidR="00DB4DE2" w:rsidRPr="0065656F">
        <w:rPr>
          <w:rFonts w:ascii="Aptos" w:hAnsi="Aptos" w:cs="Arial"/>
        </w:rPr>
        <w:t>costs</w:t>
      </w:r>
      <w:r w:rsidRPr="0065656F">
        <w:rPr>
          <w:rFonts w:ascii="Aptos" w:hAnsi="Aptos" w:cs="Arial"/>
        </w:rPr>
        <w:t xml:space="preserve">. These monies will support promotion of meetings, interpretation/translation, community engagement, stipends for community resident participation, and additional staff time for these efforts. </w:t>
      </w:r>
    </w:p>
    <w:p w14:paraId="1F7D7662" w14:textId="514243EF" w:rsidR="00B65A85" w:rsidRPr="0065656F" w:rsidRDefault="00B65A85" w:rsidP="00B65A85">
      <w:pPr>
        <w:spacing w:after="120"/>
        <w:jc w:val="both"/>
        <w:rPr>
          <w:rFonts w:ascii="Aptos" w:hAnsi="Aptos"/>
          <w:color w:val="000000"/>
        </w:rPr>
      </w:pPr>
      <w:r w:rsidRPr="0065656F">
        <w:rPr>
          <w:rFonts w:ascii="Aptos" w:hAnsi="Aptos" w:cs="Arial"/>
        </w:rPr>
        <w:t xml:space="preserve">Additionally, </w:t>
      </w:r>
      <w:r w:rsidR="00206425" w:rsidRPr="0065656F">
        <w:rPr>
          <w:rFonts w:ascii="Aptos" w:hAnsi="Aptos" w:cs="Arial"/>
        </w:rPr>
        <w:t>the Hospital</w:t>
      </w:r>
      <w:r w:rsidRPr="0065656F">
        <w:rPr>
          <w:rFonts w:ascii="Aptos" w:hAnsi="Aptos" w:cs="Arial"/>
        </w:rPr>
        <w:t xml:space="preserve"> is seeking to use 10</w:t>
      </w:r>
      <w:r w:rsidR="002146BD">
        <w:rPr>
          <w:rFonts w:ascii="Aptos" w:hAnsi="Aptos" w:cs="Arial"/>
        </w:rPr>
        <w:t xml:space="preserve"> percent</w:t>
      </w:r>
      <w:r w:rsidRPr="0065656F">
        <w:rPr>
          <w:rFonts w:ascii="Aptos" w:hAnsi="Aptos" w:cs="Arial"/>
        </w:rPr>
        <w:t xml:space="preserve"> of local CHI funding (</w:t>
      </w:r>
      <w:r w:rsidRPr="0065656F">
        <w:rPr>
          <w:rFonts w:ascii="Aptos" w:hAnsi="Aptos"/>
          <w:color w:val="000000" w:themeColor="text1"/>
        </w:rPr>
        <w:t>$37,800</w:t>
      </w:r>
      <w:r w:rsidRPr="0065656F">
        <w:rPr>
          <w:rFonts w:ascii="Aptos" w:hAnsi="Aptos" w:cs="Arial"/>
        </w:rPr>
        <w:t xml:space="preserve">) for evaluation efforts. These monies will allow </w:t>
      </w:r>
      <w:r w:rsidR="00206425" w:rsidRPr="0065656F">
        <w:rPr>
          <w:rFonts w:ascii="Aptos" w:eastAsia="Calibri" w:hAnsi="Aptos" w:cs="Calibri"/>
          <w:color w:val="000000" w:themeColor="text1"/>
        </w:rPr>
        <w:t>Saint Anne’s Hospital</w:t>
      </w:r>
      <w:r w:rsidRPr="0065656F">
        <w:rPr>
          <w:rFonts w:ascii="Aptos" w:hAnsi="Aptos" w:cs="Arial"/>
        </w:rPr>
        <w:t xml:space="preserve"> to retain the expertise of the internal and/or external resources to develop and implement appropriate evaluation metrics of the CHI-funded projects.</w:t>
      </w:r>
    </w:p>
    <w:p w14:paraId="78B2A304" w14:textId="7855DD08" w:rsidR="00FF1A38" w:rsidRPr="0065656F" w:rsidRDefault="00FF1A38" w:rsidP="00B65A85">
      <w:pPr>
        <w:rPr>
          <w:rFonts w:ascii="Aptos" w:hAnsi="Aptos"/>
        </w:rPr>
      </w:pPr>
    </w:p>
    <w:sectPr w:rsidR="00FF1A38" w:rsidRPr="0065656F" w:rsidSect="00E44173">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434E" w14:textId="77777777" w:rsidR="00E33239" w:rsidRDefault="00E33239" w:rsidP="009F5152">
      <w:r>
        <w:separator/>
      </w:r>
    </w:p>
  </w:endnote>
  <w:endnote w:type="continuationSeparator" w:id="0">
    <w:p w14:paraId="627E9053" w14:textId="77777777" w:rsidR="00E33239" w:rsidRDefault="00E33239" w:rsidP="009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F71B" w14:textId="4954CC92" w:rsidR="007E74B2" w:rsidRPr="001E37E4" w:rsidRDefault="007E74B2" w:rsidP="001E3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097" w14:textId="6EB15A6D" w:rsidR="007E74B2" w:rsidRPr="001E37E4" w:rsidRDefault="007E74B2" w:rsidP="001E3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5E76" w14:textId="24E6E7BC" w:rsidR="007E74B2" w:rsidRPr="001E37E4" w:rsidRDefault="007E74B2" w:rsidP="001E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29D3" w14:textId="77777777" w:rsidR="00E33239" w:rsidRDefault="00E33239" w:rsidP="009F5152">
      <w:r>
        <w:separator/>
      </w:r>
    </w:p>
  </w:footnote>
  <w:footnote w:type="continuationSeparator" w:id="0">
    <w:p w14:paraId="703F7C8E" w14:textId="77777777" w:rsidR="00E33239" w:rsidRDefault="00E33239" w:rsidP="009F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BE1B" w14:textId="77777777" w:rsidR="00DA5C8F" w:rsidRDefault="00DA5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D90D" w14:textId="77777777" w:rsidR="00DA5C8F" w:rsidRDefault="00DA5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7B5A" w14:textId="77777777" w:rsidR="00DA5C8F" w:rsidRDefault="00DA5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B71"/>
    <w:multiLevelType w:val="hybridMultilevel"/>
    <w:tmpl w:val="51A6D696"/>
    <w:lvl w:ilvl="0" w:tplc="975E9F3C">
      <w:start w:val="1"/>
      <w:numFmt w:val="upperRoman"/>
      <w:lvlText w:val="%1."/>
      <w:lvlJc w:val="left"/>
      <w:pPr>
        <w:ind w:left="1080" w:hanging="720"/>
      </w:pPr>
      <w:rPr>
        <w:rFonts w:hint="default"/>
      </w:rPr>
    </w:lvl>
    <w:lvl w:ilvl="1" w:tplc="EAC4F8E8">
      <w:start w:val="1"/>
      <w:numFmt w:val="upperLetter"/>
      <w:pStyle w:val="Heading2"/>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00834"/>
    <w:multiLevelType w:val="hybridMultilevel"/>
    <w:tmpl w:val="99D8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D41B7"/>
    <w:multiLevelType w:val="hybridMultilevel"/>
    <w:tmpl w:val="5C96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86ED5"/>
    <w:multiLevelType w:val="hybridMultilevel"/>
    <w:tmpl w:val="95CADAB0"/>
    <w:lvl w:ilvl="0" w:tplc="0C80E2F8">
      <w:start w:val="1"/>
      <w:numFmt w:val="bullet"/>
      <w:lvlText w:val=""/>
      <w:lvlJc w:val="left"/>
      <w:pPr>
        <w:ind w:left="1080" w:hanging="360"/>
      </w:pPr>
      <w:rPr>
        <w:rFonts w:ascii="Symbol" w:hAnsi="Symbol" w:hint="default"/>
      </w:rPr>
    </w:lvl>
    <w:lvl w:ilvl="1" w:tplc="DF485E32">
      <w:start w:val="1"/>
      <w:numFmt w:val="bullet"/>
      <w:lvlText w:val="o"/>
      <w:lvlJc w:val="left"/>
      <w:pPr>
        <w:ind w:left="1800" w:hanging="360"/>
      </w:pPr>
      <w:rPr>
        <w:rFonts w:ascii="Courier New" w:hAnsi="Courier New" w:hint="default"/>
      </w:rPr>
    </w:lvl>
    <w:lvl w:ilvl="2" w:tplc="2A008A0C">
      <w:start w:val="1"/>
      <w:numFmt w:val="bullet"/>
      <w:lvlText w:val=""/>
      <w:lvlJc w:val="left"/>
      <w:pPr>
        <w:ind w:left="2520" w:hanging="360"/>
      </w:pPr>
      <w:rPr>
        <w:rFonts w:ascii="Wingdings" w:hAnsi="Wingdings" w:hint="default"/>
      </w:rPr>
    </w:lvl>
    <w:lvl w:ilvl="3" w:tplc="80968176">
      <w:start w:val="1"/>
      <w:numFmt w:val="bullet"/>
      <w:lvlText w:val=""/>
      <w:lvlJc w:val="left"/>
      <w:pPr>
        <w:ind w:left="3240" w:hanging="360"/>
      </w:pPr>
      <w:rPr>
        <w:rFonts w:ascii="Symbol" w:hAnsi="Symbol" w:hint="default"/>
      </w:rPr>
    </w:lvl>
    <w:lvl w:ilvl="4" w:tplc="16E24F96">
      <w:start w:val="1"/>
      <w:numFmt w:val="bullet"/>
      <w:lvlText w:val="o"/>
      <w:lvlJc w:val="left"/>
      <w:pPr>
        <w:ind w:left="3960" w:hanging="360"/>
      </w:pPr>
      <w:rPr>
        <w:rFonts w:ascii="Courier New" w:hAnsi="Courier New" w:hint="default"/>
      </w:rPr>
    </w:lvl>
    <w:lvl w:ilvl="5" w:tplc="816CAF64">
      <w:start w:val="1"/>
      <w:numFmt w:val="bullet"/>
      <w:lvlText w:val=""/>
      <w:lvlJc w:val="left"/>
      <w:pPr>
        <w:ind w:left="4680" w:hanging="360"/>
      </w:pPr>
      <w:rPr>
        <w:rFonts w:ascii="Wingdings" w:hAnsi="Wingdings" w:hint="default"/>
      </w:rPr>
    </w:lvl>
    <w:lvl w:ilvl="6" w:tplc="16B47982">
      <w:start w:val="1"/>
      <w:numFmt w:val="bullet"/>
      <w:lvlText w:val=""/>
      <w:lvlJc w:val="left"/>
      <w:pPr>
        <w:ind w:left="5400" w:hanging="360"/>
      </w:pPr>
      <w:rPr>
        <w:rFonts w:ascii="Symbol" w:hAnsi="Symbol" w:hint="default"/>
      </w:rPr>
    </w:lvl>
    <w:lvl w:ilvl="7" w:tplc="E95621C4">
      <w:start w:val="1"/>
      <w:numFmt w:val="bullet"/>
      <w:lvlText w:val="o"/>
      <w:lvlJc w:val="left"/>
      <w:pPr>
        <w:ind w:left="6120" w:hanging="360"/>
      </w:pPr>
      <w:rPr>
        <w:rFonts w:ascii="Courier New" w:hAnsi="Courier New" w:hint="default"/>
      </w:rPr>
    </w:lvl>
    <w:lvl w:ilvl="8" w:tplc="CCF2EE68">
      <w:start w:val="1"/>
      <w:numFmt w:val="bullet"/>
      <w:lvlText w:val=""/>
      <w:lvlJc w:val="left"/>
      <w:pPr>
        <w:ind w:left="6840" w:hanging="360"/>
      </w:pPr>
      <w:rPr>
        <w:rFonts w:ascii="Wingdings" w:hAnsi="Wingdings" w:hint="default"/>
      </w:rPr>
    </w:lvl>
  </w:abstractNum>
  <w:abstractNum w:abstractNumId="6" w15:restartNumberingAfterBreak="0">
    <w:nsid w:val="6F9028FE"/>
    <w:multiLevelType w:val="hybridMultilevel"/>
    <w:tmpl w:val="84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056309">
    <w:abstractNumId w:val="2"/>
  </w:num>
  <w:num w:numId="2" w16cid:durableId="40911050">
    <w:abstractNumId w:val="1"/>
  </w:num>
  <w:num w:numId="3" w16cid:durableId="253167430">
    <w:abstractNumId w:val="6"/>
  </w:num>
  <w:num w:numId="4" w16cid:durableId="1670675690">
    <w:abstractNumId w:val="5"/>
  </w:num>
  <w:num w:numId="5" w16cid:durableId="1688016986">
    <w:abstractNumId w:val="0"/>
  </w:num>
  <w:num w:numId="6" w16cid:durableId="388962637">
    <w:abstractNumId w:val="3"/>
  </w:num>
  <w:num w:numId="7" w16cid:durableId="1002898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52"/>
    <w:rsid w:val="00086790"/>
    <w:rsid w:val="00086BE6"/>
    <w:rsid w:val="0008779A"/>
    <w:rsid w:val="00091A39"/>
    <w:rsid w:val="000C3AA1"/>
    <w:rsid w:val="000E1937"/>
    <w:rsid w:val="00110B2A"/>
    <w:rsid w:val="00124537"/>
    <w:rsid w:val="00125C76"/>
    <w:rsid w:val="00153E8C"/>
    <w:rsid w:val="00162DCD"/>
    <w:rsid w:val="00173E99"/>
    <w:rsid w:val="00176F6E"/>
    <w:rsid w:val="00184204"/>
    <w:rsid w:val="001D49E6"/>
    <w:rsid w:val="001D643D"/>
    <w:rsid w:val="001E304E"/>
    <w:rsid w:val="001E37E4"/>
    <w:rsid w:val="00202D38"/>
    <w:rsid w:val="00204F87"/>
    <w:rsid w:val="00206425"/>
    <w:rsid w:val="00207FB3"/>
    <w:rsid w:val="00213AAE"/>
    <w:rsid w:val="002146BD"/>
    <w:rsid w:val="00222F40"/>
    <w:rsid w:val="00223C11"/>
    <w:rsid w:val="00234274"/>
    <w:rsid w:val="00273D4D"/>
    <w:rsid w:val="002748C1"/>
    <w:rsid w:val="00290066"/>
    <w:rsid w:val="00296374"/>
    <w:rsid w:val="002C60E1"/>
    <w:rsid w:val="002D5519"/>
    <w:rsid w:val="002E4DFD"/>
    <w:rsid w:val="002F76F2"/>
    <w:rsid w:val="00322D88"/>
    <w:rsid w:val="00327A0B"/>
    <w:rsid w:val="00336038"/>
    <w:rsid w:val="003418FC"/>
    <w:rsid w:val="0034516A"/>
    <w:rsid w:val="00347180"/>
    <w:rsid w:val="00356D18"/>
    <w:rsid w:val="00376F1F"/>
    <w:rsid w:val="00391E7A"/>
    <w:rsid w:val="00394444"/>
    <w:rsid w:val="00394862"/>
    <w:rsid w:val="003C6909"/>
    <w:rsid w:val="004019C6"/>
    <w:rsid w:val="004275A5"/>
    <w:rsid w:val="00482923"/>
    <w:rsid w:val="004833B3"/>
    <w:rsid w:val="004C6A11"/>
    <w:rsid w:val="004F40A2"/>
    <w:rsid w:val="004F5D78"/>
    <w:rsid w:val="00540957"/>
    <w:rsid w:val="005811AA"/>
    <w:rsid w:val="00590EF0"/>
    <w:rsid w:val="005971AB"/>
    <w:rsid w:val="005B6E99"/>
    <w:rsid w:val="005E1EBE"/>
    <w:rsid w:val="00606F8B"/>
    <w:rsid w:val="00607D6F"/>
    <w:rsid w:val="00616C86"/>
    <w:rsid w:val="00622CA8"/>
    <w:rsid w:val="006536F7"/>
    <w:rsid w:val="0065656F"/>
    <w:rsid w:val="0067172D"/>
    <w:rsid w:val="006942E2"/>
    <w:rsid w:val="00694BB7"/>
    <w:rsid w:val="006A0C89"/>
    <w:rsid w:val="006B49F5"/>
    <w:rsid w:val="006B66CF"/>
    <w:rsid w:val="006C2250"/>
    <w:rsid w:val="006C58FA"/>
    <w:rsid w:val="006D0A1E"/>
    <w:rsid w:val="006E2622"/>
    <w:rsid w:val="006E4A4B"/>
    <w:rsid w:val="006F2110"/>
    <w:rsid w:val="007144A6"/>
    <w:rsid w:val="00734FE5"/>
    <w:rsid w:val="007B6949"/>
    <w:rsid w:val="007E74B2"/>
    <w:rsid w:val="008008E6"/>
    <w:rsid w:val="008044C2"/>
    <w:rsid w:val="00814448"/>
    <w:rsid w:val="00820672"/>
    <w:rsid w:val="00821504"/>
    <w:rsid w:val="00852991"/>
    <w:rsid w:val="0086654A"/>
    <w:rsid w:val="0088100A"/>
    <w:rsid w:val="0088331D"/>
    <w:rsid w:val="00892127"/>
    <w:rsid w:val="00894D73"/>
    <w:rsid w:val="00932F5F"/>
    <w:rsid w:val="00965DAB"/>
    <w:rsid w:val="00982E47"/>
    <w:rsid w:val="009A6A92"/>
    <w:rsid w:val="009D37CD"/>
    <w:rsid w:val="009E5219"/>
    <w:rsid w:val="009F5152"/>
    <w:rsid w:val="00A026A5"/>
    <w:rsid w:val="00A05D15"/>
    <w:rsid w:val="00A14E71"/>
    <w:rsid w:val="00A2097F"/>
    <w:rsid w:val="00A26219"/>
    <w:rsid w:val="00A45818"/>
    <w:rsid w:val="00A87623"/>
    <w:rsid w:val="00A923ED"/>
    <w:rsid w:val="00AA57ED"/>
    <w:rsid w:val="00AB3289"/>
    <w:rsid w:val="00AC130A"/>
    <w:rsid w:val="00AD44B0"/>
    <w:rsid w:val="00AE3228"/>
    <w:rsid w:val="00B65A85"/>
    <w:rsid w:val="00B67F6C"/>
    <w:rsid w:val="00B81916"/>
    <w:rsid w:val="00BB18BB"/>
    <w:rsid w:val="00BE40F9"/>
    <w:rsid w:val="00C05E00"/>
    <w:rsid w:val="00C20B54"/>
    <w:rsid w:val="00C31B08"/>
    <w:rsid w:val="00C600D5"/>
    <w:rsid w:val="00CF5077"/>
    <w:rsid w:val="00D22DAA"/>
    <w:rsid w:val="00D27313"/>
    <w:rsid w:val="00D47D49"/>
    <w:rsid w:val="00D527C7"/>
    <w:rsid w:val="00D818A8"/>
    <w:rsid w:val="00D97544"/>
    <w:rsid w:val="00DA00ED"/>
    <w:rsid w:val="00DA5C8F"/>
    <w:rsid w:val="00DB4DE2"/>
    <w:rsid w:val="00DF6D4C"/>
    <w:rsid w:val="00E33239"/>
    <w:rsid w:val="00E34228"/>
    <w:rsid w:val="00E44173"/>
    <w:rsid w:val="00E44176"/>
    <w:rsid w:val="00E469BF"/>
    <w:rsid w:val="00E845D2"/>
    <w:rsid w:val="00E84C69"/>
    <w:rsid w:val="00E97BBC"/>
    <w:rsid w:val="00EE0DFA"/>
    <w:rsid w:val="00EF1CCF"/>
    <w:rsid w:val="00F128FD"/>
    <w:rsid w:val="00F12F44"/>
    <w:rsid w:val="00F44BD7"/>
    <w:rsid w:val="00F7221A"/>
    <w:rsid w:val="00FA7426"/>
    <w:rsid w:val="00FB050F"/>
    <w:rsid w:val="00FC7C2C"/>
    <w:rsid w:val="00FD4E9E"/>
    <w:rsid w:val="00FF16DA"/>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6046"/>
  <w15:chartTrackingRefBased/>
  <w15:docId w15:val="{6F0804F8-AC23-4E91-8D5E-887A6B8E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52"/>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852991"/>
    <w:pPr>
      <w:spacing w:after="120"/>
      <w:jc w:val="both"/>
      <w:outlineLvl w:val="0"/>
    </w:pPr>
    <w:rPr>
      <w:rFonts w:ascii="Aptos" w:hAnsi="Aptos" w:cs="Arial"/>
      <w:b/>
      <w:bCs/>
      <w:sz w:val="21"/>
      <w:szCs w:val="21"/>
    </w:rPr>
  </w:style>
  <w:style w:type="paragraph" w:styleId="Heading2">
    <w:name w:val="heading 2"/>
    <w:basedOn w:val="ListParagraph"/>
    <w:next w:val="Normal"/>
    <w:link w:val="Heading2Char"/>
    <w:uiPriority w:val="1"/>
    <w:qFormat/>
    <w:rsid w:val="00A87623"/>
    <w:pPr>
      <w:numPr>
        <w:ilvl w:val="1"/>
        <w:numId w:val="5"/>
      </w:numPr>
      <w:suppressAutoHyphens w:val="0"/>
      <w:spacing w:before="240" w:after="120"/>
      <w:contextualSpacing w:val="0"/>
      <w:jc w:val="both"/>
      <w:outlineLvl w:val="1"/>
    </w:pPr>
    <w:rPr>
      <w:rFonts w:ascii="Aptos" w:hAnsi="Aptos" w:cs="Arial"/>
      <w:sz w:val="21"/>
      <w:szCs w:val="21"/>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852991"/>
    <w:rPr>
      <w:rFonts w:ascii="Aptos" w:hAnsi="Aptos" w:cs="Arial"/>
      <w:b/>
      <w:bCs/>
      <w:sz w:val="21"/>
      <w:szCs w:val="21"/>
    </w:rPr>
  </w:style>
  <w:style w:type="character" w:customStyle="1" w:styleId="Heading2Char">
    <w:name w:val="Heading 2 Char"/>
    <w:link w:val="Heading2"/>
    <w:uiPriority w:val="1"/>
    <w:rsid w:val="00A87623"/>
    <w:rPr>
      <w:rFonts w:ascii="Aptos" w:hAnsi="Aptos" w:cs="Arial"/>
      <w:sz w:val="21"/>
      <w:szCs w:val="21"/>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9F5152"/>
    <w:pPr>
      <w:ind w:left="720"/>
      <w:contextualSpacing/>
    </w:pPr>
  </w:style>
  <w:style w:type="table" w:styleId="TableGrid">
    <w:name w:val="Table Grid"/>
    <w:basedOn w:val="TableNormal"/>
    <w:uiPriority w:val="59"/>
    <w:rsid w:val="009F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152"/>
    <w:rPr>
      <w:sz w:val="16"/>
      <w:szCs w:val="16"/>
    </w:rPr>
  </w:style>
  <w:style w:type="paragraph" w:styleId="CommentText">
    <w:name w:val="annotation text"/>
    <w:basedOn w:val="Normal"/>
    <w:link w:val="CommentTextChar"/>
    <w:uiPriority w:val="99"/>
    <w:unhideWhenUsed/>
    <w:rsid w:val="009F5152"/>
    <w:rPr>
      <w:sz w:val="20"/>
      <w:szCs w:val="20"/>
    </w:rPr>
  </w:style>
  <w:style w:type="character" w:customStyle="1" w:styleId="CommentTextChar">
    <w:name w:val="Comment Text Char"/>
    <w:basedOn w:val="DefaultParagraphFont"/>
    <w:link w:val="CommentText"/>
    <w:uiPriority w:val="99"/>
    <w:rsid w:val="009F5152"/>
    <w:rPr>
      <w:rFonts w:ascii="Times New Roman" w:hAnsi="Times New Roman" w:cs="Times New Roman"/>
      <w:sz w:val="20"/>
      <w:szCs w:val="20"/>
    </w:rPr>
  </w:style>
  <w:style w:type="paragraph" w:styleId="FootnoteText">
    <w:name w:val="footnote text"/>
    <w:basedOn w:val="Normal"/>
    <w:link w:val="FootnoteTextChar"/>
    <w:uiPriority w:val="99"/>
    <w:unhideWhenUsed/>
    <w:rsid w:val="009F5152"/>
    <w:rPr>
      <w:sz w:val="20"/>
      <w:szCs w:val="20"/>
    </w:rPr>
  </w:style>
  <w:style w:type="character" w:customStyle="1" w:styleId="FootnoteTextChar">
    <w:name w:val="Footnote Text Char"/>
    <w:basedOn w:val="DefaultParagraphFont"/>
    <w:link w:val="FootnoteText"/>
    <w:uiPriority w:val="99"/>
    <w:rsid w:val="009F5152"/>
    <w:rPr>
      <w:rFonts w:ascii="Times New Roman" w:hAnsi="Times New Roman" w:cs="Times New Roman"/>
      <w:sz w:val="20"/>
      <w:szCs w:val="20"/>
    </w:rPr>
  </w:style>
  <w:style w:type="character" w:styleId="FootnoteReference">
    <w:name w:val="footnote reference"/>
    <w:basedOn w:val="DefaultParagraphFont"/>
    <w:uiPriority w:val="99"/>
    <w:unhideWhenUsed/>
    <w:rsid w:val="009F5152"/>
    <w:rPr>
      <w:vertAlign w:val="superscript"/>
    </w:rPr>
  </w:style>
  <w:style w:type="character" w:customStyle="1" w:styleId="cf01">
    <w:name w:val="cf01"/>
    <w:basedOn w:val="DefaultParagraphFont"/>
    <w:rsid w:val="009F5152"/>
    <w:rPr>
      <w:rFonts w:ascii="Segoe UI" w:hAnsi="Segoe UI" w:cs="Segoe UI" w:hint="default"/>
      <w:sz w:val="18"/>
      <w:szCs w:val="18"/>
    </w:rPr>
  </w:style>
  <w:style w:type="paragraph" w:customStyle="1" w:styleId="pf0">
    <w:name w:val="pf0"/>
    <w:basedOn w:val="Normal"/>
    <w:rsid w:val="009F5152"/>
    <w:pPr>
      <w:suppressAutoHyphens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91E7A"/>
    <w:rPr>
      <w:b/>
      <w:bCs/>
    </w:rPr>
  </w:style>
  <w:style w:type="character" w:customStyle="1" w:styleId="CommentSubjectChar">
    <w:name w:val="Comment Subject Char"/>
    <w:basedOn w:val="CommentTextChar"/>
    <w:link w:val="CommentSubject"/>
    <w:uiPriority w:val="99"/>
    <w:semiHidden/>
    <w:rsid w:val="00391E7A"/>
    <w:rPr>
      <w:rFonts w:ascii="Times New Roman" w:hAnsi="Times New Roman" w:cs="Times New Roman"/>
      <w:b/>
      <w:bCs/>
      <w:sz w:val="20"/>
      <w:szCs w:val="20"/>
    </w:rPr>
  </w:style>
  <w:style w:type="paragraph" w:styleId="Revision">
    <w:name w:val="Revision"/>
    <w:hidden/>
    <w:uiPriority w:val="99"/>
    <w:semiHidden/>
    <w:rsid w:val="00173E9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06F8B"/>
    <w:rPr>
      <w:color w:val="0563C1" w:themeColor="hyperlink"/>
      <w:u w:val="single"/>
    </w:rPr>
  </w:style>
  <w:style w:type="character" w:styleId="UnresolvedMention">
    <w:name w:val="Unresolved Mention"/>
    <w:basedOn w:val="DefaultParagraphFont"/>
    <w:uiPriority w:val="99"/>
    <w:semiHidden/>
    <w:unhideWhenUsed/>
    <w:rsid w:val="00606F8B"/>
    <w:rPr>
      <w:color w:val="605E5C"/>
      <w:shd w:val="clear" w:color="auto" w:fill="E1DFDD"/>
    </w:rPr>
  </w:style>
  <w:style w:type="paragraph" w:styleId="Header">
    <w:name w:val="header"/>
    <w:basedOn w:val="Normal"/>
    <w:link w:val="HeaderChar"/>
    <w:uiPriority w:val="99"/>
    <w:unhideWhenUsed/>
    <w:rsid w:val="007E74B2"/>
    <w:pPr>
      <w:tabs>
        <w:tab w:val="center" w:pos="4680"/>
        <w:tab w:val="right" w:pos="9360"/>
      </w:tabs>
    </w:pPr>
  </w:style>
  <w:style w:type="character" w:customStyle="1" w:styleId="HeaderChar">
    <w:name w:val="Header Char"/>
    <w:basedOn w:val="DefaultParagraphFont"/>
    <w:link w:val="Header"/>
    <w:uiPriority w:val="99"/>
    <w:rsid w:val="007E74B2"/>
    <w:rPr>
      <w:rFonts w:ascii="Times New Roman" w:hAnsi="Times New Roman" w:cs="Times New Roman"/>
      <w:sz w:val="24"/>
      <w:szCs w:val="24"/>
    </w:rPr>
  </w:style>
  <w:style w:type="paragraph" w:styleId="Footer">
    <w:name w:val="footer"/>
    <w:basedOn w:val="Normal"/>
    <w:link w:val="FooterChar"/>
    <w:uiPriority w:val="99"/>
    <w:unhideWhenUsed/>
    <w:rsid w:val="007E74B2"/>
    <w:pPr>
      <w:tabs>
        <w:tab w:val="center" w:pos="4680"/>
        <w:tab w:val="right" w:pos="9360"/>
      </w:tabs>
    </w:pPr>
  </w:style>
  <w:style w:type="character" w:customStyle="1" w:styleId="FooterChar">
    <w:name w:val="Footer Char"/>
    <w:basedOn w:val="DefaultParagraphFont"/>
    <w:link w:val="Footer"/>
    <w:uiPriority w:val="99"/>
    <w:rsid w:val="007E74B2"/>
    <w:rPr>
      <w:rFonts w:ascii="Times New Roman" w:hAnsi="Times New Roman" w:cs="Times New Roman"/>
      <w:sz w:val="24"/>
      <w:szCs w:val="24"/>
    </w:rPr>
  </w:style>
  <w:style w:type="character" w:customStyle="1" w:styleId="DocID">
    <w:name w:val="DocID"/>
    <w:basedOn w:val="DefaultParagraphFont"/>
    <w:uiPriority w:val="1"/>
    <w:rsid w:val="007E74B2"/>
    <w:rPr>
      <w:rFonts w:ascii="Times New Roman" w:hAnsi="Times New Roman"/>
      <w:sz w:val="16"/>
      <w:szCs w:val="16"/>
    </w:rPr>
  </w:style>
  <w:style w:type="paragraph" w:styleId="NoSpacing">
    <w:name w:val="No Spacing"/>
    <w:uiPriority w:val="1"/>
    <w:qFormat/>
    <w:rsid w:val="00B65A85"/>
    <w:pPr>
      <w:spacing w:after="0" w:line="276"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37075">
      <w:bodyDiv w:val="1"/>
      <w:marLeft w:val="0"/>
      <w:marRight w:val="0"/>
      <w:marTop w:val="0"/>
      <w:marBottom w:val="0"/>
      <w:divBdr>
        <w:top w:val="none" w:sz="0" w:space="0" w:color="auto"/>
        <w:left w:val="none" w:sz="0" w:space="0" w:color="auto"/>
        <w:bottom w:val="none" w:sz="0" w:space="0" w:color="auto"/>
        <w:right w:val="none" w:sz="0" w:space="0" w:color="auto"/>
      </w:divBdr>
    </w:div>
    <w:div w:id="483787378">
      <w:bodyDiv w:val="1"/>
      <w:marLeft w:val="0"/>
      <w:marRight w:val="0"/>
      <w:marTop w:val="0"/>
      <w:marBottom w:val="0"/>
      <w:divBdr>
        <w:top w:val="none" w:sz="0" w:space="0" w:color="auto"/>
        <w:left w:val="none" w:sz="0" w:space="0" w:color="auto"/>
        <w:bottom w:val="none" w:sz="0" w:space="0" w:color="auto"/>
        <w:right w:val="none" w:sz="0" w:space="0" w:color="auto"/>
      </w:divBdr>
    </w:div>
    <w:div w:id="15452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971F9F-09F3-45CE-B1D0-8B02B2F18EA1}">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C695-FC94-4186-AA3D-455072E4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Lifespan St. Anne's CHI Narrative</dc:title>
  <dc:subject/>
  <dc:creator>Ciolfi, Kasey</dc:creator>
  <cp:keywords/>
  <dc:description/>
  <cp:lastModifiedBy>Marks, Brett (DPH)</cp:lastModifiedBy>
  <cp:revision>12</cp:revision>
  <cp:lastPrinted>2026-06-03T14:41:00Z</cp:lastPrinted>
  <dcterms:created xsi:type="dcterms:W3CDTF">2026-06-03T18:37:00Z</dcterms:created>
  <dcterms:modified xsi:type="dcterms:W3CDTF">2026-06-26T15:20:00Z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4909-7964-2025.3</vt:lpwstr>
  </property>
  <property fmtid="{D5CDD505-2E9C-101B-9397-08002B2CF9AE}" pid="3" name="DocXLocation">
    <vt:lpwstr>NoDocId</vt:lpwstr>
  </property>
  <property fmtid="{D5CDD505-2E9C-101B-9397-08002B2CF9AE}" pid="4" name="DocXFormat">
    <vt:lpwstr>HB DocID w/ver w/HB Label</vt:lpwstr>
  </property>
  <property fmtid="{D5CDD505-2E9C-101B-9397-08002B2CF9AE}" pid="5" name="ndDocumentId">
    <vt:lpwstr>4909-7964-2025</vt:lpwstr>
  </property>
</Properties>
</file>