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3019" w14:textId="5F786309" w:rsidR="006D78F0" w:rsidRPr="00D61E89" w:rsidRDefault="000F2034" w:rsidP="00C12EAE">
      <w:pPr>
        <w:pStyle w:val="BIDPUBHEALTHFACTSHEET"/>
      </w:pPr>
      <w:r w:rsidRPr="00D61E89">
        <w:rPr>
          <w:noProof/>
          <w:sz w:val="28"/>
          <w:szCs w:val="28"/>
        </w:rPr>
        <mc:AlternateContent>
          <mc:Choice Requires="wps">
            <w:drawing>
              <wp:anchor distT="0" distB="0" distL="114300" distR="114300" simplePos="0" relativeHeight="251657216" behindDoc="1" locked="0" layoutInCell="1" allowOverlap="1" wp14:anchorId="4679B8DB" wp14:editId="39D946A8">
                <wp:simplePos x="0" y="0"/>
                <wp:positionH relativeFrom="page">
                  <wp:posOffset>-59055</wp:posOffset>
                </wp:positionH>
                <wp:positionV relativeFrom="page">
                  <wp:posOffset>0</wp:posOffset>
                </wp:positionV>
                <wp:extent cx="7831455" cy="1005840"/>
                <wp:effectExtent l="0" t="0" r="0" b="3810"/>
                <wp:wrapNone/>
                <wp:docPr id="279671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1455" cy="100584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F10FA7" id="Rectangle 1" o:spid="_x0000_s1026" style="position:absolute;margin-left:-4.65pt;margin-top:0;width:616.65pt;height:7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" fillcolor="#4f81bd" stroked="f">
                <v:fill color2="#152355" rotate="t" focus="100%" type="gradient"/>
                <v:shadow opacity="22936f" origin=",.5" offset="0,.63889mm"/>
                <w10:wrap anchorx="page" anchory="page"/>
              </v:rect>
            </w:pict>
          </mc:Fallback>
        </mc:AlternateContent>
      </w:r>
      <w:r w:rsidRPr="00D61E89">
        <w:rPr>
          <w:noProof/>
          <w:sz w:val="28"/>
          <w:szCs w:val="28"/>
        </w:rPr>
        <mc:AlternateContent>
          <mc:Choice Requires="wps">
            <w:drawing>
              <wp:anchor distT="0" distB="0" distL="114300" distR="114300" simplePos="0" relativeHeight="251658240" behindDoc="1" locked="0" layoutInCell="1" allowOverlap="1" wp14:anchorId="46B583FF" wp14:editId="115DEBCF">
                <wp:simplePos x="0" y="0"/>
                <wp:positionH relativeFrom="column">
                  <wp:posOffset>-605790</wp:posOffset>
                </wp:positionH>
                <wp:positionV relativeFrom="paragraph">
                  <wp:posOffset>-963930</wp:posOffset>
                </wp:positionV>
                <wp:extent cx="7505700" cy="962025"/>
                <wp:effectExtent l="3810" t="2540" r="0" b="0"/>
                <wp:wrapNone/>
                <wp:docPr id="455829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7174F" w14:textId="77777777" w:rsidR="00B165FF" w:rsidRDefault="00B165FF">
                            <w:pPr>
                              <w:rPr>
                                <w:rFonts w:ascii="Calibri" w:hAnsi="Calibri"/>
                                <w:color w:val="FFFFFF"/>
                              </w:rPr>
                            </w:pPr>
                          </w:p>
                          <w:p w14:paraId="01960386" w14:textId="77777777" w:rsidR="00C12EAE" w:rsidRPr="00C12EAE" w:rsidRDefault="003F4144">
                            <w:pPr>
                              <w:rPr>
                                <w:rFonts w:ascii="Calibri" w:hAnsi="Calibri"/>
                                <w:color w:val="FFFFFF"/>
                              </w:rPr>
                            </w:pPr>
                            <w:r w:rsidRPr="003F4144">
                              <w:rPr>
                                <w:rFonts w:ascii="Calibri" w:hAnsi="Calibri"/>
                                <w:color w:val="FFFFFF"/>
                              </w:rPr>
                              <w:t>MASSACHUS</w:t>
                            </w:r>
                            <w:r w:rsidR="00B34BEF">
                              <w:rPr>
                                <w:rFonts w:ascii="Calibri" w:hAnsi="Calibri"/>
                                <w:color w:val="FFFFFF"/>
                              </w:rPr>
                              <w:t>ETTS DEPARTMENT OF PUBLIC HEALTH GUIDE TO SURVEILLANCE, REPORTING, AND CONTROL</w:t>
                            </w:r>
                          </w:p>
                          <w:p w14:paraId="7311ECA4" w14:textId="77777777" w:rsidR="00C12EAE" w:rsidRPr="00B165FF" w:rsidRDefault="00194EB0">
                            <w:pPr>
                              <w:rPr>
                                <w:rFonts w:ascii="Calibri" w:hAnsi="Calibri"/>
                                <w:b/>
                                <w:color w:val="FFFFFF"/>
                                <w:sz w:val="56"/>
                                <w:szCs w:val="56"/>
                              </w:rPr>
                            </w:pPr>
                            <w:r w:rsidRPr="00B165FF">
                              <w:rPr>
                                <w:rFonts w:ascii="Calibri" w:hAnsi="Calibri"/>
                                <w:b/>
                                <w:color w:val="FFFFFF"/>
                                <w:sz w:val="56"/>
                                <w:szCs w:val="56"/>
                              </w:rPr>
                              <w:t xml:space="preserve">Chickenpox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583FF" id="_x0000_t202" coordsize="21600,21600" o:spt="202" path="m,l,21600r21600,l21600,xe">
                <v:stroke joinstyle="miter"/>
                <v:path gradientshapeok="t" o:connecttype="rect"/>
              </v:shapetype>
              <v:shape id="Text Box 12" o:spid="_x0000_s1026" type="#_x0000_t202" style="position:absolute;margin-left:-47.7pt;margin-top:-75.9pt;width:591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" filled="f" stroked="f">
                <v:textbox>
                  <w:txbxContent>
                    <w:p w14:paraId="4887174F" w14:textId="77777777" w:rsidR="00B165FF" w:rsidRDefault="00B165FF">
                      <w:pPr>
                        <w:rPr>
                          <w:rFonts w:ascii="Calibri" w:hAnsi="Calibri"/>
                          <w:color w:val="FFFFFF"/>
                        </w:rPr>
                      </w:pPr>
                    </w:p>
                    <w:p w14:paraId="01960386" w14:textId="77777777" w:rsidR="00C12EAE" w:rsidRPr="00C12EAE" w:rsidRDefault="003F4144">
                      <w:pPr>
                        <w:rPr>
                          <w:rFonts w:ascii="Calibri" w:hAnsi="Calibri"/>
                          <w:color w:val="FFFFFF"/>
                        </w:rPr>
                      </w:pPr>
                      <w:r w:rsidRPr="003F4144">
                        <w:rPr>
                          <w:rFonts w:ascii="Calibri" w:hAnsi="Calibri"/>
                          <w:color w:val="FFFFFF"/>
                        </w:rPr>
                        <w:t>MASSACHUS</w:t>
                      </w:r>
                      <w:r w:rsidR="00B34BEF">
                        <w:rPr>
                          <w:rFonts w:ascii="Calibri" w:hAnsi="Calibri"/>
                          <w:color w:val="FFFFFF"/>
                        </w:rPr>
                        <w:t>ETTS DEPARTMENT OF PUBLIC HEALTH GUIDE TO SURVEILLANCE, REPORTING, AND CONTROL</w:t>
                      </w:r>
                    </w:p>
                    <w:p w14:paraId="7311ECA4" w14:textId="77777777" w:rsidR="00C12EAE" w:rsidRPr="00B165FF" w:rsidRDefault="00194EB0">
                      <w:pPr>
                        <w:rPr>
                          <w:rFonts w:ascii="Calibri" w:hAnsi="Calibri"/>
                          <w:b/>
                          <w:color w:val="FFFFFF"/>
                          <w:sz w:val="56"/>
                          <w:szCs w:val="56"/>
                        </w:rPr>
                      </w:pPr>
                      <w:r w:rsidRPr="00B165FF">
                        <w:rPr>
                          <w:rFonts w:ascii="Calibri" w:hAnsi="Calibri"/>
                          <w:b/>
                          <w:color w:val="FFFFFF"/>
                          <w:sz w:val="56"/>
                          <w:szCs w:val="56"/>
                        </w:rPr>
                        <w:t xml:space="preserve">Chickenpox </w:t>
                      </w:r>
                    </w:p>
                  </w:txbxContent>
                </v:textbox>
              </v:shape>
            </w:pict>
          </mc:Fallback>
        </mc:AlternateContent>
      </w:r>
    </w:p>
    <w:p w14:paraId="70D3FE5A" w14:textId="77777777" w:rsidR="006D78F0" w:rsidRPr="00D61E89" w:rsidRDefault="006D78F0" w:rsidP="00940F28">
      <w:pPr>
        <w:keepLines/>
        <w:pBdr>
          <w:bottom w:val="single" w:sz="18" w:space="1" w:color="BFBFBF"/>
        </w:pBdr>
        <w:spacing w:before="240"/>
        <w:ind w:right="-360" w:hanging="360"/>
        <w:rPr>
          <w:rFonts w:ascii="Arial" w:hAnsi="Arial" w:cs="Arial"/>
          <w:b/>
          <w:bCs/>
          <w:color w:val="17365D"/>
          <w:sz w:val="28"/>
          <w:szCs w:val="28"/>
        </w:rPr>
      </w:pPr>
      <w:r w:rsidRPr="00D61E89">
        <w:rPr>
          <w:rFonts w:ascii="Arial" w:hAnsi="Arial" w:cs="Arial"/>
          <w:b/>
          <w:color w:val="17365D"/>
        </w:rPr>
        <w:t>Section 1</w:t>
      </w:r>
      <w:r w:rsidRPr="00D61E89">
        <w:rPr>
          <w:rFonts w:ascii="Arial" w:hAnsi="Arial" w:cs="Arial"/>
          <w:b/>
          <w:bCs/>
          <w:color w:val="17365D"/>
          <w:sz w:val="28"/>
          <w:szCs w:val="28"/>
        </w:rPr>
        <w:t xml:space="preserve"> </w:t>
      </w:r>
    </w:p>
    <w:p w14:paraId="0FD1C9A5" w14:textId="77777777" w:rsidR="006D78F0" w:rsidRPr="00D61E89" w:rsidRDefault="006D78F0" w:rsidP="006D78F0">
      <w:pPr>
        <w:autoSpaceDE w:val="0"/>
        <w:autoSpaceDN w:val="0"/>
        <w:adjustRightInd w:val="0"/>
        <w:rPr>
          <w:rFonts w:ascii="Arial" w:hAnsi="Arial" w:cs="Arial"/>
          <w:b/>
          <w:bCs/>
          <w:color w:val="4F81BD"/>
          <w:sz w:val="28"/>
          <w:szCs w:val="28"/>
        </w:rPr>
      </w:pPr>
      <w:r w:rsidRPr="00D61E89">
        <w:rPr>
          <w:rFonts w:ascii="Arial" w:hAnsi="Arial" w:cs="Arial"/>
          <w:b/>
          <w:bCs/>
          <w:color w:val="4F81BD"/>
          <w:sz w:val="28"/>
          <w:szCs w:val="28"/>
        </w:rPr>
        <w:t>ABOUT THE DISEASE</w:t>
      </w:r>
    </w:p>
    <w:p w14:paraId="7E3177A9" w14:textId="77777777" w:rsidR="00194EB0" w:rsidRPr="00D61E89" w:rsidRDefault="00194EB0" w:rsidP="00194EB0">
      <w:pPr>
        <w:autoSpaceDE w:val="0"/>
        <w:autoSpaceDN w:val="0"/>
        <w:adjustRightInd w:val="0"/>
        <w:rPr>
          <w:rFonts w:ascii="Cambria" w:hAnsi="Cambria" w:cs="TradeGothic-CondEighteen"/>
          <w:sz w:val="22"/>
          <w:szCs w:val="22"/>
        </w:rPr>
      </w:pPr>
    </w:p>
    <w:p w14:paraId="4AC87B7D" w14:textId="77777777" w:rsidR="00B65883" w:rsidRDefault="00194EB0" w:rsidP="00B65883">
      <w:pPr>
        <w:autoSpaceDE w:val="0"/>
        <w:autoSpaceDN w:val="0"/>
        <w:adjustRightInd w:val="0"/>
        <w:rPr>
          <w:rFonts w:ascii="Cambria" w:hAnsi="Cambria" w:cs="Arial"/>
          <w:color w:val="000000"/>
          <w:sz w:val="22"/>
          <w:szCs w:val="22"/>
        </w:rPr>
      </w:pPr>
      <w:r w:rsidRPr="00D61E89">
        <w:rPr>
          <w:rFonts w:ascii="Cambria" w:hAnsi="Cambria" w:cs="TradeGothic-CondEighteen"/>
          <w:sz w:val="22"/>
          <w:szCs w:val="22"/>
        </w:rPr>
        <w:t xml:space="preserve">Chickenpox </w:t>
      </w:r>
      <w:r w:rsidR="001F1C89">
        <w:rPr>
          <w:rFonts w:ascii="Cambria" w:hAnsi="Cambria" w:cs="TradeGothic-CondEighteen"/>
          <w:sz w:val="22"/>
          <w:szCs w:val="22"/>
        </w:rPr>
        <w:t>and shingles are</w:t>
      </w:r>
      <w:r w:rsidRPr="00D61E89">
        <w:rPr>
          <w:rFonts w:ascii="Cambria" w:hAnsi="Cambria" w:cs="TradeGothic-CondEighteen"/>
          <w:sz w:val="22"/>
          <w:szCs w:val="22"/>
        </w:rPr>
        <w:t xml:space="preserve"> vaccine-preventable.</w:t>
      </w:r>
      <w:r w:rsidRPr="00D61E89">
        <w:rPr>
          <w:rFonts w:ascii="Cambria" w:hAnsi="Cambria" w:cs="Arial"/>
          <w:color w:val="000000"/>
          <w:sz w:val="22"/>
          <w:szCs w:val="22"/>
        </w:rPr>
        <w:t xml:space="preserve"> Vaccines prevent disease in </w:t>
      </w:r>
      <w:r w:rsidR="001F1C89">
        <w:rPr>
          <w:rFonts w:ascii="Cambria" w:hAnsi="Cambria" w:cs="Arial"/>
          <w:color w:val="000000"/>
          <w:sz w:val="22"/>
          <w:szCs w:val="22"/>
        </w:rPr>
        <w:t>those</w:t>
      </w:r>
      <w:r w:rsidRPr="00D61E89">
        <w:rPr>
          <w:rFonts w:ascii="Cambria" w:hAnsi="Cambria" w:cs="Arial"/>
          <w:color w:val="000000"/>
          <w:sz w:val="22"/>
          <w:szCs w:val="22"/>
        </w:rPr>
        <w:t xml:space="preserve"> who are vaccinated and protect unvaccinated individuals</w:t>
      </w:r>
      <w:r w:rsidR="005C689E">
        <w:rPr>
          <w:rFonts w:ascii="Cambria" w:hAnsi="Cambria" w:cs="Arial"/>
          <w:color w:val="000000"/>
          <w:sz w:val="22"/>
          <w:szCs w:val="22"/>
        </w:rPr>
        <w:t xml:space="preserve"> by reducing the prevalence of the disease</w:t>
      </w:r>
      <w:r w:rsidR="00E27E5B">
        <w:rPr>
          <w:rFonts w:ascii="Cambria" w:hAnsi="Cambria" w:cs="Arial"/>
          <w:color w:val="000000"/>
          <w:sz w:val="22"/>
          <w:szCs w:val="22"/>
        </w:rPr>
        <w:t xml:space="preserve"> in the general population</w:t>
      </w:r>
      <w:r w:rsidRPr="00D61E89">
        <w:rPr>
          <w:rFonts w:ascii="Cambria" w:hAnsi="Cambria" w:cs="Arial"/>
          <w:color w:val="000000"/>
          <w:sz w:val="22"/>
          <w:szCs w:val="22"/>
        </w:rPr>
        <w:t xml:space="preserve">. </w:t>
      </w:r>
    </w:p>
    <w:p w14:paraId="0836563C" w14:textId="77777777" w:rsidR="001F1C89" w:rsidRDefault="001F1C89" w:rsidP="00B65883">
      <w:pPr>
        <w:autoSpaceDE w:val="0"/>
        <w:autoSpaceDN w:val="0"/>
        <w:adjustRightInd w:val="0"/>
        <w:rPr>
          <w:rFonts w:ascii="Cambria" w:hAnsi="Cambria" w:cs="Arial"/>
          <w:color w:val="000000"/>
          <w:sz w:val="22"/>
          <w:szCs w:val="22"/>
        </w:rPr>
      </w:pPr>
    </w:p>
    <w:p w14:paraId="2796FDE3" w14:textId="77777777" w:rsidR="006D78F0" w:rsidRPr="00D61E89" w:rsidRDefault="006D78F0" w:rsidP="00FC7A64">
      <w:pPr>
        <w:autoSpaceDE w:val="0"/>
        <w:autoSpaceDN w:val="0"/>
        <w:adjustRightInd w:val="0"/>
        <w:spacing w:after="120"/>
        <w:rPr>
          <w:rFonts w:ascii="Arial" w:hAnsi="Arial" w:cs="Arial"/>
          <w:b/>
          <w:bCs/>
          <w:sz w:val="22"/>
          <w:szCs w:val="22"/>
        </w:rPr>
      </w:pPr>
      <w:r w:rsidRPr="00D61E89">
        <w:rPr>
          <w:rFonts w:ascii="Arial" w:hAnsi="Arial" w:cs="Arial"/>
          <w:b/>
          <w:bCs/>
          <w:sz w:val="22"/>
          <w:szCs w:val="22"/>
        </w:rPr>
        <w:t>A. Etiologic Agent</w:t>
      </w:r>
    </w:p>
    <w:p w14:paraId="6696A8E2" w14:textId="77777777" w:rsidR="001F1C89" w:rsidRDefault="00194EB0" w:rsidP="001F1C89">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Chickenpox (varicella) is caused by the varicella zoster virus (VZV), a DNA virus belonging to the herpes virus group. Primary infection with VZV causes chickenpox. </w:t>
      </w:r>
      <w:r w:rsidR="001053A2">
        <w:rPr>
          <w:rFonts w:ascii="Cambria" w:hAnsi="Cambria" w:cs="Garamond-BookCondensed"/>
          <w:sz w:val="22"/>
          <w:szCs w:val="22"/>
        </w:rPr>
        <w:t>Once infection occurs, the virus can remain dormant in the body</w:t>
      </w:r>
      <w:r w:rsidR="001F1C89">
        <w:rPr>
          <w:rFonts w:ascii="Cambria" w:hAnsi="Cambria" w:cs="Garamond-BookCondensed"/>
          <w:sz w:val="22"/>
          <w:szCs w:val="22"/>
        </w:rPr>
        <w:t xml:space="preserve"> </w:t>
      </w:r>
      <w:r w:rsidR="001F1C89" w:rsidRPr="00D61E89">
        <w:rPr>
          <w:rFonts w:ascii="Cambria" w:hAnsi="Cambria" w:cs="Garamond-BookCondensed"/>
          <w:sz w:val="22"/>
          <w:szCs w:val="22"/>
        </w:rPr>
        <w:t>as a latent infection after the primary infection. Shingles results from reactivation of latent infection.</w:t>
      </w:r>
      <w:r w:rsidR="001F1C89">
        <w:rPr>
          <w:rFonts w:ascii="Cambria" w:hAnsi="Cambria" w:cs="Garamond-BookCondensed"/>
          <w:sz w:val="22"/>
          <w:szCs w:val="22"/>
        </w:rPr>
        <w:t xml:space="preserve">  </w:t>
      </w:r>
    </w:p>
    <w:p w14:paraId="3CD9C184" w14:textId="77777777" w:rsidR="001F1C89" w:rsidRDefault="001F1C89" w:rsidP="001F1C89">
      <w:pPr>
        <w:autoSpaceDE w:val="0"/>
        <w:autoSpaceDN w:val="0"/>
        <w:adjustRightInd w:val="0"/>
        <w:rPr>
          <w:rFonts w:ascii="Cambria" w:hAnsi="Cambria" w:cs="Garamond-BookCondensed"/>
          <w:sz w:val="22"/>
          <w:szCs w:val="22"/>
        </w:rPr>
      </w:pPr>
    </w:p>
    <w:p w14:paraId="08E1AF83" w14:textId="77777777" w:rsidR="001F1C89" w:rsidRPr="00D61E89" w:rsidRDefault="001F1C89" w:rsidP="001F1C89">
      <w:pPr>
        <w:autoSpaceDE w:val="0"/>
        <w:autoSpaceDN w:val="0"/>
        <w:adjustRightInd w:val="0"/>
        <w:rPr>
          <w:rFonts w:ascii="Cambria" w:hAnsi="Cambria" w:cs="Garamond-BookCondensed"/>
          <w:sz w:val="22"/>
          <w:szCs w:val="22"/>
        </w:rPr>
      </w:pPr>
      <w:r>
        <w:rPr>
          <w:rFonts w:ascii="Cambria" w:hAnsi="Cambria" w:cs="Garamond-BookCondensed"/>
          <w:sz w:val="22"/>
          <w:szCs w:val="22"/>
        </w:rPr>
        <w:t>Shingles is not a reportable condition in Massachusetts.</w:t>
      </w:r>
      <w:r w:rsidRPr="001F1C89">
        <w:t xml:space="preserve"> </w:t>
      </w:r>
      <w:r w:rsidRPr="001F1C89">
        <w:rPr>
          <w:rFonts w:ascii="Cambria" w:hAnsi="Cambria" w:cs="Garamond-BookCondensed"/>
          <w:sz w:val="22"/>
          <w:szCs w:val="22"/>
        </w:rPr>
        <w:t>However, cases of chickenpox can occur in susceptible individuals following close contact with people with shingles</w:t>
      </w:r>
      <w:r w:rsidR="00FC43C3">
        <w:rPr>
          <w:rFonts w:ascii="Cambria" w:hAnsi="Cambria" w:cs="Garamond-BookCondensed"/>
          <w:sz w:val="22"/>
          <w:szCs w:val="22"/>
        </w:rPr>
        <w:t>.  Therefore,</w:t>
      </w:r>
      <w:r w:rsidRPr="001F1C89">
        <w:rPr>
          <w:rFonts w:ascii="Cambria" w:hAnsi="Cambria" w:cs="Garamond-BookCondensed"/>
          <w:sz w:val="22"/>
          <w:szCs w:val="22"/>
        </w:rPr>
        <w:t xml:space="preserve"> local boards of health may be involved in making recommendations to protect the close contacts of a person with shingles, or </w:t>
      </w:r>
      <w:r>
        <w:rPr>
          <w:rFonts w:ascii="Cambria" w:hAnsi="Cambria" w:cs="Garamond-BookCondensed"/>
          <w:sz w:val="22"/>
          <w:szCs w:val="22"/>
        </w:rPr>
        <w:t>to exclude</w:t>
      </w:r>
      <w:r w:rsidRPr="001F1C89">
        <w:rPr>
          <w:rFonts w:ascii="Cambria" w:hAnsi="Cambria" w:cs="Garamond-BookCondensed"/>
          <w:sz w:val="22"/>
          <w:szCs w:val="22"/>
        </w:rPr>
        <w:t xml:space="preserve"> susceptible close contacts</w:t>
      </w:r>
      <w:r w:rsidR="00EE2E9C">
        <w:rPr>
          <w:rFonts w:ascii="Cambria" w:hAnsi="Cambria" w:cs="Garamond-BookCondensed"/>
          <w:sz w:val="22"/>
          <w:szCs w:val="22"/>
        </w:rPr>
        <w:t xml:space="preserve"> from public activities.</w:t>
      </w:r>
    </w:p>
    <w:p w14:paraId="5516DDCD" w14:textId="77777777" w:rsidR="006D78F0" w:rsidRPr="00D61E89" w:rsidRDefault="006D78F0" w:rsidP="006D78F0">
      <w:pPr>
        <w:autoSpaceDE w:val="0"/>
        <w:autoSpaceDN w:val="0"/>
        <w:adjustRightInd w:val="0"/>
        <w:spacing w:before="240" w:after="120"/>
        <w:rPr>
          <w:rFonts w:ascii="Arial" w:hAnsi="Arial" w:cs="Arial"/>
          <w:b/>
          <w:bCs/>
          <w:sz w:val="22"/>
          <w:szCs w:val="22"/>
        </w:rPr>
      </w:pPr>
      <w:r w:rsidRPr="00D61E89">
        <w:rPr>
          <w:rFonts w:ascii="Arial" w:hAnsi="Arial" w:cs="Arial"/>
          <w:b/>
          <w:bCs/>
          <w:sz w:val="22"/>
          <w:szCs w:val="22"/>
        </w:rPr>
        <w:t>B. Clinical Description</w:t>
      </w:r>
    </w:p>
    <w:p w14:paraId="6947D790" w14:textId="77777777" w:rsidR="004C3ED8"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Chickenpox is a febrile rash illness characterized by a diffuse (generalized), pruritic (itchy) rash, typically consisting of 250 to 500 lesions</w:t>
      </w:r>
      <w:r w:rsidR="003B66D6">
        <w:rPr>
          <w:rFonts w:ascii="Cambria" w:hAnsi="Cambria" w:cs="Garamond-BookCondensed"/>
          <w:sz w:val="22"/>
          <w:szCs w:val="22"/>
        </w:rPr>
        <w:t xml:space="preserve"> </w:t>
      </w:r>
      <w:r w:rsidR="003B66D6" w:rsidRPr="00E51E5D">
        <w:rPr>
          <w:rFonts w:ascii="Cambria" w:hAnsi="Cambria" w:cs="Garamond-BookCondensed"/>
          <w:sz w:val="22"/>
          <w:szCs w:val="22"/>
        </w:rPr>
        <w:t>in unvaccinated people</w:t>
      </w:r>
      <w:r w:rsidRPr="00D61E89">
        <w:rPr>
          <w:rFonts w:ascii="Cambria" w:hAnsi="Cambria" w:cs="Garamond-BookCondensed"/>
          <w:sz w:val="22"/>
          <w:szCs w:val="22"/>
        </w:rPr>
        <w:t>, that evolves from macules (spots) to papules (bumps) to vesicles (blisters), and eventually into dried crusts over 5–6 days. This is often referred to as “wild type” chickenpox, to differentiate it from “breakthrough” chickenpox which occurs in vaccinated individuals (see below). Vesicles have been described as superficial, delicate, and containing a clear liquid. All three types of lesions (macules, papules, and vesicles) are present at the same time, and they tend to be more abundant on covered parts of the body, with the highest concentration on the trunk. They can also occur on mucosal surfaces</w:t>
      </w:r>
      <w:r w:rsidR="001053A2">
        <w:rPr>
          <w:rFonts w:ascii="Cambria" w:hAnsi="Cambria" w:cs="Garamond-BookCondensed"/>
          <w:sz w:val="22"/>
          <w:szCs w:val="22"/>
        </w:rPr>
        <w:t>,</w:t>
      </w:r>
      <w:r w:rsidRPr="00D61E89">
        <w:rPr>
          <w:rFonts w:ascii="Cambria" w:hAnsi="Cambria" w:cs="Garamond-BookCondensed"/>
          <w:sz w:val="22"/>
          <w:szCs w:val="22"/>
        </w:rPr>
        <w:t xml:space="preserve"> such as the mouth and the throat. Prodromal symptoms</w:t>
      </w:r>
      <w:r w:rsidR="001053A2">
        <w:rPr>
          <w:rFonts w:ascii="Cambria" w:hAnsi="Cambria" w:cs="Garamond-BookCondensed"/>
          <w:sz w:val="22"/>
          <w:szCs w:val="22"/>
        </w:rPr>
        <w:t>,</w:t>
      </w:r>
      <w:r w:rsidRPr="00D61E89">
        <w:rPr>
          <w:rFonts w:ascii="Cambria" w:hAnsi="Cambria" w:cs="Garamond-BookCondensed"/>
          <w:sz w:val="22"/>
          <w:szCs w:val="22"/>
        </w:rPr>
        <w:t xml:space="preserve"> such as low-grade fever, malaise and other constitutional symptoms may precede the rash by 1–2 days, particularly in adults. Mild, atypical, and inapparent infections can occur, but are unusual in unvaccinated individuals. The disease is usually milder among children and can be more severe in adolescents and adults. Immunity following chickenpox infection is considered long-lasting, but rarely, second cases of chickenpox do occur among immunologically normal individuals</w:t>
      </w:r>
      <w:r w:rsidR="001053A2">
        <w:rPr>
          <w:rFonts w:ascii="Cambria" w:hAnsi="Cambria" w:cs="Garamond-BookCondensed"/>
          <w:sz w:val="22"/>
          <w:szCs w:val="22"/>
        </w:rPr>
        <w:t>, especially if the first infection is in the first year of life</w:t>
      </w:r>
      <w:r w:rsidRPr="00D61E89">
        <w:rPr>
          <w:rFonts w:ascii="Cambria" w:hAnsi="Cambria" w:cs="Garamond-BookCondensed"/>
          <w:sz w:val="22"/>
          <w:szCs w:val="22"/>
        </w:rPr>
        <w:t>.</w:t>
      </w:r>
    </w:p>
    <w:p w14:paraId="0425A434" w14:textId="77777777" w:rsidR="004C3ED8" w:rsidRPr="00D61E89" w:rsidRDefault="004C3ED8" w:rsidP="004C3ED8">
      <w:pPr>
        <w:autoSpaceDE w:val="0"/>
        <w:autoSpaceDN w:val="0"/>
        <w:adjustRightInd w:val="0"/>
        <w:rPr>
          <w:rFonts w:ascii="TradeGothic-BoldCondTwenty" w:hAnsi="TradeGothic-BoldCondTwenty" w:cs="Garamond-BookCondensed"/>
          <w:sz w:val="20"/>
          <w:szCs w:val="20"/>
        </w:rPr>
      </w:pPr>
    </w:p>
    <w:p w14:paraId="33192027" w14:textId="77777777" w:rsidR="004C3ED8" w:rsidRPr="00D61E89" w:rsidRDefault="004C3ED8" w:rsidP="004C3ED8">
      <w:pPr>
        <w:autoSpaceDE w:val="0"/>
        <w:autoSpaceDN w:val="0"/>
        <w:adjustRightInd w:val="0"/>
        <w:spacing w:line="360" w:lineRule="auto"/>
        <w:rPr>
          <w:rFonts w:ascii="Cambria" w:hAnsi="Cambria" w:cs="TradeGothic-CondEighteenObl"/>
          <w:i/>
          <w:iCs/>
          <w:sz w:val="22"/>
          <w:szCs w:val="22"/>
        </w:rPr>
      </w:pPr>
      <w:r w:rsidRPr="00D61E89">
        <w:rPr>
          <w:rFonts w:ascii="Cambria" w:hAnsi="Cambria" w:cs="TradeGothic-CondEighteenObl"/>
          <w:i/>
          <w:iCs/>
          <w:sz w:val="22"/>
          <w:szCs w:val="22"/>
        </w:rPr>
        <w:t>Complications of Chickenpox</w:t>
      </w:r>
    </w:p>
    <w:p w14:paraId="65F35A06" w14:textId="77777777" w:rsidR="004C3ED8"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Complications of chickenpox include</w:t>
      </w:r>
      <w:r w:rsidR="00D5777A">
        <w:rPr>
          <w:rFonts w:ascii="Cambria" w:hAnsi="Cambria" w:cs="Garamond-BookCondensed"/>
          <w:sz w:val="22"/>
          <w:szCs w:val="22"/>
        </w:rPr>
        <w:t xml:space="preserve"> bacterial superinfection of skin lesions with or without bacterial sepsis, pneumonia </w:t>
      </w:r>
      <w:r w:rsidRPr="00D61E89">
        <w:rPr>
          <w:rFonts w:ascii="Cambria" w:hAnsi="Cambria" w:cs="Garamond-BookCondensed"/>
          <w:sz w:val="22"/>
          <w:szCs w:val="22"/>
        </w:rPr>
        <w:t xml:space="preserve">(viral and bacterial), </w:t>
      </w:r>
      <w:r w:rsidR="00D5777A">
        <w:rPr>
          <w:rFonts w:ascii="Cambria" w:hAnsi="Cambria" w:cs="Garamond-BookCondensed"/>
          <w:sz w:val="22"/>
          <w:szCs w:val="22"/>
        </w:rPr>
        <w:t>central nervous system involvement (acute cerebellar ataxia, encephalitis, stroke/vasculopathy), thrombocytopenia, and rarer complications such as glomerulonephritis, arthritis</w:t>
      </w:r>
      <w:r w:rsidR="00766791">
        <w:rPr>
          <w:rFonts w:ascii="Cambria" w:hAnsi="Cambria" w:cs="Garamond-BookCondensed"/>
          <w:sz w:val="22"/>
          <w:szCs w:val="22"/>
        </w:rPr>
        <w:t>,</w:t>
      </w:r>
      <w:r w:rsidR="00D5777A">
        <w:rPr>
          <w:rFonts w:ascii="Cambria" w:hAnsi="Cambria" w:cs="Garamond-BookCondensed"/>
          <w:sz w:val="22"/>
          <w:szCs w:val="22"/>
        </w:rPr>
        <w:t xml:space="preserve"> and hepatitis. </w:t>
      </w:r>
      <w:r w:rsidRPr="00D61E89">
        <w:rPr>
          <w:rFonts w:ascii="Cambria" w:hAnsi="Cambria" w:cs="Garamond-BookCondensed"/>
          <w:sz w:val="22"/>
          <w:szCs w:val="22"/>
        </w:rPr>
        <w:t xml:space="preserve">Invasive group A streptococcal disease (GAS) has been reported as a complication of chickenpox and can result in cellulitis (relatively minor skin infection) or in necrotizing fasciitis (“flesh-eating bacteria”), overwhelming infection, and toxic shock syndrome (TSS). While </w:t>
      </w:r>
      <w:r w:rsidR="00D5777A">
        <w:rPr>
          <w:rFonts w:ascii="Cambria" w:hAnsi="Cambria" w:cs="Garamond-BookCondensed"/>
          <w:sz w:val="22"/>
          <w:szCs w:val="22"/>
        </w:rPr>
        <w:t xml:space="preserve">primary viral </w:t>
      </w:r>
      <w:r w:rsidRPr="00D61E89">
        <w:rPr>
          <w:rFonts w:ascii="Cambria" w:hAnsi="Cambria" w:cs="Garamond-BookCondensed"/>
          <w:sz w:val="22"/>
          <w:szCs w:val="22"/>
        </w:rPr>
        <w:t xml:space="preserve">pneumonia is </w:t>
      </w:r>
      <w:r w:rsidR="00D5777A">
        <w:rPr>
          <w:rFonts w:ascii="Cambria" w:hAnsi="Cambria" w:cs="Garamond-BookCondensed"/>
          <w:sz w:val="22"/>
          <w:szCs w:val="22"/>
        </w:rPr>
        <w:t xml:space="preserve">not common among </w:t>
      </w:r>
      <w:r w:rsidR="00D72A65">
        <w:rPr>
          <w:rFonts w:ascii="Cambria" w:hAnsi="Cambria" w:cs="Garamond-BookCondensed"/>
          <w:sz w:val="22"/>
          <w:szCs w:val="22"/>
        </w:rPr>
        <w:t xml:space="preserve">immunocompetent children, </w:t>
      </w:r>
      <w:r w:rsidRPr="00D61E89">
        <w:rPr>
          <w:rFonts w:ascii="Cambria" w:hAnsi="Cambria" w:cs="Garamond-BookCondensed"/>
          <w:sz w:val="22"/>
          <w:szCs w:val="22"/>
        </w:rPr>
        <w:t>it is the most common complication in adults.</w:t>
      </w:r>
    </w:p>
    <w:p w14:paraId="43D17A90" w14:textId="77777777" w:rsidR="004C3ED8" w:rsidRPr="00B165FF" w:rsidRDefault="004C3ED8" w:rsidP="004C3ED8">
      <w:pPr>
        <w:autoSpaceDE w:val="0"/>
        <w:autoSpaceDN w:val="0"/>
        <w:adjustRightInd w:val="0"/>
        <w:rPr>
          <w:rFonts w:ascii="Cambria" w:hAnsi="Cambria" w:cs="Garamond-BookCondensed"/>
          <w:sz w:val="22"/>
          <w:szCs w:val="22"/>
        </w:rPr>
      </w:pPr>
    </w:p>
    <w:p w14:paraId="5657ACBE" w14:textId="77777777" w:rsidR="004C3ED8" w:rsidRPr="00D61E89" w:rsidRDefault="004C3ED8" w:rsidP="00D2652B">
      <w:pPr>
        <w:numPr>
          <w:ilvl w:val="0"/>
          <w:numId w:val="5"/>
        </w:numPr>
        <w:autoSpaceDE w:val="0"/>
        <w:autoSpaceDN w:val="0"/>
        <w:adjustRightInd w:val="0"/>
        <w:spacing w:after="40"/>
        <w:rPr>
          <w:rFonts w:ascii="Cambria" w:hAnsi="Cambria" w:cs="Garamond-BookCondensed"/>
          <w:sz w:val="22"/>
          <w:szCs w:val="22"/>
        </w:rPr>
      </w:pPr>
      <w:r w:rsidRPr="00B165FF">
        <w:rPr>
          <w:rFonts w:ascii="Cambria" w:hAnsi="Cambria" w:cs="Garamond-BookCondensed"/>
          <w:sz w:val="22"/>
          <w:szCs w:val="22"/>
        </w:rPr>
        <w:t xml:space="preserve">Pregnant women, immunocompromised persons, children less than one year </w:t>
      </w:r>
      <w:r w:rsidR="00B165FF" w:rsidRPr="00B165FF">
        <w:rPr>
          <w:rFonts w:ascii="Cambria" w:hAnsi="Cambria" w:cs="Garamond-BookCondensed"/>
          <w:sz w:val="22"/>
          <w:szCs w:val="22"/>
        </w:rPr>
        <w:t>of age</w:t>
      </w:r>
      <w:r w:rsidRPr="00B165FF">
        <w:rPr>
          <w:rFonts w:ascii="Cambria" w:hAnsi="Cambria" w:cs="Garamond-BookCondensed"/>
          <w:sz w:val="22"/>
          <w:szCs w:val="22"/>
        </w:rPr>
        <w:t xml:space="preserve">, older adolescents, adults, patients with chronic skin or pulmonary disorders, and patients receiving </w:t>
      </w:r>
      <w:r w:rsidRPr="00B165FF">
        <w:rPr>
          <w:rFonts w:ascii="Cambria" w:hAnsi="Cambria" w:cs="Garamond-BookCondensed"/>
          <w:sz w:val="22"/>
          <w:szCs w:val="22"/>
        </w:rPr>
        <w:lastRenderedPageBreak/>
        <w:t>steroids or chronic aspirin therapy are more likely to experience serious complications with chickenpox. The</w:t>
      </w:r>
      <w:r w:rsidRPr="00D61E89">
        <w:rPr>
          <w:rFonts w:ascii="Cambria" w:hAnsi="Cambria" w:cs="Garamond-BookCondensed"/>
          <w:sz w:val="22"/>
          <w:szCs w:val="22"/>
        </w:rPr>
        <w:t xml:space="preserve"> risk is especially high when steroids, such as prednisone and cortisone, are given during the incubation period for chickenpox. </w:t>
      </w:r>
    </w:p>
    <w:p w14:paraId="7C8AEB55" w14:textId="77777777" w:rsidR="004C3ED8" w:rsidRPr="00B165FF" w:rsidRDefault="004C3ED8" w:rsidP="004C3ED8">
      <w:pPr>
        <w:numPr>
          <w:ilvl w:val="0"/>
          <w:numId w:val="5"/>
        </w:numPr>
        <w:autoSpaceDE w:val="0"/>
        <w:autoSpaceDN w:val="0"/>
        <w:adjustRightInd w:val="0"/>
        <w:rPr>
          <w:rFonts w:ascii="Cambria" w:hAnsi="Cambria" w:cs="Garamond-BookCondensed"/>
          <w:sz w:val="22"/>
          <w:szCs w:val="22"/>
        </w:rPr>
      </w:pPr>
      <w:bookmarkStart w:id="0" w:name="_Hlk113524114"/>
      <w:r w:rsidRPr="00B165FF">
        <w:rPr>
          <w:rFonts w:ascii="Cambria" w:hAnsi="Cambria" w:cs="Garamond-BookCondensed"/>
          <w:sz w:val="22"/>
          <w:szCs w:val="22"/>
        </w:rPr>
        <w:t xml:space="preserve">Infants born to women who developed chickenpox within a period of five days before delivery to two days after delivery are at high risk of severe chickenpox, which can be fatal. </w:t>
      </w:r>
    </w:p>
    <w:bookmarkEnd w:id="0"/>
    <w:p w14:paraId="787314CF" w14:textId="77777777" w:rsidR="004C3ED8" w:rsidRPr="00D61E89" w:rsidRDefault="004C3ED8" w:rsidP="004C3ED8">
      <w:pPr>
        <w:numPr>
          <w:ilvl w:val="0"/>
          <w:numId w:val="5"/>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Congenital varicella syndrome, characterized by developmental abnormalities, encephalitis, and low birth weight, may occur among 1–2% of infants born to women infected with chickenpox during the first two trimesters of pregnancy.</w:t>
      </w:r>
    </w:p>
    <w:p w14:paraId="71F24FFE" w14:textId="77777777" w:rsidR="004C3ED8" w:rsidRPr="00D61E89" w:rsidRDefault="004C3ED8" w:rsidP="004C3ED8">
      <w:pPr>
        <w:autoSpaceDE w:val="0"/>
        <w:autoSpaceDN w:val="0"/>
        <w:adjustRightInd w:val="0"/>
        <w:rPr>
          <w:rFonts w:ascii="TradeGothic-BoldCondTwenty" w:hAnsi="TradeGothic-BoldCondTwenty" w:cs="Garamond-BookCondensed"/>
          <w:sz w:val="20"/>
          <w:szCs w:val="20"/>
        </w:rPr>
      </w:pPr>
    </w:p>
    <w:p w14:paraId="77F3BAC8" w14:textId="77777777" w:rsidR="004C3ED8" w:rsidRPr="00D61E89" w:rsidRDefault="004C3ED8" w:rsidP="004C3ED8">
      <w:pPr>
        <w:autoSpaceDE w:val="0"/>
        <w:autoSpaceDN w:val="0"/>
        <w:adjustRightInd w:val="0"/>
        <w:spacing w:line="360" w:lineRule="auto"/>
        <w:rPr>
          <w:rFonts w:ascii="Cambria" w:hAnsi="Cambria" w:cs="TradeGothic-CondEighteenObl"/>
          <w:i/>
          <w:iCs/>
          <w:sz w:val="22"/>
          <w:szCs w:val="22"/>
        </w:rPr>
      </w:pPr>
      <w:r w:rsidRPr="00D61E89">
        <w:rPr>
          <w:rFonts w:ascii="Cambria" w:hAnsi="Cambria" w:cs="TradeGothic-CondEighteenObl"/>
          <w:i/>
          <w:iCs/>
          <w:sz w:val="22"/>
          <w:szCs w:val="22"/>
        </w:rPr>
        <w:t>Breakthrough Chickenpox (also known as Vaccine-Modified Varicella Syndrome or VMVS)</w:t>
      </w:r>
    </w:p>
    <w:p w14:paraId="5C518011" w14:textId="77777777" w:rsidR="004C3ED8"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Breakthrough chickenpox is a form of chickenpox that occurs in a vaccinated individual and is less severe due to the development of “partial immunity” sufficient to decrease symptoms</w:t>
      </w:r>
      <w:r w:rsidR="008A0946">
        <w:rPr>
          <w:rFonts w:ascii="Cambria" w:hAnsi="Cambria" w:cs="Garamond-BookCondensed"/>
          <w:sz w:val="22"/>
          <w:szCs w:val="22"/>
        </w:rPr>
        <w:t xml:space="preserve"> and rash,</w:t>
      </w:r>
      <w:r w:rsidRPr="00D61E89">
        <w:rPr>
          <w:rFonts w:ascii="Cambria" w:hAnsi="Cambria" w:cs="Garamond-BookCondensed"/>
          <w:sz w:val="22"/>
          <w:szCs w:val="22"/>
        </w:rPr>
        <w:t xml:space="preserve"> but insufficient to prevent disease. Breakthrough chickenpox occurs more than 42 days after vaccination (and therefore is unlikely to be associated with recent vaccination). It usually presents as a generalized rash consisting of &lt;50 lesions, with only a few vesicles. Patients are often afebrile and minimally symptomatic. Breakthrough cases with fewer than 50 lesions have been found to be one-third as contagious as varicella in unvaccinated persons with 50 or more lesions, but breakthrough cases with 50 or more lesions can be just as contagious as cases of varicella in unvaccinated persons. </w:t>
      </w:r>
      <w:r w:rsidRPr="00D61E89">
        <w:rPr>
          <w:rFonts w:ascii="Cambria" w:hAnsi="Cambria" w:cs="Garamond-BookCondensed"/>
          <w:b/>
          <w:sz w:val="22"/>
          <w:szCs w:val="22"/>
        </w:rPr>
        <w:t>Control measures are the same as with “wild type” chickenpox</w:t>
      </w:r>
      <w:r w:rsidRPr="00D61E89">
        <w:rPr>
          <w:rFonts w:ascii="Cambria" w:hAnsi="Cambria" w:cs="Garamond-BookCondensed"/>
          <w:sz w:val="22"/>
          <w:szCs w:val="22"/>
        </w:rPr>
        <w:t xml:space="preserve">. Crusting over and/or fading of lesions may occur more quickly than the usual 5 days after rash onset (e.g., 2–3 days after onset), allowing earlier return to childcare/school. </w:t>
      </w:r>
    </w:p>
    <w:p w14:paraId="3DAAFE4B" w14:textId="77777777" w:rsidR="004C3ED8" w:rsidRPr="00D61E89" w:rsidRDefault="004C3ED8" w:rsidP="004C3ED8">
      <w:pPr>
        <w:autoSpaceDE w:val="0"/>
        <w:autoSpaceDN w:val="0"/>
        <w:adjustRightInd w:val="0"/>
        <w:rPr>
          <w:rFonts w:ascii="Cambria" w:hAnsi="Cambria" w:cs="Garamond-BookCondensed"/>
          <w:sz w:val="22"/>
          <w:szCs w:val="22"/>
        </w:rPr>
      </w:pPr>
    </w:p>
    <w:p w14:paraId="63EA4F39" w14:textId="77777777" w:rsidR="004C3ED8" w:rsidRPr="004F2DEA" w:rsidRDefault="004C3ED8" w:rsidP="004C3ED8">
      <w:pPr>
        <w:autoSpaceDE w:val="0"/>
        <w:autoSpaceDN w:val="0"/>
        <w:adjustRightInd w:val="0"/>
        <w:rPr>
          <w:rFonts w:ascii="Cambria" w:hAnsi="Cambria" w:cs="Garamond-BookCondensed"/>
          <w:sz w:val="22"/>
          <w:szCs w:val="22"/>
        </w:rPr>
      </w:pPr>
      <w:bookmarkStart w:id="1" w:name="_Hlk146696831"/>
      <w:r w:rsidRPr="004F2DEA">
        <w:rPr>
          <w:rFonts w:ascii="Cambria" w:hAnsi="Cambria" w:cs="Garamond-BookCondensed"/>
          <w:sz w:val="22"/>
          <w:szCs w:val="22"/>
        </w:rPr>
        <w:t xml:space="preserve">Breakthrough chickenpox can occur in up to 20% of vaccinated children and up to 30% of vaccinated adults. If the incidence of breakthrough disease is greater than 30% in any setting, the Massachusetts Department of Public Health (MDPH) should be notified for further investigation of the cases, and a vaccine ‘cold chain’ evaluation </w:t>
      </w:r>
      <w:r w:rsidR="00E5555D" w:rsidRPr="004F2DEA">
        <w:rPr>
          <w:rFonts w:ascii="Cambria" w:hAnsi="Cambria" w:cs="Garamond-BookCondensed"/>
          <w:sz w:val="22"/>
          <w:szCs w:val="22"/>
        </w:rPr>
        <w:t>may be undertaken</w:t>
      </w:r>
      <w:r w:rsidR="008A0946" w:rsidRPr="004F2DEA">
        <w:rPr>
          <w:rFonts w:ascii="Cambria" w:hAnsi="Cambria" w:cs="Garamond-BookCondensed"/>
          <w:sz w:val="22"/>
          <w:szCs w:val="22"/>
        </w:rPr>
        <w:t>, as improper handling may affect the effectiveness of the vaccine</w:t>
      </w:r>
      <w:r w:rsidRPr="004F2DEA">
        <w:rPr>
          <w:rFonts w:ascii="Cambria" w:hAnsi="Cambria" w:cs="Garamond-BookCondensed"/>
          <w:sz w:val="22"/>
          <w:szCs w:val="22"/>
        </w:rPr>
        <w:t xml:space="preserve">. </w:t>
      </w:r>
    </w:p>
    <w:p w14:paraId="2EEE1E97" w14:textId="77777777" w:rsidR="004C3ED8" w:rsidRPr="004F2DEA" w:rsidRDefault="004C3ED8" w:rsidP="004C3ED8">
      <w:pPr>
        <w:autoSpaceDE w:val="0"/>
        <w:autoSpaceDN w:val="0"/>
        <w:adjustRightInd w:val="0"/>
        <w:rPr>
          <w:rFonts w:ascii="Cambria" w:hAnsi="Cambria" w:cs="Garamond-BookCondensed"/>
          <w:sz w:val="22"/>
          <w:szCs w:val="22"/>
        </w:rPr>
      </w:pPr>
    </w:p>
    <w:p w14:paraId="00185B61" w14:textId="77777777" w:rsidR="004C3ED8" w:rsidRPr="004F2DEA" w:rsidRDefault="004C3ED8" w:rsidP="004C3ED8">
      <w:pPr>
        <w:autoSpaceDE w:val="0"/>
        <w:autoSpaceDN w:val="0"/>
        <w:adjustRightInd w:val="0"/>
        <w:spacing w:line="360" w:lineRule="auto"/>
        <w:rPr>
          <w:rFonts w:ascii="Cambria" w:hAnsi="Cambria" w:cs="TradeGothic-CondEighteenObl"/>
          <w:i/>
          <w:iCs/>
          <w:sz w:val="22"/>
          <w:szCs w:val="22"/>
        </w:rPr>
      </w:pPr>
      <w:r w:rsidRPr="004F2DEA">
        <w:rPr>
          <w:rFonts w:ascii="Cambria" w:hAnsi="Cambria" w:cs="TradeGothic-CondEighteenObl"/>
          <w:i/>
          <w:iCs/>
          <w:sz w:val="22"/>
          <w:szCs w:val="22"/>
        </w:rPr>
        <w:t>Varicella-like rash in recently vaccinated persons (vaccine side effects)</w:t>
      </w:r>
    </w:p>
    <w:p w14:paraId="41764785" w14:textId="77777777" w:rsidR="004C3ED8" w:rsidRDefault="004C3ED8" w:rsidP="004C3ED8">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Approximately 4% of children receiving varicella vaccine (compared with 2% of placebo recipients) develop a generalized rash</w:t>
      </w:r>
      <w:r w:rsidR="008A0946" w:rsidRPr="004F2DEA">
        <w:rPr>
          <w:rFonts w:ascii="Cambria" w:hAnsi="Cambria" w:cs="Garamond-BookCondensed"/>
          <w:sz w:val="22"/>
          <w:szCs w:val="22"/>
        </w:rPr>
        <w:t>,</w:t>
      </w:r>
      <w:r w:rsidRPr="004F2DEA">
        <w:rPr>
          <w:rFonts w:ascii="Cambria" w:hAnsi="Cambria" w:cs="Garamond-BookCondensed"/>
          <w:sz w:val="22"/>
          <w:szCs w:val="22"/>
        </w:rPr>
        <w:t xml:space="preserve"> with a median of five lesions</w:t>
      </w:r>
      <w:r w:rsidR="008A0946" w:rsidRPr="004F2DEA">
        <w:rPr>
          <w:rFonts w:ascii="Cambria" w:hAnsi="Cambria" w:cs="Garamond-BookCondensed"/>
          <w:sz w:val="22"/>
          <w:szCs w:val="22"/>
        </w:rPr>
        <w:t>,</w:t>
      </w:r>
      <w:r w:rsidRPr="004F2DEA">
        <w:rPr>
          <w:rFonts w:ascii="Cambria" w:hAnsi="Cambria" w:cs="Garamond-BookCondensed"/>
          <w:sz w:val="22"/>
          <w:szCs w:val="22"/>
        </w:rPr>
        <w:t xml:space="preserve"> 5-26 days postvaccination</w:t>
      </w:r>
      <w:r w:rsidR="008A0946" w:rsidRPr="004F2DEA">
        <w:rPr>
          <w:rFonts w:ascii="Cambria" w:hAnsi="Cambria" w:cs="Garamond-BookCondensed"/>
          <w:sz w:val="22"/>
          <w:szCs w:val="22"/>
        </w:rPr>
        <w:t>;</w:t>
      </w:r>
      <w:r w:rsidRPr="004F2DEA">
        <w:rPr>
          <w:rFonts w:ascii="Cambria" w:hAnsi="Cambria" w:cs="Garamond-BookCondensed"/>
          <w:sz w:val="22"/>
          <w:szCs w:val="22"/>
        </w:rPr>
        <w:t xml:space="preserve"> and 4% develop a localized rash</w:t>
      </w:r>
      <w:r w:rsidR="008A0946" w:rsidRPr="004F2DEA">
        <w:rPr>
          <w:rFonts w:ascii="Cambria" w:hAnsi="Cambria" w:cs="Garamond-BookCondensed"/>
          <w:sz w:val="22"/>
          <w:szCs w:val="22"/>
        </w:rPr>
        <w:t>,</w:t>
      </w:r>
      <w:r w:rsidRPr="004F2DEA">
        <w:rPr>
          <w:rFonts w:ascii="Cambria" w:hAnsi="Cambria" w:cs="Garamond-BookCondensed"/>
          <w:sz w:val="22"/>
          <w:szCs w:val="22"/>
        </w:rPr>
        <w:t xml:space="preserve"> with a median of two lesions</w:t>
      </w:r>
      <w:r w:rsidR="008A0946" w:rsidRPr="004F2DEA">
        <w:rPr>
          <w:rFonts w:ascii="Cambria" w:hAnsi="Cambria" w:cs="Garamond-BookCondensed"/>
          <w:sz w:val="22"/>
          <w:szCs w:val="22"/>
        </w:rPr>
        <w:t>,</w:t>
      </w:r>
      <w:r w:rsidRPr="004F2DEA">
        <w:rPr>
          <w:rFonts w:ascii="Cambria" w:hAnsi="Cambria" w:cs="Garamond-BookCondensed"/>
          <w:sz w:val="22"/>
          <w:szCs w:val="22"/>
        </w:rPr>
        <w:t xml:space="preserve"> 8-19 days postvaccination. The rash may be atypical in appearance (maculopapular with no vesicles). Approximately 2% of children who received a placebo</w:t>
      </w:r>
      <w:r w:rsidR="00B86E48" w:rsidRPr="004F2DEA">
        <w:rPr>
          <w:rFonts w:ascii="Cambria" w:hAnsi="Cambria" w:cs="Garamond-BookCondensed"/>
          <w:sz w:val="22"/>
          <w:szCs w:val="22"/>
        </w:rPr>
        <w:t xml:space="preserve"> injection</w:t>
      </w:r>
      <w:r w:rsidRPr="004F2DEA">
        <w:rPr>
          <w:rFonts w:ascii="Cambria" w:hAnsi="Cambria" w:cs="Garamond-BookCondensed"/>
          <w:sz w:val="22"/>
          <w:szCs w:val="22"/>
        </w:rPr>
        <w:t xml:space="preserve"> in the clinical trials also developed generalized rashes, some of which were varicella-like, indicating that not all rashes following vaccination are attributable to the vaccine. Rashes occurring 15-42 days after vaccination are more likely to be vaccine-type virus; rashes occurring within 2 weeks of </w:t>
      </w:r>
      <w:r w:rsidR="00B86E48" w:rsidRPr="004F2DEA">
        <w:rPr>
          <w:rFonts w:ascii="Cambria" w:hAnsi="Cambria" w:cs="Garamond-BookCondensed"/>
          <w:sz w:val="22"/>
          <w:szCs w:val="22"/>
        </w:rPr>
        <w:t xml:space="preserve">vaccination </w:t>
      </w:r>
      <w:r w:rsidRPr="004F2DEA">
        <w:rPr>
          <w:rFonts w:ascii="Cambria" w:hAnsi="Cambria" w:cs="Garamond-BookCondensed"/>
          <w:sz w:val="22"/>
          <w:szCs w:val="22"/>
        </w:rPr>
        <w:t>or more than 42 days postvaccination are more likely to be wild type virus.</w:t>
      </w:r>
      <w:r w:rsidRPr="00D61E89">
        <w:rPr>
          <w:rFonts w:ascii="Cambria" w:hAnsi="Cambria" w:cs="Garamond-BookCondensed"/>
          <w:sz w:val="22"/>
          <w:szCs w:val="22"/>
        </w:rPr>
        <w:t xml:space="preserve"> </w:t>
      </w:r>
    </w:p>
    <w:bookmarkEnd w:id="1"/>
    <w:p w14:paraId="71A28465" w14:textId="77777777" w:rsidR="005C689E" w:rsidRDefault="005C689E" w:rsidP="004C3ED8">
      <w:pPr>
        <w:autoSpaceDE w:val="0"/>
        <w:autoSpaceDN w:val="0"/>
        <w:adjustRightInd w:val="0"/>
        <w:rPr>
          <w:rFonts w:ascii="Cambria" w:hAnsi="Cambria" w:cs="Garamond-BookCondensed"/>
          <w:sz w:val="22"/>
          <w:szCs w:val="22"/>
        </w:rPr>
      </w:pPr>
    </w:p>
    <w:p w14:paraId="02BDFE52" w14:textId="77777777" w:rsidR="005C689E" w:rsidRDefault="005C689E" w:rsidP="005C689E">
      <w:pPr>
        <w:autoSpaceDE w:val="0"/>
        <w:autoSpaceDN w:val="0"/>
        <w:adjustRightInd w:val="0"/>
        <w:rPr>
          <w:rFonts w:ascii="Cambria" w:hAnsi="Cambria" w:cs="TradeGothic-CondEighteenObl"/>
          <w:i/>
          <w:iCs/>
          <w:sz w:val="22"/>
          <w:szCs w:val="22"/>
        </w:rPr>
      </w:pPr>
      <w:r>
        <w:rPr>
          <w:rFonts w:ascii="Cambria" w:hAnsi="Cambria" w:cs="TradeGothic-CondEighteenObl"/>
          <w:i/>
          <w:iCs/>
          <w:sz w:val="22"/>
          <w:szCs w:val="22"/>
        </w:rPr>
        <w:t>Shingles</w:t>
      </w:r>
    </w:p>
    <w:p w14:paraId="4DD24B5B" w14:textId="77777777" w:rsidR="005C689E" w:rsidRPr="00D61E89" w:rsidRDefault="005C689E" w:rsidP="005C689E">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Following primary infection (chickenpox), VZV remains in human nerve tissues and is reactivated later in life in approximately 32% of infected persons (50% of those living to age 85), resulting in shingles (herpes zoster). Shingles presents as a red, painful, itchy, and blistery rash, typically in one area on one side of the body, in the distribution of a nerve (dermatome). There is usually no fever or other systemic symptoms. Less commonly, the rash can be more widespread and affect three or more dermatomes. This condition is called disseminated shingles. Pain and itching in the area of the shingles </w:t>
      </w:r>
      <w:r w:rsidR="00E27E5B">
        <w:rPr>
          <w:rFonts w:ascii="Cambria" w:hAnsi="Cambria" w:cs="Garamond-BookCondensed"/>
          <w:sz w:val="22"/>
          <w:szCs w:val="22"/>
        </w:rPr>
        <w:t xml:space="preserve">rash </w:t>
      </w:r>
      <w:r w:rsidRPr="00D61E89">
        <w:rPr>
          <w:rFonts w:ascii="Cambria" w:hAnsi="Cambria" w:cs="Garamond-BookCondensed"/>
          <w:sz w:val="22"/>
          <w:szCs w:val="22"/>
        </w:rPr>
        <w:t>may persist after the lesions have resolved (post-herpetic neuralgia, or PHN). People with PHN can have severe pain in the areas where they had the shingles rash, even after the rash has cleared up.</w:t>
      </w:r>
    </w:p>
    <w:p w14:paraId="17A1CB6A" w14:textId="77777777" w:rsidR="005C689E" w:rsidRPr="00D61E89" w:rsidRDefault="005C689E" w:rsidP="005C689E">
      <w:pPr>
        <w:autoSpaceDE w:val="0"/>
        <w:autoSpaceDN w:val="0"/>
        <w:adjustRightInd w:val="0"/>
        <w:rPr>
          <w:rFonts w:ascii="Cambria" w:hAnsi="Cambria" w:cs="Garamond-BookCondensed"/>
          <w:sz w:val="22"/>
          <w:szCs w:val="22"/>
        </w:rPr>
      </w:pPr>
    </w:p>
    <w:p w14:paraId="35055476" w14:textId="77777777" w:rsidR="005C689E" w:rsidRPr="00D61E89" w:rsidRDefault="005C689E" w:rsidP="005C689E">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Shingles can be treated with several antiviral agents. It can become </w:t>
      </w:r>
      <w:r>
        <w:rPr>
          <w:rFonts w:ascii="Cambria" w:hAnsi="Cambria" w:cs="Garamond-BookCondensed"/>
          <w:sz w:val="22"/>
          <w:szCs w:val="22"/>
        </w:rPr>
        <w:t xml:space="preserve">more </w:t>
      </w:r>
      <w:r w:rsidRPr="00D61E89">
        <w:rPr>
          <w:rFonts w:ascii="Cambria" w:hAnsi="Cambria" w:cs="Garamond-BookCondensed"/>
          <w:sz w:val="22"/>
          <w:szCs w:val="22"/>
        </w:rPr>
        <w:t xml:space="preserve">serious in immunocompromised persons, with generalized skin eruptions and central nervous system, pulmonary, hepatic, and pancreatic involvement. </w:t>
      </w:r>
    </w:p>
    <w:p w14:paraId="2885FA20" w14:textId="77777777" w:rsidR="005C689E" w:rsidRPr="00D61E89" w:rsidRDefault="005C689E" w:rsidP="005C689E">
      <w:pPr>
        <w:pBdr>
          <w:bottom w:val="single" w:sz="2" w:space="1" w:color="BFBFBF"/>
        </w:pBdr>
        <w:autoSpaceDE w:val="0"/>
        <w:autoSpaceDN w:val="0"/>
        <w:adjustRightInd w:val="0"/>
        <w:spacing w:before="120" w:after="120"/>
        <w:rPr>
          <w:rFonts w:ascii="Cambria" w:hAnsi="Cambria" w:cs="Arial"/>
          <w:i/>
          <w:iCs/>
          <w:sz w:val="22"/>
          <w:szCs w:val="22"/>
        </w:rPr>
      </w:pPr>
      <w:r w:rsidRPr="00D61E89">
        <w:rPr>
          <w:rFonts w:ascii="Cambria" w:hAnsi="Cambria" w:cs="Arial"/>
          <w:i/>
          <w:iCs/>
          <w:sz w:val="22"/>
          <w:szCs w:val="22"/>
        </w:rPr>
        <w:t>Disseminated shingles</w:t>
      </w:r>
    </w:p>
    <w:p w14:paraId="36D96D80" w14:textId="77777777" w:rsidR="005C689E" w:rsidRPr="00D61E89" w:rsidRDefault="005C689E" w:rsidP="005C689E">
      <w:pPr>
        <w:pBdr>
          <w:bottom w:val="single" w:sz="2" w:space="1" w:color="BFBFBF"/>
        </w:pBdr>
        <w:autoSpaceDE w:val="0"/>
        <w:autoSpaceDN w:val="0"/>
        <w:adjustRightInd w:val="0"/>
        <w:spacing w:before="120" w:after="120"/>
        <w:rPr>
          <w:rFonts w:ascii="Cambria" w:hAnsi="Cambria"/>
          <w:sz w:val="22"/>
          <w:szCs w:val="22"/>
        </w:rPr>
      </w:pPr>
      <w:r w:rsidRPr="00D61E89">
        <w:rPr>
          <w:rFonts w:ascii="Cambria" w:hAnsi="Cambria"/>
          <w:sz w:val="22"/>
          <w:szCs w:val="22"/>
        </w:rPr>
        <w:t xml:space="preserve">Appearance of lesions outside the primary or adjacent dermatomes is known as disseminated shingles. </w:t>
      </w:r>
      <w:r w:rsidRPr="00D61E89">
        <w:rPr>
          <w:rFonts w:ascii="Cambria" w:hAnsi="Cambria"/>
          <w:sz w:val="22"/>
          <w:szCs w:val="22"/>
          <w:lang w:val="en"/>
        </w:rPr>
        <w:t xml:space="preserve">This generally occurs only in people with compromised immune systems. Disseminated shingles can be difficult to distinguish from varicella. </w:t>
      </w:r>
      <w:r w:rsidRPr="00D61E89">
        <w:rPr>
          <w:rFonts w:ascii="Cambria" w:hAnsi="Cambria"/>
          <w:sz w:val="22"/>
          <w:szCs w:val="22"/>
        </w:rPr>
        <w:t>In patients with disseminated shingles, standard precautions plus contact precautions and airborne</w:t>
      </w:r>
      <w:r>
        <w:rPr>
          <w:rFonts w:ascii="Cambria" w:hAnsi="Cambria"/>
          <w:sz w:val="22"/>
          <w:szCs w:val="22"/>
        </w:rPr>
        <w:t xml:space="preserve"> isolation</w:t>
      </w:r>
      <w:r w:rsidRPr="00D61E89">
        <w:rPr>
          <w:rFonts w:ascii="Cambria" w:hAnsi="Cambria"/>
          <w:sz w:val="22"/>
          <w:szCs w:val="22"/>
        </w:rPr>
        <w:t xml:space="preserve"> should be </w:t>
      </w:r>
      <w:r>
        <w:rPr>
          <w:rFonts w:ascii="Cambria" w:hAnsi="Cambria"/>
          <w:sz w:val="22"/>
          <w:szCs w:val="22"/>
        </w:rPr>
        <w:t>used</w:t>
      </w:r>
      <w:r w:rsidRPr="00D61E89">
        <w:rPr>
          <w:rFonts w:ascii="Cambria" w:hAnsi="Cambria"/>
          <w:sz w:val="22"/>
          <w:szCs w:val="22"/>
        </w:rPr>
        <w:t xml:space="preserve"> until lesions are dry and crusted.</w:t>
      </w:r>
    </w:p>
    <w:p w14:paraId="4E4A931A" w14:textId="77777777" w:rsidR="005C689E" w:rsidRPr="00D61E89" w:rsidRDefault="005C689E" w:rsidP="005C689E">
      <w:pPr>
        <w:pBdr>
          <w:bottom w:val="single" w:sz="2" w:space="1" w:color="BFBFBF"/>
        </w:pBdr>
        <w:autoSpaceDE w:val="0"/>
        <w:autoSpaceDN w:val="0"/>
        <w:adjustRightInd w:val="0"/>
        <w:spacing w:before="120" w:after="120"/>
        <w:rPr>
          <w:rFonts w:ascii="Cambria" w:hAnsi="Cambria" w:cs="Garamond-BookCondensed"/>
          <w:sz w:val="22"/>
          <w:szCs w:val="22"/>
        </w:rPr>
      </w:pPr>
      <w:r w:rsidRPr="00D61E89">
        <w:rPr>
          <w:rFonts w:ascii="Cambria" w:hAnsi="Cambria" w:cs="Garamond-BookCondensed"/>
          <w:sz w:val="22"/>
          <w:szCs w:val="22"/>
        </w:rPr>
        <w:t>Shingles in vaccinated individuals has been reported, although the risk of developing shingles from wild-type virus is 4–5 times greater than the risk from vaccine virus.</w:t>
      </w:r>
    </w:p>
    <w:p w14:paraId="1DFA30DA" w14:textId="77777777" w:rsidR="005C689E" w:rsidRPr="00D61E89" w:rsidRDefault="005C689E" w:rsidP="005C689E">
      <w:pPr>
        <w:pBdr>
          <w:bottom w:val="single" w:sz="2" w:space="1" w:color="BFBFBF"/>
        </w:pBdr>
        <w:autoSpaceDE w:val="0"/>
        <w:autoSpaceDN w:val="0"/>
        <w:adjustRightInd w:val="0"/>
        <w:spacing w:before="240" w:after="120"/>
        <w:rPr>
          <w:rFonts w:ascii="Cambria" w:hAnsi="Cambria" w:cs="Arial"/>
          <w:i/>
          <w:iCs/>
          <w:sz w:val="22"/>
          <w:szCs w:val="22"/>
        </w:rPr>
      </w:pPr>
      <w:r w:rsidRPr="00D61E89">
        <w:rPr>
          <w:rFonts w:ascii="Cambria" w:hAnsi="Cambria" w:cs="Arial"/>
          <w:i/>
          <w:iCs/>
          <w:sz w:val="22"/>
          <w:szCs w:val="22"/>
        </w:rPr>
        <w:t>VZV Meningitis</w:t>
      </w:r>
    </w:p>
    <w:p w14:paraId="2230DDF5" w14:textId="77777777" w:rsidR="005C689E" w:rsidRPr="00D61E89" w:rsidRDefault="005C689E" w:rsidP="005C689E">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VZV, when reactivated, can also result in VZV meningitis, with or without rash. Symptoms are usually consistent with aseptic meningitis: headache, stiff neck, neck pain, nausea and vomiting, and mental status changes. VZV is found in the CSF of patients with VZV meningitis. In one study (Ihekwaba et al., 2008), 88% of patients with VZV meningitis had </w:t>
      </w:r>
      <w:r>
        <w:rPr>
          <w:rFonts w:ascii="Cambria" w:hAnsi="Cambria" w:cs="Garamond-BookCondensed"/>
          <w:sz w:val="22"/>
          <w:szCs w:val="22"/>
        </w:rPr>
        <w:t xml:space="preserve">a shingles </w:t>
      </w:r>
      <w:r w:rsidRPr="00D61E89">
        <w:rPr>
          <w:rFonts w:ascii="Cambria" w:hAnsi="Cambria" w:cs="Garamond-BookCondensed"/>
          <w:sz w:val="22"/>
          <w:szCs w:val="22"/>
        </w:rPr>
        <w:t xml:space="preserve">rash. Like shingles, it can be treated with several antiviral agents. It can become serious in immunocompromised persons. Aseptic meningitis is a reportable condition in Massachusetts. </w:t>
      </w:r>
    </w:p>
    <w:p w14:paraId="47BFD3C6" w14:textId="77777777" w:rsidR="006D78F0" w:rsidRPr="00D61E89" w:rsidRDefault="006D78F0" w:rsidP="006D78F0">
      <w:pPr>
        <w:autoSpaceDE w:val="0"/>
        <w:autoSpaceDN w:val="0"/>
        <w:adjustRightInd w:val="0"/>
        <w:spacing w:before="240" w:after="120"/>
        <w:rPr>
          <w:rFonts w:ascii="Arial" w:hAnsi="Arial" w:cs="Arial"/>
          <w:b/>
          <w:bCs/>
          <w:sz w:val="22"/>
          <w:szCs w:val="22"/>
        </w:rPr>
      </w:pPr>
      <w:r w:rsidRPr="00D61E89">
        <w:rPr>
          <w:rFonts w:ascii="Arial" w:hAnsi="Arial" w:cs="Arial"/>
          <w:b/>
          <w:bCs/>
          <w:sz w:val="22"/>
          <w:szCs w:val="22"/>
        </w:rPr>
        <w:t>C. Vectors and Reservoirs</w:t>
      </w:r>
    </w:p>
    <w:p w14:paraId="252C2F9E" w14:textId="77777777" w:rsidR="004C3ED8"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Humans are the only known host of VZV.</w:t>
      </w:r>
    </w:p>
    <w:p w14:paraId="2B2B8E53" w14:textId="77777777" w:rsidR="006D78F0" w:rsidRPr="00D61E89" w:rsidRDefault="006D78F0" w:rsidP="006D78F0">
      <w:pPr>
        <w:autoSpaceDE w:val="0"/>
        <w:autoSpaceDN w:val="0"/>
        <w:adjustRightInd w:val="0"/>
        <w:spacing w:before="240" w:after="120"/>
        <w:rPr>
          <w:rFonts w:ascii="Arial" w:hAnsi="Arial" w:cs="Arial"/>
          <w:b/>
          <w:bCs/>
          <w:sz w:val="22"/>
          <w:szCs w:val="22"/>
        </w:rPr>
      </w:pPr>
      <w:r w:rsidRPr="00D61E89">
        <w:rPr>
          <w:rFonts w:ascii="Arial" w:hAnsi="Arial" w:cs="Arial"/>
          <w:b/>
          <w:bCs/>
          <w:sz w:val="22"/>
          <w:szCs w:val="22"/>
        </w:rPr>
        <w:t>D. Modes of Transmission</w:t>
      </w:r>
    </w:p>
    <w:p w14:paraId="40FFDC65" w14:textId="77777777" w:rsidR="004C3ED8" w:rsidRPr="00D61E89" w:rsidRDefault="004C3ED8" w:rsidP="004C3ED8">
      <w:pPr>
        <w:autoSpaceDE w:val="0"/>
        <w:autoSpaceDN w:val="0"/>
        <w:adjustRightInd w:val="0"/>
        <w:rPr>
          <w:rFonts w:ascii="Cambria" w:hAnsi="Cambria" w:cs="Garamond-BookCondensed"/>
          <w:i/>
          <w:sz w:val="22"/>
          <w:szCs w:val="22"/>
        </w:rPr>
      </w:pPr>
      <w:r w:rsidRPr="00D61E89">
        <w:rPr>
          <w:rFonts w:ascii="Cambria" w:hAnsi="Cambria" w:cs="Garamond-BookCondensed"/>
          <w:sz w:val="22"/>
          <w:szCs w:val="22"/>
        </w:rPr>
        <w:t>Chickenpox is transmitted from person to person by droplet spread when a person coughs or sneezes; direct contact with upper respiratory secretions or lesions that have not yet crusted over; or</w:t>
      </w:r>
      <w:r w:rsidR="00F91871">
        <w:rPr>
          <w:rFonts w:ascii="Cambria" w:hAnsi="Cambria" w:cs="Garamond-BookCondensed"/>
          <w:sz w:val="22"/>
          <w:szCs w:val="22"/>
        </w:rPr>
        <w:t>, very rarely,</w:t>
      </w:r>
      <w:r w:rsidRPr="00D61E89">
        <w:rPr>
          <w:rFonts w:ascii="Cambria" w:hAnsi="Cambria" w:cs="Garamond-BookCondensed"/>
          <w:sz w:val="22"/>
          <w:szCs w:val="22"/>
        </w:rPr>
        <w:t xml:space="preserve"> airborne spread. (Note:</w:t>
      </w:r>
      <w:r w:rsidR="00F70CEE" w:rsidRPr="00D61E89">
        <w:rPr>
          <w:rFonts w:ascii="Cambria" w:hAnsi="Cambria" w:cs="Garamond-BookCondensed"/>
          <w:sz w:val="22"/>
          <w:szCs w:val="22"/>
        </w:rPr>
        <w:t xml:space="preserve"> </w:t>
      </w:r>
      <w:r w:rsidRPr="00D61E89">
        <w:rPr>
          <w:rFonts w:ascii="Cambria" w:hAnsi="Cambria" w:cs="Garamond-BookCondensed"/>
          <w:i/>
          <w:sz w:val="22"/>
          <w:szCs w:val="22"/>
        </w:rPr>
        <w:t xml:space="preserve">Although chickenpox can be airborne, this is </w:t>
      </w:r>
      <w:r w:rsidRPr="00D61E89">
        <w:rPr>
          <w:rFonts w:ascii="Cambria" w:hAnsi="Cambria" w:cs="Garamond-BookCondensed"/>
          <w:i/>
          <w:sz w:val="22"/>
          <w:szCs w:val="22"/>
          <w:u w:val="single"/>
        </w:rPr>
        <w:t>rare</w:t>
      </w:r>
      <w:r w:rsidRPr="00D61E89">
        <w:rPr>
          <w:rFonts w:ascii="Cambria" w:hAnsi="Cambria" w:cs="Garamond-BookCondensed"/>
          <w:i/>
          <w:sz w:val="22"/>
          <w:szCs w:val="22"/>
        </w:rPr>
        <w:t xml:space="preserve">. </w:t>
      </w:r>
      <w:r w:rsidR="00B86E48">
        <w:rPr>
          <w:rFonts w:ascii="Cambria" w:hAnsi="Cambria" w:cs="Garamond-BookCondensed"/>
          <w:i/>
          <w:sz w:val="22"/>
          <w:szCs w:val="22"/>
        </w:rPr>
        <w:t>Airborne transmission</w:t>
      </w:r>
      <w:r w:rsidR="00B86E48" w:rsidRPr="00D61E89">
        <w:rPr>
          <w:rFonts w:ascii="Cambria" w:hAnsi="Cambria" w:cs="Garamond-BookCondensed"/>
          <w:i/>
          <w:sz w:val="22"/>
          <w:szCs w:val="22"/>
        </w:rPr>
        <w:t xml:space="preserve"> </w:t>
      </w:r>
      <w:r w:rsidRPr="006F7BCF">
        <w:rPr>
          <w:rFonts w:ascii="Cambria" w:hAnsi="Cambria" w:cs="Garamond-BookCondensed"/>
          <w:i/>
          <w:sz w:val="22"/>
          <w:szCs w:val="22"/>
        </w:rPr>
        <w:t xml:space="preserve">would </w:t>
      </w:r>
      <w:r w:rsidR="00421D31" w:rsidRPr="004F2DEA">
        <w:rPr>
          <w:rFonts w:ascii="Cambria" w:hAnsi="Cambria" w:cs="Garamond-BookCondensed"/>
          <w:i/>
          <w:sz w:val="22"/>
          <w:szCs w:val="22"/>
        </w:rPr>
        <w:t>most likely</w:t>
      </w:r>
      <w:r w:rsidRPr="006F7BCF">
        <w:rPr>
          <w:rFonts w:ascii="Cambria" w:hAnsi="Cambria" w:cs="Garamond-BookCondensed"/>
          <w:i/>
          <w:sz w:val="22"/>
          <w:szCs w:val="22"/>
        </w:rPr>
        <w:t xml:space="preserve"> occur in a</w:t>
      </w:r>
      <w:r w:rsidR="00421D31" w:rsidRPr="006F7BCF">
        <w:rPr>
          <w:rFonts w:ascii="Cambria" w:hAnsi="Cambria" w:cs="Garamond-BookCondensed"/>
          <w:i/>
          <w:sz w:val="22"/>
          <w:szCs w:val="22"/>
        </w:rPr>
        <w:t xml:space="preserve"> </w:t>
      </w:r>
      <w:r w:rsidR="00F91871">
        <w:rPr>
          <w:rFonts w:ascii="Cambria" w:hAnsi="Cambria" w:cs="Garamond-BookCondensed"/>
          <w:i/>
          <w:sz w:val="22"/>
          <w:szCs w:val="22"/>
        </w:rPr>
        <w:t xml:space="preserve">poorly ventilated setting with a </w:t>
      </w:r>
      <w:r w:rsidR="00421D31" w:rsidRPr="004F2DEA">
        <w:rPr>
          <w:rFonts w:ascii="Cambria" w:hAnsi="Cambria" w:cs="Garamond-BookCondensed"/>
          <w:i/>
          <w:sz w:val="22"/>
          <w:szCs w:val="22"/>
        </w:rPr>
        <w:t>very</w:t>
      </w:r>
      <w:r w:rsidRPr="006F7BCF">
        <w:rPr>
          <w:rFonts w:ascii="Cambria" w:hAnsi="Cambria" w:cs="Garamond-BookCondensed"/>
          <w:i/>
          <w:sz w:val="22"/>
          <w:szCs w:val="22"/>
        </w:rPr>
        <w:t xml:space="preserve"> </w:t>
      </w:r>
      <w:r w:rsidR="00421D31" w:rsidRPr="004F2DEA">
        <w:rPr>
          <w:rFonts w:ascii="Cambria" w:hAnsi="Cambria" w:cs="Garamond-BookCondensed"/>
          <w:i/>
          <w:sz w:val="22"/>
          <w:szCs w:val="22"/>
        </w:rPr>
        <w:t>ill</w:t>
      </w:r>
      <w:r w:rsidR="00B86E48" w:rsidRPr="004F2DEA">
        <w:rPr>
          <w:rFonts w:ascii="Cambria" w:hAnsi="Cambria" w:cs="Garamond-BookCondensed"/>
          <w:i/>
          <w:sz w:val="22"/>
          <w:szCs w:val="22"/>
        </w:rPr>
        <w:t xml:space="preserve"> </w:t>
      </w:r>
      <w:r w:rsidRPr="004F2DEA">
        <w:rPr>
          <w:rFonts w:ascii="Cambria" w:hAnsi="Cambria" w:cs="Garamond-BookCondensed"/>
          <w:i/>
          <w:sz w:val="22"/>
          <w:szCs w:val="22"/>
        </w:rPr>
        <w:t xml:space="preserve">immunocompromised </w:t>
      </w:r>
      <w:r w:rsidR="006F7BCF">
        <w:rPr>
          <w:rFonts w:ascii="Cambria" w:hAnsi="Cambria" w:cs="Garamond-BookCondensed"/>
          <w:i/>
          <w:sz w:val="22"/>
          <w:szCs w:val="22"/>
        </w:rPr>
        <w:t>case</w:t>
      </w:r>
      <w:r w:rsidRPr="006F7BCF">
        <w:rPr>
          <w:rFonts w:ascii="Cambria" w:hAnsi="Cambria" w:cs="Garamond-BookCondensed"/>
          <w:i/>
          <w:sz w:val="22"/>
          <w:szCs w:val="22"/>
        </w:rPr>
        <w:t>.</w:t>
      </w:r>
      <w:r w:rsidRPr="00D61E89">
        <w:rPr>
          <w:rFonts w:ascii="Cambria" w:hAnsi="Cambria" w:cs="Garamond-BookCondensed"/>
          <w:i/>
          <w:sz w:val="22"/>
          <w:szCs w:val="22"/>
        </w:rPr>
        <w:t xml:space="preserve"> Potential airborne spread should not routinely be used as a parameter to determine exposure. See Section 4B for guidance on how to identify those exposed to chickenpox.)</w:t>
      </w:r>
    </w:p>
    <w:p w14:paraId="32B6EB27" w14:textId="77777777" w:rsidR="004C3ED8" w:rsidRPr="00D61E89" w:rsidRDefault="004C3ED8" w:rsidP="004C3ED8">
      <w:pPr>
        <w:autoSpaceDE w:val="0"/>
        <w:autoSpaceDN w:val="0"/>
        <w:adjustRightInd w:val="0"/>
        <w:rPr>
          <w:rFonts w:ascii="Cambria" w:hAnsi="Cambria" w:cs="Garamond-BookCondensedItalic"/>
          <w:i/>
          <w:iCs/>
          <w:sz w:val="22"/>
          <w:szCs w:val="22"/>
        </w:rPr>
      </w:pPr>
    </w:p>
    <w:p w14:paraId="2E68168E" w14:textId="77777777" w:rsidR="005C689E"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b/>
          <w:sz w:val="22"/>
          <w:szCs w:val="22"/>
        </w:rPr>
        <w:t>Chickenpox is highly infectious</w:t>
      </w:r>
      <w:r w:rsidRPr="00D61E89">
        <w:rPr>
          <w:rFonts w:ascii="Cambria" w:hAnsi="Cambria" w:cs="Garamond-BookCondensed"/>
          <w:sz w:val="22"/>
          <w:szCs w:val="22"/>
        </w:rPr>
        <w:t xml:space="preserve">, with secondary infection rates in susceptible household contacts as high as 90%. Exposure to chickenpox does not cause shingles. Exposure to shingles, however, can result in chickenpox in a susceptible person. </w:t>
      </w:r>
      <w:r w:rsidR="003D2527">
        <w:rPr>
          <w:rFonts w:ascii="Cambria" w:hAnsi="Cambria" w:cs="Garamond-BookCondensed"/>
          <w:sz w:val="22"/>
          <w:szCs w:val="22"/>
        </w:rPr>
        <w:t>VZV from s</w:t>
      </w:r>
      <w:r w:rsidR="005C689E" w:rsidRPr="005C689E">
        <w:rPr>
          <w:rFonts w:ascii="Cambria" w:hAnsi="Cambria" w:cs="Garamond-BookCondensed"/>
          <w:sz w:val="22"/>
          <w:szCs w:val="22"/>
        </w:rPr>
        <w:t xml:space="preserve">hingles is transmitted </w:t>
      </w:r>
      <w:r w:rsidR="00B31856">
        <w:rPr>
          <w:rFonts w:ascii="Cambria" w:hAnsi="Cambria" w:cs="Garamond-BookCondensed"/>
          <w:sz w:val="22"/>
          <w:szCs w:val="22"/>
        </w:rPr>
        <w:t xml:space="preserve">primarily </w:t>
      </w:r>
      <w:r w:rsidR="005C689E" w:rsidRPr="005C689E">
        <w:rPr>
          <w:rFonts w:ascii="Cambria" w:hAnsi="Cambria" w:cs="Garamond-BookCondensed"/>
          <w:sz w:val="22"/>
          <w:szCs w:val="22"/>
        </w:rPr>
        <w:t xml:space="preserve">from person to person by direct contact with lesions. </w:t>
      </w:r>
      <w:r w:rsidR="00B31856">
        <w:rPr>
          <w:rFonts w:ascii="Cambria" w:hAnsi="Cambria" w:cs="Garamond-BookCondensed"/>
          <w:sz w:val="22"/>
          <w:szCs w:val="22"/>
        </w:rPr>
        <w:t xml:space="preserve"> Call 617</w:t>
      </w:r>
      <w:r w:rsidR="003D2527">
        <w:rPr>
          <w:rFonts w:ascii="Cambria" w:hAnsi="Cambria" w:cs="Garamond-BookCondensed"/>
          <w:sz w:val="22"/>
          <w:szCs w:val="22"/>
        </w:rPr>
        <w:t>-</w:t>
      </w:r>
      <w:r w:rsidR="00B31856">
        <w:rPr>
          <w:rFonts w:ascii="Cambria" w:hAnsi="Cambria" w:cs="Garamond-BookCondensed"/>
          <w:sz w:val="22"/>
          <w:szCs w:val="22"/>
        </w:rPr>
        <w:t>983-6800 if you have questions about disseminated shingles in a patient with severe illness or immunocompromise.</w:t>
      </w:r>
    </w:p>
    <w:p w14:paraId="6A3601D3" w14:textId="77777777" w:rsidR="006D78F0" w:rsidRPr="00D61E89" w:rsidRDefault="006D78F0" w:rsidP="006D78F0">
      <w:pPr>
        <w:autoSpaceDE w:val="0"/>
        <w:autoSpaceDN w:val="0"/>
        <w:adjustRightInd w:val="0"/>
        <w:spacing w:before="240" w:after="120"/>
        <w:rPr>
          <w:rFonts w:ascii="Arial" w:hAnsi="Arial" w:cs="Arial"/>
          <w:b/>
          <w:bCs/>
          <w:sz w:val="22"/>
          <w:szCs w:val="22"/>
        </w:rPr>
      </w:pPr>
      <w:r w:rsidRPr="00D61E89">
        <w:rPr>
          <w:rFonts w:ascii="Arial" w:hAnsi="Arial" w:cs="Arial"/>
          <w:b/>
          <w:bCs/>
          <w:sz w:val="22"/>
          <w:szCs w:val="22"/>
        </w:rPr>
        <w:t>E. Incubation Period</w:t>
      </w:r>
    </w:p>
    <w:p w14:paraId="34F0FD5B" w14:textId="77777777" w:rsidR="006D78F0" w:rsidRPr="00D61E89" w:rsidRDefault="004C3ED8" w:rsidP="004F2DEA">
      <w:pPr>
        <w:autoSpaceDE w:val="0"/>
        <w:autoSpaceDN w:val="0"/>
        <w:adjustRightInd w:val="0"/>
        <w:rPr>
          <w:rFonts w:ascii="Arial" w:hAnsi="Arial" w:cs="Arial"/>
          <w:b/>
          <w:bCs/>
          <w:sz w:val="22"/>
          <w:szCs w:val="22"/>
        </w:rPr>
      </w:pPr>
      <w:r w:rsidRPr="00D61E89">
        <w:rPr>
          <w:rFonts w:ascii="Cambria" w:hAnsi="Cambria" w:cs="Garamond-BookCondensed"/>
          <w:sz w:val="22"/>
          <w:szCs w:val="22"/>
        </w:rPr>
        <w:t xml:space="preserve">The incubation period for chickenpox is usually 14–16 days, with a range of 10–21 days </w:t>
      </w:r>
      <w:r w:rsidR="00B154D6">
        <w:rPr>
          <w:rFonts w:ascii="Cambria" w:hAnsi="Cambria" w:cs="Garamond-BookCondensed"/>
          <w:sz w:val="22"/>
          <w:szCs w:val="22"/>
        </w:rPr>
        <w:t>after</w:t>
      </w:r>
      <w:r w:rsidR="00B154D6" w:rsidRPr="00D61E89">
        <w:rPr>
          <w:rFonts w:ascii="Cambria" w:hAnsi="Cambria" w:cs="Garamond-BookCondensed"/>
          <w:sz w:val="22"/>
          <w:szCs w:val="22"/>
        </w:rPr>
        <w:t xml:space="preserve"> </w:t>
      </w:r>
      <w:r w:rsidRPr="00D61E89">
        <w:rPr>
          <w:rFonts w:ascii="Cambria" w:hAnsi="Cambria" w:cs="Garamond-BookCondensed"/>
          <w:sz w:val="22"/>
          <w:szCs w:val="22"/>
        </w:rPr>
        <w:t>exposure to rash</w:t>
      </w:r>
      <w:r w:rsidR="00B154D6">
        <w:rPr>
          <w:rFonts w:ascii="Cambria" w:hAnsi="Cambria" w:cs="Garamond-BookCondensed"/>
          <w:sz w:val="22"/>
          <w:szCs w:val="22"/>
        </w:rPr>
        <w:t>.</w:t>
      </w:r>
      <w:r w:rsidRPr="00D61E89">
        <w:rPr>
          <w:rFonts w:ascii="Cambria" w:hAnsi="Cambria" w:cs="Garamond-BookCondensed"/>
          <w:sz w:val="22"/>
          <w:szCs w:val="22"/>
        </w:rPr>
        <w:t xml:space="preserve"> This period may be prolonged for as long as 28 days by </w:t>
      </w:r>
      <w:r w:rsidR="00B86E48">
        <w:rPr>
          <w:rFonts w:ascii="Cambria" w:hAnsi="Cambria" w:cs="Garamond-BookCondensed"/>
          <w:sz w:val="22"/>
          <w:szCs w:val="22"/>
        </w:rPr>
        <w:t>administration</w:t>
      </w:r>
      <w:r w:rsidR="00B86E48" w:rsidRPr="00D61E89">
        <w:rPr>
          <w:rFonts w:ascii="Cambria" w:hAnsi="Cambria" w:cs="Garamond-BookCondensed"/>
          <w:sz w:val="22"/>
          <w:szCs w:val="22"/>
        </w:rPr>
        <w:t xml:space="preserve"> </w:t>
      </w:r>
      <w:r w:rsidRPr="00D61E89">
        <w:rPr>
          <w:rFonts w:ascii="Cambria" w:hAnsi="Cambria" w:cs="Garamond-BookCondensed"/>
          <w:sz w:val="22"/>
          <w:szCs w:val="22"/>
        </w:rPr>
        <w:t xml:space="preserve">of </w:t>
      </w:r>
      <w:r w:rsidR="005F3FE5">
        <w:rPr>
          <w:rFonts w:ascii="Cambria" w:hAnsi="Cambria" w:cs="Garamond-BookCondensed"/>
          <w:sz w:val="22"/>
          <w:szCs w:val="22"/>
        </w:rPr>
        <w:t>v</w:t>
      </w:r>
      <w:r w:rsidRPr="00D61E89">
        <w:rPr>
          <w:rFonts w:ascii="Cambria" w:hAnsi="Cambria" w:cs="Garamond-BookCondensed"/>
          <w:sz w:val="22"/>
          <w:szCs w:val="22"/>
        </w:rPr>
        <w:t xml:space="preserve">aricella </w:t>
      </w:r>
      <w:r w:rsidR="00437D96">
        <w:rPr>
          <w:rFonts w:ascii="Cambria" w:hAnsi="Cambria" w:cs="Garamond-BookCondensed"/>
          <w:sz w:val="22"/>
          <w:szCs w:val="22"/>
        </w:rPr>
        <w:t>z</w:t>
      </w:r>
      <w:r w:rsidRPr="00D61E89">
        <w:rPr>
          <w:rFonts w:ascii="Cambria" w:hAnsi="Cambria" w:cs="Garamond-BookCondensed"/>
          <w:sz w:val="22"/>
          <w:szCs w:val="22"/>
        </w:rPr>
        <w:t xml:space="preserve">oster </w:t>
      </w:r>
      <w:r w:rsidR="00437D96">
        <w:rPr>
          <w:rFonts w:ascii="Cambria" w:hAnsi="Cambria" w:cs="Garamond-BookCondensed"/>
          <w:sz w:val="22"/>
          <w:szCs w:val="22"/>
        </w:rPr>
        <w:t>i</w:t>
      </w:r>
      <w:r w:rsidRPr="00D61E89">
        <w:rPr>
          <w:rFonts w:ascii="Cambria" w:hAnsi="Cambria" w:cs="Garamond-BookCondensed"/>
          <w:sz w:val="22"/>
          <w:szCs w:val="22"/>
        </w:rPr>
        <w:t xml:space="preserve">mmune </w:t>
      </w:r>
      <w:r w:rsidR="00437D96">
        <w:rPr>
          <w:rFonts w:ascii="Cambria" w:hAnsi="Cambria" w:cs="Garamond-BookCondensed"/>
          <w:sz w:val="22"/>
          <w:szCs w:val="22"/>
        </w:rPr>
        <w:t>g</w:t>
      </w:r>
      <w:r w:rsidRPr="00D61E89">
        <w:rPr>
          <w:rFonts w:ascii="Cambria" w:hAnsi="Cambria" w:cs="Garamond-BookCondensed"/>
          <w:sz w:val="22"/>
          <w:szCs w:val="22"/>
        </w:rPr>
        <w:t>lobulin (</w:t>
      </w:r>
      <w:r w:rsidR="003D078E">
        <w:rPr>
          <w:rFonts w:ascii="Cambria" w:hAnsi="Cambria" w:cs="Garamond-BookCondensed"/>
          <w:sz w:val="22"/>
          <w:szCs w:val="22"/>
        </w:rPr>
        <w:t>VariZIG</w:t>
      </w:r>
      <w:r w:rsidRPr="00D61E89">
        <w:rPr>
          <w:rFonts w:ascii="Cambria" w:hAnsi="Cambria" w:cs="Garamond-BookCondensed"/>
          <w:sz w:val="22"/>
          <w:szCs w:val="22"/>
        </w:rPr>
        <w:t>™</w:t>
      </w:r>
      <w:r w:rsidR="00B86E48">
        <w:rPr>
          <w:rFonts w:ascii="Cambria" w:hAnsi="Cambria" w:cs="Garamond-BookCondensed"/>
          <w:sz w:val="22"/>
          <w:szCs w:val="22"/>
        </w:rPr>
        <w:t>)</w:t>
      </w:r>
      <w:r w:rsidRPr="00D61E89">
        <w:rPr>
          <w:rFonts w:ascii="Cambria" w:hAnsi="Cambria" w:cs="Garamond-BookCondensed"/>
          <w:sz w:val="22"/>
          <w:szCs w:val="22"/>
        </w:rPr>
        <w:t xml:space="preserve"> or </w:t>
      </w:r>
      <w:r w:rsidR="00437D96">
        <w:rPr>
          <w:rFonts w:ascii="Cambria" w:hAnsi="Cambria" w:cs="Garamond-BookCondensed"/>
          <w:sz w:val="22"/>
          <w:szCs w:val="22"/>
        </w:rPr>
        <w:t>i</w:t>
      </w:r>
      <w:r w:rsidR="002A4C10" w:rsidRPr="002A4C10">
        <w:rPr>
          <w:rFonts w:ascii="Cambria" w:hAnsi="Cambria" w:cs="Garamond-BookCondensed"/>
          <w:sz w:val="22"/>
          <w:szCs w:val="22"/>
        </w:rPr>
        <w:t xml:space="preserve">mmune </w:t>
      </w:r>
      <w:r w:rsidR="00437D96">
        <w:rPr>
          <w:rFonts w:ascii="Cambria" w:hAnsi="Cambria" w:cs="Garamond-BookCondensed"/>
          <w:sz w:val="22"/>
          <w:szCs w:val="22"/>
        </w:rPr>
        <w:t>g</w:t>
      </w:r>
      <w:r w:rsidR="002A4C10" w:rsidRPr="002A4C10">
        <w:rPr>
          <w:rFonts w:ascii="Cambria" w:hAnsi="Cambria" w:cs="Garamond-BookCondensed"/>
          <w:sz w:val="22"/>
          <w:szCs w:val="22"/>
        </w:rPr>
        <w:t xml:space="preserve">lobulin, </w:t>
      </w:r>
      <w:r w:rsidR="00437D96">
        <w:rPr>
          <w:rFonts w:ascii="Cambria" w:hAnsi="Cambria" w:cs="Garamond-BookCondensed"/>
          <w:sz w:val="22"/>
          <w:szCs w:val="22"/>
        </w:rPr>
        <w:t>i</w:t>
      </w:r>
      <w:r w:rsidR="002A4C10" w:rsidRPr="002A4C10">
        <w:rPr>
          <w:rFonts w:ascii="Cambria" w:hAnsi="Cambria" w:cs="Garamond-BookCondensed"/>
          <w:sz w:val="22"/>
          <w:szCs w:val="22"/>
        </w:rPr>
        <w:t xml:space="preserve">ntravenous </w:t>
      </w:r>
      <w:r w:rsidR="002A4C10">
        <w:rPr>
          <w:rFonts w:ascii="Cambria" w:hAnsi="Cambria" w:cs="Garamond-BookCondensed"/>
          <w:sz w:val="22"/>
          <w:szCs w:val="22"/>
        </w:rPr>
        <w:t>(</w:t>
      </w:r>
      <w:r w:rsidRPr="00D61E89">
        <w:rPr>
          <w:rFonts w:ascii="Cambria" w:hAnsi="Cambria" w:cs="Garamond-BookCondensed"/>
          <w:sz w:val="22"/>
          <w:szCs w:val="22"/>
        </w:rPr>
        <w:t>IGIV</w:t>
      </w:r>
      <w:r w:rsidR="002A4C10">
        <w:rPr>
          <w:rFonts w:ascii="Cambria" w:hAnsi="Cambria" w:cs="Garamond-BookCondensed"/>
          <w:sz w:val="22"/>
          <w:szCs w:val="22"/>
        </w:rPr>
        <w:t>)</w:t>
      </w:r>
      <w:r w:rsidR="00B86E48">
        <w:rPr>
          <w:rFonts w:ascii="Cambria" w:hAnsi="Cambria" w:cs="Garamond-BookCondensed"/>
          <w:sz w:val="22"/>
          <w:szCs w:val="22"/>
        </w:rPr>
        <w:t xml:space="preserve"> after exposure</w:t>
      </w:r>
      <w:r w:rsidRPr="00D61E89">
        <w:rPr>
          <w:rFonts w:ascii="Cambria" w:hAnsi="Cambria" w:cs="Garamond-BookCondensed"/>
          <w:sz w:val="22"/>
          <w:szCs w:val="22"/>
        </w:rPr>
        <w:t xml:space="preserve">, and it may be </w:t>
      </w:r>
      <w:r w:rsidR="00B86E48" w:rsidRPr="00D61E89">
        <w:rPr>
          <w:rFonts w:ascii="Cambria" w:hAnsi="Cambria" w:cs="Garamond-BookCondensed"/>
          <w:sz w:val="22"/>
          <w:szCs w:val="22"/>
        </w:rPr>
        <w:t>shorte</w:t>
      </w:r>
      <w:r w:rsidR="00B86E48">
        <w:rPr>
          <w:rFonts w:ascii="Cambria" w:hAnsi="Cambria" w:cs="Garamond-BookCondensed"/>
          <w:sz w:val="22"/>
          <w:szCs w:val="22"/>
        </w:rPr>
        <w:t>r</w:t>
      </w:r>
      <w:r w:rsidR="00B86E48" w:rsidRPr="00D61E89">
        <w:rPr>
          <w:rFonts w:ascii="Cambria" w:hAnsi="Cambria" w:cs="Garamond-BookCondensed"/>
          <w:sz w:val="22"/>
          <w:szCs w:val="22"/>
        </w:rPr>
        <w:t xml:space="preserve"> </w:t>
      </w:r>
      <w:r w:rsidRPr="00D61E89">
        <w:rPr>
          <w:rFonts w:ascii="Cambria" w:hAnsi="Cambria" w:cs="Garamond-BookCondensed"/>
          <w:sz w:val="22"/>
          <w:szCs w:val="22"/>
        </w:rPr>
        <w:t xml:space="preserve">in immunocompromised patients. </w:t>
      </w:r>
      <w:r w:rsidR="005C689E" w:rsidRPr="005C689E">
        <w:rPr>
          <w:rFonts w:ascii="Cambria" w:hAnsi="Cambria" w:cs="Garamond-BookCondensed"/>
          <w:sz w:val="22"/>
          <w:szCs w:val="22"/>
        </w:rPr>
        <w:t>Shingles has no incubation period; it is caused by reactivation of latent infection from primary chickenpox disease.</w:t>
      </w:r>
      <w:r w:rsidR="005C689E">
        <w:rPr>
          <w:rFonts w:ascii="Arial" w:hAnsi="Arial" w:cs="Arial"/>
          <w:b/>
          <w:bCs/>
          <w:sz w:val="22"/>
          <w:szCs w:val="22"/>
        </w:rPr>
        <w:br w:type="page"/>
      </w:r>
      <w:r w:rsidR="006D78F0" w:rsidRPr="00D61E89">
        <w:rPr>
          <w:rFonts w:ascii="Arial" w:hAnsi="Arial" w:cs="Arial"/>
          <w:b/>
          <w:bCs/>
          <w:sz w:val="22"/>
          <w:szCs w:val="22"/>
        </w:rPr>
        <w:lastRenderedPageBreak/>
        <w:t>F. Period of Communicability or Infectious Period</w:t>
      </w:r>
    </w:p>
    <w:p w14:paraId="1C344FA5" w14:textId="77777777" w:rsidR="004C3ED8"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The infectious period for chickenpox is from 1–2 days before the rash appears until all of the vesicles have formed scabs, which usually occurs within 5 days of rash onset. Contagiousness may be prolonged in immunocompromised patients. </w:t>
      </w:r>
    </w:p>
    <w:p w14:paraId="1DE040A4" w14:textId="77777777" w:rsidR="004C3ED8" w:rsidRPr="00D61E89" w:rsidRDefault="004C3ED8" w:rsidP="004C3ED8">
      <w:pPr>
        <w:autoSpaceDE w:val="0"/>
        <w:autoSpaceDN w:val="0"/>
        <w:adjustRightInd w:val="0"/>
        <w:rPr>
          <w:rFonts w:ascii="Cambria" w:hAnsi="Cambria" w:cs="Garamond-BookCondensed"/>
          <w:sz w:val="22"/>
          <w:szCs w:val="22"/>
        </w:rPr>
      </w:pPr>
    </w:p>
    <w:p w14:paraId="3F1C82EF" w14:textId="77777777" w:rsidR="004C3ED8"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Vaccinated persons with breakthrough chickenpox may develop lesions that do not crust (macules and papules only). These </w:t>
      </w:r>
      <w:r w:rsidR="00A50E46" w:rsidRPr="00D61E89">
        <w:rPr>
          <w:rFonts w:ascii="Cambria" w:hAnsi="Cambria" w:cs="Garamond-BookCondensed"/>
          <w:sz w:val="22"/>
          <w:szCs w:val="22"/>
        </w:rPr>
        <w:t>people</w:t>
      </w:r>
      <w:r w:rsidRPr="00D61E89">
        <w:rPr>
          <w:rFonts w:ascii="Cambria" w:hAnsi="Cambria" w:cs="Garamond-BookCondensed"/>
          <w:sz w:val="22"/>
          <w:szCs w:val="22"/>
        </w:rPr>
        <w:t xml:space="preserve"> are no longer contagious once the lesions have faded (i.e., the skin lesions are in the process of resolving; lesions do not need to be completely resolved) or no new lesions appear within a 24-hour period, whichever is later.</w:t>
      </w:r>
    </w:p>
    <w:p w14:paraId="43D7DCDF" w14:textId="77777777" w:rsidR="005C689E" w:rsidRDefault="005C689E" w:rsidP="004C3ED8">
      <w:pPr>
        <w:autoSpaceDE w:val="0"/>
        <w:autoSpaceDN w:val="0"/>
        <w:adjustRightInd w:val="0"/>
        <w:rPr>
          <w:rFonts w:ascii="Cambria" w:hAnsi="Cambria" w:cs="Garamond-BookCondensed"/>
          <w:sz w:val="22"/>
          <w:szCs w:val="22"/>
        </w:rPr>
      </w:pPr>
    </w:p>
    <w:p w14:paraId="4B412CE1" w14:textId="77777777" w:rsidR="00B31856" w:rsidRPr="00D61E89" w:rsidRDefault="00B31856" w:rsidP="004C3ED8">
      <w:pPr>
        <w:autoSpaceDE w:val="0"/>
        <w:autoSpaceDN w:val="0"/>
        <w:adjustRightInd w:val="0"/>
        <w:rPr>
          <w:rFonts w:ascii="Cambria" w:hAnsi="Cambria" w:cs="Garamond-BookCondensed"/>
          <w:sz w:val="22"/>
          <w:szCs w:val="22"/>
        </w:rPr>
      </w:pPr>
      <w:r w:rsidRPr="00B31856">
        <w:rPr>
          <w:rFonts w:ascii="Cambria" w:hAnsi="Cambria" w:cs="Garamond-BookCondensed"/>
          <w:sz w:val="22"/>
          <w:szCs w:val="22"/>
        </w:rPr>
        <w:t>The infectious period for shingles lasts until all lesions have crusted over.</w:t>
      </w:r>
    </w:p>
    <w:p w14:paraId="1E6393B9" w14:textId="77777777" w:rsidR="006D78F0" w:rsidRPr="00D61E89" w:rsidRDefault="006D78F0" w:rsidP="006D78F0">
      <w:pPr>
        <w:autoSpaceDE w:val="0"/>
        <w:autoSpaceDN w:val="0"/>
        <w:adjustRightInd w:val="0"/>
        <w:spacing w:before="240" w:after="120"/>
        <w:rPr>
          <w:rFonts w:ascii="Arial" w:hAnsi="Arial" w:cs="Arial"/>
          <w:b/>
          <w:bCs/>
          <w:sz w:val="22"/>
          <w:szCs w:val="22"/>
        </w:rPr>
      </w:pPr>
      <w:r w:rsidRPr="00D61E89">
        <w:rPr>
          <w:rFonts w:ascii="Arial" w:hAnsi="Arial" w:cs="Arial"/>
          <w:b/>
          <w:bCs/>
          <w:sz w:val="22"/>
          <w:szCs w:val="22"/>
        </w:rPr>
        <w:t>G. Epidemiology</w:t>
      </w:r>
    </w:p>
    <w:p w14:paraId="6D26EDD5" w14:textId="77777777" w:rsidR="004C3ED8" w:rsidRPr="00D61E89" w:rsidRDefault="004C3ED8" w:rsidP="004C3ED8">
      <w:pPr>
        <w:pStyle w:val="NormalGaramond-BookCondensed"/>
        <w:spacing w:before="0" w:beforeAutospacing="0" w:after="100"/>
        <w:rPr>
          <w:rFonts w:ascii="Cambria" w:hAnsi="Cambria" w:cs="Arial"/>
          <w:color w:val="000000"/>
          <w:sz w:val="22"/>
          <w:szCs w:val="22"/>
          <w:lang w:val="en"/>
        </w:rPr>
      </w:pPr>
      <w:r w:rsidRPr="00D61E89">
        <w:rPr>
          <w:rFonts w:ascii="Cambria" w:hAnsi="Cambria" w:cs="Arial"/>
          <w:sz w:val="22"/>
          <w:szCs w:val="22"/>
        </w:rPr>
        <w:t xml:space="preserve">Chickenpox occurs worldwide, although incidence is lower in the tropics than in the temperate zones. In the U.S., during the pre-vaccine era, incidence was highest between March and May and lowest between September and November, and most cases of chickenpox in the U.S. occurred in children younger than ten years of age. </w:t>
      </w:r>
      <w:r w:rsidR="006E6858">
        <w:rPr>
          <w:rFonts w:ascii="Cambria" w:hAnsi="Cambria" w:cs="Arial"/>
          <w:sz w:val="22"/>
          <w:szCs w:val="22"/>
        </w:rPr>
        <w:t xml:space="preserve">High rates of vaccine coverage in the United States have effectively eliminated discernible seasonality of varicella. </w:t>
      </w:r>
      <w:r w:rsidR="00B154D6">
        <w:rPr>
          <w:rFonts w:ascii="Cambria" w:hAnsi="Cambria" w:cs="Arial"/>
          <w:sz w:val="22"/>
          <w:szCs w:val="22"/>
        </w:rPr>
        <w:t xml:space="preserve">Prior to the availability of varicella vaccine, </w:t>
      </w:r>
      <w:r w:rsidR="00A349C6">
        <w:rPr>
          <w:rFonts w:ascii="Cambria" w:hAnsi="Cambria" w:cs="Arial"/>
          <w:sz w:val="22"/>
          <w:szCs w:val="22"/>
        </w:rPr>
        <w:t>approximately</w:t>
      </w:r>
      <w:r w:rsidRPr="00D61E89">
        <w:rPr>
          <w:rFonts w:ascii="Cambria" w:hAnsi="Cambria" w:cs="Arial"/>
          <w:color w:val="000000"/>
          <w:sz w:val="22"/>
          <w:szCs w:val="22"/>
          <w:lang w:val="en"/>
        </w:rPr>
        <w:t xml:space="preserve"> </w:t>
      </w:r>
      <w:r w:rsidR="0066358C">
        <w:rPr>
          <w:rFonts w:ascii="Cambria" w:hAnsi="Cambria" w:cs="Arial"/>
          <w:color w:val="000000"/>
          <w:sz w:val="22"/>
          <w:szCs w:val="22"/>
          <w:lang w:val="en"/>
        </w:rPr>
        <w:t xml:space="preserve">10,500 </w:t>
      </w:r>
      <w:r w:rsidRPr="00D61E89">
        <w:rPr>
          <w:rFonts w:ascii="Cambria" w:hAnsi="Cambria" w:cs="Arial"/>
          <w:color w:val="000000"/>
          <w:sz w:val="22"/>
          <w:szCs w:val="22"/>
          <w:lang w:val="en"/>
        </w:rPr>
        <w:t>persons with varicella required hospitalization each year</w:t>
      </w:r>
      <w:r w:rsidR="00B154D6">
        <w:rPr>
          <w:rFonts w:ascii="Cambria" w:hAnsi="Cambria" w:cs="Arial"/>
          <w:color w:val="000000"/>
          <w:sz w:val="22"/>
          <w:szCs w:val="22"/>
          <w:lang w:val="en"/>
        </w:rPr>
        <w:t xml:space="preserve"> and 100 </w:t>
      </w:r>
      <w:r w:rsidR="00EB780F">
        <w:rPr>
          <w:rFonts w:ascii="Cambria" w:hAnsi="Cambria" w:cs="Arial"/>
          <w:color w:val="000000"/>
          <w:sz w:val="22"/>
          <w:szCs w:val="22"/>
          <w:lang w:val="en"/>
        </w:rPr>
        <w:t>to 1</w:t>
      </w:r>
      <w:r w:rsidR="0094129A">
        <w:rPr>
          <w:rFonts w:ascii="Cambria" w:hAnsi="Cambria" w:cs="Arial"/>
          <w:color w:val="000000"/>
          <w:sz w:val="22"/>
          <w:szCs w:val="22"/>
          <w:lang w:val="en"/>
        </w:rPr>
        <w:t>25</w:t>
      </w:r>
      <w:r w:rsidR="00EB780F">
        <w:rPr>
          <w:rFonts w:ascii="Cambria" w:hAnsi="Cambria" w:cs="Arial"/>
          <w:color w:val="000000"/>
          <w:sz w:val="22"/>
          <w:szCs w:val="22"/>
          <w:lang w:val="en"/>
        </w:rPr>
        <w:t xml:space="preserve"> people died of chickenpox in the United States. </w:t>
      </w:r>
      <w:r w:rsidR="002F3881" w:rsidRPr="00D61E89">
        <w:rPr>
          <w:rFonts w:ascii="Cambria" w:hAnsi="Cambria" w:cs="Arial"/>
          <w:color w:val="000000"/>
          <w:sz w:val="22"/>
          <w:szCs w:val="22"/>
          <w:lang w:val="en"/>
        </w:rPr>
        <w:t xml:space="preserve">Hospitalization rates were approximately </w:t>
      </w:r>
      <w:r w:rsidR="002F3881">
        <w:rPr>
          <w:rFonts w:ascii="Cambria" w:hAnsi="Cambria" w:cs="Arial"/>
          <w:color w:val="000000"/>
          <w:sz w:val="22"/>
          <w:szCs w:val="22"/>
          <w:lang w:val="en"/>
        </w:rPr>
        <w:t>1 to 2</w:t>
      </w:r>
      <w:r w:rsidR="002F3881" w:rsidRPr="00D61E89">
        <w:rPr>
          <w:rFonts w:ascii="Cambria" w:hAnsi="Cambria" w:cs="Arial"/>
          <w:color w:val="000000"/>
          <w:sz w:val="22"/>
          <w:szCs w:val="22"/>
          <w:lang w:val="en"/>
        </w:rPr>
        <w:t xml:space="preserve"> per 1,000 cases among healthy children and </w:t>
      </w:r>
      <w:r w:rsidR="002F3881">
        <w:rPr>
          <w:rFonts w:ascii="Cambria" w:hAnsi="Cambria" w:cs="Arial"/>
          <w:color w:val="000000"/>
          <w:sz w:val="22"/>
          <w:szCs w:val="22"/>
          <w:lang w:val="en"/>
        </w:rPr>
        <w:t>14</w:t>
      </w:r>
      <w:r w:rsidR="002F3881" w:rsidRPr="00D61E89">
        <w:rPr>
          <w:rFonts w:ascii="Cambria" w:hAnsi="Cambria" w:cs="Arial"/>
          <w:color w:val="000000"/>
          <w:sz w:val="22"/>
          <w:szCs w:val="22"/>
          <w:lang w:val="en"/>
        </w:rPr>
        <w:t xml:space="preserve"> per 1,000 cases among adults. Death occurred in approximately 1 in 60,000 cases. Most deaths occur</w:t>
      </w:r>
      <w:r w:rsidR="002F3881">
        <w:rPr>
          <w:rFonts w:ascii="Cambria" w:hAnsi="Cambria" w:cs="Arial"/>
          <w:color w:val="000000"/>
          <w:sz w:val="22"/>
          <w:szCs w:val="22"/>
          <w:lang w:val="en"/>
        </w:rPr>
        <w:t>red</w:t>
      </w:r>
      <w:r w:rsidR="002F3881" w:rsidRPr="00D61E89">
        <w:rPr>
          <w:rFonts w:ascii="Cambria" w:hAnsi="Cambria" w:cs="Arial"/>
          <w:color w:val="000000"/>
          <w:sz w:val="22"/>
          <w:szCs w:val="22"/>
          <w:lang w:val="en"/>
        </w:rPr>
        <w:t xml:space="preserve"> in immunocompetent children and adults</w:t>
      </w:r>
      <w:r w:rsidR="002F3881">
        <w:rPr>
          <w:rFonts w:ascii="Cambria" w:hAnsi="Cambria" w:cs="Arial"/>
          <w:color w:val="000000"/>
          <w:sz w:val="22"/>
          <w:szCs w:val="22"/>
          <w:lang w:val="en"/>
        </w:rPr>
        <w:t xml:space="preserve">. </w:t>
      </w:r>
      <w:r w:rsidR="002F3881" w:rsidRPr="00D61E89">
        <w:rPr>
          <w:rFonts w:ascii="Cambria" w:hAnsi="Cambria" w:cs="Arial"/>
          <w:color w:val="000000"/>
          <w:sz w:val="22"/>
          <w:szCs w:val="22"/>
          <w:lang w:val="en"/>
        </w:rPr>
        <w:t xml:space="preserve">Since 1996, the number of hospitalizations and deaths from varicella has declined </w:t>
      </w:r>
      <w:r w:rsidR="002F3881">
        <w:rPr>
          <w:rFonts w:ascii="Cambria" w:hAnsi="Cambria" w:cs="Arial"/>
          <w:color w:val="000000"/>
          <w:sz w:val="22"/>
          <w:szCs w:val="22"/>
          <w:lang w:val="en"/>
        </w:rPr>
        <w:t xml:space="preserve">by </w:t>
      </w:r>
      <w:r w:rsidR="002F3881" w:rsidRPr="00D61E89">
        <w:rPr>
          <w:rFonts w:ascii="Cambria" w:hAnsi="Cambria" w:cs="Arial"/>
          <w:color w:val="000000"/>
          <w:sz w:val="22"/>
          <w:szCs w:val="22"/>
          <w:lang w:val="en"/>
        </w:rPr>
        <w:t xml:space="preserve">more than 90%. </w:t>
      </w:r>
      <w:r w:rsidR="006E6858">
        <w:rPr>
          <w:rFonts w:ascii="Cambria" w:hAnsi="Cambria"/>
          <w:sz w:val="22"/>
          <w:szCs w:val="22"/>
        </w:rPr>
        <w:t xml:space="preserve">Since recommendation of a routine second dose of vaccine in 2006, varicella outpatient visits have declined by an additional 60% and varicella hospitalizations have declined by an additional 40%. </w:t>
      </w:r>
    </w:p>
    <w:p w14:paraId="097EE51D" w14:textId="77777777" w:rsidR="004C3ED8"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Changes in the epidemiology of chickenpox have been observed as an increasing proportion of children in the U.S. become protected by vaccination. Over the last </w:t>
      </w:r>
      <w:r w:rsidR="00D30A0A">
        <w:rPr>
          <w:rFonts w:ascii="Cambria" w:hAnsi="Cambria" w:cs="Garamond-BookCondensed"/>
          <w:sz w:val="22"/>
          <w:szCs w:val="22"/>
        </w:rPr>
        <w:t>several</w:t>
      </w:r>
      <w:r w:rsidR="00D30A0A" w:rsidRPr="00D61E89">
        <w:rPr>
          <w:rFonts w:ascii="Cambria" w:hAnsi="Cambria" w:cs="Garamond-BookCondensed"/>
          <w:sz w:val="22"/>
          <w:szCs w:val="22"/>
        </w:rPr>
        <w:t xml:space="preserve"> </w:t>
      </w:r>
      <w:r w:rsidRPr="00D61E89">
        <w:rPr>
          <w:rFonts w:ascii="Cambria" w:hAnsi="Cambria" w:cs="Garamond-BookCondensed"/>
          <w:sz w:val="22"/>
          <w:szCs w:val="22"/>
        </w:rPr>
        <w:t xml:space="preserve">years, the number of cases of chickenpox </w:t>
      </w:r>
      <w:r w:rsidR="008422C4">
        <w:rPr>
          <w:rFonts w:ascii="Cambria" w:hAnsi="Cambria" w:cs="Garamond-BookCondensed"/>
          <w:sz w:val="22"/>
          <w:szCs w:val="22"/>
        </w:rPr>
        <w:t xml:space="preserve">reported </w:t>
      </w:r>
      <w:r w:rsidRPr="00D61E89">
        <w:rPr>
          <w:rFonts w:ascii="Cambria" w:hAnsi="Cambria" w:cs="Garamond-BookCondensed"/>
          <w:sz w:val="22"/>
          <w:szCs w:val="22"/>
        </w:rPr>
        <w:t xml:space="preserve">in Massachusetts has declined by over </w:t>
      </w:r>
      <w:r w:rsidR="00D30A0A">
        <w:rPr>
          <w:rFonts w:ascii="Cambria" w:hAnsi="Cambria" w:cs="Garamond-BookCondensed"/>
          <w:sz w:val="22"/>
          <w:szCs w:val="22"/>
        </w:rPr>
        <w:t>5</w:t>
      </w:r>
      <w:r w:rsidR="00D30A0A" w:rsidRPr="00D61E89">
        <w:rPr>
          <w:rFonts w:ascii="Cambria" w:hAnsi="Cambria" w:cs="Garamond-BookCondensed"/>
          <w:sz w:val="22"/>
          <w:szCs w:val="22"/>
        </w:rPr>
        <w:t>0</w:t>
      </w:r>
      <w:r w:rsidRPr="00D61E89">
        <w:rPr>
          <w:rFonts w:ascii="Cambria" w:hAnsi="Cambria" w:cs="Garamond-BookCondensed"/>
          <w:sz w:val="22"/>
          <w:szCs w:val="22"/>
        </w:rPr>
        <w:t>%</w:t>
      </w:r>
      <w:r w:rsidR="00243FF3">
        <w:rPr>
          <w:rFonts w:ascii="Cambria" w:hAnsi="Cambria" w:cs="Garamond-BookCondensed"/>
          <w:sz w:val="22"/>
          <w:szCs w:val="22"/>
        </w:rPr>
        <w:t>.</w:t>
      </w:r>
      <w:r w:rsidR="00D30A0A">
        <w:rPr>
          <w:rFonts w:ascii="Cambria" w:hAnsi="Cambria" w:cs="Garamond-BookCondensed"/>
          <w:sz w:val="22"/>
          <w:szCs w:val="22"/>
        </w:rPr>
        <w:t xml:space="preserve"> (</w:t>
      </w:r>
      <w:r w:rsidR="00ED29E8">
        <w:rPr>
          <w:rFonts w:ascii="Cambria" w:hAnsi="Cambria" w:cs="Garamond-BookCondensed"/>
          <w:sz w:val="22"/>
          <w:szCs w:val="22"/>
        </w:rPr>
        <w:t>I</w:t>
      </w:r>
      <w:r w:rsidR="00D30A0A">
        <w:rPr>
          <w:rFonts w:ascii="Cambria" w:hAnsi="Cambria" w:cs="Garamond-BookCondensed"/>
          <w:sz w:val="22"/>
          <w:szCs w:val="22"/>
        </w:rPr>
        <w:t>n 2011, 606 cases were reported and in 2019, 299 cases were reported.)</w:t>
      </w:r>
      <w:r w:rsidR="00243FF3">
        <w:rPr>
          <w:rFonts w:ascii="Cambria" w:hAnsi="Cambria" w:cs="Garamond-BookCondensed"/>
          <w:sz w:val="22"/>
          <w:szCs w:val="22"/>
        </w:rPr>
        <w:t xml:space="preserve"> For the 2019-20 school year, </w:t>
      </w:r>
      <w:r w:rsidR="00243FF3" w:rsidRPr="00D61E89">
        <w:rPr>
          <w:rFonts w:ascii="Cambria" w:hAnsi="Cambria" w:cs="Garamond-BookCondensed"/>
          <w:sz w:val="22"/>
          <w:szCs w:val="22"/>
        </w:rPr>
        <w:t xml:space="preserve">national vaccine coverage </w:t>
      </w:r>
      <w:r w:rsidR="00243FF3">
        <w:rPr>
          <w:rFonts w:ascii="Cambria" w:hAnsi="Cambria" w:cs="Garamond-BookCondensed"/>
          <w:sz w:val="22"/>
          <w:szCs w:val="22"/>
        </w:rPr>
        <w:t>for two doses</w:t>
      </w:r>
      <w:r w:rsidR="00243FF3" w:rsidRPr="00D61E89">
        <w:rPr>
          <w:rFonts w:ascii="Cambria" w:hAnsi="Cambria" w:cs="Garamond-BookCondensed"/>
          <w:sz w:val="22"/>
          <w:szCs w:val="22"/>
        </w:rPr>
        <w:t xml:space="preserve"> of varicella vaccine was almost 9</w:t>
      </w:r>
      <w:r w:rsidR="00243FF3">
        <w:rPr>
          <w:rFonts w:ascii="Cambria" w:hAnsi="Cambria" w:cs="Garamond-BookCondensed"/>
          <w:sz w:val="22"/>
          <w:szCs w:val="22"/>
        </w:rPr>
        <w:t>5</w:t>
      </w:r>
      <w:r w:rsidR="00243FF3" w:rsidRPr="00D61E89">
        <w:rPr>
          <w:rFonts w:ascii="Cambria" w:hAnsi="Cambria" w:cs="Garamond-BookCondensed"/>
          <w:sz w:val="22"/>
          <w:szCs w:val="22"/>
        </w:rPr>
        <w:t xml:space="preserve">% in </w:t>
      </w:r>
      <w:r w:rsidR="00243FF3">
        <w:rPr>
          <w:rFonts w:ascii="Cambria" w:hAnsi="Cambria" w:cs="Garamond-BookCondensed"/>
          <w:sz w:val="22"/>
          <w:szCs w:val="22"/>
        </w:rPr>
        <w:t>kindergarten children and in Massachusetts the estimated coverage was 97%</w:t>
      </w:r>
      <w:r w:rsidR="00243FF3" w:rsidRPr="00D61E89">
        <w:rPr>
          <w:rFonts w:ascii="Cambria" w:hAnsi="Cambria" w:cs="Garamond-BookCondensed"/>
          <w:sz w:val="22"/>
          <w:szCs w:val="22"/>
        </w:rPr>
        <w:t>.</w:t>
      </w:r>
      <w:r w:rsidR="00F70CEE" w:rsidRPr="00D61E89">
        <w:rPr>
          <w:rFonts w:ascii="Cambria" w:hAnsi="Cambria" w:cs="Garamond-BookCondensed"/>
          <w:sz w:val="22"/>
          <w:szCs w:val="22"/>
        </w:rPr>
        <w:t xml:space="preserve"> </w:t>
      </w:r>
      <w:r w:rsidRPr="00D61E89">
        <w:rPr>
          <w:rFonts w:ascii="Cambria" w:hAnsi="Cambria" w:cs="Garamond-BookCondensed"/>
          <w:sz w:val="22"/>
          <w:szCs w:val="22"/>
        </w:rPr>
        <w:t xml:space="preserve">According to the </w:t>
      </w:r>
      <w:r w:rsidR="00B86E48">
        <w:rPr>
          <w:rFonts w:ascii="Cambria" w:hAnsi="Cambria" w:cs="Garamond-BookCondensed"/>
          <w:sz w:val="22"/>
          <w:szCs w:val="22"/>
        </w:rPr>
        <w:t>Report of the Committee on Infectious Diseases of the American Academy of Pediatrics (the “</w:t>
      </w:r>
      <w:r w:rsidRPr="00D61E89">
        <w:rPr>
          <w:rFonts w:ascii="Cambria" w:hAnsi="Cambria" w:cs="Garamond-BookCondensed"/>
          <w:sz w:val="22"/>
          <w:szCs w:val="22"/>
        </w:rPr>
        <w:t>Red Book</w:t>
      </w:r>
      <w:r w:rsidR="00B86E48">
        <w:rPr>
          <w:rFonts w:ascii="Cambria" w:hAnsi="Cambria" w:cs="Garamond-BookCondensed"/>
          <w:sz w:val="22"/>
          <w:szCs w:val="22"/>
        </w:rPr>
        <w:t>”)</w:t>
      </w:r>
      <w:r w:rsidRPr="00D61E89">
        <w:rPr>
          <w:rFonts w:ascii="Cambria" w:hAnsi="Cambria" w:cs="Garamond-BookCondensed"/>
          <w:sz w:val="22"/>
          <w:szCs w:val="22"/>
        </w:rPr>
        <w:t>, the age of peak varicella incidence is shifting from children younger than 10 years of age to children 10 through 14 years of age, although the incidence in this and all age groups is lower than in the prevaccine era.</w:t>
      </w:r>
    </w:p>
    <w:p w14:paraId="64285031" w14:textId="77777777" w:rsidR="004C3ED8" w:rsidRPr="00D61E89" w:rsidRDefault="004C3ED8" w:rsidP="004C3ED8">
      <w:pPr>
        <w:autoSpaceDE w:val="0"/>
        <w:autoSpaceDN w:val="0"/>
        <w:adjustRightInd w:val="0"/>
        <w:rPr>
          <w:rFonts w:ascii="Cambria" w:hAnsi="Cambria" w:cs="Garamond-BookCondensed"/>
          <w:sz w:val="22"/>
          <w:szCs w:val="22"/>
        </w:rPr>
      </w:pPr>
    </w:p>
    <w:p w14:paraId="79994CA7" w14:textId="77777777" w:rsidR="007E3CD3" w:rsidRDefault="004C3ED8" w:rsidP="004C3ED8">
      <w:pPr>
        <w:autoSpaceDE w:val="0"/>
        <w:autoSpaceDN w:val="0"/>
        <w:adjustRightInd w:val="0"/>
        <w:rPr>
          <w:rFonts w:ascii="Cambria" w:hAnsi="Cambria" w:cs="Garamond-BookCondensed"/>
          <w:sz w:val="22"/>
          <w:szCs w:val="22"/>
        </w:rPr>
      </w:pPr>
      <w:bookmarkStart w:id="2" w:name="_Hlk103337299"/>
      <w:r w:rsidRPr="00D61E89">
        <w:rPr>
          <w:rFonts w:ascii="Cambria" w:hAnsi="Cambria" w:cs="Garamond-BookCondensed"/>
          <w:sz w:val="22"/>
          <w:szCs w:val="22"/>
        </w:rPr>
        <w:t>As vaccine coverage increases</w:t>
      </w:r>
      <w:r w:rsidR="00190053">
        <w:rPr>
          <w:rFonts w:ascii="Cambria" w:hAnsi="Cambria" w:cs="Garamond-BookCondensed"/>
          <w:sz w:val="22"/>
          <w:szCs w:val="22"/>
        </w:rPr>
        <w:t>,</w:t>
      </w:r>
      <w:r w:rsidRPr="00D61E89">
        <w:rPr>
          <w:rFonts w:ascii="Cambria" w:hAnsi="Cambria" w:cs="Garamond-BookCondensed"/>
          <w:sz w:val="22"/>
          <w:szCs w:val="22"/>
        </w:rPr>
        <w:t xml:space="preserve"> and the incidence of wild-type chickenpox decreases, a higher proportion of chickenpox cases </w:t>
      </w:r>
      <w:r w:rsidR="0092429B">
        <w:rPr>
          <w:rFonts w:ascii="Cambria" w:hAnsi="Cambria" w:cs="Garamond-BookCondensed"/>
          <w:sz w:val="22"/>
          <w:szCs w:val="22"/>
        </w:rPr>
        <w:t xml:space="preserve">are likely to </w:t>
      </w:r>
      <w:r w:rsidRPr="00D61E89">
        <w:rPr>
          <w:rFonts w:ascii="Cambria" w:hAnsi="Cambria" w:cs="Garamond-BookCondensed"/>
          <w:sz w:val="22"/>
          <w:szCs w:val="22"/>
        </w:rPr>
        <w:t>occur in immunized people as breakthrough disease. I</w:t>
      </w:r>
      <w:bookmarkStart w:id="3" w:name="OLE_LINK1"/>
      <w:bookmarkStart w:id="4" w:name="OLE_LINK2"/>
      <w:r w:rsidRPr="00D61E89">
        <w:rPr>
          <w:rFonts w:ascii="Cambria" w:hAnsi="Cambria" w:cs="Garamond-BookCondensed"/>
          <w:sz w:val="22"/>
          <w:szCs w:val="22"/>
        </w:rPr>
        <w:t xml:space="preserve">n </w:t>
      </w:r>
      <w:r w:rsidRPr="00D61E89">
        <w:rPr>
          <w:rFonts w:ascii="Cambria" w:hAnsi="Cambria" w:cs="Garamond-BookCondensed"/>
          <w:sz w:val="22"/>
          <w:szCs w:val="22"/>
          <w:u w:color="FF00FF"/>
        </w:rPr>
        <w:t>201</w:t>
      </w:r>
      <w:r w:rsidR="00EE0307">
        <w:rPr>
          <w:rFonts w:ascii="Cambria" w:hAnsi="Cambria" w:cs="Garamond-BookCondensed"/>
          <w:sz w:val="22"/>
          <w:szCs w:val="22"/>
          <w:u w:color="FF00FF"/>
        </w:rPr>
        <w:t xml:space="preserve">9, </w:t>
      </w:r>
      <w:r w:rsidRPr="00D61E89">
        <w:rPr>
          <w:rFonts w:ascii="Cambria" w:hAnsi="Cambria" w:cs="Garamond-BookCondensed"/>
          <w:sz w:val="22"/>
          <w:szCs w:val="22"/>
        </w:rPr>
        <w:t>approximately</w:t>
      </w:r>
      <w:r w:rsidRPr="00D61E89">
        <w:rPr>
          <w:rFonts w:ascii="Cambria" w:hAnsi="Cambria" w:cs="Garamond-BookCondensed"/>
          <w:sz w:val="22"/>
          <w:szCs w:val="22"/>
          <w:u w:color="FF00FF"/>
        </w:rPr>
        <w:t xml:space="preserve"> </w:t>
      </w:r>
      <w:r w:rsidR="00EE0307">
        <w:rPr>
          <w:rFonts w:ascii="Cambria" w:hAnsi="Cambria" w:cs="Garamond-BookCondensed"/>
          <w:sz w:val="22"/>
          <w:szCs w:val="22"/>
          <w:u w:color="FF00FF"/>
        </w:rPr>
        <w:t>33</w:t>
      </w:r>
      <w:r w:rsidRPr="00D61E89">
        <w:rPr>
          <w:rFonts w:ascii="Cambria" w:hAnsi="Cambria" w:cs="Garamond-BookCondensed"/>
          <w:sz w:val="22"/>
          <w:szCs w:val="22"/>
        </w:rPr>
        <w:t>% of reported cases in Massachusetts occurred in individuals with at least one dose of varicella-containing vaccine.</w:t>
      </w:r>
    </w:p>
    <w:p w14:paraId="091E8F3E" w14:textId="77777777" w:rsidR="005C689E" w:rsidRDefault="005C689E" w:rsidP="004C3ED8">
      <w:pPr>
        <w:autoSpaceDE w:val="0"/>
        <w:autoSpaceDN w:val="0"/>
        <w:adjustRightInd w:val="0"/>
        <w:rPr>
          <w:rFonts w:ascii="Cambria" w:hAnsi="Cambria" w:cs="Garamond-BookCondensed"/>
          <w:sz w:val="22"/>
          <w:szCs w:val="22"/>
        </w:rPr>
      </w:pPr>
    </w:p>
    <w:p w14:paraId="7469F8A4" w14:textId="77777777" w:rsidR="005C689E" w:rsidRPr="00D61E89" w:rsidRDefault="005C689E" w:rsidP="005C689E">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Shingles is found worldwide and has no seasonal variation. There are an estimated one million cases of shingles in the United States annually. The overall annual incidence in the U.S. is approximately 4 cases per 1000 population (CDC, based on 2000 census). Annual incidence among people 60 or older in the U.S. is about 1 case per 100 population.</w:t>
      </w:r>
      <w:r>
        <w:rPr>
          <w:rFonts w:ascii="Cambria" w:hAnsi="Cambria" w:cs="Garamond-BookCondensed"/>
          <w:sz w:val="22"/>
          <w:szCs w:val="22"/>
        </w:rPr>
        <w:t xml:space="preserve"> </w:t>
      </w:r>
    </w:p>
    <w:p w14:paraId="2074917C" w14:textId="77777777" w:rsidR="005C689E" w:rsidRPr="00D61E89" w:rsidRDefault="005C689E" w:rsidP="005C689E">
      <w:pPr>
        <w:autoSpaceDE w:val="0"/>
        <w:autoSpaceDN w:val="0"/>
        <w:adjustRightInd w:val="0"/>
        <w:rPr>
          <w:rFonts w:ascii="Cambria" w:hAnsi="Cambria" w:cs="Garamond-BookCondensed"/>
          <w:sz w:val="22"/>
          <w:szCs w:val="22"/>
        </w:rPr>
      </w:pPr>
    </w:p>
    <w:p w14:paraId="32FDF6B9" w14:textId="77777777" w:rsidR="005C689E" w:rsidRPr="007E4D4E" w:rsidRDefault="005C689E" w:rsidP="005C689E">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This disease increases with advancing age and is more common among immunocompromised persons and among children with a history of intra</w:t>
      </w:r>
      <w:r>
        <w:rPr>
          <w:rFonts w:ascii="Cambria" w:hAnsi="Cambria" w:cs="Garamond-BookCondensed"/>
          <w:sz w:val="22"/>
          <w:szCs w:val="22"/>
        </w:rPr>
        <w:t>-</w:t>
      </w:r>
      <w:r w:rsidRPr="00D61E89">
        <w:rPr>
          <w:rFonts w:ascii="Cambria" w:hAnsi="Cambria" w:cs="Garamond-BookCondensed"/>
          <w:sz w:val="22"/>
          <w:szCs w:val="22"/>
        </w:rPr>
        <w:t xml:space="preserve">uterine chickenpox or chickenpox occurring within the first year of life. The latter have an increased risk of developing shingles at an early age. </w:t>
      </w:r>
      <w:r w:rsidR="0007642D">
        <w:rPr>
          <w:rFonts w:ascii="Cambria" w:hAnsi="Cambria" w:cs="Garamond-BookCondensed"/>
          <w:sz w:val="22"/>
          <w:szCs w:val="22"/>
        </w:rPr>
        <w:t>Prior to the availability of shingles vaccine, it was estimated that a</w:t>
      </w:r>
      <w:r w:rsidRPr="00D61E89">
        <w:rPr>
          <w:rFonts w:ascii="Cambria" w:hAnsi="Cambria" w:cs="Garamond-BookCondensed"/>
          <w:sz w:val="22"/>
          <w:szCs w:val="22"/>
        </w:rPr>
        <w:t>pproximately 32% of the general population w</w:t>
      </w:r>
      <w:r w:rsidR="0007642D">
        <w:rPr>
          <w:rFonts w:ascii="Cambria" w:hAnsi="Cambria" w:cs="Garamond-BookCondensed"/>
          <w:sz w:val="22"/>
          <w:szCs w:val="22"/>
        </w:rPr>
        <w:t>ould</w:t>
      </w:r>
      <w:r w:rsidRPr="00D61E89">
        <w:rPr>
          <w:rFonts w:ascii="Cambria" w:hAnsi="Cambria" w:cs="Garamond-BookCondensed"/>
          <w:sz w:val="22"/>
          <w:szCs w:val="22"/>
        </w:rPr>
        <w:t xml:space="preserve"> experience shingles during their lifetime.</w:t>
      </w:r>
      <w:r>
        <w:rPr>
          <w:rFonts w:ascii="Cambria" w:hAnsi="Cambria" w:cs="Garamond-BookCondensed"/>
          <w:sz w:val="22"/>
          <w:szCs w:val="22"/>
        </w:rPr>
        <w:t xml:space="preserve"> </w:t>
      </w:r>
    </w:p>
    <w:bookmarkEnd w:id="2"/>
    <w:bookmarkEnd w:id="3"/>
    <w:bookmarkEnd w:id="4"/>
    <w:p w14:paraId="53EEE548" w14:textId="77777777" w:rsidR="005C689E" w:rsidRDefault="005C689E" w:rsidP="007E3CD3">
      <w:pPr>
        <w:autoSpaceDE w:val="0"/>
        <w:autoSpaceDN w:val="0"/>
        <w:adjustRightInd w:val="0"/>
        <w:rPr>
          <w:rFonts w:ascii="Cambria" w:hAnsi="Cambria" w:cs="Garamond-BookCondensed"/>
          <w:sz w:val="22"/>
          <w:szCs w:val="22"/>
        </w:rPr>
      </w:pPr>
    </w:p>
    <w:p w14:paraId="0EDEDF57" w14:textId="77777777" w:rsidR="004C3ED8" w:rsidRPr="00D61E89" w:rsidRDefault="004C3ED8" w:rsidP="007E3CD3">
      <w:pPr>
        <w:autoSpaceDE w:val="0"/>
        <w:autoSpaceDN w:val="0"/>
        <w:adjustRightInd w:val="0"/>
        <w:rPr>
          <w:rFonts w:ascii="Arial" w:hAnsi="Arial" w:cs="Arial"/>
          <w:b/>
          <w:bCs/>
          <w:sz w:val="22"/>
          <w:szCs w:val="22"/>
        </w:rPr>
      </w:pPr>
      <w:r w:rsidRPr="00D61E89">
        <w:rPr>
          <w:rFonts w:ascii="Arial" w:hAnsi="Arial" w:cs="Arial"/>
          <w:b/>
          <w:bCs/>
          <w:sz w:val="22"/>
          <w:szCs w:val="22"/>
        </w:rPr>
        <w:t>H. Vaccine Effectiveness</w:t>
      </w:r>
    </w:p>
    <w:p w14:paraId="172ABA77" w14:textId="77777777" w:rsidR="00906247"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Chickenpox vaccine has been available since 1995. A single dose of varicella vaccine has been shown to be 70–90% effective at preventing chickenpox in general and over 95% effective at preventing severe disease. Two doses are 88% - 98% effective in preventing any form of varicella disease, according to CDC, and 100% effective in preventing severe varicella. </w:t>
      </w:r>
    </w:p>
    <w:p w14:paraId="5D402100" w14:textId="77777777" w:rsidR="00906247" w:rsidRDefault="00906247" w:rsidP="004C3ED8">
      <w:pPr>
        <w:autoSpaceDE w:val="0"/>
        <w:autoSpaceDN w:val="0"/>
        <w:adjustRightInd w:val="0"/>
        <w:rPr>
          <w:rFonts w:ascii="Cambria" w:hAnsi="Cambria" w:cs="Garamond-BookCondensed"/>
          <w:sz w:val="22"/>
          <w:szCs w:val="22"/>
        </w:rPr>
      </w:pPr>
    </w:p>
    <w:p w14:paraId="003ED891" w14:textId="77777777" w:rsidR="0016669B" w:rsidRDefault="0066358C" w:rsidP="0016669B">
      <w:pPr>
        <w:autoSpaceDE w:val="0"/>
        <w:autoSpaceDN w:val="0"/>
        <w:adjustRightInd w:val="0"/>
        <w:rPr>
          <w:rFonts w:ascii="Cambria" w:hAnsi="Cambria"/>
          <w:sz w:val="22"/>
          <w:szCs w:val="22"/>
        </w:rPr>
      </w:pPr>
      <w:r w:rsidRPr="0066358C">
        <w:rPr>
          <w:rFonts w:ascii="Cambria" w:hAnsi="Cambria"/>
          <w:sz w:val="22"/>
          <w:szCs w:val="22"/>
        </w:rPr>
        <w:t>Cases of varicella in vaccinated persons (i.e., breakthrough</w:t>
      </w:r>
      <w:r>
        <w:rPr>
          <w:rFonts w:ascii="Cambria" w:hAnsi="Cambria"/>
          <w:sz w:val="22"/>
          <w:szCs w:val="22"/>
        </w:rPr>
        <w:t xml:space="preserve"> </w:t>
      </w:r>
      <w:r w:rsidRPr="0066358C">
        <w:rPr>
          <w:rFonts w:ascii="Cambria" w:hAnsi="Cambria"/>
          <w:sz w:val="22"/>
          <w:szCs w:val="22"/>
        </w:rPr>
        <w:t>cases) are generally much milder, often with fewer than 50 lesions and fewer vesicles compared with 300</w:t>
      </w:r>
      <w:r>
        <w:rPr>
          <w:rFonts w:ascii="Cambria" w:hAnsi="Cambria"/>
          <w:sz w:val="22"/>
          <w:szCs w:val="22"/>
        </w:rPr>
        <w:t xml:space="preserve"> </w:t>
      </w:r>
      <w:r w:rsidRPr="0066358C">
        <w:rPr>
          <w:rFonts w:ascii="Cambria" w:hAnsi="Cambria"/>
          <w:sz w:val="22"/>
          <w:szCs w:val="22"/>
        </w:rPr>
        <w:t>or more lesions and many vesicles typically seen in unvaccinated persons. Persons with breakthrough</w:t>
      </w:r>
      <w:r w:rsidR="00906247">
        <w:rPr>
          <w:rFonts w:ascii="Cambria" w:hAnsi="Cambria"/>
          <w:sz w:val="22"/>
          <w:szCs w:val="22"/>
        </w:rPr>
        <w:t xml:space="preserve"> </w:t>
      </w:r>
      <w:r w:rsidRPr="0066358C">
        <w:rPr>
          <w:rFonts w:ascii="Cambria" w:hAnsi="Cambria"/>
          <w:sz w:val="22"/>
          <w:szCs w:val="22"/>
        </w:rPr>
        <w:t>cases are also less likely to have fever and more likely to have fewer days of illness. Given its modified</w:t>
      </w:r>
      <w:r w:rsidR="00906247">
        <w:rPr>
          <w:rFonts w:ascii="Cambria" w:hAnsi="Cambria"/>
          <w:sz w:val="22"/>
          <w:szCs w:val="22"/>
        </w:rPr>
        <w:t xml:space="preserve"> </w:t>
      </w:r>
      <w:r w:rsidRPr="0066358C">
        <w:rPr>
          <w:rFonts w:ascii="Cambria" w:hAnsi="Cambria"/>
          <w:sz w:val="22"/>
          <w:szCs w:val="22"/>
        </w:rPr>
        <w:t>clinical presentation, breakthrough varicella illness can be challenging for practitioners and parents to</w:t>
      </w:r>
      <w:r w:rsidR="00906247">
        <w:rPr>
          <w:rFonts w:ascii="Cambria" w:hAnsi="Cambria"/>
          <w:sz w:val="22"/>
          <w:szCs w:val="22"/>
        </w:rPr>
        <w:t xml:space="preserve"> </w:t>
      </w:r>
      <w:r w:rsidRPr="0066358C">
        <w:rPr>
          <w:rFonts w:ascii="Cambria" w:hAnsi="Cambria"/>
          <w:sz w:val="22"/>
          <w:szCs w:val="22"/>
        </w:rPr>
        <w:t>recognize clinically.</w:t>
      </w:r>
    </w:p>
    <w:p w14:paraId="0606E4CF" w14:textId="77777777" w:rsidR="0016669B" w:rsidRDefault="0016669B" w:rsidP="0016669B">
      <w:pPr>
        <w:autoSpaceDE w:val="0"/>
        <w:autoSpaceDN w:val="0"/>
        <w:adjustRightInd w:val="0"/>
        <w:rPr>
          <w:rFonts w:ascii="Cambria" w:hAnsi="Cambria"/>
          <w:sz w:val="22"/>
          <w:szCs w:val="22"/>
        </w:rPr>
      </w:pPr>
    </w:p>
    <w:p w14:paraId="51847A2B" w14:textId="77777777" w:rsidR="005C689E" w:rsidRDefault="005C689E" w:rsidP="005C689E">
      <w:pPr>
        <w:rPr>
          <w:rFonts w:ascii="Cambria" w:hAnsi="Cambria" w:cs="Arial"/>
          <w:color w:val="000000"/>
          <w:sz w:val="22"/>
          <w:szCs w:val="22"/>
        </w:rPr>
      </w:pPr>
      <w:r w:rsidRPr="00D61E89">
        <w:rPr>
          <w:rFonts w:ascii="Cambria" w:hAnsi="Cambria" w:cs="Arial"/>
          <w:color w:val="000000"/>
          <w:sz w:val="22"/>
          <w:szCs w:val="22"/>
        </w:rPr>
        <w:t>The vaccine for shingles (</w:t>
      </w:r>
      <w:r>
        <w:rPr>
          <w:rFonts w:ascii="Cambria" w:hAnsi="Cambria" w:cs="Arial"/>
          <w:color w:val="000000"/>
          <w:sz w:val="22"/>
          <w:szCs w:val="22"/>
        </w:rPr>
        <w:t>Shingrix</w:t>
      </w:r>
      <w:r w:rsidRPr="00D61E89">
        <w:rPr>
          <w:rFonts w:ascii="Cambria" w:hAnsi="Cambria" w:cs="Arial"/>
          <w:color w:val="000000"/>
          <w:sz w:val="22"/>
          <w:szCs w:val="22"/>
          <w:vertAlign w:val="superscript"/>
        </w:rPr>
        <w:t>®</w:t>
      </w:r>
      <w:r w:rsidRPr="00D61E89">
        <w:rPr>
          <w:rFonts w:ascii="Cambria" w:hAnsi="Cambria" w:cs="Arial"/>
          <w:color w:val="000000"/>
          <w:sz w:val="22"/>
          <w:szCs w:val="22"/>
        </w:rPr>
        <w:t xml:space="preserve">) is recommended for use in people </w:t>
      </w:r>
      <w:r>
        <w:rPr>
          <w:rFonts w:ascii="Cambria" w:hAnsi="Cambria" w:cs="Arial"/>
          <w:color w:val="000000"/>
          <w:sz w:val="22"/>
          <w:szCs w:val="22"/>
        </w:rPr>
        <w:t>5</w:t>
      </w:r>
      <w:r w:rsidRPr="00D61E89">
        <w:rPr>
          <w:rFonts w:ascii="Cambria" w:hAnsi="Cambria" w:cs="Arial"/>
          <w:color w:val="000000"/>
          <w:sz w:val="22"/>
          <w:szCs w:val="22"/>
        </w:rPr>
        <w:t>0 years old and older to prevent shingles</w:t>
      </w:r>
      <w:r>
        <w:rPr>
          <w:rFonts w:ascii="Cambria" w:hAnsi="Cambria" w:cs="Arial"/>
          <w:color w:val="000000"/>
          <w:sz w:val="22"/>
          <w:szCs w:val="22"/>
        </w:rPr>
        <w:t xml:space="preserve"> and for adults </w:t>
      </w:r>
      <w:r w:rsidR="00C62C7B">
        <w:rPr>
          <w:rFonts w:ascii="Cambria" w:hAnsi="Cambria" w:cs="Arial"/>
          <w:color w:val="000000"/>
          <w:sz w:val="22"/>
          <w:szCs w:val="22"/>
        </w:rPr>
        <w:t>aged</w:t>
      </w:r>
      <w:r>
        <w:rPr>
          <w:rFonts w:ascii="Cambria" w:hAnsi="Cambria" w:cs="Arial"/>
          <w:color w:val="000000"/>
          <w:sz w:val="22"/>
          <w:szCs w:val="22"/>
        </w:rPr>
        <w:t xml:space="preserve"> 19 years or older who are or will be immunodeficient or immunosuppressed because of disease or therapy. </w:t>
      </w:r>
      <w:r w:rsidRPr="00E51E5D">
        <w:rPr>
          <w:rFonts w:ascii="Cambria" w:hAnsi="Cambria"/>
          <w:sz w:val="22"/>
          <w:szCs w:val="22"/>
        </w:rPr>
        <w:t>Shingrix is administered as a 2-dose series by the intramuscular route. The second dose should be given 2 to 6 months after the first dose, with a minimum interval of 1 month (4 weeks) between doses.</w:t>
      </w:r>
      <w:r w:rsidRPr="009B1B95">
        <w:rPr>
          <w:rFonts w:ascii="Cambria" w:hAnsi="Cambria" w:cs="Arial"/>
          <w:color w:val="000000"/>
          <w:sz w:val="22"/>
          <w:szCs w:val="22"/>
        </w:rPr>
        <w:t xml:space="preserve"> </w:t>
      </w:r>
    </w:p>
    <w:p w14:paraId="624FA8D5" w14:textId="77777777" w:rsidR="005C689E" w:rsidRDefault="005C689E" w:rsidP="005C689E">
      <w:pPr>
        <w:rPr>
          <w:rFonts w:ascii="Cambria" w:hAnsi="Cambria" w:cs="Arial"/>
          <w:color w:val="000000"/>
          <w:sz w:val="22"/>
          <w:szCs w:val="22"/>
        </w:rPr>
      </w:pPr>
    </w:p>
    <w:p w14:paraId="250CEBF1" w14:textId="77777777" w:rsidR="005C689E" w:rsidRPr="009B1B95" w:rsidRDefault="005C689E" w:rsidP="005C689E">
      <w:pPr>
        <w:rPr>
          <w:rFonts w:ascii="Cambria" w:hAnsi="Cambria" w:cs="Arial"/>
          <w:color w:val="000000"/>
          <w:sz w:val="22"/>
          <w:szCs w:val="22"/>
        </w:rPr>
      </w:pPr>
      <w:r w:rsidRPr="009B1B95">
        <w:rPr>
          <w:rFonts w:ascii="Cambria" w:hAnsi="Cambria" w:cs="Arial"/>
          <w:color w:val="000000"/>
          <w:sz w:val="22"/>
          <w:szCs w:val="22"/>
        </w:rPr>
        <w:t>Efficacy against shingles was 97% for people 50-59</w:t>
      </w:r>
      <w:r>
        <w:rPr>
          <w:rFonts w:ascii="Cambria" w:hAnsi="Cambria" w:cs="Arial"/>
          <w:color w:val="000000"/>
          <w:sz w:val="22"/>
          <w:szCs w:val="22"/>
        </w:rPr>
        <w:t xml:space="preserve"> and</w:t>
      </w:r>
      <w:r w:rsidRPr="009B1B95">
        <w:rPr>
          <w:rFonts w:ascii="Cambria" w:hAnsi="Cambria" w:cs="Arial"/>
          <w:color w:val="000000"/>
          <w:sz w:val="22"/>
          <w:szCs w:val="22"/>
        </w:rPr>
        <w:t xml:space="preserve"> 60-69 years of age</w:t>
      </w:r>
      <w:r>
        <w:rPr>
          <w:rFonts w:ascii="Cambria" w:hAnsi="Cambria" w:cs="Arial"/>
          <w:color w:val="000000"/>
          <w:sz w:val="22"/>
          <w:szCs w:val="22"/>
        </w:rPr>
        <w:t>,</w:t>
      </w:r>
      <w:r w:rsidRPr="009B1B95">
        <w:rPr>
          <w:rFonts w:ascii="Cambria" w:hAnsi="Cambria" w:cs="Arial"/>
          <w:color w:val="000000"/>
          <w:sz w:val="22"/>
          <w:szCs w:val="22"/>
        </w:rPr>
        <w:t xml:space="preserve"> </w:t>
      </w:r>
      <w:r w:rsidRPr="00CA791F">
        <w:rPr>
          <w:rFonts w:ascii="Cambria" w:hAnsi="Cambria" w:cs="Arial"/>
          <w:color w:val="000000"/>
          <w:sz w:val="22"/>
          <w:szCs w:val="22"/>
        </w:rPr>
        <w:t>and</w:t>
      </w:r>
      <w:r w:rsidRPr="009B1B95">
        <w:rPr>
          <w:rFonts w:ascii="Cambria" w:hAnsi="Cambria" w:cs="Arial"/>
          <w:color w:val="000000"/>
          <w:sz w:val="22"/>
          <w:szCs w:val="22"/>
        </w:rPr>
        <w:t xml:space="preserve"> 91% for people 70 years and older. Among people 70 years and older vaccine efficacy was 85% four years after vaccination. </w:t>
      </w:r>
      <w:r w:rsidRPr="00E51E5D">
        <w:rPr>
          <w:rFonts w:ascii="Cambria" w:hAnsi="Cambria"/>
          <w:sz w:val="22"/>
          <w:szCs w:val="22"/>
        </w:rPr>
        <w:t>Vaccine effectiveness (VE) has been evaluated for a limited number of specific immunocompromising conditions. VE estimates vary depending upon the underlying cause of immunocompromise. Studies have estimated VE of 68.2% for autologous hematopoietic cell transplant recipients, and 87.2% and 90.5% for patients with hematologic malignancies and potential immune-mediated diseases, respectively.</w:t>
      </w:r>
    </w:p>
    <w:p w14:paraId="7BC439FD" w14:textId="77777777" w:rsidR="005C689E" w:rsidRDefault="005C689E" w:rsidP="0016669B">
      <w:pPr>
        <w:autoSpaceDE w:val="0"/>
        <w:autoSpaceDN w:val="0"/>
        <w:adjustRightInd w:val="0"/>
        <w:rPr>
          <w:rFonts w:ascii="Cambria" w:hAnsi="Cambria"/>
          <w:sz w:val="22"/>
          <w:szCs w:val="22"/>
        </w:rPr>
      </w:pPr>
    </w:p>
    <w:p w14:paraId="31F19D04" w14:textId="77777777" w:rsidR="0016669B" w:rsidRPr="00E51E5D" w:rsidRDefault="0016669B" w:rsidP="00E51E5D">
      <w:pPr>
        <w:autoSpaceDE w:val="0"/>
        <w:autoSpaceDN w:val="0"/>
        <w:adjustRightInd w:val="0"/>
        <w:rPr>
          <w:rFonts w:ascii="Cambria" w:hAnsi="Cambria"/>
          <w:sz w:val="22"/>
          <w:szCs w:val="22"/>
        </w:rPr>
      </w:pPr>
      <w:r w:rsidRPr="00E51E5D">
        <w:rPr>
          <w:rFonts w:ascii="Arial" w:hAnsi="Arial" w:cs="Arial"/>
          <w:b/>
          <w:bCs/>
          <w:sz w:val="22"/>
          <w:szCs w:val="22"/>
        </w:rPr>
        <w:t>Special Considerations in the Administration of Varicella Vaccine</w:t>
      </w:r>
    </w:p>
    <w:p w14:paraId="1D2170E8" w14:textId="77777777" w:rsidR="00A079DE" w:rsidRPr="00D61E89" w:rsidRDefault="0016669B" w:rsidP="00A079DE">
      <w:pPr>
        <w:pBdr>
          <w:top w:val="single" w:sz="4" w:space="1" w:color="auto"/>
          <w:left w:val="single" w:sz="4" w:space="4" w:color="auto"/>
          <w:bottom w:val="single" w:sz="4" w:space="1" w:color="auto"/>
          <w:right w:val="single" w:sz="4" w:space="4" w:color="auto"/>
        </w:pBdr>
        <w:spacing w:before="60" w:after="60"/>
        <w:rPr>
          <w:rFonts w:ascii="Cambria" w:hAnsi="Cambria"/>
          <w:b/>
        </w:rPr>
      </w:pPr>
      <w:r>
        <w:rPr>
          <w:rFonts w:ascii="Cambria" w:hAnsi="Cambria"/>
          <w:bCs/>
          <w:sz w:val="22"/>
          <w:szCs w:val="22"/>
        </w:rPr>
        <w:t>F</w:t>
      </w:r>
      <w:r w:rsidRPr="00E51E5D">
        <w:rPr>
          <w:rFonts w:ascii="Cambria" w:hAnsi="Cambria"/>
          <w:bCs/>
          <w:sz w:val="22"/>
          <w:szCs w:val="22"/>
        </w:rPr>
        <w:t>or the most up-to-date information on vaccine contraindications and precautions, see the package insert, the CDC</w:t>
      </w:r>
      <w:r w:rsidR="00A079DE">
        <w:rPr>
          <w:rFonts w:ascii="Cambria" w:hAnsi="Cambria"/>
          <w:bCs/>
          <w:sz w:val="22"/>
          <w:szCs w:val="22"/>
        </w:rPr>
        <w:t xml:space="preserve"> </w:t>
      </w:r>
      <w:hyperlink r:id="rId11" w:history="1">
        <w:r w:rsidRPr="0016669B">
          <w:rPr>
            <w:rStyle w:val="Hyperlink"/>
            <w:rFonts w:ascii="Cambria" w:hAnsi="Cambria"/>
            <w:sz w:val="22"/>
            <w:szCs w:val="22"/>
          </w:rPr>
          <w:t>Guide to Contraindications and Precautions</w:t>
        </w:r>
      </w:hyperlink>
      <w:r w:rsidR="00A079DE">
        <w:rPr>
          <w:rFonts w:ascii="Cambria" w:hAnsi="Cambria"/>
          <w:sz w:val="22"/>
          <w:szCs w:val="22"/>
        </w:rPr>
        <w:t xml:space="preserve"> </w:t>
      </w:r>
      <w:r w:rsidR="00A079DE" w:rsidRPr="00E51E5D">
        <w:rPr>
          <w:rFonts w:ascii="Cambria" w:hAnsi="Cambria"/>
          <w:bCs/>
          <w:sz w:val="22"/>
          <w:szCs w:val="22"/>
        </w:rPr>
        <w:t xml:space="preserve">and/or the ACIP </w:t>
      </w:r>
      <w:hyperlink r:id="rId12" w:history="1">
        <w:r w:rsidR="00A079DE" w:rsidRPr="00E51E5D">
          <w:rPr>
            <w:rStyle w:val="Hyperlink"/>
            <w:rFonts w:ascii="Cambria" w:hAnsi="Cambria"/>
            <w:bCs/>
            <w:sz w:val="22"/>
            <w:szCs w:val="22"/>
          </w:rPr>
          <w:t>General Best Practice Guidelines for Immunization</w:t>
        </w:r>
      </w:hyperlink>
      <w:r w:rsidR="00A079DE" w:rsidRPr="00E51E5D">
        <w:rPr>
          <w:rFonts w:ascii="Cambria" w:hAnsi="Cambria"/>
          <w:bCs/>
          <w:sz w:val="22"/>
          <w:szCs w:val="22"/>
        </w:rPr>
        <w:t xml:space="preserve"> and/or the Red Book of the American Academy of Pediatrics.</w:t>
      </w:r>
    </w:p>
    <w:p w14:paraId="26F52E94" w14:textId="77777777" w:rsidR="007E3CD3" w:rsidRDefault="007E3CD3" w:rsidP="00E51E5D">
      <w:pPr>
        <w:autoSpaceDE w:val="0"/>
        <w:autoSpaceDN w:val="0"/>
        <w:adjustRightInd w:val="0"/>
        <w:rPr>
          <w:rFonts w:ascii="Arial" w:hAnsi="Arial" w:cs="Arial"/>
          <w:b/>
          <w:bCs/>
          <w:sz w:val="22"/>
          <w:szCs w:val="22"/>
        </w:rPr>
      </w:pPr>
    </w:p>
    <w:p w14:paraId="2708A362" w14:textId="77777777" w:rsidR="006D78F0" w:rsidRPr="00D61E89" w:rsidRDefault="001774AF" w:rsidP="00E51E5D">
      <w:pPr>
        <w:autoSpaceDE w:val="0"/>
        <w:autoSpaceDN w:val="0"/>
        <w:adjustRightInd w:val="0"/>
        <w:rPr>
          <w:rFonts w:ascii="Arial" w:hAnsi="Arial" w:cs="Arial"/>
          <w:b/>
          <w:bCs/>
          <w:sz w:val="22"/>
          <w:szCs w:val="22"/>
        </w:rPr>
      </w:pPr>
      <w:r w:rsidRPr="00D61E89">
        <w:rPr>
          <w:rFonts w:ascii="Arial" w:hAnsi="Arial" w:cs="Arial"/>
          <w:b/>
          <w:bCs/>
          <w:sz w:val="22"/>
          <w:szCs w:val="22"/>
        </w:rPr>
        <w:t>I</w:t>
      </w:r>
      <w:r w:rsidR="006D78F0" w:rsidRPr="00D61E89">
        <w:rPr>
          <w:rFonts w:ascii="Arial" w:hAnsi="Arial" w:cs="Arial"/>
          <w:b/>
          <w:bCs/>
          <w:sz w:val="22"/>
          <w:szCs w:val="22"/>
        </w:rPr>
        <w:t>. Bioterrorist Potential</w:t>
      </w:r>
    </w:p>
    <w:p w14:paraId="1170A23F" w14:textId="77777777" w:rsidR="00F03C74" w:rsidRDefault="004C3ED8" w:rsidP="00F03C74">
      <w:pPr>
        <w:autoSpaceDE w:val="0"/>
        <w:autoSpaceDN w:val="0"/>
        <w:adjustRightInd w:val="0"/>
        <w:rPr>
          <w:rFonts w:ascii="Arial" w:hAnsi="Arial" w:cs="Arial"/>
          <w:b/>
          <w:color w:val="17365D"/>
        </w:rPr>
      </w:pPr>
      <w:r w:rsidRPr="00D61E89">
        <w:rPr>
          <w:rFonts w:ascii="Cambria" w:hAnsi="Cambria" w:cs="Garamond-BookCondensed"/>
          <w:sz w:val="22"/>
          <w:szCs w:val="22"/>
        </w:rPr>
        <w:t>VZV is not considered to be of risk for use in bioterrorism.</w:t>
      </w:r>
    </w:p>
    <w:p w14:paraId="290D14D8" w14:textId="77777777" w:rsidR="00040DA1" w:rsidRPr="00D61E89" w:rsidRDefault="00040DA1" w:rsidP="00040DA1">
      <w:pPr>
        <w:pBdr>
          <w:bottom w:val="single" w:sz="18" w:space="1" w:color="BFBFBF"/>
        </w:pBdr>
        <w:autoSpaceDE w:val="0"/>
        <w:autoSpaceDN w:val="0"/>
        <w:adjustRightInd w:val="0"/>
        <w:spacing w:before="200"/>
        <w:ind w:right="-360" w:hanging="360"/>
        <w:rPr>
          <w:rFonts w:ascii="Arial" w:hAnsi="Arial" w:cs="Arial"/>
          <w:b/>
          <w:bCs/>
          <w:color w:val="17365D"/>
          <w:sz w:val="28"/>
          <w:szCs w:val="28"/>
        </w:rPr>
      </w:pPr>
      <w:r w:rsidRPr="00D61E89">
        <w:rPr>
          <w:rFonts w:ascii="Arial" w:hAnsi="Arial" w:cs="Arial"/>
          <w:b/>
          <w:color w:val="17365D"/>
        </w:rPr>
        <w:t xml:space="preserve">Section </w:t>
      </w:r>
      <w:r>
        <w:rPr>
          <w:rFonts w:ascii="Arial" w:hAnsi="Arial" w:cs="Arial"/>
          <w:b/>
          <w:color w:val="17365D"/>
        </w:rPr>
        <w:t>2</w:t>
      </w:r>
    </w:p>
    <w:p w14:paraId="75E560A8" w14:textId="77777777" w:rsidR="00040DA1" w:rsidRPr="00D61E89" w:rsidRDefault="00040DA1" w:rsidP="00040DA1">
      <w:pPr>
        <w:autoSpaceDE w:val="0"/>
        <w:autoSpaceDN w:val="0"/>
        <w:adjustRightInd w:val="0"/>
        <w:rPr>
          <w:rFonts w:ascii="Arial" w:hAnsi="Arial" w:cs="Arial"/>
          <w:b/>
          <w:bCs/>
          <w:color w:val="4F81BD"/>
          <w:sz w:val="28"/>
          <w:szCs w:val="28"/>
        </w:rPr>
      </w:pPr>
      <w:r w:rsidRPr="00D61E89">
        <w:rPr>
          <w:rFonts w:ascii="Arial" w:hAnsi="Arial" w:cs="Arial"/>
          <w:b/>
          <w:bCs/>
          <w:color w:val="4F81BD"/>
          <w:sz w:val="28"/>
          <w:szCs w:val="28"/>
        </w:rPr>
        <w:t xml:space="preserve">REPORTING </w:t>
      </w:r>
      <w:r>
        <w:rPr>
          <w:rFonts w:ascii="Arial" w:hAnsi="Arial" w:cs="Arial"/>
          <w:b/>
          <w:bCs/>
          <w:color w:val="4F81BD"/>
          <w:sz w:val="28"/>
          <w:szCs w:val="28"/>
        </w:rPr>
        <w:t>CRITERIA AND LABORATORY TESTING</w:t>
      </w:r>
    </w:p>
    <w:p w14:paraId="7BBA0417" w14:textId="77777777" w:rsidR="00040DA1" w:rsidRPr="00D61E89" w:rsidRDefault="00040DA1" w:rsidP="006D78F0">
      <w:pPr>
        <w:autoSpaceDE w:val="0"/>
        <w:autoSpaceDN w:val="0"/>
        <w:adjustRightInd w:val="0"/>
        <w:rPr>
          <w:rFonts w:ascii="Arial" w:hAnsi="Arial" w:cs="Arial"/>
          <w:b/>
          <w:bCs/>
          <w:color w:val="4F81BD"/>
          <w:sz w:val="28"/>
          <w:szCs w:val="28"/>
        </w:rPr>
      </w:pPr>
    </w:p>
    <w:p w14:paraId="2A3BD853" w14:textId="77777777" w:rsidR="004C3ED8" w:rsidRPr="00D61E89" w:rsidRDefault="007E3CD3" w:rsidP="007E3CD3">
      <w:pPr>
        <w:autoSpaceDE w:val="0"/>
        <w:autoSpaceDN w:val="0"/>
        <w:adjustRightInd w:val="0"/>
        <w:spacing w:after="120"/>
        <w:rPr>
          <w:rFonts w:ascii="Arial" w:hAnsi="Arial" w:cs="Arial"/>
          <w:b/>
          <w:bCs/>
          <w:sz w:val="22"/>
          <w:szCs w:val="22"/>
        </w:rPr>
      </w:pPr>
      <w:r w:rsidRPr="00D61E89">
        <w:rPr>
          <w:rFonts w:ascii="Arial" w:hAnsi="Arial" w:cs="Arial"/>
          <w:b/>
          <w:bCs/>
          <w:sz w:val="22"/>
          <w:szCs w:val="22"/>
        </w:rPr>
        <w:t xml:space="preserve">A. </w:t>
      </w:r>
      <w:r w:rsidR="006D78F0" w:rsidRPr="00D61E89">
        <w:rPr>
          <w:rFonts w:ascii="Arial" w:hAnsi="Arial" w:cs="Arial"/>
          <w:b/>
          <w:bCs/>
          <w:sz w:val="22"/>
          <w:szCs w:val="22"/>
        </w:rPr>
        <w:t>What to Report to the Massachusetts Department of Public Health (MDPH)</w:t>
      </w:r>
    </w:p>
    <w:p w14:paraId="54E6A644" w14:textId="77777777" w:rsidR="004C3ED8" w:rsidRPr="00D61E89" w:rsidRDefault="004C3ED8" w:rsidP="004C3ED8">
      <w:pPr>
        <w:autoSpaceDE w:val="0"/>
        <w:autoSpaceDN w:val="0"/>
        <w:adjustRightInd w:val="0"/>
        <w:spacing w:line="360" w:lineRule="auto"/>
        <w:rPr>
          <w:rFonts w:ascii="Cambria" w:hAnsi="Cambria" w:cs="Garamond-BookCondensed"/>
          <w:sz w:val="22"/>
          <w:szCs w:val="22"/>
        </w:rPr>
      </w:pPr>
      <w:r w:rsidRPr="00D61E89">
        <w:rPr>
          <w:rFonts w:ascii="Cambria" w:hAnsi="Cambria" w:cs="Garamond-BookCondensed"/>
          <w:sz w:val="22"/>
          <w:szCs w:val="22"/>
        </w:rPr>
        <w:t>Report any of the following:</w:t>
      </w:r>
    </w:p>
    <w:p w14:paraId="2F856ECC" w14:textId="77777777" w:rsidR="004C3ED8" w:rsidRPr="00D61E89" w:rsidRDefault="004C3ED8" w:rsidP="004C3ED8">
      <w:pPr>
        <w:numPr>
          <w:ilvl w:val="0"/>
          <w:numId w:val="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Individual cases of clinically diagnosed chickenpox; or</w:t>
      </w:r>
    </w:p>
    <w:p w14:paraId="2CF857C2" w14:textId="77777777" w:rsidR="004C3ED8" w:rsidRPr="00D61E89" w:rsidRDefault="004C3ED8" w:rsidP="004C3ED8">
      <w:pPr>
        <w:numPr>
          <w:ilvl w:val="0"/>
          <w:numId w:val="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Laboratory evidence of infection with varicella-zoster virus (VZV), including:</w:t>
      </w:r>
    </w:p>
    <w:p w14:paraId="4E4B8A89" w14:textId="77777777" w:rsidR="004C3ED8" w:rsidRPr="00D61E89" w:rsidRDefault="004C3ED8" w:rsidP="004C3ED8">
      <w:pPr>
        <w:numPr>
          <w:ilvl w:val="1"/>
          <w:numId w:val="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Isolation of VZV from a clinical specimen; or</w:t>
      </w:r>
    </w:p>
    <w:p w14:paraId="430E9A89" w14:textId="77777777" w:rsidR="004C3ED8" w:rsidRPr="00D61E89" w:rsidRDefault="004C3ED8" w:rsidP="004C3ED8">
      <w:pPr>
        <w:numPr>
          <w:ilvl w:val="1"/>
          <w:numId w:val="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Demonstration of VZV in a clinical specimen by detection of antigen or nucleic acid (DFA or PCR); or</w:t>
      </w:r>
    </w:p>
    <w:p w14:paraId="224B61C6" w14:textId="77777777" w:rsidR="004C3ED8" w:rsidRPr="00D61E89" w:rsidRDefault="004C3ED8" w:rsidP="004C3ED8">
      <w:pPr>
        <w:numPr>
          <w:ilvl w:val="1"/>
          <w:numId w:val="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Significant rise in serum varicella IgG antibody level by any standard serologic assay (please report both acute and convalescent antibody titers); or</w:t>
      </w:r>
    </w:p>
    <w:p w14:paraId="40F2A0E7" w14:textId="77777777" w:rsidR="004C3ED8" w:rsidRPr="00D61E89" w:rsidRDefault="004C3ED8" w:rsidP="004C3ED8">
      <w:pPr>
        <w:numPr>
          <w:ilvl w:val="1"/>
          <w:numId w:val="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Positive serology test for varicella IgM; or</w:t>
      </w:r>
    </w:p>
    <w:p w14:paraId="37138BB2" w14:textId="77777777" w:rsidR="004C3ED8" w:rsidRPr="00D61E89" w:rsidRDefault="004C3ED8" w:rsidP="004C3ED8">
      <w:pPr>
        <w:numPr>
          <w:ilvl w:val="0"/>
          <w:numId w:val="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Unusual case(s)/clusters, as outlined in Section 3B; or</w:t>
      </w:r>
    </w:p>
    <w:p w14:paraId="03E2F3F9" w14:textId="77777777" w:rsidR="004C3ED8" w:rsidRPr="00D61E89" w:rsidRDefault="004C3ED8" w:rsidP="004C3ED8">
      <w:pPr>
        <w:numPr>
          <w:ilvl w:val="0"/>
          <w:numId w:val="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Deaths for which chickenpox was a contributing cause.</w:t>
      </w:r>
    </w:p>
    <w:p w14:paraId="34B655CC" w14:textId="77777777" w:rsidR="004C3ED8" w:rsidRPr="00D61E89" w:rsidRDefault="004C3ED8" w:rsidP="004C3ED8">
      <w:pPr>
        <w:autoSpaceDE w:val="0"/>
        <w:autoSpaceDN w:val="0"/>
        <w:adjustRightInd w:val="0"/>
        <w:ind w:left="360"/>
        <w:rPr>
          <w:rFonts w:ascii="Garamond-BookCondensed" w:hAnsi="Garamond-BookCondensed" w:cs="Garamond-BookCondensed"/>
          <w:sz w:val="20"/>
          <w:szCs w:val="20"/>
        </w:rPr>
      </w:pPr>
    </w:p>
    <w:p w14:paraId="520651BE" w14:textId="77777777" w:rsidR="004C3ED8" w:rsidRPr="00D61E89" w:rsidRDefault="004C3ED8" w:rsidP="004C3ED8">
      <w:pPr>
        <w:autoSpaceDE w:val="0"/>
        <w:autoSpaceDN w:val="0"/>
        <w:adjustRightInd w:val="0"/>
        <w:spacing w:line="360" w:lineRule="auto"/>
        <w:rPr>
          <w:rFonts w:ascii="Cambria" w:hAnsi="Cambria" w:cs="Garamond-BookCondensed"/>
          <w:i/>
          <w:sz w:val="22"/>
          <w:szCs w:val="22"/>
        </w:rPr>
      </w:pPr>
      <w:r w:rsidRPr="00D61E89">
        <w:rPr>
          <w:rFonts w:ascii="Cambria" w:hAnsi="Cambria" w:cs="Garamond-BookCondensed"/>
          <w:i/>
          <w:sz w:val="22"/>
          <w:szCs w:val="22"/>
        </w:rPr>
        <w:t>Note: See Sections 3B and 3C for information on how to report a case.</w:t>
      </w:r>
    </w:p>
    <w:p w14:paraId="577ACFAC" w14:textId="77777777" w:rsidR="006D78F0" w:rsidRPr="00D61E89" w:rsidRDefault="007E3CD3" w:rsidP="007E3CD3">
      <w:pPr>
        <w:autoSpaceDE w:val="0"/>
        <w:autoSpaceDN w:val="0"/>
        <w:adjustRightInd w:val="0"/>
        <w:spacing w:before="200" w:after="120"/>
        <w:rPr>
          <w:rFonts w:ascii="Arial" w:hAnsi="Arial" w:cs="Arial"/>
          <w:b/>
          <w:bCs/>
          <w:sz w:val="22"/>
          <w:szCs w:val="22"/>
        </w:rPr>
      </w:pPr>
      <w:r>
        <w:rPr>
          <w:rFonts w:ascii="Arial" w:hAnsi="Arial" w:cs="Arial"/>
          <w:b/>
          <w:bCs/>
          <w:sz w:val="22"/>
          <w:szCs w:val="22"/>
        </w:rPr>
        <w:t>B</w:t>
      </w:r>
      <w:r w:rsidRPr="00D61E89">
        <w:rPr>
          <w:rFonts w:ascii="Arial" w:hAnsi="Arial" w:cs="Arial"/>
          <w:b/>
          <w:bCs/>
          <w:sz w:val="22"/>
          <w:szCs w:val="22"/>
        </w:rPr>
        <w:t xml:space="preserve">. </w:t>
      </w:r>
      <w:r w:rsidR="006D78F0" w:rsidRPr="00D61E89">
        <w:rPr>
          <w:rFonts w:ascii="Arial" w:hAnsi="Arial" w:cs="Arial"/>
          <w:b/>
          <w:bCs/>
          <w:sz w:val="22"/>
          <w:szCs w:val="22"/>
        </w:rPr>
        <w:t>Laboratory Testing Services Available</w:t>
      </w:r>
    </w:p>
    <w:p w14:paraId="1D7DD7AC" w14:textId="77777777" w:rsidR="004C3ED8" w:rsidRDefault="004F2DEA" w:rsidP="004F2DEA">
      <w:pPr>
        <w:autoSpaceDE w:val="0"/>
        <w:autoSpaceDN w:val="0"/>
        <w:adjustRightInd w:val="0"/>
        <w:rPr>
          <w:rFonts w:ascii="Cambria" w:hAnsi="Cambria" w:cs="Garamond-BookCondensed"/>
          <w:sz w:val="22"/>
          <w:szCs w:val="22"/>
        </w:rPr>
      </w:pPr>
      <w:r w:rsidRPr="00E51E5D">
        <w:rPr>
          <w:rFonts w:ascii="Cambria" w:hAnsi="Cambria" w:cs="Garamond-BookCondensed"/>
          <w:bCs/>
          <w:sz w:val="22"/>
          <w:szCs w:val="22"/>
        </w:rPr>
        <w:t xml:space="preserve">Most testing is done at commercial and hospital laboratories. </w:t>
      </w:r>
      <w:r>
        <w:rPr>
          <w:rFonts w:ascii="Cambria" w:hAnsi="Cambria"/>
          <w:sz w:val="22"/>
          <w:szCs w:val="22"/>
        </w:rPr>
        <w:t>The</w:t>
      </w:r>
      <w:r w:rsidRPr="00D61E89">
        <w:rPr>
          <w:rFonts w:ascii="Cambria" w:hAnsi="Cambria"/>
          <w:sz w:val="22"/>
          <w:szCs w:val="22"/>
        </w:rPr>
        <w:t xml:space="preserve"> PCR assay is the most useful in terms of timeliness and sensitivity. </w:t>
      </w:r>
    </w:p>
    <w:p w14:paraId="7FC7A152" w14:textId="77777777" w:rsidR="007E3CD3" w:rsidRPr="00D61E89" w:rsidRDefault="007E3CD3" w:rsidP="00437D96">
      <w:pPr>
        <w:autoSpaceDE w:val="0"/>
        <w:autoSpaceDN w:val="0"/>
        <w:adjustRightInd w:val="0"/>
        <w:ind w:left="360"/>
        <w:rPr>
          <w:rFonts w:ascii="Cambria" w:hAnsi="Cambria" w:cs="Garamond-BookCondensed"/>
          <w:sz w:val="22"/>
          <w:szCs w:val="22"/>
        </w:rPr>
      </w:pPr>
    </w:p>
    <w:p w14:paraId="2884BDB4" w14:textId="77777777" w:rsidR="004D1A83" w:rsidRDefault="004C3ED8" w:rsidP="006A6D6D">
      <w:pPr>
        <w:rPr>
          <w:rFonts w:ascii="Cambria" w:hAnsi="Cambria"/>
          <w:sz w:val="22"/>
          <w:szCs w:val="22"/>
        </w:rPr>
      </w:pPr>
      <w:r w:rsidRPr="00D61E89">
        <w:rPr>
          <w:rFonts w:ascii="Cambria" w:hAnsi="Cambria"/>
          <w:sz w:val="22"/>
          <w:szCs w:val="22"/>
        </w:rPr>
        <w:t xml:space="preserve">The MDPH State </w:t>
      </w:r>
      <w:r w:rsidR="00E21B67" w:rsidRPr="00D61E89">
        <w:rPr>
          <w:rFonts w:ascii="Cambria" w:hAnsi="Cambria"/>
          <w:sz w:val="22"/>
          <w:szCs w:val="22"/>
        </w:rPr>
        <w:t xml:space="preserve">Public Health </w:t>
      </w:r>
      <w:r w:rsidRPr="00D61E89">
        <w:rPr>
          <w:rFonts w:ascii="Cambria" w:hAnsi="Cambria"/>
          <w:sz w:val="22"/>
          <w:szCs w:val="22"/>
        </w:rPr>
        <w:t>Laboratory Institute (</w:t>
      </w:r>
      <w:r w:rsidR="00E21B67" w:rsidRPr="00D61E89">
        <w:rPr>
          <w:rFonts w:ascii="Cambria" w:hAnsi="Cambria"/>
          <w:sz w:val="22"/>
          <w:szCs w:val="22"/>
        </w:rPr>
        <w:t>MA SPHL</w:t>
      </w:r>
      <w:r w:rsidRPr="00D61E89">
        <w:rPr>
          <w:rFonts w:ascii="Cambria" w:hAnsi="Cambria"/>
          <w:sz w:val="22"/>
          <w:szCs w:val="22"/>
        </w:rPr>
        <w:t xml:space="preserve">) provides </w:t>
      </w:r>
      <w:r w:rsidR="006A72E6">
        <w:rPr>
          <w:rFonts w:ascii="Cambria" w:hAnsi="Cambria"/>
          <w:sz w:val="22"/>
          <w:szCs w:val="22"/>
        </w:rPr>
        <w:t xml:space="preserve">very </w:t>
      </w:r>
      <w:r w:rsidRPr="009140C2">
        <w:rPr>
          <w:rFonts w:ascii="Cambria" w:hAnsi="Cambria"/>
          <w:sz w:val="22"/>
          <w:szCs w:val="22"/>
          <w:u w:val="single"/>
        </w:rPr>
        <w:t>limited</w:t>
      </w:r>
      <w:r w:rsidRPr="009140C2">
        <w:rPr>
          <w:rFonts w:ascii="Cambria" w:hAnsi="Cambria"/>
          <w:sz w:val="22"/>
          <w:szCs w:val="22"/>
        </w:rPr>
        <w:t xml:space="preserve"> </w:t>
      </w:r>
      <w:r w:rsidRPr="00D61E89">
        <w:rPr>
          <w:rFonts w:ascii="Cambria" w:hAnsi="Cambria"/>
          <w:sz w:val="22"/>
          <w:szCs w:val="22"/>
        </w:rPr>
        <w:t xml:space="preserve">testing services for </w:t>
      </w:r>
      <w:r w:rsidR="006A6D6D">
        <w:rPr>
          <w:rFonts w:ascii="Cambria" w:hAnsi="Cambria"/>
          <w:sz w:val="22"/>
          <w:szCs w:val="22"/>
        </w:rPr>
        <w:t>c</w:t>
      </w:r>
      <w:r w:rsidRPr="00D61E89">
        <w:rPr>
          <w:rFonts w:ascii="Cambria" w:hAnsi="Cambria"/>
          <w:sz w:val="22"/>
          <w:szCs w:val="22"/>
        </w:rPr>
        <w:t>hickenpox</w:t>
      </w:r>
      <w:r w:rsidR="00670651">
        <w:rPr>
          <w:rFonts w:ascii="Cambria" w:hAnsi="Cambria"/>
          <w:sz w:val="22"/>
          <w:szCs w:val="22"/>
        </w:rPr>
        <w:t>,</w:t>
      </w:r>
      <w:r w:rsidRPr="00D61E89">
        <w:rPr>
          <w:rFonts w:ascii="Cambria" w:hAnsi="Cambria"/>
          <w:sz w:val="22"/>
          <w:szCs w:val="22"/>
        </w:rPr>
        <w:t xml:space="preserve"> under special circumstances only. Prior approval from an MDPH epidemiologist at (617) 983-6800 is required for all chickenpox testing at</w:t>
      </w:r>
      <w:r w:rsidR="00D32E3B" w:rsidRPr="00D61E89">
        <w:rPr>
          <w:rFonts w:ascii="Cambria" w:hAnsi="Cambria"/>
          <w:sz w:val="22"/>
          <w:szCs w:val="22"/>
        </w:rPr>
        <w:t xml:space="preserve"> MA</w:t>
      </w:r>
      <w:r w:rsidR="00E21B67" w:rsidRPr="00D61E89">
        <w:rPr>
          <w:rFonts w:ascii="Cambria" w:hAnsi="Cambria"/>
          <w:sz w:val="22"/>
          <w:szCs w:val="22"/>
        </w:rPr>
        <w:t xml:space="preserve"> SPHL</w:t>
      </w:r>
      <w:r w:rsidRPr="00D61E89">
        <w:rPr>
          <w:rFonts w:ascii="Cambria" w:hAnsi="Cambria"/>
          <w:sz w:val="22"/>
          <w:szCs w:val="22"/>
        </w:rPr>
        <w:t>. The</w:t>
      </w:r>
      <w:r w:rsidR="00D32E3B" w:rsidRPr="00D61E89">
        <w:rPr>
          <w:rFonts w:ascii="Cambria" w:hAnsi="Cambria"/>
          <w:sz w:val="22"/>
          <w:szCs w:val="22"/>
        </w:rPr>
        <w:t xml:space="preserve"> MA</w:t>
      </w:r>
      <w:r w:rsidR="00E21B67" w:rsidRPr="00D61E89">
        <w:rPr>
          <w:rFonts w:ascii="Cambria" w:hAnsi="Cambria"/>
          <w:sz w:val="22"/>
          <w:szCs w:val="22"/>
        </w:rPr>
        <w:t xml:space="preserve"> SPHL</w:t>
      </w:r>
      <w:r w:rsidRPr="00D61E89">
        <w:rPr>
          <w:rFonts w:ascii="Cambria" w:hAnsi="Cambria"/>
          <w:sz w:val="22"/>
          <w:szCs w:val="22"/>
        </w:rPr>
        <w:t xml:space="preserve"> can also perform rapid and conventional viral culture(s)</w:t>
      </w:r>
      <w:r w:rsidR="00670651">
        <w:rPr>
          <w:rFonts w:ascii="Cambria" w:hAnsi="Cambria"/>
          <w:sz w:val="22"/>
          <w:szCs w:val="22"/>
        </w:rPr>
        <w:t>,</w:t>
      </w:r>
      <w:r w:rsidRPr="00D61E89">
        <w:rPr>
          <w:rFonts w:ascii="Cambria" w:hAnsi="Cambria"/>
          <w:sz w:val="22"/>
          <w:szCs w:val="22"/>
        </w:rPr>
        <w:t xml:space="preserve"> if necessary</w:t>
      </w:r>
      <w:r w:rsidRPr="004F2DEA">
        <w:rPr>
          <w:rFonts w:ascii="Cambria" w:hAnsi="Cambria"/>
          <w:sz w:val="22"/>
          <w:szCs w:val="22"/>
        </w:rPr>
        <w:t>.</w:t>
      </w:r>
      <w:r w:rsidR="00F70CEE" w:rsidRPr="004F2DEA">
        <w:rPr>
          <w:rFonts w:ascii="Cambria" w:hAnsi="Cambria"/>
          <w:sz w:val="22"/>
          <w:szCs w:val="22"/>
        </w:rPr>
        <w:t xml:space="preserve"> </w:t>
      </w:r>
    </w:p>
    <w:p w14:paraId="076E600F" w14:textId="77777777" w:rsidR="004D1A83" w:rsidRDefault="004D1A83" w:rsidP="006A6D6D">
      <w:pPr>
        <w:rPr>
          <w:rFonts w:ascii="Cambria" w:hAnsi="Cambria"/>
          <w:sz w:val="22"/>
          <w:szCs w:val="22"/>
        </w:rPr>
      </w:pPr>
    </w:p>
    <w:p w14:paraId="3067E5BC" w14:textId="77777777" w:rsidR="006A6D6D" w:rsidRPr="00D61E89" w:rsidRDefault="009140C2" w:rsidP="006A6D6D">
      <w:pPr>
        <w:rPr>
          <w:rFonts w:ascii="Cambria" w:hAnsi="Cambria"/>
          <w:sz w:val="20"/>
          <w:szCs w:val="20"/>
          <w:lang w:val="en"/>
        </w:rPr>
      </w:pPr>
      <w:r w:rsidRPr="004F2DEA">
        <w:rPr>
          <w:rFonts w:ascii="Cambria" w:hAnsi="Cambria"/>
          <w:sz w:val="22"/>
          <w:szCs w:val="22"/>
        </w:rPr>
        <w:t>V</w:t>
      </w:r>
      <w:r w:rsidR="00670651" w:rsidRPr="004F2DEA">
        <w:rPr>
          <w:rFonts w:ascii="Cambria" w:hAnsi="Cambria"/>
          <w:sz w:val="22"/>
          <w:szCs w:val="22"/>
        </w:rPr>
        <w:t xml:space="preserve">aricella </w:t>
      </w:r>
      <w:r w:rsidR="004C3ED8" w:rsidRPr="004F2DEA">
        <w:rPr>
          <w:rFonts w:ascii="Cambria" w:hAnsi="Cambria"/>
          <w:sz w:val="22"/>
          <w:szCs w:val="22"/>
        </w:rPr>
        <w:t>IgM</w:t>
      </w:r>
      <w:r w:rsidR="00670651" w:rsidRPr="004F2DEA">
        <w:rPr>
          <w:rFonts w:ascii="Cambria" w:hAnsi="Cambria"/>
          <w:sz w:val="22"/>
          <w:szCs w:val="22"/>
        </w:rPr>
        <w:t xml:space="preserve"> antibody</w:t>
      </w:r>
      <w:r w:rsidR="004C3ED8" w:rsidRPr="004F2DEA">
        <w:rPr>
          <w:rFonts w:ascii="Cambria" w:hAnsi="Cambria"/>
          <w:sz w:val="22"/>
          <w:szCs w:val="22"/>
        </w:rPr>
        <w:t xml:space="preserve"> testing is </w:t>
      </w:r>
      <w:r w:rsidRPr="004F2DEA">
        <w:rPr>
          <w:rFonts w:ascii="Cambria" w:hAnsi="Cambria"/>
          <w:sz w:val="22"/>
          <w:szCs w:val="22"/>
        </w:rPr>
        <w:t>“inherently prone to poor specificity” (CDC</w:t>
      </w:r>
      <w:r w:rsidR="000764E8" w:rsidRPr="004F2DEA">
        <w:rPr>
          <w:rFonts w:ascii="Cambria" w:hAnsi="Cambria"/>
          <w:sz w:val="22"/>
          <w:szCs w:val="22"/>
        </w:rPr>
        <w:t>, 2021) and is less sensitive than PCR testing of skin lesions.</w:t>
      </w:r>
      <w:r w:rsidR="000764E8">
        <w:rPr>
          <w:rFonts w:ascii="Cambria" w:hAnsi="Cambria"/>
          <w:sz w:val="22"/>
          <w:szCs w:val="22"/>
        </w:rPr>
        <w:t xml:space="preserve"> It</w:t>
      </w:r>
      <w:r w:rsidR="004C3ED8" w:rsidRPr="00D61E89">
        <w:rPr>
          <w:rFonts w:ascii="Cambria" w:hAnsi="Cambria"/>
          <w:sz w:val="22"/>
          <w:szCs w:val="22"/>
        </w:rPr>
        <w:t xml:space="preserve"> is not performed at the</w:t>
      </w:r>
      <w:r w:rsidR="00D32E3B" w:rsidRPr="00D61E89">
        <w:rPr>
          <w:rFonts w:ascii="Cambria" w:hAnsi="Cambria"/>
          <w:sz w:val="22"/>
          <w:szCs w:val="22"/>
        </w:rPr>
        <w:t xml:space="preserve"> MA</w:t>
      </w:r>
      <w:r w:rsidR="00E21B67" w:rsidRPr="00D61E89">
        <w:rPr>
          <w:rFonts w:ascii="Cambria" w:hAnsi="Cambria"/>
          <w:sz w:val="22"/>
          <w:szCs w:val="22"/>
        </w:rPr>
        <w:t xml:space="preserve"> SPHL</w:t>
      </w:r>
      <w:r w:rsidR="004C3ED8" w:rsidRPr="00D61E89">
        <w:rPr>
          <w:rFonts w:ascii="Cambria" w:hAnsi="Cambria"/>
          <w:sz w:val="22"/>
          <w:szCs w:val="22"/>
        </w:rPr>
        <w:t>.</w:t>
      </w:r>
      <w:r w:rsidR="0001255C">
        <w:rPr>
          <w:rFonts w:ascii="Cambria" w:hAnsi="Cambria"/>
          <w:sz w:val="22"/>
          <w:szCs w:val="22"/>
        </w:rPr>
        <w:t xml:space="preserve"> For more information about laboratory testing for varicella</w:t>
      </w:r>
      <w:r w:rsidR="004F2DEA">
        <w:rPr>
          <w:rFonts w:ascii="Cambria" w:hAnsi="Cambria"/>
          <w:sz w:val="22"/>
          <w:szCs w:val="22"/>
        </w:rPr>
        <w:t xml:space="preserve"> at the MA SPHL</w:t>
      </w:r>
      <w:r w:rsidR="0001255C">
        <w:rPr>
          <w:rFonts w:ascii="Cambria" w:hAnsi="Cambria"/>
          <w:sz w:val="22"/>
          <w:szCs w:val="22"/>
        </w:rPr>
        <w:t xml:space="preserve">, please go to: </w:t>
      </w:r>
      <w:hyperlink r:id="rId13" w:history="1">
        <w:r w:rsidR="008A1D4B">
          <w:rPr>
            <w:rStyle w:val="Hyperlink"/>
            <w:rFonts w:ascii="Cambria" w:hAnsi="Cambria" w:cs="Arial"/>
            <w:spacing w:val="15"/>
            <w:sz w:val="22"/>
            <w:szCs w:val="22"/>
            <w:lang w:val="en"/>
          </w:rPr>
          <w:t>State Public Health Laboratory Services</w:t>
        </w:r>
      </w:hyperlink>
      <w:r w:rsidR="006C1798">
        <w:rPr>
          <w:rFonts w:ascii="Cambria" w:hAnsi="Cambria" w:cs="Arial"/>
          <w:spacing w:val="15"/>
          <w:sz w:val="22"/>
          <w:szCs w:val="22"/>
          <w:lang w:val="en"/>
        </w:rPr>
        <w:t>.</w:t>
      </w:r>
    </w:p>
    <w:p w14:paraId="1CE51F50" w14:textId="77777777" w:rsidR="006D78F0" w:rsidRPr="00D61E89" w:rsidRDefault="006D78F0" w:rsidP="008932DE">
      <w:pPr>
        <w:pBdr>
          <w:bottom w:val="single" w:sz="18" w:space="1" w:color="BFBFBF"/>
        </w:pBdr>
        <w:autoSpaceDE w:val="0"/>
        <w:autoSpaceDN w:val="0"/>
        <w:adjustRightInd w:val="0"/>
        <w:spacing w:before="200"/>
        <w:ind w:right="-360" w:hanging="360"/>
        <w:rPr>
          <w:rFonts w:ascii="Arial" w:hAnsi="Arial" w:cs="Arial"/>
          <w:b/>
          <w:bCs/>
          <w:color w:val="17365D"/>
          <w:sz w:val="28"/>
          <w:szCs w:val="28"/>
        </w:rPr>
      </w:pPr>
      <w:r w:rsidRPr="00D61E89">
        <w:rPr>
          <w:rFonts w:ascii="Arial" w:hAnsi="Arial" w:cs="Arial"/>
          <w:b/>
          <w:color w:val="17365D"/>
        </w:rPr>
        <w:t>Section 3</w:t>
      </w:r>
    </w:p>
    <w:p w14:paraId="1CEEF484" w14:textId="77777777" w:rsidR="006D78F0" w:rsidRPr="00D61E89" w:rsidRDefault="006D78F0" w:rsidP="006D78F0">
      <w:pPr>
        <w:autoSpaceDE w:val="0"/>
        <w:autoSpaceDN w:val="0"/>
        <w:adjustRightInd w:val="0"/>
        <w:rPr>
          <w:rFonts w:ascii="Arial" w:hAnsi="Arial" w:cs="Arial"/>
          <w:b/>
          <w:bCs/>
          <w:color w:val="4F81BD"/>
          <w:sz w:val="28"/>
          <w:szCs w:val="28"/>
        </w:rPr>
      </w:pPr>
      <w:r w:rsidRPr="00D61E89">
        <w:rPr>
          <w:rFonts w:ascii="Arial" w:hAnsi="Arial" w:cs="Arial"/>
          <w:b/>
          <w:bCs/>
          <w:color w:val="4F81BD"/>
          <w:sz w:val="28"/>
          <w:szCs w:val="28"/>
        </w:rPr>
        <w:t>REPORTING RESPONSIBILITIES AND CASE INVESTIGATION</w:t>
      </w:r>
    </w:p>
    <w:p w14:paraId="16272520" w14:textId="77777777" w:rsidR="004C3ED8" w:rsidRPr="00D61E89" w:rsidRDefault="007E3CD3" w:rsidP="007E3CD3">
      <w:pPr>
        <w:autoSpaceDE w:val="0"/>
        <w:autoSpaceDN w:val="0"/>
        <w:adjustRightInd w:val="0"/>
        <w:spacing w:before="200" w:after="80"/>
        <w:rPr>
          <w:rFonts w:ascii="Arial" w:hAnsi="Arial" w:cs="Arial"/>
          <w:b/>
          <w:bCs/>
          <w:sz w:val="22"/>
          <w:szCs w:val="22"/>
        </w:rPr>
      </w:pPr>
      <w:r w:rsidRPr="00D61E89">
        <w:rPr>
          <w:rFonts w:ascii="Arial" w:hAnsi="Arial" w:cs="Arial"/>
          <w:b/>
          <w:bCs/>
          <w:sz w:val="22"/>
          <w:szCs w:val="22"/>
        </w:rPr>
        <w:t xml:space="preserve">A. </w:t>
      </w:r>
      <w:r w:rsidR="006D78F0" w:rsidRPr="00D61E89">
        <w:rPr>
          <w:rFonts w:ascii="Arial" w:hAnsi="Arial" w:cs="Arial"/>
          <w:b/>
          <w:bCs/>
          <w:sz w:val="22"/>
          <w:szCs w:val="22"/>
        </w:rPr>
        <w:t>Purpose of Surveillance and Reporting</w:t>
      </w:r>
    </w:p>
    <w:p w14:paraId="76C806CD" w14:textId="77777777" w:rsidR="004C3ED8" w:rsidRPr="00D61E89" w:rsidRDefault="004C3ED8" w:rsidP="004C3ED8">
      <w:pPr>
        <w:numPr>
          <w:ilvl w:val="0"/>
          <w:numId w:val="11"/>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To monitor the impact of vaccination on age-specific incidence and on severity of chickenpox.</w:t>
      </w:r>
    </w:p>
    <w:p w14:paraId="72B9DFEE" w14:textId="77777777" w:rsidR="004C3ED8" w:rsidRPr="00D61E89" w:rsidRDefault="004C3ED8" w:rsidP="004C3ED8">
      <w:pPr>
        <w:numPr>
          <w:ilvl w:val="0"/>
          <w:numId w:val="11"/>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To evaluate vaccine </w:t>
      </w:r>
      <w:r w:rsidR="00670651">
        <w:rPr>
          <w:rFonts w:ascii="Cambria" w:hAnsi="Cambria" w:cs="Garamond-BookCondensed"/>
          <w:sz w:val="22"/>
          <w:szCs w:val="22"/>
        </w:rPr>
        <w:t>effectiveness</w:t>
      </w:r>
      <w:r w:rsidR="00670651" w:rsidRPr="00D61E89">
        <w:rPr>
          <w:rFonts w:ascii="Cambria" w:hAnsi="Cambria" w:cs="Garamond-BookCondensed"/>
          <w:sz w:val="22"/>
          <w:szCs w:val="22"/>
        </w:rPr>
        <w:t xml:space="preserve"> </w:t>
      </w:r>
      <w:r w:rsidRPr="00D61E89">
        <w:rPr>
          <w:rFonts w:ascii="Cambria" w:hAnsi="Cambria" w:cs="Garamond-BookCondensed"/>
          <w:sz w:val="22"/>
          <w:szCs w:val="22"/>
        </w:rPr>
        <w:t>under conditions of routine use and to track instances of vaccine failure.</w:t>
      </w:r>
    </w:p>
    <w:p w14:paraId="5FD0983B" w14:textId="77777777" w:rsidR="004C3ED8" w:rsidRPr="00D61E89" w:rsidRDefault="004C3ED8" w:rsidP="004C3ED8">
      <w:pPr>
        <w:numPr>
          <w:ilvl w:val="0"/>
          <w:numId w:val="11"/>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To identify groups and areas in which risk of disease is highest so prevention and control efforts can be focused.</w:t>
      </w:r>
    </w:p>
    <w:p w14:paraId="606D097D" w14:textId="77777777" w:rsidR="004C3ED8" w:rsidRPr="00D61E89" w:rsidRDefault="004C3ED8" w:rsidP="004C3ED8">
      <w:pPr>
        <w:numPr>
          <w:ilvl w:val="0"/>
          <w:numId w:val="11"/>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To track and minimize the occurrence of complications, such as invasive GAS infection.</w:t>
      </w:r>
    </w:p>
    <w:p w14:paraId="5211FC7E" w14:textId="77777777" w:rsidR="006D78F0" w:rsidRPr="00D61E89" w:rsidRDefault="006D78F0" w:rsidP="006D78F0">
      <w:pPr>
        <w:autoSpaceDE w:val="0"/>
        <w:autoSpaceDN w:val="0"/>
        <w:adjustRightInd w:val="0"/>
        <w:spacing w:before="240" w:after="120"/>
        <w:rPr>
          <w:rFonts w:ascii="Arial" w:hAnsi="Arial" w:cs="Arial"/>
          <w:b/>
          <w:bCs/>
          <w:sz w:val="22"/>
          <w:szCs w:val="22"/>
        </w:rPr>
      </w:pPr>
      <w:bookmarkStart w:id="5" w:name="_Hlk138921106"/>
      <w:r w:rsidRPr="00D61E89">
        <w:rPr>
          <w:rFonts w:ascii="Arial" w:hAnsi="Arial" w:cs="Arial"/>
          <w:b/>
          <w:bCs/>
          <w:sz w:val="22"/>
          <w:szCs w:val="22"/>
        </w:rPr>
        <w:t>B. Laboratory and Health Care Provider Reporting Requirements</w:t>
      </w:r>
    </w:p>
    <w:p w14:paraId="17103FD3" w14:textId="77777777" w:rsidR="004C3ED8"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b/>
          <w:sz w:val="22"/>
          <w:szCs w:val="22"/>
        </w:rPr>
        <w:t>Healthcare providers</w:t>
      </w:r>
      <w:r w:rsidRPr="00D61E89">
        <w:rPr>
          <w:rFonts w:ascii="Cambria" w:hAnsi="Cambria" w:cs="Garamond-BookCondensed"/>
          <w:sz w:val="22"/>
          <w:szCs w:val="22"/>
        </w:rPr>
        <w:t xml:space="preserve"> and other health professionals who identify a case of chickenpox, as defined by the reporting criteria in Section 2A</w:t>
      </w:r>
      <w:r w:rsidRPr="006F7BCF">
        <w:rPr>
          <w:rFonts w:ascii="Cambria" w:hAnsi="Cambria" w:cs="Garamond-BookCondensed"/>
          <w:sz w:val="22"/>
          <w:szCs w:val="22"/>
        </w:rPr>
        <w:t xml:space="preserve">, </w:t>
      </w:r>
      <w:r w:rsidRPr="004F2DEA">
        <w:rPr>
          <w:rFonts w:ascii="Cambria" w:hAnsi="Cambria" w:cs="Garamond-BookCondensed"/>
          <w:sz w:val="22"/>
          <w:szCs w:val="22"/>
        </w:rPr>
        <w:t xml:space="preserve">should report the case by completing the </w:t>
      </w:r>
      <w:r w:rsidR="000A363B" w:rsidRPr="004F2DEA">
        <w:rPr>
          <w:rFonts w:ascii="Cambria" w:hAnsi="Cambria" w:cs="Garamond-BookCondensed"/>
          <w:sz w:val="22"/>
          <w:szCs w:val="22"/>
        </w:rPr>
        <w:t xml:space="preserve">web-based </w:t>
      </w:r>
      <w:r w:rsidRPr="004F2DEA">
        <w:rPr>
          <w:rFonts w:ascii="Cambria" w:hAnsi="Cambria" w:cs="Garamond-BookCondensed"/>
          <w:sz w:val="22"/>
          <w:szCs w:val="22"/>
        </w:rPr>
        <w:t xml:space="preserve">MDPH </w:t>
      </w:r>
      <w:r w:rsidRPr="004F2DEA">
        <w:rPr>
          <w:rFonts w:ascii="Cambria" w:hAnsi="Cambria" w:cs="Garamond-BookCondensed"/>
          <w:i/>
          <w:sz w:val="22"/>
          <w:szCs w:val="22"/>
        </w:rPr>
        <w:t>Varicella (</w:t>
      </w:r>
      <w:r w:rsidR="001774AF" w:rsidRPr="004F2DEA">
        <w:rPr>
          <w:rFonts w:ascii="Cambria" w:hAnsi="Cambria" w:cs="Garamond-BookCondensed"/>
          <w:i/>
          <w:sz w:val="22"/>
          <w:szCs w:val="22"/>
        </w:rPr>
        <w:t>C</w:t>
      </w:r>
      <w:r w:rsidRPr="004F2DEA">
        <w:rPr>
          <w:rFonts w:ascii="Cambria" w:hAnsi="Cambria" w:cs="Garamond-BookCondensed"/>
          <w:i/>
          <w:sz w:val="22"/>
          <w:szCs w:val="22"/>
        </w:rPr>
        <w:t>hickenpox)</w:t>
      </w:r>
      <w:r w:rsidR="003B089A" w:rsidRPr="004F2DEA">
        <w:rPr>
          <w:rFonts w:ascii="Cambria" w:hAnsi="Cambria" w:cs="Garamond-BookCondensed"/>
          <w:i/>
          <w:sz w:val="22"/>
          <w:szCs w:val="22"/>
        </w:rPr>
        <w:t xml:space="preserve"> </w:t>
      </w:r>
      <w:r w:rsidR="000A363B" w:rsidRPr="004F2DEA">
        <w:rPr>
          <w:rFonts w:ascii="Cambria" w:hAnsi="Cambria" w:cs="Garamond-BookCondensed"/>
          <w:i/>
          <w:sz w:val="22"/>
          <w:szCs w:val="22"/>
        </w:rPr>
        <w:t xml:space="preserve">reporting form online at </w:t>
      </w:r>
      <w:hyperlink r:id="rId14" w:history="1">
        <w:r w:rsidR="000A363B" w:rsidRPr="004F2DEA">
          <w:rPr>
            <w:rStyle w:val="Hyperlink"/>
            <w:rFonts w:ascii="Cambria" w:hAnsi="Cambria" w:cs="Garamond-BookCondensed"/>
            <w:i/>
            <w:sz w:val="22"/>
            <w:szCs w:val="22"/>
          </w:rPr>
          <w:t>https://infectious-disease-reporting.dph.mass.gov/pages/CaseReportForms</w:t>
        </w:r>
      </w:hyperlink>
      <w:r w:rsidR="000A363B" w:rsidRPr="004F2DEA">
        <w:rPr>
          <w:rFonts w:ascii="Cambria" w:hAnsi="Cambria" w:cs="Garamond-BookCondensed"/>
          <w:i/>
          <w:sz w:val="22"/>
          <w:szCs w:val="22"/>
        </w:rPr>
        <w:t>.</w:t>
      </w:r>
      <w:r w:rsidR="000A363B" w:rsidRPr="006F7BCF">
        <w:rPr>
          <w:rFonts w:ascii="Cambria" w:hAnsi="Cambria" w:cs="Garamond-BookCondensed"/>
          <w:i/>
          <w:sz w:val="22"/>
          <w:szCs w:val="22"/>
        </w:rPr>
        <w:t xml:space="preserve"> </w:t>
      </w:r>
      <w:r w:rsidRPr="006F7BCF">
        <w:rPr>
          <w:rFonts w:ascii="Cambria" w:hAnsi="Cambria" w:cs="Garamond-BookCondensed"/>
          <w:sz w:val="22"/>
          <w:szCs w:val="22"/>
        </w:rPr>
        <w:t>MDPH</w:t>
      </w:r>
      <w:r w:rsidRPr="00D61E89">
        <w:rPr>
          <w:rFonts w:ascii="Cambria" w:hAnsi="Cambria" w:cs="Garamond-BookCondensed"/>
          <w:sz w:val="22"/>
          <w:szCs w:val="22"/>
        </w:rPr>
        <w:t xml:space="preserve"> will then notify the appropriate LBOH as described in </w:t>
      </w:r>
      <w:r w:rsidR="00E21B67" w:rsidRPr="00D61E89">
        <w:rPr>
          <w:rFonts w:ascii="Cambria" w:hAnsi="Cambria" w:cs="Garamond-BookCondensed"/>
          <w:sz w:val="22"/>
          <w:szCs w:val="22"/>
        </w:rPr>
        <w:t>S</w:t>
      </w:r>
      <w:r w:rsidRPr="00D61E89">
        <w:rPr>
          <w:rFonts w:ascii="Cambria" w:hAnsi="Cambria" w:cs="Garamond-BookCondensed"/>
          <w:sz w:val="22"/>
          <w:szCs w:val="22"/>
        </w:rPr>
        <w:t>ection C below.</w:t>
      </w:r>
      <w:r w:rsidR="00F70CEE" w:rsidRPr="00D61E89">
        <w:rPr>
          <w:rFonts w:ascii="Cambria" w:hAnsi="Cambria" w:cs="Garamond-BookCondensed"/>
          <w:sz w:val="22"/>
          <w:szCs w:val="22"/>
        </w:rPr>
        <w:t xml:space="preserve"> </w:t>
      </w:r>
      <w:r w:rsidR="000A363B">
        <w:rPr>
          <w:rFonts w:ascii="Cambria" w:hAnsi="Cambria" w:cs="Garamond-BookCondensed"/>
          <w:sz w:val="22"/>
          <w:szCs w:val="22"/>
        </w:rPr>
        <w:t xml:space="preserve"> </w:t>
      </w:r>
    </w:p>
    <w:p w14:paraId="656D3128" w14:textId="77777777" w:rsidR="000A363B" w:rsidRDefault="000A363B" w:rsidP="004C3ED8">
      <w:pPr>
        <w:autoSpaceDE w:val="0"/>
        <w:autoSpaceDN w:val="0"/>
        <w:adjustRightInd w:val="0"/>
        <w:rPr>
          <w:rFonts w:ascii="Cambria" w:hAnsi="Cambria" w:cs="Garamond-BookCondensed"/>
          <w:b/>
          <w:sz w:val="22"/>
          <w:szCs w:val="22"/>
        </w:rPr>
      </w:pPr>
    </w:p>
    <w:p w14:paraId="2903AB84" w14:textId="77777777" w:rsidR="004C3ED8" w:rsidRPr="004F2DEA" w:rsidRDefault="004C3ED8" w:rsidP="004C3ED8">
      <w:pPr>
        <w:autoSpaceDE w:val="0"/>
        <w:autoSpaceDN w:val="0"/>
        <w:adjustRightInd w:val="0"/>
        <w:rPr>
          <w:rFonts w:ascii="Cambria" w:hAnsi="Cambria" w:cs="Garamond-BookCondensed"/>
          <w:bCs/>
          <w:sz w:val="22"/>
          <w:szCs w:val="22"/>
        </w:rPr>
      </w:pPr>
      <w:r w:rsidRPr="004F2DEA">
        <w:rPr>
          <w:rFonts w:ascii="Cambria" w:hAnsi="Cambria" w:cs="Garamond-BookCondensed"/>
          <w:bCs/>
          <w:sz w:val="22"/>
          <w:szCs w:val="22"/>
        </w:rPr>
        <w:t xml:space="preserve">In addition, healthcare providers </w:t>
      </w:r>
      <w:r w:rsidR="00670651" w:rsidRPr="004F2DEA">
        <w:rPr>
          <w:rFonts w:ascii="Cambria" w:hAnsi="Cambria" w:cs="Garamond-BookCondensed"/>
          <w:bCs/>
          <w:sz w:val="22"/>
          <w:szCs w:val="22"/>
        </w:rPr>
        <w:t xml:space="preserve">and others </w:t>
      </w:r>
      <w:r w:rsidRPr="004F2DEA">
        <w:rPr>
          <w:rFonts w:ascii="Cambria" w:hAnsi="Cambria" w:cs="Garamond-BookCondensed"/>
          <w:bCs/>
          <w:sz w:val="22"/>
          <w:szCs w:val="22"/>
        </w:rPr>
        <w:t>should report any unusual cases, outbreaks, or cases in high</w:t>
      </w:r>
      <w:r w:rsidR="00C4374D">
        <w:rPr>
          <w:rFonts w:ascii="Cambria" w:hAnsi="Cambria" w:cs="Garamond-BookCondensed"/>
          <w:bCs/>
          <w:sz w:val="22"/>
          <w:szCs w:val="22"/>
        </w:rPr>
        <w:t>-</w:t>
      </w:r>
      <w:r w:rsidRPr="004F2DEA">
        <w:rPr>
          <w:rFonts w:ascii="Cambria" w:hAnsi="Cambria" w:cs="Garamond-BookCondensed"/>
          <w:bCs/>
          <w:sz w:val="22"/>
          <w:szCs w:val="22"/>
        </w:rPr>
        <w:t xml:space="preserve">risk settings or among high-risk populations immediately by telephone to the LBOH and to the MDPH Division of Epidemiology at (617) 983-6800, so that epidemiologists can collect additional information and assist with </w:t>
      </w:r>
      <w:r w:rsidR="00670651" w:rsidRPr="004F2DEA">
        <w:rPr>
          <w:rFonts w:ascii="Cambria" w:hAnsi="Cambria" w:cs="Garamond-BookCondensed"/>
          <w:bCs/>
          <w:sz w:val="22"/>
          <w:szCs w:val="22"/>
        </w:rPr>
        <w:t xml:space="preserve">investigation and </w:t>
      </w:r>
      <w:r w:rsidRPr="004F2DEA">
        <w:rPr>
          <w:rFonts w:ascii="Cambria" w:hAnsi="Cambria" w:cs="Garamond-BookCondensed"/>
          <w:bCs/>
          <w:sz w:val="22"/>
          <w:szCs w:val="22"/>
        </w:rPr>
        <w:t>control measures</w:t>
      </w:r>
      <w:r w:rsidR="00670651" w:rsidRPr="004F2DEA">
        <w:rPr>
          <w:rFonts w:ascii="Cambria" w:hAnsi="Cambria" w:cs="Garamond-BookCondensed"/>
          <w:bCs/>
          <w:sz w:val="22"/>
          <w:szCs w:val="22"/>
        </w:rPr>
        <w:t>,</w:t>
      </w:r>
      <w:r w:rsidRPr="004F2DEA">
        <w:rPr>
          <w:rFonts w:ascii="Cambria" w:hAnsi="Cambria" w:cs="Garamond-BookCondensed"/>
          <w:bCs/>
          <w:sz w:val="22"/>
          <w:szCs w:val="22"/>
        </w:rPr>
        <w:t xml:space="preserve"> as needed.</w:t>
      </w:r>
      <w:r w:rsidR="007A4C70" w:rsidRPr="004F2DEA">
        <w:rPr>
          <w:rFonts w:ascii="Cambria" w:hAnsi="Cambria" w:cs="Garamond-BookCondensed"/>
          <w:bCs/>
          <w:sz w:val="22"/>
          <w:szCs w:val="22"/>
        </w:rPr>
        <w:t xml:space="preserve"> </w:t>
      </w:r>
    </w:p>
    <w:p w14:paraId="0CD7B495" w14:textId="77777777" w:rsidR="004C3ED8" w:rsidRPr="00D61E89" w:rsidRDefault="00F70CEE" w:rsidP="004C3ED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 </w:t>
      </w:r>
    </w:p>
    <w:bookmarkEnd w:id="5"/>
    <w:p w14:paraId="4A37727F" w14:textId="77777777" w:rsidR="004C3ED8" w:rsidRPr="00D61E89" w:rsidRDefault="004F2DEA" w:rsidP="004C3ED8">
      <w:pPr>
        <w:autoSpaceDE w:val="0"/>
        <w:autoSpaceDN w:val="0"/>
        <w:adjustRightInd w:val="0"/>
        <w:rPr>
          <w:rFonts w:ascii="Cambria" w:hAnsi="Cambria" w:cs="Garamond-BookCondensed"/>
          <w:sz w:val="22"/>
          <w:szCs w:val="22"/>
        </w:rPr>
      </w:pPr>
      <w:r>
        <w:rPr>
          <w:rFonts w:ascii="Cambria" w:hAnsi="Cambria" w:cs="Garamond-BookCondensed"/>
          <w:sz w:val="22"/>
          <w:szCs w:val="22"/>
        </w:rPr>
        <w:br w:type="page"/>
      </w:r>
      <w:r w:rsidR="004C3ED8" w:rsidRPr="00D61E89">
        <w:rPr>
          <w:rFonts w:ascii="Cambria" w:hAnsi="Cambria" w:cs="Garamond-BookCondensed"/>
          <w:sz w:val="22"/>
          <w:szCs w:val="22"/>
        </w:rPr>
        <w:t xml:space="preserve">Examples of such cases include: </w:t>
      </w:r>
    </w:p>
    <w:p w14:paraId="4C305F15" w14:textId="77777777" w:rsidR="004C3ED8" w:rsidRPr="00D61E89" w:rsidRDefault="004C3ED8" w:rsidP="00820495">
      <w:pPr>
        <w:numPr>
          <w:ilvl w:val="0"/>
          <w:numId w:val="12"/>
        </w:numPr>
        <w:autoSpaceDE w:val="0"/>
        <w:autoSpaceDN w:val="0"/>
        <w:adjustRightInd w:val="0"/>
        <w:spacing w:before="80"/>
        <w:rPr>
          <w:rFonts w:ascii="Cambria" w:hAnsi="Cambria" w:cs="Garamond-BookCondensed"/>
          <w:sz w:val="22"/>
          <w:szCs w:val="22"/>
        </w:rPr>
      </w:pPr>
      <w:r w:rsidRPr="00D61E89">
        <w:rPr>
          <w:rFonts w:ascii="Cambria" w:hAnsi="Cambria" w:cs="Garamond-BookCondensed"/>
          <w:sz w:val="22"/>
          <w:szCs w:val="22"/>
        </w:rPr>
        <w:t xml:space="preserve">Unusual presentation or severe complications (including invasive GAS infection, pneumonia, hospitalization) </w:t>
      </w:r>
    </w:p>
    <w:p w14:paraId="76BC8683" w14:textId="77777777" w:rsidR="004C3ED8" w:rsidRPr="00D61E89" w:rsidRDefault="004C3ED8" w:rsidP="004C3ED8">
      <w:pPr>
        <w:numPr>
          <w:ilvl w:val="0"/>
          <w:numId w:val="12"/>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Deaths for which chickenpox was a contributing cause</w:t>
      </w:r>
    </w:p>
    <w:p w14:paraId="39814048" w14:textId="77777777" w:rsidR="004C3ED8" w:rsidRPr="00D61E89" w:rsidRDefault="004C3ED8" w:rsidP="004C3ED8">
      <w:pPr>
        <w:numPr>
          <w:ilvl w:val="0"/>
          <w:numId w:val="12"/>
        </w:numPr>
        <w:autoSpaceDE w:val="0"/>
        <w:autoSpaceDN w:val="0"/>
        <w:adjustRightInd w:val="0"/>
        <w:rPr>
          <w:rFonts w:ascii="Cambria" w:hAnsi="Cambria" w:cs="Garamond-BookCondensed"/>
          <w:sz w:val="22"/>
          <w:szCs w:val="22"/>
        </w:rPr>
      </w:pPr>
      <w:bookmarkStart w:id="6" w:name="_Hlk113524132"/>
      <w:r w:rsidRPr="00D61E89">
        <w:rPr>
          <w:rFonts w:ascii="Cambria" w:hAnsi="Cambria" w:cs="Garamond-BookCondensed"/>
          <w:sz w:val="22"/>
          <w:szCs w:val="22"/>
        </w:rPr>
        <w:t xml:space="preserve">Immunocompromised individuals, pregnant women, and other individuals at high risk of complications, as described in section 1B </w:t>
      </w:r>
    </w:p>
    <w:bookmarkEnd w:id="6"/>
    <w:p w14:paraId="2E8BEB31" w14:textId="77777777" w:rsidR="004C3ED8" w:rsidRPr="00D61E89" w:rsidRDefault="00670651" w:rsidP="004C3ED8">
      <w:pPr>
        <w:numPr>
          <w:ilvl w:val="0"/>
          <w:numId w:val="12"/>
        </w:numPr>
        <w:autoSpaceDE w:val="0"/>
        <w:autoSpaceDN w:val="0"/>
        <w:adjustRightInd w:val="0"/>
        <w:rPr>
          <w:rFonts w:ascii="Cambria" w:hAnsi="Cambria" w:cs="Garamond-BookCondensed"/>
          <w:sz w:val="22"/>
          <w:szCs w:val="22"/>
        </w:rPr>
      </w:pPr>
      <w:r>
        <w:rPr>
          <w:rFonts w:ascii="Cambria" w:hAnsi="Cambria" w:cs="Garamond-BookCondensed"/>
          <w:sz w:val="22"/>
          <w:szCs w:val="22"/>
        </w:rPr>
        <w:t>Cases or clusters of cases in h</w:t>
      </w:r>
      <w:r w:rsidRPr="00D61E89">
        <w:rPr>
          <w:rFonts w:ascii="Cambria" w:hAnsi="Cambria" w:cs="Garamond-BookCondensed"/>
          <w:sz w:val="22"/>
          <w:szCs w:val="22"/>
        </w:rPr>
        <w:t xml:space="preserve">ealthcare </w:t>
      </w:r>
      <w:r w:rsidR="004C3ED8" w:rsidRPr="00D61E89">
        <w:rPr>
          <w:rFonts w:ascii="Cambria" w:hAnsi="Cambria" w:cs="Garamond-BookCondensed"/>
          <w:sz w:val="22"/>
          <w:szCs w:val="22"/>
        </w:rPr>
        <w:t xml:space="preserve">settings, childcare centers with infants, and other high-risk institutional settings (e.g., prisons, jails, group homes, dormitories, shelters, military settings) </w:t>
      </w:r>
    </w:p>
    <w:p w14:paraId="48CA72E5" w14:textId="77777777" w:rsidR="004C3ED8" w:rsidRPr="00D61E89" w:rsidRDefault="004C3ED8" w:rsidP="004C3ED8">
      <w:pPr>
        <w:numPr>
          <w:ilvl w:val="0"/>
          <w:numId w:val="12"/>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Outbreaks in any setting</w:t>
      </w:r>
    </w:p>
    <w:p w14:paraId="19A68898" w14:textId="77777777" w:rsidR="004C3ED8" w:rsidRPr="00D61E89" w:rsidRDefault="004C3ED8" w:rsidP="004C3ED8">
      <w:pPr>
        <w:autoSpaceDE w:val="0"/>
        <w:autoSpaceDN w:val="0"/>
        <w:adjustRightInd w:val="0"/>
        <w:rPr>
          <w:rFonts w:ascii="Cambria" w:hAnsi="Cambria" w:cs="Garamond-BookCondensed"/>
          <w:sz w:val="22"/>
          <w:szCs w:val="22"/>
        </w:rPr>
      </w:pPr>
    </w:p>
    <w:p w14:paraId="24D2FB0C" w14:textId="77777777" w:rsidR="004C3ED8" w:rsidRPr="00D61E89" w:rsidRDefault="004C3ED8" w:rsidP="004C3ED8">
      <w:pPr>
        <w:autoSpaceDE w:val="0"/>
        <w:autoSpaceDN w:val="0"/>
        <w:adjustRightInd w:val="0"/>
        <w:rPr>
          <w:rFonts w:ascii="Cambria" w:hAnsi="Cambria" w:cs="Garamond-BookCondensed"/>
          <w:sz w:val="22"/>
          <w:szCs w:val="22"/>
        </w:rPr>
      </w:pPr>
      <w:r w:rsidRPr="00D61E89">
        <w:rPr>
          <w:rFonts w:ascii="Cambria" w:hAnsi="Cambria" w:cs="Garamond-BookCondensed"/>
          <w:b/>
          <w:sz w:val="22"/>
          <w:szCs w:val="22"/>
        </w:rPr>
        <w:t>Laboratories</w:t>
      </w:r>
      <w:r w:rsidRPr="00D61E89">
        <w:rPr>
          <w:rFonts w:ascii="Cambria" w:hAnsi="Cambria" w:cs="Garamond-BookCondensed"/>
          <w:sz w:val="22"/>
          <w:szCs w:val="22"/>
        </w:rPr>
        <w:t xml:space="preserve"> performing examinations on any specimens derived from Massachusetts residents that yield evidence of </w:t>
      </w:r>
      <w:r w:rsidR="00670651">
        <w:rPr>
          <w:rFonts w:ascii="Cambria" w:hAnsi="Cambria" w:cs="Garamond-BookCondensed"/>
          <w:sz w:val="22"/>
          <w:szCs w:val="22"/>
        </w:rPr>
        <w:t xml:space="preserve">active </w:t>
      </w:r>
      <w:r w:rsidRPr="00D61E89">
        <w:rPr>
          <w:rFonts w:ascii="Cambria" w:hAnsi="Cambria" w:cs="Garamond-BookCondensed"/>
          <w:sz w:val="22"/>
          <w:szCs w:val="22"/>
        </w:rPr>
        <w:t xml:space="preserve">varicella </w:t>
      </w:r>
      <w:r w:rsidR="00670651">
        <w:rPr>
          <w:rFonts w:ascii="Cambria" w:hAnsi="Cambria" w:cs="Garamond-BookCondensed"/>
          <w:sz w:val="22"/>
          <w:szCs w:val="22"/>
        </w:rPr>
        <w:t xml:space="preserve">virus </w:t>
      </w:r>
      <w:r w:rsidRPr="00D61E89">
        <w:rPr>
          <w:rFonts w:ascii="Cambria" w:hAnsi="Cambria" w:cs="Garamond-BookCondensed"/>
          <w:sz w:val="22"/>
          <w:szCs w:val="22"/>
        </w:rPr>
        <w:t xml:space="preserve">infection (not just immunity) shall report such evidence of infection directly to the MDPH </w:t>
      </w:r>
      <w:r w:rsidRPr="00D61E89">
        <w:rPr>
          <w:rFonts w:ascii="Cambria" w:hAnsi="Cambria" w:cs="Garamond-BookCondensed"/>
          <w:i/>
          <w:sz w:val="22"/>
          <w:szCs w:val="22"/>
        </w:rPr>
        <w:t>through secure electronic laboratory reporting (ELR) mechanisms,</w:t>
      </w:r>
      <w:r w:rsidRPr="00D61E89">
        <w:rPr>
          <w:rFonts w:ascii="Cambria" w:hAnsi="Cambria" w:cs="Garamond-BookCondensed"/>
          <w:sz w:val="22"/>
          <w:szCs w:val="22"/>
        </w:rPr>
        <w:t xml:space="preserve"> or other method, as defined by the Department, within 24 hours. MDPH will then notify the appropriate LBOH as described in </w:t>
      </w:r>
      <w:r w:rsidR="00E21B67" w:rsidRPr="00D61E89">
        <w:rPr>
          <w:rFonts w:ascii="Cambria" w:hAnsi="Cambria" w:cs="Garamond-BookCondensed"/>
          <w:sz w:val="22"/>
          <w:szCs w:val="22"/>
        </w:rPr>
        <w:t>S</w:t>
      </w:r>
      <w:r w:rsidRPr="00D61E89">
        <w:rPr>
          <w:rFonts w:ascii="Cambria" w:hAnsi="Cambria" w:cs="Garamond-BookCondensed"/>
          <w:sz w:val="22"/>
          <w:szCs w:val="22"/>
        </w:rPr>
        <w:t>ection 3C below.</w:t>
      </w:r>
    </w:p>
    <w:p w14:paraId="4CF5CE4E" w14:textId="77777777" w:rsidR="004C3ED8" w:rsidRPr="00D61E89" w:rsidRDefault="004C3ED8" w:rsidP="004C3ED8">
      <w:pPr>
        <w:autoSpaceDE w:val="0"/>
        <w:autoSpaceDN w:val="0"/>
        <w:adjustRightInd w:val="0"/>
        <w:rPr>
          <w:rFonts w:ascii="Cambria" w:hAnsi="Cambria" w:cs="Garamond-BookCondensed"/>
          <w:sz w:val="22"/>
          <w:szCs w:val="22"/>
        </w:rPr>
      </w:pPr>
    </w:p>
    <w:p w14:paraId="0CF8631A" w14:textId="77777777" w:rsidR="004C3ED8" w:rsidRPr="00D61E89" w:rsidRDefault="004C3ED8" w:rsidP="004C3ED8">
      <w:pPr>
        <w:autoSpaceDE w:val="0"/>
        <w:autoSpaceDN w:val="0"/>
        <w:adjustRightInd w:val="0"/>
        <w:rPr>
          <w:rFonts w:ascii="Cambria" w:hAnsi="Cambria" w:cs="Garamond-BookCondensed"/>
          <w:i/>
          <w:sz w:val="22"/>
          <w:szCs w:val="22"/>
        </w:rPr>
      </w:pPr>
      <w:r w:rsidRPr="00D61E89">
        <w:rPr>
          <w:rFonts w:ascii="Cambria" w:hAnsi="Cambria" w:cs="Garamond-BookCondensed"/>
          <w:b/>
          <w:i/>
          <w:sz w:val="22"/>
          <w:szCs w:val="22"/>
        </w:rPr>
        <w:t xml:space="preserve">Please note: </w:t>
      </w:r>
      <w:r w:rsidRPr="00D61E89">
        <w:rPr>
          <w:rFonts w:ascii="Cambria" w:hAnsi="Cambria" w:cs="Garamond-BookCondensed"/>
          <w:i/>
          <w:sz w:val="22"/>
          <w:szCs w:val="22"/>
        </w:rPr>
        <w:t xml:space="preserve">Shingles cases </w:t>
      </w:r>
      <w:r w:rsidRPr="00D61E89">
        <w:rPr>
          <w:rFonts w:ascii="Cambria" w:hAnsi="Cambria" w:cs="Garamond-BookCondensed"/>
          <w:b/>
          <w:i/>
          <w:sz w:val="22"/>
          <w:szCs w:val="22"/>
        </w:rPr>
        <w:t xml:space="preserve">should not </w:t>
      </w:r>
      <w:r w:rsidRPr="00D61E89">
        <w:rPr>
          <w:rFonts w:ascii="Cambria" w:hAnsi="Cambria" w:cs="Garamond-BookCondensed"/>
          <w:i/>
          <w:sz w:val="22"/>
          <w:szCs w:val="22"/>
        </w:rPr>
        <w:t>be reported to the LBOH or to the MDPH.</w:t>
      </w:r>
    </w:p>
    <w:p w14:paraId="2FFE8AFA" w14:textId="77777777" w:rsidR="004C3ED8" w:rsidRPr="00D61E89" w:rsidRDefault="004C3ED8" w:rsidP="006D78F0">
      <w:pPr>
        <w:autoSpaceDE w:val="0"/>
        <w:autoSpaceDN w:val="0"/>
        <w:adjustRightInd w:val="0"/>
        <w:rPr>
          <w:rFonts w:ascii="Arial" w:hAnsi="Arial" w:cs="Arial"/>
          <w:b/>
          <w:bCs/>
          <w:sz w:val="22"/>
          <w:szCs w:val="22"/>
        </w:rPr>
      </w:pPr>
    </w:p>
    <w:p w14:paraId="53266AF1" w14:textId="77777777" w:rsidR="006D78F0" w:rsidRPr="00D61E89" w:rsidRDefault="006D78F0" w:rsidP="006D78F0">
      <w:pPr>
        <w:autoSpaceDE w:val="0"/>
        <w:autoSpaceDN w:val="0"/>
        <w:adjustRightInd w:val="0"/>
        <w:rPr>
          <w:rFonts w:ascii="Arial" w:hAnsi="Arial" w:cs="Arial"/>
          <w:b/>
          <w:bCs/>
          <w:sz w:val="22"/>
          <w:szCs w:val="22"/>
        </w:rPr>
      </w:pPr>
      <w:r w:rsidRPr="00D61E89">
        <w:rPr>
          <w:rFonts w:ascii="Arial" w:hAnsi="Arial" w:cs="Arial"/>
          <w:b/>
          <w:bCs/>
          <w:sz w:val="22"/>
          <w:szCs w:val="22"/>
        </w:rPr>
        <w:t>C. Local Board of Health (LBOH) Reporting and Follow-Up Responsibilities</w:t>
      </w:r>
    </w:p>
    <w:p w14:paraId="03E17C64" w14:textId="77777777" w:rsidR="00B65883" w:rsidRPr="00D61E89" w:rsidRDefault="006D78F0" w:rsidP="00972082">
      <w:pPr>
        <w:pBdr>
          <w:bottom w:val="single" w:sz="4" w:space="1" w:color="D9D9D9"/>
        </w:pBdr>
        <w:autoSpaceDE w:val="0"/>
        <w:autoSpaceDN w:val="0"/>
        <w:adjustRightInd w:val="0"/>
        <w:spacing w:before="120" w:after="120"/>
        <w:rPr>
          <w:rFonts w:ascii="Cambria" w:hAnsi="Cambria" w:cs="Arial"/>
          <w:i/>
          <w:iCs/>
          <w:sz w:val="22"/>
          <w:szCs w:val="22"/>
        </w:rPr>
      </w:pPr>
      <w:r w:rsidRPr="00D61E89">
        <w:rPr>
          <w:rFonts w:ascii="Cambria" w:hAnsi="Cambria" w:cs="Arial"/>
          <w:i/>
          <w:iCs/>
          <w:sz w:val="22"/>
          <w:szCs w:val="22"/>
        </w:rPr>
        <w:t>Reporting Requirements</w:t>
      </w:r>
    </w:p>
    <w:p w14:paraId="7C6DBDD3" w14:textId="77777777" w:rsidR="00B65883" w:rsidRPr="00D61E89" w:rsidRDefault="004C3ED8" w:rsidP="001774AF">
      <w:pPr>
        <w:autoSpaceDE w:val="0"/>
        <w:autoSpaceDN w:val="0"/>
        <w:adjustRightInd w:val="0"/>
        <w:spacing w:before="120" w:after="120"/>
        <w:rPr>
          <w:rFonts w:ascii="Cambria" w:hAnsi="Cambria" w:cs="Garamond-BookCondensed"/>
          <w:sz w:val="22"/>
          <w:szCs w:val="22"/>
        </w:rPr>
      </w:pPr>
      <w:r w:rsidRPr="00D61E89">
        <w:rPr>
          <w:rFonts w:ascii="Cambria" w:hAnsi="Cambria" w:cs="Garamond-BookCondensed"/>
          <w:sz w:val="22"/>
          <w:szCs w:val="22"/>
        </w:rPr>
        <w:t xml:space="preserve">MDPH regulations </w:t>
      </w:r>
      <w:bookmarkStart w:id="7" w:name="_Hlk121393220"/>
      <w:r w:rsidRPr="004F2DEA">
        <w:rPr>
          <w:rFonts w:ascii="Cambria" w:hAnsi="Cambria" w:cs="Garamond-BookCondensed"/>
          <w:sz w:val="22"/>
          <w:szCs w:val="22"/>
        </w:rPr>
        <w:t>(</w:t>
      </w:r>
      <w:r w:rsidRPr="004F2DEA">
        <w:rPr>
          <w:rFonts w:ascii="Cambria" w:hAnsi="Cambria" w:cs="Garamond-BookCondensedItalic"/>
          <w:iCs/>
          <w:sz w:val="22"/>
          <w:szCs w:val="22"/>
        </w:rPr>
        <w:t>105 CMR 300.</w:t>
      </w:r>
      <w:r w:rsidR="00464528" w:rsidRPr="004F2DEA">
        <w:rPr>
          <w:rFonts w:ascii="Cambria" w:hAnsi="Cambria" w:cs="Garamond-BookCondensedItalic"/>
          <w:iCs/>
          <w:sz w:val="22"/>
          <w:szCs w:val="22"/>
        </w:rPr>
        <w:t>0</w:t>
      </w:r>
      <w:r w:rsidRPr="004F2DEA">
        <w:rPr>
          <w:rFonts w:ascii="Cambria" w:hAnsi="Cambria" w:cs="Garamond-BookCondensedItalic"/>
          <w:iCs/>
          <w:sz w:val="22"/>
          <w:szCs w:val="22"/>
        </w:rPr>
        <w:t>00</w:t>
      </w:r>
      <w:r w:rsidRPr="004F2DEA">
        <w:rPr>
          <w:rFonts w:ascii="Cambria" w:hAnsi="Cambria" w:cs="Garamond-BookCondensed"/>
          <w:sz w:val="22"/>
          <w:szCs w:val="22"/>
        </w:rPr>
        <w:t>)</w:t>
      </w:r>
      <w:r w:rsidRPr="00C4374D">
        <w:rPr>
          <w:rFonts w:ascii="Cambria" w:hAnsi="Cambria" w:cs="Garamond-BookCondensed"/>
          <w:sz w:val="22"/>
          <w:szCs w:val="22"/>
        </w:rPr>
        <w:t xml:space="preserve"> </w:t>
      </w:r>
      <w:bookmarkEnd w:id="7"/>
      <w:r w:rsidRPr="00C4374D">
        <w:rPr>
          <w:rFonts w:ascii="Cambria" w:hAnsi="Cambria" w:cs="Garamond-BookCondensed"/>
          <w:sz w:val="22"/>
          <w:szCs w:val="22"/>
        </w:rPr>
        <w:t>stipulate</w:t>
      </w:r>
      <w:r w:rsidRPr="00D61E89">
        <w:rPr>
          <w:rFonts w:ascii="Cambria" w:hAnsi="Cambria" w:cs="Garamond-BookCondensed"/>
          <w:sz w:val="22"/>
          <w:szCs w:val="22"/>
        </w:rPr>
        <w:t xml:space="preserve"> that chickenpox is reportable to the LBOH and that each LBOH must report any case of chickenpox or suspect case of chickenpox, as defined by the reporting criteria in Section 2A.</w:t>
      </w:r>
      <w:r w:rsidR="00F70CEE" w:rsidRPr="00D61E89">
        <w:rPr>
          <w:rFonts w:ascii="Cambria" w:hAnsi="Cambria" w:cs="Garamond-BookCondensed"/>
          <w:sz w:val="22"/>
          <w:szCs w:val="22"/>
        </w:rPr>
        <w:t xml:space="preserve"> </w:t>
      </w:r>
      <w:r w:rsidRPr="00D61E89">
        <w:rPr>
          <w:rFonts w:ascii="Cambria" w:hAnsi="Cambria" w:cs="Garamond-BookCondensed"/>
          <w:sz w:val="22"/>
          <w:szCs w:val="22"/>
        </w:rPr>
        <w:t xml:space="preserve">The majority of chickenpox cases are reported directly to MDPH via case reporting form or through ELR. Cases reported directly to MDPH will populate the MAVEN “LBOH Notification but no follow-up required” workflow for acknowledgement by the appropriate LBOH. </w:t>
      </w:r>
    </w:p>
    <w:p w14:paraId="19183C05" w14:textId="77777777" w:rsidR="00C0597B" w:rsidRDefault="004C3ED8" w:rsidP="00C0597B">
      <w:pPr>
        <w:autoSpaceDE w:val="0"/>
        <w:autoSpaceDN w:val="0"/>
        <w:adjustRightInd w:val="0"/>
        <w:rPr>
          <w:rFonts w:ascii="Cambria" w:hAnsi="Cambria" w:cs="Garamond-BookCondensed"/>
          <w:i/>
          <w:iCs/>
          <w:sz w:val="22"/>
          <w:szCs w:val="22"/>
        </w:rPr>
      </w:pPr>
      <w:r w:rsidRPr="004F2DEA">
        <w:rPr>
          <w:rFonts w:ascii="Cambria" w:hAnsi="Cambria" w:cs="Garamond-BookCondensed"/>
          <w:sz w:val="22"/>
          <w:szCs w:val="22"/>
        </w:rPr>
        <w:t>Cases not already in MAVEN should be reported to</w:t>
      </w:r>
      <w:r w:rsidR="00845C65">
        <w:rPr>
          <w:rFonts w:ascii="Cambria" w:hAnsi="Cambria" w:cs="Garamond-BookCondensed"/>
          <w:sz w:val="22"/>
          <w:szCs w:val="22"/>
        </w:rPr>
        <w:t xml:space="preserve"> the MDPH </w:t>
      </w:r>
      <w:r w:rsidR="00E27E5B">
        <w:rPr>
          <w:rFonts w:ascii="Cambria" w:hAnsi="Cambria" w:cs="Garamond-BookCondensed"/>
          <w:sz w:val="22"/>
          <w:szCs w:val="22"/>
        </w:rPr>
        <w:t>Division of Surveillance</w:t>
      </w:r>
      <w:r w:rsidR="00845C65">
        <w:rPr>
          <w:rFonts w:ascii="Cambria" w:hAnsi="Cambria" w:cs="Garamond-BookCondensed"/>
          <w:sz w:val="22"/>
          <w:szCs w:val="22"/>
        </w:rPr>
        <w:t>, Analytics</w:t>
      </w:r>
      <w:r w:rsidR="00E27E5B">
        <w:rPr>
          <w:rFonts w:ascii="Cambria" w:hAnsi="Cambria" w:cs="Garamond-BookCondensed"/>
          <w:sz w:val="22"/>
          <w:szCs w:val="22"/>
        </w:rPr>
        <w:t xml:space="preserve"> and </w:t>
      </w:r>
      <w:r w:rsidR="00845C65">
        <w:rPr>
          <w:rFonts w:ascii="Cambria" w:hAnsi="Cambria" w:cs="Garamond-BookCondensed"/>
          <w:sz w:val="22"/>
          <w:szCs w:val="22"/>
        </w:rPr>
        <w:t xml:space="preserve">Informatics (DSAI) </w:t>
      </w:r>
      <w:r w:rsidRPr="004F2DEA">
        <w:rPr>
          <w:rFonts w:ascii="Cambria" w:hAnsi="Cambria" w:cs="Garamond-BookCondensed"/>
          <w:sz w:val="22"/>
          <w:szCs w:val="22"/>
        </w:rPr>
        <w:t xml:space="preserve">using the </w:t>
      </w:r>
      <w:r w:rsidR="00C0597B" w:rsidRPr="004F2DEA">
        <w:rPr>
          <w:rFonts w:ascii="Cambria" w:hAnsi="Cambria" w:cs="Garamond-BookCondensed"/>
          <w:i/>
          <w:iCs/>
          <w:sz w:val="22"/>
          <w:szCs w:val="22"/>
        </w:rPr>
        <w:t xml:space="preserve">web-based MDPH Varicella (Chickenpox) reporting form online at </w:t>
      </w:r>
      <w:hyperlink r:id="rId15" w:history="1">
        <w:r w:rsidR="00C0597B" w:rsidRPr="004F2DEA">
          <w:rPr>
            <w:rStyle w:val="Hyperlink"/>
            <w:rFonts w:ascii="Cambria" w:hAnsi="Cambria" w:cs="Garamond-BookCondensed"/>
            <w:i/>
            <w:iCs/>
            <w:sz w:val="22"/>
            <w:szCs w:val="22"/>
          </w:rPr>
          <w:t>http</w:t>
        </w:r>
        <w:r w:rsidR="00C0597B" w:rsidRPr="004F2DEA">
          <w:rPr>
            <w:rStyle w:val="Hyperlink"/>
            <w:rFonts w:ascii="Cambria" w:hAnsi="Cambria" w:cs="Garamond-BookCondensed"/>
            <w:i/>
            <w:iCs/>
            <w:sz w:val="22"/>
            <w:szCs w:val="22"/>
          </w:rPr>
          <w:t>s</w:t>
        </w:r>
        <w:r w:rsidR="00C0597B" w:rsidRPr="004F2DEA">
          <w:rPr>
            <w:rStyle w:val="Hyperlink"/>
            <w:rFonts w:ascii="Cambria" w:hAnsi="Cambria" w:cs="Garamond-BookCondensed"/>
            <w:i/>
            <w:iCs/>
            <w:sz w:val="22"/>
            <w:szCs w:val="22"/>
          </w:rPr>
          <w:t>://infectious-disease-reporting.dph.mass.gov/pages/CaseReportForms</w:t>
        </w:r>
      </w:hyperlink>
      <w:r w:rsidR="00C0597B" w:rsidRPr="004F2DEA">
        <w:rPr>
          <w:rFonts w:ascii="Cambria" w:hAnsi="Cambria" w:cs="Garamond-BookCondensed"/>
          <w:i/>
          <w:iCs/>
          <w:sz w:val="22"/>
          <w:szCs w:val="22"/>
        </w:rPr>
        <w:t xml:space="preserve"> or may be entered directly into MAVEN. </w:t>
      </w:r>
      <w:r w:rsidR="000764E8" w:rsidRPr="004F2DEA">
        <w:rPr>
          <w:rFonts w:ascii="Cambria" w:hAnsi="Cambria" w:cs="Garamond-BookCondensed"/>
          <w:i/>
          <w:iCs/>
          <w:sz w:val="22"/>
          <w:szCs w:val="22"/>
        </w:rPr>
        <w:t xml:space="preserve">Clusters (three or more cases related in time and space) should be reported using the new web-based varicella </w:t>
      </w:r>
      <w:r w:rsidR="000764E8" w:rsidRPr="004F2DEA">
        <w:rPr>
          <w:rFonts w:ascii="Cambria" w:hAnsi="Cambria" w:cs="Garamond-BookCondensed"/>
          <w:b/>
          <w:bCs/>
          <w:i/>
          <w:iCs/>
          <w:sz w:val="22"/>
          <w:szCs w:val="22"/>
        </w:rPr>
        <w:t>cluster</w:t>
      </w:r>
      <w:r w:rsidR="000764E8" w:rsidRPr="004F2DEA">
        <w:rPr>
          <w:rFonts w:ascii="Cambria" w:hAnsi="Cambria" w:cs="Garamond-BookCondensed"/>
          <w:i/>
          <w:iCs/>
          <w:sz w:val="22"/>
          <w:szCs w:val="22"/>
        </w:rPr>
        <w:t xml:space="preserve"> report form, also at </w:t>
      </w:r>
      <w:hyperlink r:id="rId16" w:history="1">
        <w:r w:rsidR="000764E8" w:rsidRPr="004F2DEA">
          <w:rPr>
            <w:rStyle w:val="Hyperlink"/>
            <w:rFonts w:ascii="Cambria" w:hAnsi="Cambria" w:cs="Garamond-BookCondensed"/>
            <w:i/>
            <w:iCs/>
            <w:sz w:val="21"/>
            <w:szCs w:val="21"/>
          </w:rPr>
          <w:t>https://infectious-disease-reporting.dph.mass.gov/pages/CaseReportForms</w:t>
        </w:r>
      </w:hyperlink>
    </w:p>
    <w:p w14:paraId="51C342BD" w14:textId="77777777" w:rsidR="00C0597B" w:rsidRDefault="00C0597B" w:rsidP="00C0597B">
      <w:pPr>
        <w:autoSpaceDE w:val="0"/>
        <w:autoSpaceDN w:val="0"/>
        <w:adjustRightInd w:val="0"/>
        <w:rPr>
          <w:rFonts w:ascii="Cambria" w:hAnsi="Cambria" w:cs="Garamond-BookCondensed"/>
          <w:sz w:val="22"/>
          <w:szCs w:val="22"/>
        </w:rPr>
      </w:pPr>
    </w:p>
    <w:p w14:paraId="4AE42BF8" w14:textId="77777777" w:rsidR="00B65883" w:rsidRPr="00D61E89" w:rsidRDefault="006D78F0" w:rsidP="00C0597B">
      <w:pPr>
        <w:autoSpaceDE w:val="0"/>
        <w:autoSpaceDN w:val="0"/>
        <w:adjustRightInd w:val="0"/>
        <w:rPr>
          <w:rFonts w:ascii="Cambria" w:hAnsi="Cambria" w:cs="Arial"/>
          <w:i/>
          <w:iCs/>
          <w:sz w:val="22"/>
          <w:szCs w:val="22"/>
        </w:rPr>
      </w:pPr>
      <w:r w:rsidRPr="00D61E89">
        <w:rPr>
          <w:rFonts w:ascii="Cambria" w:hAnsi="Cambria" w:cs="Arial"/>
          <w:i/>
          <w:iCs/>
          <w:sz w:val="22"/>
          <w:szCs w:val="22"/>
        </w:rPr>
        <w:t>Case Investigation</w:t>
      </w:r>
      <w:r w:rsidR="00F30B1D" w:rsidRPr="00D61E89">
        <w:rPr>
          <w:rFonts w:ascii="Cambria" w:hAnsi="Cambria" w:cs="Arial"/>
          <w:i/>
          <w:iCs/>
          <w:sz w:val="22"/>
          <w:szCs w:val="22"/>
        </w:rPr>
        <w:t xml:space="preserve"> &amp; Using MAVEN</w:t>
      </w:r>
      <w:r w:rsidR="00F70CEE" w:rsidRPr="00D61E89">
        <w:rPr>
          <w:rFonts w:ascii="Cambria" w:hAnsi="Cambria" w:cs="Arial"/>
          <w:i/>
          <w:iCs/>
          <w:sz w:val="22"/>
          <w:szCs w:val="22"/>
        </w:rPr>
        <w:t xml:space="preserve"> </w:t>
      </w:r>
    </w:p>
    <w:p w14:paraId="2E77A4BC" w14:textId="77777777" w:rsidR="00B65883" w:rsidRPr="00D61E89" w:rsidRDefault="00F30B1D" w:rsidP="00B34BEF">
      <w:pPr>
        <w:autoSpaceDE w:val="0"/>
        <w:autoSpaceDN w:val="0"/>
        <w:adjustRightInd w:val="0"/>
        <w:spacing w:after="120"/>
        <w:rPr>
          <w:rFonts w:ascii="Cambria" w:hAnsi="Cambria" w:cs="TradeGothic-CondEighteenObl"/>
          <w:iCs/>
          <w:sz w:val="22"/>
          <w:szCs w:val="22"/>
        </w:rPr>
      </w:pPr>
      <w:r w:rsidRPr="00D61E89">
        <w:rPr>
          <w:rFonts w:ascii="Cambria" w:hAnsi="Cambria" w:cs="TradeGothic-CondEighteenObl"/>
          <w:iCs/>
          <w:sz w:val="22"/>
          <w:szCs w:val="22"/>
        </w:rPr>
        <w:t xml:space="preserve">For routine cases of chickenpox, information should be reported by the provider or other health professional via </w:t>
      </w:r>
      <w:r w:rsidR="00351977" w:rsidRPr="006F7BCF">
        <w:rPr>
          <w:rFonts w:ascii="Cambria" w:hAnsi="Cambria" w:cs="TradeGothic-CondEighteenObl"/>
          <w:iCs/>
          <w:sz w:val="22"/>
          <w:szCs w:val="22"/>
        </w:rPr>
        <w:t xml:space="preserve">the </w:t>
      </w:r>
      <w:r w:rsidR="000764E8" w:rsidRPr="004F2DEA">
        <w:rPr>
          <w:rFonts w:ascii="Cambria" w:hAnsi="Cambria" w:cs="TradeGothic-CondEighteenObl"/>
          <w:iCs/>
          <w:sz w:val="22"/>
          <w:szCs w:val="22"/>
        </w:rPr>
        <w:t>web-based case report form</w:t>
      </w:r>
      <w:r w:rsidRPr="006F7BCF">
        <w:rPr>
          <w:rFonts w:ascii="Cambria" w:hAnsi="Cambria" w:cs="TradeGothic-CondEighteenObl"/>
          <w:iCs/>
          <w:sz w:val="22"/>
          <w:szCs w:val="22"/>
        </w:rPr>
        <w:t>.</w:t>
      </w:r>
      <w:r w:rsidR="00F70CEE" w:rsidRPr="00D61E89">
        <w:rPr>
          <w:rFonts w:ascii="Cambria" w:hAnsi="Cambria" w:cs="TradeGothic-CondEighteenObl"/>
          <w:iCs/>
          <w:sz w:val="22"/>
          <w:szCs w:val="22"/>
        </w:rPr>
        <w:t xml:space="preserve"> </w:t>
      </w:r>
      <w:r w:rsidRPr="00D61E89">
        <w:rPr>
          <w:rFonts w:ascii="Cambria" w:hAnsi="Cambria" w:cs="TradeGothic-CondEighteenObl"/>
          <w:iCs/>
          <w:sz w:val="22"/>
          <w:szCs w:val="22"/>
        </w:rPr>
        <w:t xml:space="preserve">These cases will populate the “LBOH Notification but no follow-up required workflow” and can be acknowledged by the LBOH by checking the box next to the event in the workflow and clicking the “Populate LBOH Notified to Yes” button at the bottom of the screen. Events can also be acknowledged by opening the Administrative Question Package (QP) and selecting “Yes” for the first question “Step 1 </w:t>
      </w:r>
      <w:r w:rsidRPr="00D61E89">
        <w:rPr>
          <w:rFonts w:ascii="Cambria" w:hAnsi="Cambria" w:cs="Cambria Math"/>
          <w:iCs/>
          <w:sz w:val="22"/>
          <w:szCs w:val="22"/>
        </w:rPr>
        <w:t>‐</w:t>
      </w:r>
      <w:r w:rsidRPr="00D61E89">
        <w:rPr>
          <w:rFonts w:ascii="Cambria" w:hAnsi="Cambria" w:cs="TradeGothic-CondEighteenObl"/>
          <w:iCs/>
          <w:sz w:val="22"/>
          <w:szCs w:val="22"/>
        </w:rPr>
        <w:t xml:space="preserve"> LBOH acknowledged” under the “Local Health and Investigation” section.</w:t>
      </w:r>
    </w:p>
    <w:p w14:paraId="3EF77965" w14:textId="77777777" w:rsidR="00B65883" w:rsidRPr="00D61E89" w:rsidRDefault="00F30B1D" w:rsidP="00B65883">
      <w:pPr>
        <w:pBdr>
          <w:bottom w:val="single" w:sz="2" w:space="1" w:color="BFBFBF"/>
        </w:pBdr>
        <w:autoSpaceDE w:val="0"/>
        <w:autoSpaceDN w:val="0"/>
        <w:adjustRightInd w:val="0"/>
        <w:spacing w:before="120" w:after="120"/>
        <w:rPr>
          <w:rFonts w:ascii="Cambria" w:hAnsi="Cambria" w:cs="Garamond-BookCondensed"/>
          <w:sz w:val="22"/>
          <w:szCs w:val="22"/>
        </w:rPr>
      </w:pPr>
      <w:r w:rsidRPr="004F2DEA">
        <w:rPr>
          <w:rFonts w:ascii="Cambria" w:hAnsi="Cambria" w:cs="TradeGothic-CondEighteenObl"/>
          <w:b/>
          <w:bCs/>
          <w:iCs/>
          <w:sz w:val="22"/>
          <w:szCs w:val="22"/>
        </w:rPr>
        <w:t xml:space="preserve">For unusual cases, outbreaks, and cases in high-risk settings, as described above in section 3B, additional follow-up </w:t>
      </w:r>
      <w:r w:rsidR="00791AA8" w:rsidRPr="004F2DEA">
        <w:rPr>
          <w:rFonts w:ascii="Cambria" w:hAnsi="Cambria" w:cs="TradeGothic-CondEighteenObl"/>
          <w:b/>
          <w:bCs/>
          <w:iCs/>
          <w:sz w:val="22"/>
          <w:szCs w:val="22"/>
        </w:rPr>
        <w:t xml:space="preserve">by the LBOH </w:t>
      </w:r>
      <w:r w:rsidRPr="004F2DEA">
        <w:rPr>
          <w:rFonts w:ascii="Cambria" w:hAnsi="Cambria" w:cs="TradeGothic-CondEighteenObl"/>
          <w:b/>
          <w:bCs/>
          <w:iCs/>
          <w:sz w:val="22"/>
          <w:szCs w:val="22"/>
        </w:rPr>
        <w:t>may be necessary</w:t>
      </w:r>
      <w:r w:rsidRPr="00D61E89">
        <w:rPr>
          <w:rFonts w:ascii="Cambria" w:hAnsi="Cambria" w:cs="TradeGothic-CondEighteenObl"/>
          <w:iCs/>
          <w:sz w:val="22"/>
          <w:szCs w:val="22"/>
        </w:rPr>
        <w:t xml:space="preserve"> in collaboration with an MDPH epidemiologist. </w:t>
      </w:r>
      <w:r w:rsidRPr="00D61E89">
        <w:rPr>
          <w:rFonts w:ascii="Cambria" w:hAnsi="Cambria" w:cs="Garamond-BookCondensed"/>
          <w:sz w:val="22"/>
          <w:szCs w:val="22"/>
        </w:rPr>
        <w:t xml:space="preserve">Institution of disease control measures is an integral part of case investigation. It is the responsibility of the LBOH to understand, and if necessary, institute the control guidelines listed in Section 4. </w:t>
      </w:r>
    </w:p>
    <w:p w14:paraId="36F8DAE7" w14:textId="77777777" w:rsidR="006D78F0" w:rsidRPr="00D61E89" w:rsidRDefault="004F2DEA" w:rsidP="0084793D">
      <w:pPr>
        <w:pBdr>
          <w:bottom w:val="single" w:sz="2" w:space="1" w:color="BFBFBF"/>
        </w:pBdr>
        <w:autoSpaceDE w:val="0"/>
        <w:autoSpaceDN w:val="0"/>
        <w:adjustRightInd w:val="0"/>
        <w:spacing w:before="240" w:after="120"/>
        <w:rPr>
          <w:rFonts w:ascii="Arial" w:hAnsi="Arial" w:cs="Arial"/>
          <w:b/>
          <w:bCs/>
          <w:color w:val="17365D"/>
          <w:sz w:val="28"/>
          <w:szCs w:val="28"/>
        </w:rPr>
      </w:pPr>
      <w:r>
        <w:rPr>
          <w:rFonts w:ascii="Arial" w:hAnsi="Arial" w:cs="Arial"/>
          <w:b/>
          <w:color w:val="17365D"/>
        </w:rPr>
        <w:br w:type="page"/>
      </w:r>
      <w:r w:rsidR="006D78F0" w:rsidRPr="00D61E89">
        <w:rPr>
          <w:rFonts w:ascii="Arial" w:hAnsi="Arial" w:cs="Arial"/>
          <w:b/>
          <w:color w:val="17365D"/>
        </w:rPr>
        <w:t>Section 4</w:t>
      </w:r>
    </w:p>
    <w:p w14:paraId="03F2A723" w14:textId="77777777" w:rsidR="006D78F0" w:rsidRPr="00D61E89" w:rsidRDefault="006D78F0" w:rsidP="006D78F0">
      <w:pPr>
        <w:autoSpaceDE w:val="0"/>
        <w:autoSpaceDN w:val="0"/>
        <w:adjustRightInd w:val="0"/>
        <w:rPr>
          <w:rFonts w:ascii="Arial" w:hAnsi="Arial" w:cs="Arial"/>
          <w:b/>
          <w:bCs/>
          <w:color w:val="4F81BD"/>
          <w:sz w:val="28"/>
          <w:szCs w:val="28"/>
        </w:rPr>
      </w:pPr>
      <w:r w:rsidRPr="00D61E89">
        <w:rPr>
          <w:rFonts w:ascii="Arial" w:hAnsi="Arial" w:cs="Arial"/>
          <w:b/>
          <w:bCs/>
          <w:color w:val="4F81BD"/>
          <w:sz w:val="28"/>
          <w:szCs w:val="28"/>
        </w:rPr>
        <w:t>CONTROLLING FURTHER SPREAD</w:t>
      </w:r>
    </w:p>
    <w:p w14:paraId="0F02ADAE" w14:textId="77777777" w:rsidR="00F30B1D" w:rsidRPr="00D61E89" w:rsidRDefault="00F30B1D" w:rsidP="00F70CEE">
      <w:pPr>
        <w:autoSpaceDE w:val="0"/>
        <w:autoSpaceDN w:val="0"/>
        <w:adjustRightInd w:val="0"/>
        <w:spacing w:before="120"/>
        <w:rPr>
          <w:rFonts w:ascii="Cambria" w:hAnsi="Cambria" w:cs="Garamond-BookCondensed"/>
          <w:b/>
          <w:sz w:val="22"/>
          <w:szCs w:val="22"/>
        </w:rPr>
      </w:pPr>
      <w:r w:rsidRPr="00D61E89">
        <w:rPr>
          <w:rFonts w:ascii="Cambria" w:hAnsi="Cambria" w:cs="Garamond-BookCondensed"/>
          <w:i/>
          <w:sz w:val="22"/>
          <w:szCs w:val="22"/>
        </w:rPr>
        <w:t>About control measures:</w:t>
      </w:r>
      <w:r w:rsidRPr="00D61E89">
        <w:rPr>
          <w:rFonts w:ascii="Cambria" w:hAnsi="Cambria" w:cs="Garamond-BookCondensed"/>
          <w:sz w:val="22"/>
          <w:szCs w:val="22"/>
        </w:rPr>
        <w:t xml:space="preserve"> The rigor of control measures for chickenpox depends on the setting and the population</w:t>
      </w:r>
      <w:r w:rsidR="00E7654F">
        <w:rPr>
          <w:rFonts w:ascii="Cambria" w:hAnsi="Cambria" w:cs="Garamond-BookCondensed"/>
          <w:sz w:val="22"/>
          <w:szCs w:val="22"/>
        </w:rPr>
        <w:t xml:space="preserve"> at risk for infection</w:t>
      </w:r>
      <w:r w:rsidRPr="00D61E89">
        <w:rPr>
          <w:rFonts w:ascii="Cambria" w:hAnsi="Cambria" w:cs="Garamond-BookCondensed"/>
          <w:sz w:val="22"/>
          <w:szCs w:val="22"/>
        </w:rPr>
        <w:t xml:space="preserve">. While the general chickenpox control measures outlined below are appropriate for </w:t>
      </w:r>
      <w:r w:rsidRPr="00D61E89">
        <w:rPr>
          <w:rFonts w:ascii="Cambria" w:hAnsi="Cambria" w:cs="Garamond-BookCondensed"/>
          <w:sz w:val="22"/>
          <w:szCs w:val="22"/>
          <w:u w:val="single"/>
        </w:rPr>
        <w:t>most settings</w:t>
      </w:r>
      <w:r w:rsidRPr="00D61E89">
        <w:rPr>
          <w:rFonts w:ascii="Cambria" w:hAnsi="Cambria" w:cs="Garamond-BookCondensed"/>
          <w:sz w:val="22"/>
          <w:szCs w:val="22"/>
        </w:rPr>
        <w:t xml:space="preserve"> and populations (e.g., healthy vaccinated daycare attendees; school-age youth with high vaccination rates; workplaces with employee populations thought to be highly </w:t>
      </w:r>
      <w:r w:rsidRPr="006F7BCF">
        <w:rPr>
          <w:rFonts w:ascii="Cambria" w:hAnsi="Cambria" w:cs="Garamond-BookCondensed"/>
          <w:sz w:val="22"/>
          <w:szCs w:val="22"/>
        </w:rPr>
        <w:t>vaccinated</w:t>
      </w:r>
      <w:r w:rsidR="00C6068A" w:rsidRPr="006F7BCF">
        <w:rPr>
          <w:rFonts w:ascii="Cambria" w:hAnsi="Cambria" w:cs="Garamond-BookCondensed"/>
          <w:sz w:val="22"/>
          <w:szCs w:val="22"/>
        </w:rPr>
        <w:t xml:space="preserve"> or with prior history of disease</w:t>
      </w:r>
      <w:r w:rsidRPr="006F7BCF">
        <w:rPr>
          <w:rFonts w:ascii="Cambria" w:hAnsi="Cambria" w:cs="Garamond-BookCondensed"/>
          <w:sz w:val="22"/>
          <w:szCs w:val="22"/>
        </w:rPr>
        <w:t>;</w:t>
      </w:r>
      <w:r w:rsidRPr="00D61E89">
        <w:rPr>
          <w:rFonts w:ascii="Cambria" w:hAnsi="Cambria" w:cs="Garamond-BookCondensed"/>
          <w:sz w:val="22"/>
          <w:szCs w:val="22"/>
        </w:rPr>
        <w:t xml:space="preserve"> LTCFs with residents presumed to have already had chickenpox) more stringent control measures are needed in certain settings where the risk of transmission, as well as the likelihood of severe disease among those exposed, is increased. </w:t>
      </w:r>
      <w:r w:rsidRPr="00D61E89">
        <w:rPr>
          <w:rFonts w:ascii="Cambria" w:hAnsi="Cambria" w:cs="Garamond-BookCondensed"/>
          <w:b/>
          <w:sz w:val="22"/>
          <w:szCs w:val="22"/>
        </w:rPr>
        <w:t>These more stringent control measures are discussed in Part C, Managing Special Situations.</w:t>
      </w:r>
    </w:p>
    <w:p w14:paraId="74CD9605" w14:textId="77777777" w:rsidR="008932DE" w:rsidRDefault="008932DE" w:rsidP="0084793D">
      <w:pPr>
        <w:autoSpaceDE w:val="0"/>
        <w:autoSpaceDN w:val="0"/>
        <w:adjustRightInd w:val="0"/>
        <w:ind w:left="720" w:hanging="720"/>
        <w:rPr>
          <w:rFonts w:ascii="Arial" w:hAnsi="Arial" w:cs="Arial"/>
          <w:b/>
          <w:bCs/>
          <w:sz w:val="22"/>
          <w:szCs w:val="22"/>
        </w:rPr>
      </w:pPr>
    </w:p>
    <w:p w14:paraId="0E01254C" w14:textId="77777777" w:rsidR="006D78F0" w:rsidRPr="00D61E89" w:rsidRDefault="006D78F0" w:rsidP="0084793D">
      <w:pPr>
        <w:autoSpaceDE w:val="0"/>
        <w:autoSpaceDN w:val="0"/>
        <w:adjustRightInd w:val="0"/>
        <w:ind w:left="720" w:hanging="720"/>
        <w:rPr>
          <w:rFonts w:ascii="Arial" w:hAnsi="Arial" w:cs="Arial"/>
          <w:b/>
          <w:bCs/>
          <w:i/>
          <w:iCs/>
          <w:sz w:val="22"/>
          <w:szCs w:val="22"/>
        </w:rPr>
      </w:pPr>
      <w:r w:rsidRPr="00D61E89">
        <w:rPr>
          <w:rFonts w:ascii="Arial" w:hAnsi="Arial" w:cs="Arial"/>
          <w:b/>
          <w:bCs/>
          <w:sz w:val="22"/>
          <w:szCs w:val="22"/>
        </w:rPr>
        <w:t>A. Isolation and</w:t>
      </w:r>
      <w:r w:rsidR="0084793D" w:rsidRPr="00D61E89">
        <w:rPr>
          <w:rFonts w:ascii="Arial" w:hAnsi="Arial" w:cs="Arial"/>
          <w:b/>
          <w:bCs/>
          <w:sz w:val="22"/>
          <w:szCs w:val="22"/>
        </w:rPr>
        <w:t xml:space="preserve"> </w:t>
      </w:r>
      <w:r w:rsidRPr="00D61E89">
        <w:rPr>
          <w:rFonts w:ascii="Arial" w:hAnsi="Arial" w:cs="Arial"/>
          <w:b/>
          <w:bCs/>
          <w:sz w:val="22"/>
          <w:szCs w:val="22"/>
        </w:rPr>
        <w:t xml:space="preserve">Quarantine Requirements </w:t>
      </w:r>
      <w:r w:rsidRPr="004F2DEA">
        <w:rPr>
          <w:rFonts w:ascii="Arial" w:hAnsi="Arial" w:cs="Arial"/>
          <w:b/>
          <w:bCs/>
          <w:i/>
          <w:iCs/>
          <w:sz w:val="22"/>
          <w:szCs w:val="22"/>
        </w:rPr>
        <w:t>(105 CMR 300.</w:t>
      </w:r>
      <w:r w:rsidR="00464528" w:rsidRPr="004F2DEA">
        <w:rPr>
          <w:rFonts w:ascii="Arial" w:hAnsi="Arial" w:cs="Arial"/>
          <w:b/>
          <w:bCs/>
          <w:i/>
          <w:iCs/>
          <w:sz w:val="22"/>
          <w:szCs w:val="22"/>
        </w:rPr>
        <w:t>2</w:t>
      </w:r>
      <w:r w:rsidR="00384379" w:rsidRPr="004F2DEA">
        <w:rPr>
          <w:rFonts w:ascii="Arial" w:hAnsi="Arial" w:cs="Arial"/>
          <w:b/>
          <w:bCs/>
          <w:i/>
          <w:iCs/>
          <w:sz w:val="22"/>
          <w:szCs w:val="22"/>
        </w:rPr>
        <w:t>00</w:t>
      </w:r>
      <w:r w:rsidRPr="004F2DEA">
        <w:rPr>
          <w:rFonts w:ascii="Arial" w:hAnsi="Arial" w:cs="Arial"/>
          <w:b/>
          <w:bCs/>
          <w:i/>
          <w:iCs/>
          <w:sz w:val="22"/>
          <w:szCs w:val="22"/>
        </w:rPr>
        <w:t>)</w:t>
      </w:r>
    </w:p>
    <w:p w14:paraId="5D00823D" w14:textId="77777777" w:rsidR="00F30B1D" w:rsidRPr="00D61E89" w:rsidRDefault="00F30B1D" w:rsidP="0084793D">
      <w:pPr>
        <w:autoSpaceDE w:val="0"/>
        <w:autoSpaceDN w:val="0"/>
        <w:adjustRightInd w:val="0"/>
        <w:spacing w:before="120"/>
        <w:rPr>
          <w:rFonts w:ascii="Cambria" w:hAnsi="Cambria" w:cs="TradeGothic-CondEighteenObl"/>
          <w:i/>
          <w:iCs/>
          <w:sz w:val="22"/>
          <w:szCs w:val="22"/>
        </w:rPr>
      </w:pPr>
      <w:r w:rsidRPr="00D61E89">
        <w:rPr>
          <w:rFonts w:ascii="Cambria" w:hAnsi="Cambria" w:cs="TradeGothic-CondEighteenObl"/>
          <w:i/>
          <w:iCs/>
          <w:sz w:val="22"/>
          <w:szCs w:val="22"/>
        </w:rPr>
        <w:t>Minimum Period of Isolation of Patient with Chickenpox</w:t>
      </w:r>
    </w:p>
    <w:p w14:paraId="77914FC0" w14:textId="77777777" w:rsidR="00F30B1D" w:rsidRPr="00D61E89" w:rsidRDefault="00F30B1D" w:rsidP="00F30B1D">
      <w:pPr>
        <w:autoSpaceDE w:val="0"/>
        <w:autoSpaceDN w:val="0"/>
        <w:adjustRightInd w:val="0"/>
        <w:rPr>
          <w:rFonts w:ascii="Cambria" w:hAnsi="Cambria" w:cs="TradeGothic-CondEighteenObl"/>
          <w:iCs/>
          <w:sz w:val="22"/>
          <w:szCs w:val="22"/>
        </w:rPr>
      </w:pPr>
      <w:r w:rsidRPr="00D61E89">
        <w:rPr>
          <w:rFonts w:ascii="Cambria" w:hAnsi="Cambria" w:cs="TradeGothic-CondEighteenObl"/>
          <w:iCs/>
          <w:sz w:val="22"/>
          <w:szCs w:val="22"/>
        </w:rPr>
        <w:t>If vesicles are present, until lesions have dried and crusted or until no new lesions appear, usually by the fifth day (counting the day of rash onset as day zero). If no vesicles are present, until the lesions have faded (i.e., the skin lesions are in the process of resolving; lesions do not need to be completely resolved) or no new lesions appear within a 24-hour period, whichever is later.</w:t>
      </w:r>
    </w:p>
    <w:p w14:paraId="1CAD60AE" w14:textId="77777777" w:rsidR="00F30B1D" w:rsidRPr="00D61E89" w:rsidRDefault="00F30B1D" w:rsidP="00F30B1D">
      <w:pPr>
        <w:autoSpaceDE w:val="0"/>
        <w:autoSpaceDN w:val="0"/>
        <w:adjustRightInd w:val="0"/>
        <w:rPr>
          <w:rFonts w:ascii="Cambria" w:hAnsi="Cambria" w:cs="TradeGothic-CondEighteenObl"/>
          <w:i/>
          <w:iCs/>
          <w:sz w:val="22"/>
          <w:szCs w:val="22"/>
        </w:rPr>
      </w:pPr>
    </w:p>
    <w:p w14:paraId="4262A44A" w14:textId="77777777" w:rsidR="00F30B1D" w:rsidRPr="00D61E89" w:rsidRDefault="00F30B1D" w:rsidP="00F30B1D">
      <w:pPr>
        <w:autoSpaceDE w:val="0"/>
        <w:autoSpaceDN w:val="0"/>
        <w:adjustRightInd w:val="0"/>
        <w:rPr>
          <w:rFonts w:ascii="Cambria" w:hAnsi="Cambria" w:cs="TradeGothic-CondEighteenObl"/>
          <w:i/>
          <w:iCs/>
          <w:sz w:val="22"/>
          <w:szCs w:val="22"/>
        </w:rPr>
      </w:pPr>
      <w:r w:rsidRPr="00D61E89">
        <w:rPr>
          <w:rFonts w:ascii="Cambria" w:hAnsi="Cambria" w:cs="TradeGothic-CondEighteenObl"/>
          <w:i/>
          <w:iCs/>
          <w:sz w:val="22"/>
          <w:szCs w:val="22"/>
        </w:rPr>
        <w:t xml:space="preserve">Minimum Period of Quarantine of Contacts </w:t>
      </w:r>
    </w:p>
    <w:p w14:paraId="5D4583BF" w14:textId="77777777" w:rsidR="00F30B1D" w:rsidRPr="00D61E89" w:rsidRDefault="00F30B1D" w:rsidP="00F30B1D">
      <w:pPr>
        <w:autoSpaceDE w:val="0"/>
        <w:autoSpaceDN w:val="0"/>
        <w:adjustRightInd w:val="0"/>
        <w:rPr>
          <w:rFonts w:ascii="Cambria" w:hAnsi="Cambria" w:cs="TradeGothic-CondEighteenObl"/>
          <w:iCs/>
          <w:sz w:val="22"/>
          <w:szCs w:val="22"/>
        </w:rPr>
      </w:pPr>
      <w:r w:rsidRPr="00D61E89">
        <w:rPr>
          <w:rFonts w:ascii="Cambria" w:hAnsi="Cambria" w:cs="TradeGothic-CondEighteenObl"/>
          <w:iCs/>
          <w:sz w:val="22"/>
          <w:szCs w:val="22"/>
        </w:rPr>
        <w:t>Susceptible contacts in non-healthcare settings</w:t>
      </w:r>
      <w:r w:rsidR="00E7654F">
        <w:rPr>
          <w:rFonts w:ascii="Cambria" w:hAnsi="Cambria" w:cs="TradeGothic-CondEighteenObl"/>
          <w:iCs/>
          <w:sz w:val="22"/>
          <w:szCs w:val="22"/>
        </w:rPr>
        <w:t>,</w:t>
      </w:r>
      <w:r w:rsidRPr="00D61E89">
        <w:rPr>
          <w:rFonts w:ascii="Cambria" w:hAnsi="Cambria" w:cs="TradeGothic-CondEighteenObl"/>
          <w:iCs/>
          <w:sz w:val="22"/>
          <w:szCs w:val="22"/>
        </w:rPr>
        <w:t xml:space="preserve"> who are not appropriately immunized or are without laboratory evidence of immunity or a reliable history of chickenpox, shall be excluded from school, work and other public activities from the 8th through the 21st days after their exposure to the case while the case was infectious. If the exposure was continuous, susceptible</w:t>
      </w:r>
      <w:r w:rsidR="00EE2E9C">
        <w:rPr>
          <w:rFonts w:ascii="Cambria" w:hAnsi="Cambria" w:cs="TradeGothic-CondEighteenObl"/>
          <w:iCs/>
          <w:sz w:val="22"/>
          <w:szCs w:val="22"/>
        </w:rPr>
        <w:t xml:space="preserve"> contacts</w:t>
      </w:r>
      <w:r w:rsidRPr="00D61E89">
        <w:rPr>
          <w:rFonts w:ascii="Cambria" w:hAnsi="Cambria" w:cs="TradeGothic-CondEighteenObl"/>
          <w:iCs/>
          <w:sz w:val="22"/>
          <w:szCs w:val="22"/>
        </w:rPr>
        <w:t xml:space="preserve"> shall be excluded from days 8–21 after the case’s rash onset. In high-risk settings, the MDPH may impose more rigorous exclusion criteria. Healthcare workers who are not appropriately immunized, are without laboratory evidence of immunity, or do not have a reliable history of chickenpox, shall be excluded from work from the 8th day after their first exposure during the case’s infectious period through the 21st day after the last exposure during </w:t>
      </w:r>
      <w:r w:rsidR="00B07964">
        <w:rPr>
          <w:rFonts w:ascii="Cambria" w:hAnsi="Cambria" w:cs="TradeGothic-CondEighteenObl"/>
          <w:iCs/>
          <w:sz w:val="22"/>
          <w:szCs w:val="22"/>
        </w:rPr>
        <w:t xml:space="preserve">the </w:t>
      </w:r>
      <w:r w:rsidRPr="00D61E89">
        <w:rPr>
          <w:rFonts w:ascii="Cambria" w:hAnsi="Cambria" w:cs="TradeGothic-CondEighteenObl"/>
          <w:iCs/>
          <w:sz w:val="22"/>
          <w:szCs w:val="22"/>
        </w:rPr>
        <w:t xml:space="preserve">case’s infectious period. Anyone receiving </w:t>
      </w:r>
      <w:r w:rsidR="003D078E">
        <w:rPr>
          <w:rFonts w:ascii="Cambria" w:hAnsi="Cambria" w:cs="TradeGothic-CondEighteenObl"/>
          <w:iCs/>
          <w:sz w:val="22"/>
          <w:szCs w:val="22"/>
        </w:rPr>
        <w:t>VariZIG</w:t>
      </w:r>
      <w:r w:rsidRPr="00D61E89">
        <w:rPr>
          <w:rFonts w:ascii="Cambria" w:hAnsi="Cambria" w:cs="TradeGothic-CondEighteenObl"/>
          <w:iCs/>
          <w:sz w:val="22"/>
          <w:szCs w:val="22"/>
        </w:rPr>
        <w:t>™ or IGIV shall extend their exclusion to 28 days post-exposure.</w:t>
      </w:r>
    </w:p>
    <w:p w14:paraId="4EDC208F" w14:textId="77777777" w:rsidR="006D78F0" w:rsidRPr="00D61E89" w:rsidRDefault="006D78F0" w:rsidP="0084793D">
      <w:pPr>
        <w:autoSpaceDE w:val="0"/>
        <w:autoSpaceDN w:val="0"/>
        <w:adjustRightInd w:val="0"/>
        <w:spacing w:before="240" w:after="120"/>
        <w:rPr>
          <w:rFonts w:ascii="Arial" w:hAnsi="Arial" w:cs="Arial"/>
          <w:b/>
          <w:bCs/>
          <w:sz w:val="22"/>
          <w:szCs w:val="22"/>
        </w:rPr>
      </w:pPr>
      <w:r w:rsidRPr="00D61E89">
        <w:rPr>
          <w:rFonts w:ascii="Arial" w:hAnsi="Arial" w:cs="Arial"/>
          <w:b/>
          <w:bCs/>
          <w:sz w:val="22"/>
          <w:szCs w:val="22"/>
        </w:rPr>
        <w:t>B. Protection of Contacts of a Case</w:t>
      </w:r>
    </w:p>
    <w:p w14:paraId="6DD9F68C" w14:textId="77777777" w:rsidR="00F30B1D" w:rsidRPr="00D61E89" w:rsidRDefault="00F30B1D" w:rsidP="00F30B1D">
      <w:pPr>
        <w:numPr>
          <w:ilvl w:val="0"/>
          <w:numId w:val="15"/>
        </w:numPr>
        <w:autoSpaceDE w:val="0"/>
        <w:autoSpaceDN w:val="0"/>
        <w:adjustRightInd w:val="0"/>
        <w:rPr>
          <w:rFonts w:ascii="Cambria" w:hAnsi="Cambria" w:cs="Garamond-BookCondensed"/>
          <w:b/>
          <w:sz w:val="22"/>
          <w:szCs w:val="22"/>
        </w:rPr>
      </w:pPr>
      <w:r w:rsidRPr="00D61E89">
        <w:rPr>
          <w:rFonts w:ascii="Cambria" w:hAnsi="Cambria" w:cs="Garamond-BookCondensed"/>
          <w:b/>
          <w:sz w:val="22"/>
          <w:szCs w:val="22"/>
        </w:rPr>
        <w:t xml:space="preserve">Verify diagnosis and determine the type of rash. </w:t>
      </w:r>
    </w:p>
    <w:p w14:paraId="5DD44893" w14:textId="77777777" w:rsidR="00E7654F" w:rsidRDefault="00E7654F" w:rsidP="00F30B1D">
      <w:pPr>
        <w:autoSpaceDE w:val="0"/>
        <w:autoSpaceDN w:val="0"/>
        <w:adjustRightInd w:val="0"/>
        <w:ind w:left="360"/>
        <w:rPr>
          <w:rFonts w:ascii="Cambria" w:hAnsi="Cambria" w:cs="Garamond-BookCondensed"/>
          <w:sz w:val="22"/>
          <w:szCs w:val="22"/>
        </w:rPr>
      </w:pPr>
    </w:p>
    <w:p w14:paraId="33F12903" w14:textId="77777777" w:rsidR="00F30B1D" w:rsidRPr="00D61E89" w:rsidRDefault="00F30B1D" w:rsidP="00F30B1D">
      <w:pPr>
        <w:autoSpaceDE w:val="0"/>
        <w:autoSpaceDN w:val="0"/>
        <w:adjustRightInd w:val="0"/>
        <w:ind w:left="360"/>
        <w:rPr>
          <w:rFonts w:ascii="Cambria" w:hAnsi="Cambria" w:cs="Garamond-BookCondensed"/>
          <w:sz w:val="22"/>
          <w:szCs w:val="22"/>
        </w:rPr>
      </w:pPr>
      <w:r w:rsidRPr="00D61E89">
        <w:rPr>
          <w:rFonts w:ascii="Cambria" w:hAnsi="Cambria" w:cs="Garamond-BookCondensed"/>
          <w:sz w:val="22"/>
          <w:szCs w:val="22"/>
        </w:rPr>
        <w:t>Contact must be made with the diagnosing healthcare provider to confirm the diagnosis</w:t>
      </w:r>
      <w:r w:rsidR="00E7654F">
        <w:rPr>
          <w:rFonts w:ascii="Cambria" w:hAnsi="Cambria" w:cs="Garamond-BookCondensed"/>
          <w:sz w:val="22"/>
          <w:szCs w:val="22"/>
        </w:rPr>
        <w:t>,</w:t>
      </w:r>
      <w:r w:rsidRPr="00D61E89">
        <w:rPr>
          <w:rFonts w:ascii="Cambria" w:hAnsi="Cambria" w:cs="Garamond-BookCondensed"/>
          <w:sz w:val="22"/>
          <w:szCs w:val="22"/>
        </w:rPr>
        <w:t xml:space="preserve"> if exclusions are going to occur.</w:t>
      </w:r>
      <w:r w:rsidR="00500E9C">
        <w:rPr>
          <w:rFonts w:ascii="Cambria" w:hAnsi="Cambria" w:cs="Garamond-BookCondensed"/>
          <w:sz w:val="22"/>
          <w:szCs w:val="22"/>
        </w:rPr>
        <w:t xml:space="preserve"> </w:t>
      </w:r>
      <w:r w:rsidRPr="00D61E89">
        <w:rPr>
          <w:rFonts w:ascii="Cambria" w:hAnsi="Cambria" w:cs="Garamond-BookCondensed"/>
          <w:sz w:val="22"/>
          <w:szCs w:val="22"/>
        </w:rPr>
        <w:t xml:space="preserve">Types of chickenpox rash illness are: 1) wild type, 2) breakthrough, or 3) </w:t>
      </w:r>
      <w:r w:rsidR="00E7654F">
        <w:rPr>
          <w:rFonts w:ascii="Cambria" w:hAnsi="Cambria" w:cs="Garamond-BookCondensed"/>
          <w:sz w:val="22"/>
          <w:szCs w:val="22"/>
        </w:rPr>
        <w:t>vaccine-associated</w:t>
      </w:r>
      <w:r w:rsidRPr="00D61E89">
        <w:rPr>
          <w:rFonts w:ascii="Cambria" w:hAnsi="Cambria" w:cs="Garamond-BookCondensed"/>
          <w:sz w:val="22"/>
          <w:szCs w:val="22"/>
        </w:rPr>
        <w:t>.</w:t>
      </w:r>
      <w:r w:rsidR="00500E9C">
        <w:rPr>
          <w:rFonts w:ascii="Cambria" w:hAnsi="Cambria" w:cs="Garamond-BookCondensed"/>
          <w:sz w:val="22"/>
          <w:szCs w:val="22"/>
        </w:rPr>
        <w:t xml:space="preserve"> </w:t>
      </w:r>
      <w:r w:rsidRPr="00D61E89">
        <w:rPr>
          <w:rFonts w:ascii="Cambria" w:hAnsi="Cambria" w:cs="Garamond-BookCondensed"/>
          <w:sz w:val="22"/>
          <w:szCs w:val="22"/>
        </w:rPr>
        <w:t xml:space="preserve">Use </w:t>
      </w:r>
      <w:r w:rsidRPr="00D61E89">
        <w:rPr>
          <w:rFonts w:ascii="Cambria" w:hAnsi="Cambria" w:cs="Garamond-BookCondensed"/>
          <w:i/>
          <w:sz w:val="22"/>
          <w:szCs w:val="22"/>
        </w:rPr>
        <w:t xml:space="preserve">Attachment B: Guidelines for Evaluating Chickenpox-like Rash </w:t>
      </w:r>
      <w:r w:rsidRPr="00D61E89">
        <w:rPr>
          <w:rFonts w:ascii="Cambria" w:hAnsi="Cambria" w:cs="Garamond-BookCondensed"/>
          <w:sz w:val="22"/>
          <w:szCs w:val="22"/>
        </w:rPr>
        <w:t>as a guide</w:t>
      </w:r>
      <w:r w:rsidR="004B4BCF">
        <w:rPr>
          <w:rFonts w:ascii="Cambria" w:hAnsi="Cambria" w:cs="Garamond-BookCondensed"/>
          <w:sz w:val="22"/>
          <w:szCs w:val="22"/>
        </w:rPr>
        <w:t xml:space="preserve"> or call the Division of Epidemiology at 617/983-6800</w:t>
      </w:r>
      <w:r w:rsidRPr="00D61E89">
        <w:rPr>
          <w:rFonts w:ascii="Cambria" w:hAnsi="Cambria" w:cs="Garamond-BookCondensed"/>
          <w:sz w:val="22"/>
          <w:szCs w:val="22"/>
        </w:rPr>
        <w:t xml:space="preserve">. </w:t>
      </w:r>
    </w:p>
    <w:p w14:paraId="45BF2A5C" w14:textId="77777777" w:rsidR="00F30B1D" w:rsidRPr="00D61E89" w:rsidRDefault="00F30B1D" w:rsidP="00F30B1D">
      <w:pPr>
        <w:autoSpaceDE w:val="0"/>
        <w:autoSpaceDN w:val="0"/>
        <w:adjustRightInd w:val="0"/>
        <w:ind w:left="360"/>
        <w:rPr>
          <w:rFonts w:ascii="Cambria" w:hAnsi="Cambria" w:cs="Garamond-BookCondensed"/>
          <w:sz w:val="22"/>
          <w:szCs w:val="22"/>
        </w:rPr>
      </w:pPr>
    </w:p>
    <w:p w14:paraId="51C8F632" w14:textId="77777777" w:rsidR="00F30B1D" w:rsidRPr="00D61E89" w:rsidRDefault="00F30B1D" w:rsidP="00F30B1D">
      <w:pPr>
        <w:autoSpaceDE w:val="0"/>
        <w:autoSpaceDN w:val="0"/>
        <w:adjustRightInd w:val="0"/>
        <w:ind w:left="360"/>
        <w:rPr>
          <w:rFonts w:ascii="Cambria" w:hAnsi="Cambria" w:cs="Garamond-BookCondensed"/>
          <w:sz w:val="22"/>
          <w:szCs w:val="22"/>
        </w:rPr>
      </w:pPr>
      <w:r w:rsidRPr="00D61E89">
        <w:rPr>
          <w:rFonts w:ascii="Cambria" w:hAnsi="Cambria" w:cs="Garamond-BookCondensed"/>
          <w:sz w:val="22"/>
          <w:szCs w:val="22"/>
        </w:rPr>
        <w:t>Cases of wild-type chickenpox and breakthrough chickenpox disease are treated equally with regard to infectiousness and control measures, as outlined below. Vaccine-associated rashes, which typically occur 15-42 days after vaccination, are thought to be only rarely infectious. For this reason, control measures are generally not necessary and neither is exclusion, provided no high-risk susceptible contacts are identified.</w:t>
      </w:r>
      <w:r w:rsidRPr="00D61E89" w:rsidDel="00D74D18">
        <w:rPr>
          <w:rFonts w:ascii="Cambria" w:hAnsi="Cambria" w:cs="Garamond-BookCondensed"/>
          <w:sz w:val="22"/>
          <w:szCs w:val="22"/>
        </w:rPr>
        <w:t xml:space="preserve"> </w:t>
      </w:r>
    </w:p>
    <w:p w14:paraId="2599AFC9" w14:textId="77777777" w:rsidR="00F30B1D" w:rsidRPr="00D61E89" w:rsidRDefault="00F30B1D" w:rsidP="00F30B1D">
      <w:pPr>
        <w:autoSpaceDE w:val="0"/>
        <w:autoSpaceDN w:val="0"/>
        <w:adjustRightInd w:val="0"/>
        <w:ind w:left="360"/>
        <w:rPr>
          <w:rFonts w:ascii="Cambria" w:hAnsi="Cambria" w:cs="Garamond-BookCondensed"/>
          <w:sz w:val="22"/>
          <w:szCs w:val="22"/>
        </w:rPr>
      </w:pPr>
    </w:p>
    <w:p w14:paraId="13F980C6" w14:textId="77777777" w:rsidR="00F30B1D" w:rsidRPr="00D61E89" w:rsidRDefault="00F30B1D" w:rsidP="00F30B1D">
      <w:pPr>
        <w:numPr>
          <w:ilvl w:val="0"/>
          <w:numId w:val="15"/>
        </w:numPr>
        <w:autoSpaceDE w:val="0"/>
        <w:autoSpaceDN w:val="0"/>
        <w:adjustRightInd w:val="0"/>
        <w:rPr>
          <w:rFonts w:ascii="Cambria" w:hAnsi="Cambria" w:cs="Garamond-BookCondensed"/>
          <w:b/>
          <w:sz w:val="22"/>
          <w:szCs w:val="22"/>
        </w:rPr>
      </w:pPr>
      <w:r w:rsidRPr="00D61E89">
        <w:rPr>
          <w:rFonts w:ascii="Cambria" w:hAnsi="Cambria" w:cs="Garamond-BookCondensed"/>
          <w:b/>
          <w:sz w:val="22"/>
          <w:szCs w:val="22"/>
        </w:rPr>
        <w:t>Isolate the case.</w:t>
      </w:r>
    </w:p>
    <w:p w14:paraId="65CDDBBB" w14:textId="77777777" w:rsidR="00F30B1D" w:rsidRPr="00D61E89" w:rsidRDefault="00F30B1D" w:rsidP="00F30B1D">
      <w:pPr>
        <w:autoSpaceDE w:val="0"/>
        <w:autoSpaceDN w:val="0"/>
        <w:adjustRightInd w:val="0"/>
        <w:ind w:left="360"/>
        <w:rPr>
          <w:rFonts w:ascii="Cambria" w:hAnsi="Cambria" w:cs="Garamond-BookCondensed"/>
          <w:sz w:val="22"/>
          <w:szCs w:val="22"/>
        </w:rPr>
      </w:pPr>
      <w:r w:rsidRPr="00D61E89">
        <w:rPr>
          <w:rFonts w:ascii="Cambria" w:hAnsi="Cambria" w:cs="Garamond-BookCondensed"/>
          <w:sz w:val="22"/>
          <w:szCs w:val="22"/>
        </w:rPr>
        <w:t>Case should be isolated if vesicles are present, until all lesions have crusted over, usually by the 5th day after rash onset, but sometimes longer in immunocompromised patients. If no vesicles are present, isolate the patient until the lesions have faded (i.e., the skin lesions are in the process of resolving; lesions do not need to be completely resolved) or no new lesions appear within a 24-hour period, whichever is later.</w:t>
      </w:r>
    </w:p>
    <w:p w14:paraId="257390CB" w14:textId="77777777" w:rsidR="00F30B1D" w:rsidRPr="00D61E89" w:rsidRDefault="00F30B1D" w:rsidP="00F30B1D">
      <w:pPr>
        <w:autoSpaceDE w:val="0"/>
        <w:autoSpaceDN w:val="0"/>
        <w:adjustRightInd w:val="0"/>
        <w:rPr>
          <w:rFonts w:ascii="Cambria" w:hAnsi="Cambria" w:cs="Garamond-BookCondensed"/>
          <w:sz w:val="22"/>
          <w:szCs w:val="22"/>
        </w:rPr>
      </w:pPr>
    </w:p>
    <w:p w14:paraId="5D8678E3" w14:textId="77777777" w:rsidR="00F30B1D" w:rsidRPr="00D61E89" w:rsidRDefault="00F30B1D" w:rsidP="00F30B1D">
      <w:pPr>
        <w:numPr>
          <w:ilvl w:val="0"/>
          <w:numId w:val="15"/>
        </w:numPr>
        <w:autoSpaceDE w:val="0"/>
        <w:autoSpaceDN w:val="0"/>
        <w:adjustRightInd w:val="0"/>
        <w:rPr>
          <w:rFonts w:ascii="Cambria" w:hAnsi="Cambria" w:cs="Garamond-BookCondensed"/>
          <w:sz w:val="22"/>
          <w:szCs w:val="22"/>
        </w:rPr>
      </w:pPr>
      <w:r w:rsidRPr="00D61E89">
        <w:rPr>
          <w:rFonts w:ascii="Cambria" w:hAnsi="Cambria" w:cs="Garamond-BookCondensed"/>
          <w:b/>
          <w:sz w:val="22"/>
          <w:szCs w:val="22"/>
        </w:rPr>
        <w:t>Identify all those exposed.</w:t>
      </w:r>
    </w:p>
    <w:p w14:paraId="0AD87EB3" w14:textId="77777777" w:rsidR="00F30B1D" w:rsidRPr="00D61E89" w:rsidRDefault="00F30B1D" w:rsidP="00F30B1D">
      <w:pPr>
        <w:autoSpaceDE w:val="0"/>
        <w:autoSpaceDN w:val="0"/>
        <w:adjustRightInd w:val="0"/>
        <w:ind w:left="360"/>
        <w:rPr>
          <w:rFonts w:ascii="Cambria" w:hAnsi="Cambria" w:cs="Garamond-BookCondensed"/>
          <w:sz w:val="22"/>
          <w:szCs w:val="22"/>
        </w:rPr>
      </w:pPr>
      <w:r w:rsidRPr="00D61E89">
        <w:rPr>
          <w:rFonts w:ascii="Cambria" w:hAnsi="Cambria" w:cs="Garamond-BookCondensed"/>
          <w:sz w:val="22"/>
          <w:szCs w:val="22"/>
        </w:rPr>
        <w:t>Exposure to chickenpox is defined as contact with nasopharyngeal secretions or lesions, face-to-face interaction, or sharing indoor airspace with an infectious person (e.g., occupying the same 2–4-bed ward or adjacent beds in a large ward) during the patient’s infectious period (2 days before rash onset until lesions have crusted over).</w:t>
      </w:r>
      <w:r w:rsidR="00964988">
        <w:rPr>
          <w:rFonts w:ascii="Cambria" w:hAnsi="Cambria" w:cs="Garamond-BookCondensed"/>
          <w:sz w:val="22"/>
          <w:szCs w:val="22"/>
        </w:rPr>
        <w:t xml:space="preserve"> For example:</w:t>
      </w:r>
    </w:p>
    <w:p w14:paraId="2E815186" w14:textId="77777777" w:rsidR="00F30B1D" w:rsidRPr="00D61E89" w:rsidRDefault="00F30B1D" w:rsidP="00F30B1D">
      <w:pPr>
        <w:numPr>
          <w:ilvl w:val="0"/>
          <w:numId w:val="16"/>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Household members</w:t>
      </w:r>
      <w:r w:rsidR="00C416E5">
        <w:rPr>
          <w:rFonts w:ascii="Cambria" w:hAnsi="Cambria" w:cs="Garamond-BookCondensed"/>
          <w:sz w:val="22"/>
          <w:szCs w:val="22"/>
        </w:rPr>
        <w:t xml:space="preserve">/close friends </w:t>
      </w:r>
      <w:r w:rsidRPr="00D61E89">
        <w:rPr>
          <w:rFonts w:ascii="Cambria" w:hAnsi="Cambria" w:cs="Garamond-BookCondensed"/>
          <w:sz w:val="22"/>
          <w:szCs w:val="22"/>
        </w:rPr>
        <w:t>(</w:t>
      </w:r>
      <w:r w:rsidR="00500E9C">
        <w:rPr>
          <w:rFonts w:ascii="Cambria" w:hAnsi="Cambria" w:cs="Garamond-BookCondensed"/>
          <w:sz w:val="22"/>
          <w:szCs w:val="22"/>
        </w:rPr>
        <w:t>includ</w:t>
      </w:r>
      <w:r w:rsidR="00C416E5">
        <w:rPr>
          <w:rFonts w:ascii="Cambria" w:hAnsi="Cambria" w:cs="Garamond-BookCondensed"/>
          <w:sz w:val="22"/>
          <w:szCs w:val="22"/>
        </w:rPr>
        <w:t>e</w:t>
      </w:r>
      <w:r w:rsidRPr="00D61E89">
        <w:rPr>
          <w:rFonts w:ascii="Cambria" w:hAnsi="Cambria" w:cs="Garamond-BookCondensed"/>
          <w:sz w:val="22"/>
          <w:szCs w:val="22"/>
        </w:rPr>
        <w:t xml:space="preserve"> staff and clients in a group home or shelter)</w:t>
      </w:r>
    </w:p>
    <w:p w14:paraId="322159DF" w14:textId="77777777" w:rsidR="00F30B1D" w:rsidRPr="00D61E89" w:rsidRDefault="00F30B1D" w:rsidP="00F30B1D">
      <w:pPr>
        <w:numPr>
          <w:ilvl w:val="0"/>
          <w:numId w:val="16"/>
        </w:numPr>
        <w:autoSpaceDE w:val="0"/>
        <w:autoSpaceDN w:val="0"/>
        <w:adjustRightInd w:val="0"/>
        <w:rPr>
          <w:rFonts w:ascii="Cambria" w:hAnsi="Cambria" w:cs="Garamond-BookCondensed"/>
          <w:strike/>
          <w:sz w:val="22"/>
          <w:szCs w:val="22"/>
        </w:rPr>
      </w:pPr>
      <w:r w:rsidRPr="00D61E89">
        <w:rPr>
          <w:rFonts w:ascii="Cambria" w:hAnsi="Cambria" w:cs="Garamond-BookCondensed"/>
          <w:sz w:val="22"/>
          <w:szCs w:val="22"/>
        </w:rPr>
        <w:t>School/childcare students and staf</w:t>
      </w:r>
      <w:r w:rsidR="004B4BCF">
        <w:rPr>
          <w:rFonts w:ascii="Cambria" w:hAnsi="Cambria" w:cs="Garamond-BookCondensed"/>
          <w:sz w:val="22"/>
          <w:szCs w:val="22"/>
        </w:rPr>
        <w:t>f</w:t>
      </w:r>
    </w:p>
    <w:p w14:paraId="448191D5" w14:textId="77777777" w:rsidR="00F30B1D" w:rsidRPr="00D61E89" w:rsidRDefault="00F30B1D" w:rsidP="00F30B1D">
      <w:pPr>
        <w:numPr>
          <w:ilvl w:val="0"/>
          <w:numId w:val="16"/>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Staff and patients of healthcare facilities </w:t>
      </w:r>
    </w:p>
    <w:p w14:paraId="39C47FB5" w14:textId="77777777" w:rsidR="00F30B1D" w:rsidRPr="00D61E89" w:rsidRDefault="00F30B1D" w:rsidP="00F30B1D">
      <w:pPr>
        <w:numPr>
          <w:ilvl w:val="0"/>
          <w:numId w:val="16"/>
        </w:numPr>
        <w:autoSpaceDE w:val="0"/>
        <w:autoSpaceDN w:val="0"/>
        <w:adjustRightInd w:val="0"/>
        <w:rPr>
          <w:rFonts w:ascii="Cambria" w:hAnsi="Cambria" w:cs="Garamond-BookCondensed"/>
          <w:strike/>
          <w:sz w:val="22"/>
          <w:szCs w:val="22"/>
        </w:rPr>
      </w:pPr>
      <w:r w:rsidRPr="00D61E89">
        <w:rPr>
          <w:rFonts w:ascii="Cambria" w:hAnsi="Cambria" w:cs="Garamond-BookCondensed"/>
          <w:sz w:val="22"/>
          <w:szCs w:val="22"/>
        </w:rPr>
        <w:t>Work</w:t>
      </w:r>
      <w:r w:rsidR="00500E9C">
        <w:rPr>
          <w:rFonts w:ascii="Cambria" w:hAnsi="Cambria" w:cs="Garamond-BookCondensed"/>
          <w:sz w:val="22"/>
          <w:szCs w:val="22"/>
        </w:rPr>
        <w:t>-</w:t>
      </w:r>
      <w:r w:rsidRPr="00D61E89">
        <w:rPr>
          <w:rFonts w:ascii="Cambria" w:hAnsi="Cambria" w:cs="Garamond-BookCondensed"/>
          <w:sz w:val="22"/>
          <w:szCs w:val="22"/>
        </w:rPr>
        <w:t>place contacts (especially in childcare, school, and healthcare settings)</w:t>
      </w:r>
    </w:p>
    <w:p w14:paraId="426408BD" w14:textId="77777777" w:rsidR="00F30B1D" w:rsidRPr="00D61E89" w:rsidRDefault="00F30B1D" w:rsidP="00F30B1D">
      <w:pPr>
        <w:numPr>
          <w:ilvl w:val="0"/>
          <w:numId w:val="16"/>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Social</w:t>
      </w:r>
      <w:r w:rsidR="00500E9C">
        <w:rPr>
          <w:rFonts w:ascii="Cambria" w:hAnsi="Cambria" w:cs="Garamond-BookCondensed"/>
          <w:sz w:val="22"/>
          <w:szCs w:val="22"/>
        </w:rPr>
        <w:t>, sport, extracurricular</w:t>
      </w:r>
      <w:r w:rsidRPr="00D61E89">
        <w:rPr>
          <w:rFonts w:ascii="Cambria" w:hAnsi="Cambria" w:cs="Garamond-BookCondensed"/>
          <w:sz w:val="22"/>
          <w:szCs w:val="22"/>
        </w:rPr>
        <w:t xml:space="preserve"> and religious groups</w:t>
      </w:r>
      <w:r w:rsidR="004B4BCF">
        <w:rPr>
          <w:rFonts w:ascii="Cambria" w:hAnsi="Cambria" w:cs="Garamond-BookCondensed"/>
          <w:sz w:val="22"/>
          <w:szCs w:val="22"/>
        </w:rPr>
        <w:t>/events</w:t>
      </w:r>
    </w:p>
    <w:p w14:paraId="12B0072A" w14:textId="77777777" w:rsidR="00F30B1D" w:rsidRPr="00D61E89" w:rsidRDefault="00F30B1D" w:rsidP="00F30B1D">
      <w:pPr>
        <w:numPr>
          <w:ilvl w:val="0"/>
          <w:numId w:val="16"/>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Bus/carpoo</w:t>
      </w:r>
      <w:r w:rsidR="00314113">
        <w:rPr>
          <w:rFonts w:ascii="Cambria" w:hAnsi="Cambria" w:cs="Garamond-BookCondensed"/>
          <w:sz w:val="22"/>
          <w:szCs w:val="22"/>
        </w:rPr>
        <w:t>l</w:t>
      </w:r>
      <w:r w:rsidR="004B4BCF">
        <w:rPr>
          <w:rFonts w:ascii="Cambria" w:hAnsi="Cambria" w:cs="Garamond-BookCondensed"/>
          <w:sz w:val="22"/>
          <w:szCs w:val="22"/>
        </w:rPr>
        <w:t>/other travel</w:t>
      </w:r>
    </w:p>
    <w:p w14:paraId="060F9B32" w14:textId="77777777" w:rsidR="00F30B1D" w:rsidRPr="004B4BCF" w:rsidRDefault="00F30B1D" w:rsidP="004F2DEA">
      <w:pPr>
        <w:autoSpaceDE w:val="0"/>
        <w:autoSpaceDN w:val="0"/>
        <w:adjustRightInd w:val="0"/>
        <w:ind w:left="1080"/>
        <w:rPr>
          <w:rFonts w:ascii="Garamond-BookCondensed" w:hAnsi="Garamond-BookCondensed" w:cs="Garamond-BookCondensed"/>
          <w:sz w:val="20"/>
          <w:szCs w:val="20"/>
        </w:rPr>
      </w:pPr>
    </w:p>
    <w:p w14:paraId="1FC184D7" w14:textId="77777777" w:rsidR="00F30B1D" w:rsidRPr="00D61E89" w:rsidRDefault="00F30B1D" w:rsidP="00F30B1D">
      <w:pPr>
        <w:pBdr>
          <w:top w:val="single" w:sz="4" w:space="1" w:color="auto"/>
          <w:left w:val="single" w:sz="4" w:space="4" w:color="auto"/>
          <w:bottom w:val="single" w:sz="4" w:space="1" w:color="auto"/>
          <w:right w:val="single" w:sz="4" w:space="4" w:color="auto"/>
        </w:pBdr>
        <w:autoSpaceDE w:val="0"/>
        <w:autoSpaceDN w:val="0"/>
        <w:adjustRightInd w:val="0"/>
        <w:spacing w:before="60" w:after="60"/>
        <w:ind w:left="360"/>
        <w:rPr>
          <w:rFonts w:ascii="Cambria" w:hAnsi="Cambria" w:cs="Garamond-BookCondensed"/>
          <w:b/>
          <w:sz w:val="22"/>
          <w:szCs w:val="22"/>
        </w:rPr>
      </w:pPr>
      <w:r w:rsidRPr="00D61E89">
        <w:rPr>
          <w:rFonts w:ascii="Cambria" w:hAnsi="Cambria" w:cs="Garamond-BookCondensed"/>
          <w:b/>
          <w:sz w:val="22"/>
          <w:szCs w:val="22"/>
        </w:rPr>
        <w:t>Note: See Section 4C for more information on managing special situations, including schools, prisons and jails, infant daycare and healthcare settings.</w:t>
      </w:r>
    </w:p>
    <w:p w14:paraId="5E11DE02" w14:textId="77777777" w:rsidR="00F30B1D" w:rsidRPr="00D61E89" w:rsidRDefault="00F30B1D" w:rsidP="00F30B1D">
      <w:pPr>
        <w:autoSpaceDE w:val="0"/>
        <w:autoSpaceDN w:val="0"/>
        <w:adjustRightInd w:val="0"/>
        <w:rPr>
          <w:rFonts w:ascii="Cambria" w:hAnsi="Cambria" w:cs="Garamond-BookCondensed"/>
          <w:sz w:val="22"/>
          <w:szCs w:val="22"/>
        </w:rPr>
      </w:pPr>
    </w:p>
    <w:p w14:paraId="6E7ECB84" w14:textId="77777777" w:rsidR="00F30B1D" w:rsidRPr="00D61E89" w:rsidRDefault="00F30B1D" w:rsidP="00F30B1D">
      <w:pPr>
        <w:numPr>
          <w:ilvl w:val="0"/>
          <w:numId w:val="15"/>
        </w:numPr>
        <w:autoSpaceDE w:val="0"/>
        <w:autoSpaceDN w:val="0"/>
        <w:adjustRightInd w:val="0"/>
        <w:rPr>
          <w:rFonts w:ascii="Cambria" w:hAnsi="Cambria" w:cs="Garamond-BookCondensed"/>
          <w:sz w:val="22"/>
          <w:szCs w:val="22"/>
        </w:rPr>
      </w:pPr>
      <w:r w:rsidRPr="00D61E89">
        <w:rPr>
          <w:rFonts w:ascii="Cambria" w:hAnsi="Cambria" w:cs="Garamond-BookCondensed"/>
          <w:b/>
          <w:sz w:val="22"/>
          <w:szCs w:val="22"/>
        </w:rPr>
        <w:t>Identify susceptible</w:t>
      </w:r>
      <w:r w:rsidR="007D58C8">
        <w:rPr>
          <w:rFonts w:ascii="Cambria" w:hAnsi="Cambria" w:cs="Garamond-BookCondensed"/>
          <w:b/>
          <w:sz w:val="22"/>
          <w:szCs w:val="22"/>
        </w:rPr>
        <w:t xml:space="preserve"> individuals </w:t>
      </w:r>
      <w:r w:rsidRPr="00D61E89">
        <w:rPr>
          <w:rFonts w:ascii="Cambria" w:hAnsi="Cambria" w:cs="Garamond-BookCondensed"/>
          <w:b/>
          <w:sz w:val="22"/>
          <w:szCs w:val="22"/>
        </w:rPr>
        <w:t>among the exposed.</w:t>
      </w:r>
      <w:r w:rsidRPr="00D61E89">
        <w:rPr>
          <w:rFonts w:ascii="Cambria" w:hAnsi="Cambria" w:cs="Garamond-BookCondensed"/>
          <w:sz w:val="22"/>
          <w:szCs w:val="22"/>
        </w:rPr>
        <w:t xml:space="preserve"> </w:t>
      </w:r>
    </w:p>
    <w:p w14:paraId="11526A29" w14:textId="77777777" w:rsidR="00F30B1D" w:rsidRPr="00D61E89" w:rsidRDefault="00F30B1D" w:rsidP="00F30B1D">
      <w:pPr>
        <w:autoSpaceDE w:val="0"/>
        <w:autoSpaceDN w:val="0"/>
        <w:adjustRightInd w:val="0"/>
        <w:ind w:left="360"/>
        <w:rPr>
          <w:rFonts w:ascii="Cambria" w:hAnsi="Cambria" w:cs="Garamond-BookCondensed"/>
          <w:sz w:val="22"/>
          <w:szCs w:val="22"/>
        </w:rPr>
      </w:pPr>
      <w:r w:rsidRPr="00D61E89">
        <w:rPr>
          <w:rFonts w:ascii="Cambria" w:hAnsi="Cambria" w:cs="Garamond-BookCondensed"/>
          <w:sz w:val="22"/>
          <w:szCs w:val="22"/>
        </w:rPr>
        <w:t>Susceptible</w:t>
      </w:r>
      <w:r w:rsidR="007D58C8">
        <w:rPr>
          <w:rFonts w:ascii="Cambria" w:hAnsi="Cambria" w:cs="Garamond-BookCondensed"/>
          <w:sz w:val="22"/>
          <w:szCs w:val="22"/>
        </w:rPr>
        <w:t xml:space="preserve"> individuals </w:t>
      </w:r>
      <w:r w:rsidRPr="00D61E89">
        <w:rPr>
          <w:rFonts w:ascii="Cambria" w:hAnsi="Cambria" w:cs="Garamond-BookCondensed"/>
          <w:sz w:val="22"/>
          <w:szCs w:val="22"/>
        </w:rPr>
        <w:t>are those without evidence of immunity, as defined in Attachment A</w:t>
      </w:r>
      <w:r w:rsidR="00796189">
        <w:rPr>
          <w:rFonts w:ascii="Cambria" w:hAnsi="Cambria" w:cs="Garamond-BookCondensed"/>
          <w:sz w:val="22"/>
          <w:szCs w:val="22"/>
        </w:rPr>
        <w:t>.</w:t>
      </w:r>
      <w:r w:rsidR="00D36C21">
        <w:rPr>
          <w:rFonts w:ascii="Cambria" w:hAnsi="Cambria" w:cs="Garamond-BookCondensed"/>
          <w:sz w:val="22"/>
          <w:szCs w:val="22"/>
        </w:rPr>
        <w:t xml:space="preserve"> </w:t>
      </w:r>
      <w:r w:rsidR="00C416E5">
        <w:rPr>
          <w:rFonts w:ascii="Cambria" w:hAnsi="Cambria" w:cs="Garamond-BookCondensed"/>
          <w:sz w:val="22"/>
          <w:szCs w:val="22"/>
        </w:rPr>
        <w:t xml:space="preserve">Note: </w:t>
      </w:r>
      <w:r w:rsidRPr="00D61E89">
        <w:rPr>
          <w:rFonts w:ascii="Cambria" w:hAnsi="Cambria" w:cs="Garamond-BookCondensed"/>
          <w:sz w:val="22"/>
          <w:szCs w:val="22"/>
        </w:rPr>
        <w:t>A positive</w:t>
      </w:r>
      <w:r w:rsidR="00E7654F">
        <w:rPr>
          <w:rFonts w:ascii="Cambria" w:hAnsi="Cambria" w:cs="Garamond-BookCondensed"/>
          <w:sz w:val="22"/>
          <w:szCs w:val="22"/>
        </w:rPr>
        <w:t xml:space="preserve"> antibody</w:t>
      </w:r>
      <w:r w:rsidRPr="00D61E89">
        <w:rPr>
          <w:rFonts w:ascii="Cambria" w:hAnsi="Cambria" w:cs="Garamond-BookCondensed"/>
          <w:sz w:val="22"/>
          <w:szCs w:val="22"/>
        </w:rPr>
        <w:t xml:space="preserve"> titer drawn immediately after exposure may be acceptable evidence of immunity depending on the setting. However, vaccination of exposed individuals should not be delayed pending the results of </w:t>
      </w:r>
      <w:r w:rsidR="00E7654F">
        <w:rPr>
          <w:rFonts w:ascii="Cambria" w:hAnsi="Cambria" w:cs="Garamond-BookCondensed"/>
          <w:sz w:val="22"/>
          <w:szCs w:val="22"/>
        </w:rPr>
        <w:t>antibody</w:t>
      </w:r>
      <w:r w:rsidR="00E7654F" w:rsidRPr="00D61E89">
        <w:rPr>
          <w:rFonts w:ascii="Cambria" w:hAnsi="Cambria" w:cs="Garamond-BookCondensed"/>
          <w:sz w:val="22"/>
          <w:szCs w:val="22"/>
        </w:rPr>
        <w:t xml:space="preserve"> </w:t>
      </w:r>
      <w:r w:rsidRPr="00D61E89">
        <w:rPr>
          <w:rFonts w:ascii="Cambria" w:hAnsi="Cambria" w:cs="Garamond-BookCondensed"/>
          <w:sz w:val="22"/>
          <w:szCs w:val="22"/>
        </w:rPr>
        <w:t xml:space="preserve">testing. </w:t>
      </w:r>
    </w:p>
    <w:p w14:paraId="21BF6D41" w14:textId="77777777" w:rsidR="00F30B1D" w:rsidRPr="00D61E89" w:rsidRDefault="00F30B1D" w:rsidP="00F30B1D">
      <w:pPr>
        <w:autoSpaceDE w:val="0"/>
        <w:autoSpaceDN w:val="0"/>
        <w:adjustRightInd w:val="0"/>
        <w:rPr>
          <w:rFonts w:ascii="Cambria" w:hAnsi="Cambria" w:cs="Garamond-BookCondensedItalic"/>
          <w:i/>
          <w:iCs/>
          <w:sz w:val="22"/>
          <w:szCs w:val="22"/>
        </w:rPr>
      </w:pPr>
    </w:p>
    <w:p w14:paraId="47CF1F98" w14:textId="77777777" w:rsidR="00F30B1D" w:rsidRPr="00D61E89" w:rsidRDefault="00F30B1D" w:rsidP="00F30B1D">
      <w:pPr>
        <w:numPr>
          <w:ilvl w:val="0"/>
          <w:numId w:val="15"/>
        </w:numPr>
        <w:autoSpaceDE w:val="0"/>
        <w:autoSpaceDN w:val="0"/>
        <w:adjustRightInd w:val="0"/>
        <w:rPr>
          <w:rFonts w:ascii="Cambria" w:hAnsi="Cambria" w:cs="Garamond-BookCondensed"/>
          <w:b/>
          <w:sz w:val="22"/>
          <w:szCs w:val="22"/>
        </w:rPr>
      </w:pPr>
      <w:r w:rsidRPr="00D61E89">
        <w:rPr>
          <w:rFonts w:ascii="Cambria" w:hAnsi="Cambria" w:cs="Garamond-BookCondensed"/>
          <w:b/>
          <w:sz w:val="22"/>
          <w:szCs w:val="22"/>
        </w:rPr>
        <w:t xml:space="preserve">Identify and exclude susceptible individuals at high risk for complications </w:t>
      </w:r>
      <w:r w:rsidRPr="00D61E89">
        <w:rPr>
          <w:rFonts w:ascii="Cambria" w:hAnsi="Cambria" w:cs="Garamond-BookCondensed"/>
          <w:b/>
          <w:sz w:val="22"/>
          <w:szCs w:val="22"/>
          <w:u w:val="single"/>
        </w:rPr>
        <w:t>who can’t be immunized</w:t>
      </w:r>
      <w:r w:rsidRPr="00D61E89">
        <w:rPr>
          <w:rFonts w:ascii="Cambria" w:hAnsi="Cambria" w:cs="Garamond-BookCondensed"/>
          <w:b/>
          <w:sz w:val="22"/>
          <w:szCs w:val="22"/>
        </w:rPr>
        <w:t xml:space="preserve">: infants, pregnant women, and immunosuppressed. </w:t>
      </w:r>
    </w:p>
    <w:p w14:paraId="6FFBE0E8" w14:textId="77777777" w:rsidR="00F30B1D" w:rsidRPr="00D61E89" w:rsidRDefault="00F30B1D" w:rsidP="00F30B1D">
      <w:pPr>
        <w:autoSpaceDE w:val="0"/>
        <w:autoSpaceDN w:val="0"/>
        <w:adjustRightInd w:val="0"/>
        <w:ind w:left="360"/>
        <w:rPr>
          <w:rFonts w:ascii="Cambria" w:hAnsi="Cambria" w:cs="Garamond-BookCondensed"/>
          <w:sz w:val="22"/>
          <w:szCs w:val="22"/>
        </w:rPr>
      </w:pPr>
      <w:r w:rsidRPr="00D61E89">
        <w:rPr>
          <w:rFonts w:ascii="Cambria" w:hAnsi="Cambria" w:cs="Garamond-BookCondensed"/>
          <w:sz w:val="22"/>
          <w:szCs w:val="22"/>
        </w:rPr>
        <w:t xml:space="preserve">Recommend the exclusion of high-risk susceptible contacts from a setting until 1 incubation period (21 days) after their last exposure, or if they receive </w:t>
      </w:r>
      <w:r w:rsidR="003D078E">
        <w:rPr>
          <w:rFonts w:ascii="Cambria" w:hAnsi="Cambria" w:cs="Garamond-BookCondensed"/>
          <w:sz w:val="22"/>
          <w:szCs w:val="22"/>
        </w:rPr>
        <w:t>VariZIG</w:t>
      </w:r>
      <w:r w:rsidRPr="00D61E89">
        <w:rPr>
          <w:rFonts w:ascii="Cambria" w:hAnsi="Cambria"/>
          <w:sz w:val="22"/>
          <w:szCs w:val="22"/>
          <w:vertAlign w:val="superscript"/>
        </w:rPr>
        <w:t>®</w:t>
      </w:r>
      <w:r w:rsidRPr="00D61E89">
        <w:rPr>
          <w:rFonts w:ascii="Cambria" w:hAnsi="Cambria" w:cs="Garamond-BookCondensed"/>
          <w:sz w:val="22"/>
          <w:szCs w:val="22"/>
        </w:rPr>
        <w:t xml:space="preserve"> or IGIV, until 28 days after their last exposure (to protect others should they develop infection). After this time, they may return if no additional cases have been identified. </w:t>
      </w:r>
      <w:r w:rsidR="00C416E5">
        <w:rPr>
          <w:rFonts w:ascii="Cambria" w:hAnsi="Cambria" w:cs="Garamond-BookCondensed"/>
          <w:sz w:val="22"/>
          <w:szCs w:val="22"/>
        </w:rPr>
        <w:t>For more information about VariZIG</w:t>
      </w:r>
      <w:r w:rsidR="00C416E5" w:rsidRPr="00D61E89">
        <w:rPr>
          <w:rFonts w:ascii="Cambria" w:hAnsi="Cambria"/>
          <w:sz w:val="22"/>
          <w:szCs w:val="22"/>
          <w:vertAlign w:val="superscript"/>
        </w:rPr>
        <w:t>®</w:t>
      </w:r>
      <w:r w:rsidR="00C416E5">
        <w:rPr>
          <w:rFonts w:ascii="Cambria" w:hAnsi="Cambria"/>
          <w:sz w:val="22"/>
          <w:szCs w:val="22"/>
        </w:rPr>
        <w:t xml:space="preserve"> and IVIG see Appendix </w:t>
      </w:r>
      <w:r w:rsidR="00D36C21">
        <w:rPr>
          <w:rFonts w:ascii="Cambria" w:hAnsi="Cambria"/>
          <w:sz w:val="22"/>
          <w:szCs w:val="22"/>
        </w:rPr>
        <w:t>D.</w:t>
      </w:r>
    </w:p>
    <w:p w14:paraId="2CF02A8E" w14:textId="77777777" w:rsidR="00314113" w:rsidRDefault="00314113" w:rsidP="004D1B78">
      <w:pPr>
        <w:autoSpaceDE w:val="0"/>
        <w:autoSpaceDN w:val="0"/>
        <w:adjustRightInd w:val="0"/>
        <w:ind w:left="1080"/>
        <w:rPr>
          <w:rFonts w:ascii="Cambria" w:hAnsi="Cambria" w:cs="Garamond-BookCondensed"/>
          <w:sz w:val="22"/>
          <w:szCs w:val="22"/>
        </w:rPr>
      </w:pPr>
    </w:p>
    <w:p w14:paraId="149D503F" w14:textId="77777777" w:rsidR="00F30B1D" w:rsidRPr="00D61E89" w:rsidRDefault="00F30B1D" w:rsidP="00F30B1D">
      <w:pPr>
        <w:numPr>
          <w:ilvl w:val="0"/>
          <w:numId w:val="15"/>
        </w:numPr>
        <w:autoSpaceDE w:val="0"/>
        <w:autoSpaceDN w:val="0"/>
        <w:adjustRightInd w:val="0"/>
        <w:rPr>
          <w:rFonts w:ascii="Cambria" w:hAnsi="Cambria" w:cs="Garamond-BookCondensed"/>
          <w:sz w:val="22"/>
          <w:szCs w:val="22"/>
        </w:rPr>
      </w:pPr>
      <w:r w:rsidRPr="00D61E89">
        <w:rPr>
          <w:rFonts w:ascii="Cambria" w:hAnsi="Cambria" w:cs="Garamond-BookCondensed"/>
          <w:b/>
          <w:sz w:val="22"/>
          <w:szCs w:val="22"/>
        </w:rPr>
        <w:t>Immunize all other susceptible</w:t>
      </w:r>
      <w:r w:rsidR="007D58C8">
        <w:rPr>
          <w:rFonts w:ascii="Cambria" w:hAnsi="Cambria" w:cs="Garamond-BookCondensed"/>
          <w:b/>
          <w:sz w:val="22"/>
          <w:szCs w:val="22"/>
        </w:rPr>
        <w:t xml:space="preserve"> individuals</w:t>
      </w:r>
      <w:r w:rsidRPr="00D61E89">
        <w:rPr>
          <w:rFonts w:ascii="Cambria" w:hAnsi="Cambria" w:cs="Garamond-BookCondensed"/>
          <w:b/>
          <w:sz w:val="22"/>
          <w:szCs w:val="22"/>
        </w:rPr>
        <w:t>.</w:t>
      </w:r>
      <w:r w:rsidRPr="00D61E89">
        <w:rPr>
          <w:rFonts w:ascii="Cambria" w:hAnsi="Cambria" w:cs="Garamond-BookCondensed"/>
          <w:sz w:val="22"/>
          <w:szCs w:val="22"/>
        </w:rPr>
        <w:t xml:space="preserve"> </w:t>
      </w:r>
    </w:p>
    <w:p w14:paraId="721C3F60" w14:textId="77777777" w:rsidR="002D6D8B" w:rsidRPr="00D61E89" w:rsidRDefault="00F30B1D" w:rsidP="004F2DEA">
      <w:pPr>
        <w:spacing w:after="80"/>
        <w:ind w:left="360"/>
        <w:rPr>
          <w:rFonts w:ascii="Cambria" w:hAnsi="Cambria" w:cs="Garamond-BookCondensed"/>
          <w:sz w:val="20"/>
          <w:szCs w:val="20"/>
        </w:rPr>
      </w:pPr>
      <w:r w:rsidRPr="00D61E89">
        <w:rPr>
          <w:rFonts w:ascii="Cambria" w:hAnsi="Cambria" w:cs="Garamond-BookCondensed"/>
          <w:sz w:val="22"/>
          <w:szCs w:val="22"/>
        </w:rPr>
        <w:t>Recommend varicella vaccine to eligible, susceptible, exposed individuals</w:t>
      </w:r>
      <w:r w:rsidR="004B4BCF">
        <w:rPr>
          <w:rFonts w:ascii="Cambria" w:hAnsi="Cambria" w:cs="Garamond-BookCondensed"/>
          <w:sz w:val="22"/>
          <w:szCs w:val="22"/>
        </w:rPr>
        <w:t xml:space="preserve"> ASAP</w:t>
      </w:r>
      <w:r w:rsidRPr="00D61E89">
        <w:rPr>
          <w:rFonts w:ascii="Cambria" w:hAnsi="Cambria" w:cs="Garamond-BookCondensed"/>
          <w:sz w:val="22"/>
          <w:szCs w:val="22"/>
        </w:rPr>
        <w:t xml:space="preserve">. Anyone with </w:t>
      </w:r>
      <w:r w:rsidR="002A4C10">
        <w:rPr>
          <w:rFonts w:ascii="Cambria" w:hAnsi="Cambria" w:cs="Garamond-BookCondensed"/>
          <w:sz w:val="22"/>
          <w:szCs w:val="22"/>
        </w:rPr>
        <w:t xml:space="preserve">a history of receiving </w:t>
      </w:r>
      <w:r w:rsidRPr="00D61E89">
        <w:rPr>
          <w:rFonts w:ascii="Cambria" w:hAnsi="Cambria" w:cs="Garamond-BookCondensed"/>
          <w:sz w:val="22"/>
          <w:szCs w:val="22"/>
        </w:rPr>
        <w:t xml:space="preserve">1 dose should receive a second dose. Contact MDPH at </w:t>
      </w:r>
      <w:r w:rsidR="005B3DE8" w:rsidRPr="00D61E89">
        <w:rPr>
          <w:rFonts w:ascii="Cambria" w:hAnsi="Cambria" w:cs="Garamond-BookCondensed"/>
          <w:sz w:val="22"/>
          <w:szCs w:val="22"/>
        </w:rPr>
        <w:t>(</w:t>
      </w:r>
      <w:r w:rsidRPr="00D61E89">
        <w:rPr>
          <w:rFonts w:ascii="Cambria" w:hAnsi="Cambria" w:cs="Garamond-BookCondensed"/>
          <w:sz w:val="22"/>
          <w:szCs w:val="22"/>
        </w:rPr>
        <w:t>617</w:t>
      </w:r>
      <w:r w:rsidR="005B3DE8" w:rsidRPr="00D61E89">
        <w:rPr>
          <w:rFonts w:ascii="Cambria" w:hAnsi="Cambria" w:cs="Garamond-BookCondensed"/>
          <w:sz w:val="22"/>
          <w:szCs w:val="22"/>
        </w:rPr>
        <w:t xml:space="preserve">) </w:t>
      </w:r>
      <w:r w:rsidRPr="00D61E89">
        <w:rPr>
          <w:rFonts w:ascii="Cambria" w:hAnsi="Cambria" w:cs="Garamond-BookCondensed"/>
          <w:sz w:val="22"/>
          <w:szCs w:val="22"/>
        </w:rPr>
        <w:t xml:space="preserve">983-6800 if you have questions. </w:t>
      </w:r>
      <w:r w:rsidR="00FA536B">
        <w:rPr>
          <w:rFonts w:ascii="Cambria" w:hAnsi="Cambria" w:cs="Garamond-BookCondensed"/>
          <w:sz w:val="22"/>
          <w:szCs w:val="22"/>
        </w:rPr>
        <w:t>(</w:t>
      </w:r>
      <w:r w:rsidR="00FA536B">
        <w:rPr>
          <w:rFonts w:ascii="Cambria" w:hAnsi="Cambria"/>
          <w:bCs/>
          <w:sz w:val="22"/>
          <w:szCs w:val="22"/>
        </w:rPr>
        <w:t>F</w:t>
      </w:r>
      <w:r w:rsidR="00FA536B" w:rsidRPr="006C6C2C">
        <w:rPr>
          <w:rFonts w:ascii="Cambria" w:hAnsi="Cambria"/>
          <w:bCs/>
          <w:sz w:val="22"/>
          <w:szCs w:val="22"/>
        </w:rPr>
        <w:t>or the most up-to-date information on vaccine contraindications and precautions, see the package insert, the CDC</w:t>
      </w:r>
      <w:r w:rsidR="00FA536B">
        <w:rPr>
          <w:rFonts w:ascii="Cambria" w:hAnsi="Cambria"/>
          <w:bCs/>
          <w:sz w:val="22"/>
          <w:szCs w:val="22"/>
        </w:rPr>
        <w:t xml:space="preserve"> </w:t>
      </w:r>
      <w:hyperlink r:id="rId17" w:history="1">
        <w:r w:rsidR="00FA536B" w:rsidRPr="0016669B">
          <w:rPr>
            <w:rStyle w:val="Hyperlink"/>
            <w:rFonts w:ascii="Cambria" w:hAnsi="Cambria"/>
            <w:sz w:val="22"/>
            <w:szCs w:val="22"/>
          </w:rPr>
          <w:t>Guide to Contraindicatio</w:t>
        </w:r>
        <w:r w:rsidR="00FA536B" w:rsidRPr="0016669B">
          <w:rPr>
            <w:rStyle w:val="Hyperlink"/>
            <w:rFonts w:ascii="Cambria" w:hAnsi="Cambria"/>
            <w:sz w:val="22"/>
            <w:szCs w:val="22"/>
          </w:rPr>
          <w:t>n</w:t>
        </w:r>
        <w:r w:rsidR="00FA536B" w:rsidRPr="0016669B">
          <w:rPr>
            <w:rStyle w:val="Hyperlink"/>
            <w:rFonts w:ascii="Cambria" w:hAnsi="Cambria"/>
            <w:sz w:val="22"/>
            <w:szCs w:val="22"/>
          </w:rPr>
          <w:t>s and Precautions</w:t>
        </w:r>
      </w:hyperlink>
      <w:r w:rsidR="002D6D8B">
        <w:rPr>
          <w:rFonts w:ascii="Cambria" w:hAnsi="Cambria"/>
          <w:sz w:val="22"/>
          <w:szCs w:val="22"/>
        </w:rPr>
        <w:t xml:space="preserve">, </w:t>
      </w:r>
      <w:r w:rsidR="00FA536B" w:rsidRPr="006C6C2C">
        <w:rPr>
          <w:rFonts w:ascii="Cambria" w:hAnsi="Cambria"/>
          <w:bCs/>
          <w:sz w:val="22"/>
          <w:szCs w:val="22"/>
        </w:rPr>
        <w:t xml:space="preserve">the ACIP </w:t>
      </w:r>
      <w:hyperlink r:id="rId18" w:history="1">
        <w:r w:rsidR="00FA536B" w:rsidRPr="006C6C2C">
          <w:rPr>
            <w:rStyle w:val="Hyperlink"/>
            <w:rFonts w:ascii="Cambria" w:hAnsi="Cambria"/>
            <w:bCs/>
            <w:sz w:val="22"/>
            <w:szCs w:val="22"/>
          </w:rPr>
          <w:t xml:space="preserve">General Best </w:t>
        </w:r>
        <w:r w:rsidR="00FA536B" w:rsidRPr="006C6C2C">
          <w:rPr>
            <w:rStyle w:val="Hyperlink"/>
            <w:rFonts w:ascii="Cambria" w:hAnsi="Cambria"/>
            <w:bCs/>
            <w:sz w:val="22"/>
            <w:szCs w:val="22"/>
          </w:rPr>
          <w:t>P</w:t>
        </w:r>
        <w:r w:rsidR="00FA536B" w:rsidRPr="006C6C2C">
          <w:rPr>
            <w:rStyle w:val="Hyperlink"/>
            <w:rFonts w:ascii="Cambria" w:hAnsi="Cambria"/>
            <w:bCs/>
            <w:sz w:val="22"/>
            <w:szCs w:val="22"/>
          </w:rPr>
          <w:t>ractice Guidelines for Immunization</w:t>
        </w:r>
      </w:hyperlink>
      <w:r w:rsidR="002D6D8B">
        <w:rPr>
          <w:rFonts w:ascii="Cambria" w:hAnsi="Cambria"/>
          <w:bCs/>
          <w:sz w:val="22"/>
          <w:szCs w:val="22"/>
        </w:rPr>
        <w:t xml:space="preserve">, </w:t>
      </w:r>
      <w:r w:rsidR="007E199A">
        <w:rPr>
          <w:rFonts w:ascii="Cambria" w:hAnsi="Cambria"/>
          <w:bCs/>
          <w:sz w:val="22"/>
          <w:szCs w:val="22"/>
        </w:rPr>
        <w:t xml:space="preserve">and/or </w:t>
      </w:r>
      <w:r w:rsidR="00FA536B" w:rsidRPr="006C6C2C">
        <w:rPr>
          <w:rFonts w:ascii="Cambria" w:hAnsi="Cambria"/>
          <w:bCs/>
          <w:sz w:val="22"/>
          <w:szCs w:val="22"/>
        </w:rPr>
        <w:t>the Red Book of the American Academy of Pediatrics</w:t>
      </w:r>
      <w:r w:rsidR="00FA536B">
        <w:rPr>
          <w:rFonts w:ascii="Cambria" w:hAnsi="Cambria"/>
          <w:bCs/>
          <w:sz w:val="22"/>
          <w:szCs w:val="22"/>
        </w:rPr>
        <w:t xml:space="preserve"> </w:t>
      </w:r>
      <w:r w:rsidRPr="00D61E89">
        <w:rPr>
          <w:rFonts w:ascii="Cambria" w:hAnsi="Cambria" w:cs="Garamond-BookCondensed"/>
          <w:sz w:val="22"/>
          <w:szCs w:val="22"/>
        </w:rPr>
        <w:t>for information about varicella vaccine</w:t>
      </w:r>
      <w:r w:rsidR="007E199A">
        <w:rPr>
          <w:rFonts w:ascii="Cambria" w:hAnsi="Cambria" w:cs="Garamond-BookCondensed"/>
          <w:sz w:val="22"/>
          <w:szCs w:val="22"/>
        </w:rPr>
        <w:t>.</w:t>
      </w:r>
      <w:r w:rsidR="002D6D8B">
        <w:rPr>
          <w:rFonts w:ascii="Cambria" w:hAnsi="Cambria" w:cs="Garamond-BookCondensed"/>
          <w:sz w:val="22"/>
          <w:szCs w:val="22"/>
        </w:rPr>
        <w:t xml:space="preserve"> </w:t>
      </w:r>
    </w:p>
    <w:p w14:paraId="40B83272" w14:textId="77777777" w:rsidR="00F30B1D" w:rsidRPr="00D61E89" w:rsidRDefault="00F30B1D" w:rsidP="00F30B1D">
      <w:pPr>
        <w:autoSpaceDE w:val="0"/>
        <w:autoSpaceDN w:val="0"/>
        <w:adjustRightInd w:val="0"/>
        <w:rPr>
          <w:rFonts w:ascii="Cambria" w:hAnsi="Cambria" w:cs="Garamond-BookCondensed"/>
          <w:sz w:val="22"/>
          <w:szCs w:val="22"/>
        </w:rPr>
      </w:pPr>
    </w:p>
    <w:p w14:paraId="757420E5" w14:textId="77777777" w:rsidR="00D15294" w:rsidRDefault="00F30B1D" w:rsidP="00C4374D">
      <w:pPr>
        <w:autoSpaceDE w:val="0"/>
        <w:autoSpaceDN w:val="0"/>
        <w:adjustRightInd w:val="0"/>
        <w:ind w:left="360"/>
        <w:rPr>
          <w:rFonts w:ascii="Cambria" w:hAnsi="Cambria" w:cs="Garamond-BookCondensed"/>
          <w:sz w:val="22"/>
          <w:szCs w:val="22"/>
        </w:rPr>
      </w:pPr>
      <w:r w:rsidRPr="004F2DEA">
        <w:rPr>
          <w:rFonts w:ascii="Cambria" w:hAnsi="Cambria" w:cs="Garamond-BookCondensed"/>
          <w:bCs/>
          <w:sz w:val="22"/>
          <w:szCs w:val="22"/>
        </w:rPr>
        <w:t xml:space="preserve">Varicella vaccination </w:t>
      </w:r>
      <w:r w:rsidR="00CE7070">
        <w:rPr>
          <w:rFonts w:ascii="Cambria" w:hAnsi="Cambria" w:cs="Garamond-BookCondensed"/>
          <w:bCs/>
          <w:sz w:val="22"/>
          <w:szCs w:val="22"/>
        </w:rPr>
        <w:t>within 3-5 days following exposure may be</w:t>
      </w:r>
      <w:r w:rsidRPr="004F2DEA">
        <w:rPr>
          <w:rFonts w:ascii="Cambria" w:hAnsi="Cambria" w:cs="Garamond-BookCondensed"/>
          <w:bCs/>
          <w:sz w:val="22"/>
          <w:szCs w:val="22"/>
        </w:rPr>
        <w:t xml:space="preserve"> effective in preventing disease and even more effective in modifying disease. </w:t>
      </w:r>
      <w:r w:rsidR="00434DB7" w:rsidRPr="004F2DEA">
        <w:rPr>
          <w:rFonts w:ascii="Cambria" w:hAnsi="Cambria" w:cs="Garamond-BookCondensed"/>
          <w:bCs/>
          <w:sz w:val="22"/>
          <w:szCs w:val="22"/>
        </w:rPr>
        <w:t>(</w:t>
      </w:r>
      <w:r w:rsidR="00434DB7" w:rsidRPr="004F2DEA">
        <w:rPr>
          <w:rFonts w:ascii="Cambria" w:hAnsi="Cambria"/>
          <w:bCs/>
          <w:sz w:val="22"/>
          <w:szCs w:val="22"/>
        </w:rPr>
        <w:t>However, not every exposure to varicella leads to infection, so for future immunity, varicella vaccine should be given even if more than 5 days have passed since an exposure.)</w:t>
      </w:r>
      <w:r w:rsidR="00434DB7" w:rsidRPr="00995FC3">
        <w:rPr>
          <w:b/>
        </w:rPr>
        <w:t xml:space="preserve"> </w:t>
      </w:r>
      <w:r w:rsidRPr="00995FC3">
        <w:rPr>
          <w:rFonts w:ascii="Cambria" w:hAnsi="Cambria" w:cs="Garamond-BookCondensed"/>
          <w:sz w:val="22"/>
          <w:szCs w:val="22"/>
        </w:rPr>
        <w:t>Vaccinating someone who is</w:t>
      </w:r>
      <w:r w:rsidRPr="00D61E89">
        <w:rPr>
          <w:rFonts w:ascii="Cambria" w:hAnsi="Cambria" w:cs="Garamond-BookCondensed"/>
          <w:sz w:val="22"/>
          <w:szCs w:val="22"/>
        </w:rPr>
        <w:t xml:space="preserve"> incubating chickenpox or is immune to chickenpox is not harmful. If vaccine is given following exposure, recipients should be informed that chickenpox could occur </w:t>
      </w:r>
      <w:r w:rsidR="002A4C10">
        <w:rPr>
          <w:rFonts w:ascii="Cambria" w:hAnsi="Cambria" w:cs="Garamond-BookCondensed"/>
          <w:sz w:val="22"/>
          <w:szCs w:val="22"/>
        </w:rPr>
        <w:t>despite</w:t>
      </w:r>
      <w:r w:rsidRPr="00D61E89">
        <w:rPr>
          <w:rFonts w:ascii="Cambria" w:hAnsi="Cambria" w:cs="Garamond-BookCondensed"/>
          <w:sz w:val="22"/>
          <w:szCs w:val="22"/>
        </w:rPr>
        <w:t xml:space="preserve"> vaccination. </w:t>
      </w:r>
    </w:p>
    <w:p w14:paraId="031ED719" w14:textId="77777777" w:rsidR="003A50A1" w:rsidRDefault="003A50A1" w:rsidP="00F30B1D">
      <w:pPr>
        <w:autoSpaceDE w:val="0"/>
        <w:autoSpaceDN w:val="0"/>
        <w:adjustRightInd w:val="0"/>
        <w:ind w:left="360"/>
        <w:rPr>
          <w:rFonts w:ascii="Cambria" w:hAnsi="Cambria" w:cs="Garamond-BookCondensed"/>
          <w:sz w:val="22"/>
          <w:szCs w:val="22"/>
        </w:rPr>
      </w:pPr>
    </w:p>
    <w:p w14:paraId="512E8EC2" w14:textId="77777777" w:rsidR="00F30B1D" w:rsidRPr="00D61E89" w:rsidRDefault="00F30B1D" w:rsidP="00F30B1D">
      <w:pPr>
        <w:autoSpaceDE w:val="0"/>
        <w:autoSpaceDN w:val="0"/>
        <w:adjustRightInd w:val="0"/>
        <w:ind w:left="360"/>
        <w:rPr>
          <w:rFonts w:ascii="Cambria" w:hAnsi="Cambria" w:cs="Garamond-BookCondensed"/>
          <w:sz w:val="22"/>
          <w:szCs w:val="22"/>
        </w:rPr>
      </w:pPr>
      <w:r w:rsidRPr="00D61E89">
        <w:rPr>
          <w:rFonts w:ascii="Cambria" w:hAnsi="Cambria" w:cs="Garamond-BookCondensed"/>
          <w:sz w:val="22"/>
          <w:szCs w:val="22"/>
        </w:rPr>
        <w:t>Please note the following</w:t>
      </w:r>
      <w:r w:rsidR="0097327D">
        <w:rPr>
          <w:rFonts w:ascii="Cambria" w:hAnsi="Cambria" w:cs="Garamond-BookCondensed"/>
          <w:sz w:val="22"/>
          <w:szCs w:val="22"/>
        </w:rPr>
        <w:t xml:space="preserve"> about vaccination within 3 days (more conservative approach) vs. within 5</w:t>
      </w:r>
      <w:r w:rsidR="00D15294">
        <w:rPr>
          <w:rFonts w:ascii="Cambria" w:hAnsi="Cambria" w:cs="Garamond-BookCondensed"/>
          <w:sz w:val="22"/>
          <w:szCs w:val="22"/>
        </w:rPr>
        <w:t xml:space="preserve"> days (less conservative approach)</w:t>
      </w:r>
      <w:r w:rsidRPr="00D61E89">
        <w:rPr>
          <w:rFonts w:ascii="Cambria" w:hAnsi="Cambria" w:cs="Garamond-BookCondensed"/>
          <w:sz w:val="22"/>
          <w:szCs w:val="22"/>
        </w:rPr>
        <w:t>:</w:t>
      </w:r>
    </w:p>
    <w:p w14:paraId="0227768F" w14:textId="77777777" w:rsidR="00F30B1D" w:rsidRPr="00D61E89" w:rsidRDefault="00F30B1D" w:rsidP="00F30B1D">
      <w:pPr>
        <w:autoSpaceDE w:val="0"/>
        <w:autoSpaceDN w:val="0"/>
        <w:adjustRightInd w:val="0"/>
        <w:ind w:left="720"/>
        <w:rPr>
          <w:rFonts w:ascii="Cambria" w:hAnsi="Cambria" w:cs="Garamond-BookCondensed"/>
          <w:sz w:val="22"/>
          <w:szCs w:val="22"/>
        </w:rPr>
      </w:pPr>
    </w:p>
    <w:p w14:paraId="3EFBFA68" w14:textId="77777777" w:rsidR="00F30B1D" w:rsidRPr="00D61E89" w:rsidRDefault="00F30B1D" w:rsidP="00F30B1D">
      <w:pPr>
        <w:numPr>
          <w:ilvl w:val="0"/>
          <w:numId w:val="1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In most healthcare settings, and some other high</w:t>
      </w:r>
      <w:r w:rsidR="00EC4FAF">
        <w:rPr>
          <w:rFonts w:ascii="Cambria" w:hAnsi="Cambria" w:cs="Garamond-BookCondensed"/>
          <w:sz w:val="22"/>
          <w:szCs w:val="22"/>
        </w:rPr>
        <w:t>-</w:t>
      </w:r>
      <w:r w:rsidRPr="00D61E89">
        <w:rPr>
          <w:rFonts w:ascii="Cambria" w:hAnsi="Cambria" w:cs="Garamond-BookCondensed"/>
          <w:sz w:val="22"/>
          <w:szCs w:val="22"/>
        </w:rPr>
        <w:t>risk settings</w:t>
      </w:r>
      <w:r w:rsidR="002A4C10">
        <w:rPr>
          <w:rFonts w:ascii="Cambria" w:hAnsi="Cambria" w:cs="Garamond-BookCondensed"/>
          <w:sz w:val="22"/>
          <w:szCs w:val="22"/>
        </w:rPr>
        <w:t>, such as</w:t>
      </w:r>
      <w:r w:rsidRPr="00D61E89">
        <w:rPr>
          <w:rFonts w:ascii="Cambria" w:hAnsi="Cambria" w:cs="Garamond-BookCondensed"/>
          <w:sz w:val="22"/>
          <w:szCs w:val="22"/>
        </w:rPr>
        <w:t xml:space="preserve"> infant daycare</w:t>
      </w:r>
      <w:r w:rsidR="002A4C10">
        <w:rPr>
          <w:rFonts w:ascii="Cambria" w:hAnsi="Cambria" w:cs="Garamond-BookCondensed"/>
          <w:sz w:val="22"/>
          <w:szCs w:val="22"/>
        </w:rPr>
        <w:t xml:space="preserve"> facilities</w:t>
      </w:r>
      <w:r w:rsidRPr="00D61E89">
        <w:rPr>
          <w:rFonts w:ascii="Cambria" w:hAnsi="Cambria" w:cs="Garamond-BookCondensed"/>
          <w:sz w:val="22"/>
          <w:szCs w:val="22"/>
        </w:rPr>
        <w:t>, prisons, shelters and group homes vaccination should occur within three days of exposure</w:t>
      </w:r>
      <w:r w:rsidR="002A4C10">
        <w:rPr>
          <w:rFonts w:ascii="Cambria" w:hAnsi="Cambria" w:cs="Garamond-BookCondensed"/>
          <w:sz w:val="22"/>
          <w:szCs w:val="22"/>
        </w:rPr>
        <w:t>,</w:t>
      </w:r>
      <w:r w:rsidR="003C7441">
        <w:rPr>
          <w:rFonts w:ascii="Cambria" w:hAnsi="Cambria" w:cs="Garamond-BookCondensed"/>
          <w:sz w:val="22"/>
          <w:szCs w:val="22"/>
        </w:rPr>
        <w:t xml:space="preserve"> if possible</w:t>
      </w:r>
      <w:r w:rsidRPr="00D61E89">
        <w:rPr>
          <w:rFonts w:ascii="Cambria" w:hAnsi="Cambria" w:cs="Garamond-BookCondensed"/>
          <w:sz w:val="22"/>
          <w:szCs w:val="22"/>
        </w:rPr>
        <w:t>.</w:t>
      </w:r>
      <w:r w:rsidR="00F70CEE" w:rsidRPr="00D61E89">
        <w:rPr>
          <w:rFonts w:ascii="Cambria" w:hAnsi="Cambria" w:cs="Garamond-BookCondensed"/>
          <w:sz w:val="22"/>
          <w:szCs w:val="22"/>
        </w:rPr>
        <w:t xml:space="preserve"> </w:t>
      </w:r>
    </w:p>
    <w:p w14:paraId="63C232EF" w14:textId="77777777" w:rsidR="00F30B1D" w:rsidRPr="00D61E89" w:rsidRDefault="00F30B1D" w:rsidP="00F30B1D">
      <w:pPr>
        <w:numPr>
          <w:ilvl w:val="0"/>
          <w:numId w:val="17"/>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In </w:t>
      </w:r>
      <w:r w:rsidR="00D15294">
        <w:rPr>
          <w:rFonts w:ascii="Cambria" w:hAnsi="Cambria" w:cs="Garamond-BookCondensed"/>
          <w:sz w:val="22"/>
          <w:szCs w:val="22"/>
        </w:rPr>
        <w:t xml:space="preserve">many </w:t>
      </w:r>
      <w:r w:rsidRPr="00D61E89">
        <w:rPr>
          <w:rFonts w:ascii="Cambria" w:hAnsi="Cambria" w:cs="Garamond-BookCondensed"/>
          <w:sz w:val="22"/>
          <w:szCs w:val="22"/>
        </w:rPr>
        <w:t xml:space="preserve">non-healthcare settings, including schools, vaccination within five days is acceptable. </w:t>
      </w:r>
    </w:p>
    <w:p w14:paraId="2C28F2C9" w14:textId="77777777" w:rsidR="00CB3147" w:rsidRPr="00CB3147" w:rsidRDefault="00F30B1D" w:rsidP="00CB3147">
      <w:pPr>
        <w:numPr>
          <w:ilvl w:val="0"/>
          <w:numId w:val="17"/>
        </w:numPr>
        <w:autoSpaceDE w:val="0"/>
        <w:autoSpaceDN w:val="0"/>
        <w:adjustRightInd w:val="0"/>
        <w:rPr>
          <w:rFonts w:ascii="Cambria" w:hAnsi="Cambria" w:cs="ZapfDingbats"/>
          <w:sz w:val="22"/>
          <w:szCs w:val="22"/>
        </w:rPr>
      </w:pPr>
      <w:r w:rsidRPr="00CB3147">
        <w:rPr>
          <w:rFonts w:ascii="Cambria" w:hAnsi="Cambria" w:cs="Garamond-BookCondensed"/>
          <w:sz w:val="22"/>
          <w:szCs w:val="22"/>
        </w:rPr>
        <w:t xml:space="preserve">Long-term care facilities, depending on their population (e.g., lower risk situation of relatively healthy, </w:t>
      </w:r>
      <w:r w:rsidR="00CB3147" w:rsidRPr="00CB3147">
        <w:rPr>
          <w:rFonts w:ascii="Cambria" w:hAnsi="Cambria" w:cs="Garamond-BookCondensed"/>
          <w:sz w:val="22"/>
          <w:szCs w:val="22"/>
        </w:rPr>
        <w:t xml:space="preserve">previously infected, </w:t>
      </w:r>
      <w:r w:rsidRPr="00CB3147">
        <w:rPr>
          <w:rFonts w:ascii="Cambria" w:hAnsi="Cambria" w:cs="Garamond-BookCondensed"/>
          <w:sz w:val="22"/>
          <w:szCs w:val="22"/>
        </w:rPr>
        <w:t xml:space="preserve">U.S.-born individuals), may choose vaccination within five days after exposure. Those with high-risk patients (e.g., many </w:t>
      </w:r>
      <w:r w:rsidR="00CB3147" w:rsidRPr="00CB3147">
        <w:rPr>
          <w:rFonts w:ascii="Cambria" w:hAnsi="Cambria" w:cs="Garamond-BookCondensed"/>
          <w:sz w:val="22"/>
          <w:szCs w:val="22"/>
        </w:rPr>
        <w:t xml:space="preserve">susceptible </w:t>
      </w:r>
      <w:r w:rsidRPr="00CB3147">
        <w:rPr>
          <w:rFonts w:ascii="Cambria" w:hAnsi="Cambria" w:cs="Garamond-BookCondensed"/>
          <w:sz w:val="22"/>
          <w:szCs w:val="22"/>
        </w:rPr>
        <w:t>patients with underlying medical problems, including those who require mechanical ventilation, have immunosuppression, or have neurologic compromise) should choose vaccination within three days after exposure.</w:t>
      </w:r>
      <w:r w:rsidR="00055D5F" w:rsidRPr="00CB3147">
        <w:rPr>
          <w:rFonts w:ascii="Cambria" w:hAnsi="Cambria" w:cs="Garamond-BookCondensed"/>
          <w:sz w:val="22"/>
          <w:szCs w:val="22"/>
        </w:rPr>
        <w:t xml:space="preserve"> </w:t>
      </w:r>
    </w:p>
    <w:p w14:paraId="39F6DB71" w14:textId="77777777" w:rsidR="00F30B1D" w:rsidRPr="00D61E89" w:rsidRDefault="00F30B1D" w:rsidP="00F30B1D">
      <w:pPr>
        <w:autoSpaceDE w:val="0"/>
        <w:autoSpaceDN w:val="0"/>
        <w:adjustRightInd w:val="0"/>
        <w:ind w:left="360"/>
        <w:rPr>
          <w:rFonts w:ascii="Cambria" w:hAnsi="Cambria" w:cs="Garamond-BookCondensed"/>
          <w:i/>
          <w:sz w:val="22"/>
          <w:szCs w:val="22"/>
        </w:rPr>
      </w:pPr>
    </w:p>
    <w:p w14:paraId="4E4D5065" w14:textId="77777777" w:rsidR="00F30B1D" w:rsidRPr="00D61E89" w:rsidRDefault="00F30B1D" w:rsidP="00F30B1D">
      <w:pPr>
        <w:autoSpaceDE w:val="0"/>
        <w:autoSpaceDN w:val="0"/>
        <w:adjustRightInd w:val="0"/>
        <w:ind w:left="360"/>
        <w:rPr>
          <w:rFonts w:ascii="Cambria" w:hAnsi="Cambria" w:cs="Garamond-BookCondensed"/>
          <w:sz w:val="22"/>
          <w:szCs w:val="22"/>
        </w:rPr>
      </w:pPr>
      <w:r w:rsidRPr="00D61E89">
        <w:rPr>
          <w:rFonts w:ascii="Cambria" w:hAnsi="Cambria" w:cs="Garamond-BookCondensed"/>
          <w:i/>
          <w:sz w:val="22"/>
          <w:szCs w:val="22"/>
        </w:rPr>
        <w:t xml:space="preserve">Although only 1 dose of varicella vaccine is needed post-exposure to </w:t>
      </w:r>
      <w:r w:rsidR="00D15294">
        <w:rPr>
          <w:rFonts w:ascii="Cambria" w:hAnsi="Cambria" w:cs="Garamond-BookCondensed"/>
          <w:i/>
          <w:sz w:val="22"/>
          <w:szCs w:val="22"/>
        </w:rPr>
        <w:t>r</w:t>
      </w:r>
      <w:r w:rsidRPr="00D61E89">
        <w:rPr>
          <w:rFonts w:ascii="Cambria" w:hAnsi="Cambria" w:cs="Garamond-BookCondensed"/>
          <w:i/>
          <w:sz w:val="22"/>
          <w:szCs w:val="22"/>
        </w:rPr>
        <w:t>eturn to school or work</w:t>
      </w:r>
      <w:r w:rsidR="006F7BCF">
        <w:rPr>
          <w:rFonts w:ascii="Cambria" w:hAnsi="Cambria" w:cs="Garamond-BookCondensed"/>
          <w:i/>
          <w:sz w:val="22"/>
          <w:szCs w:val="22"/>
        </w:rPr>
        <w:t xml:space="preserve"> </w:t>
      </w:r>
      <w:r w:rsidR="00BB56FE" w:rsidRPr="006F7BCF">
        <w:rPr>
          <w:rFonts w:ascii="Cambria" w:hAnsi="Cambria" w:cs="Garamond-BookCondensed"/>
          <w:i/>
          <w:sz w:val="22"/>
          <w:szCs w:val="22"/>
        </w:rPr>
        <w:t>(lower risk setting</w:t>
      </w:r>
      <w:r w:rsidR="00BB56FE" w:rsidRPr="004F2DEA">
        <w:rPr>
          <w:rFonts w:ascii="Cambria" w:hAnsi="Cambria" w:cs="Garamond-BookCondensed"/>
          <w:i/>
          <w:sz w:val="22"/>
          <w:szCs w:val="22"/>
        </w:rPr>
        <w:t>s</w:t>
      </w:r>
      <w:r w:rsidR="00BB56FE" w:rsidRPr="006F7BCF">
        <w:rPr>
          <w:rFonts w:ascii="Cambria" w:hAnsi="Cambria" w:cs="Garamond-BookCondensed"/>
          <w:i/>
          <w:sz w:val="22"/>
          <w:szCs w:val="22"/>
        </w:rPr>
        <w:t>)</w:t>
      </w:r>
      <w:r w:rsidRPr="00D61E89">
        <w:rPr>
          <w:rFonts w:ascii="Cambria" w:hAnsi="Cambria" w:cs="Garamond-BookCondensed"/>
          <w:i/>
          <w:sz w:val="22"/>
          <w:szCs w:val="22"/>
        </w:rPr>
        <w:t xml:space="preserve"> </w:t>
      </w:r>
      <w:r w:rsidR="00D15294">
        <w:rPr>
          <w:rFonts w:ascii="Cambria" w:hAnsi="Cambria" w:cs="Garamond-BookCondensed"/>
          <w:i/>
          <w:sz w:val="22"/>
          <w:szCs w:val="22"/>
        </w:rPr>
        <w:t>those with one dose</w:t>
      </w:r>
      <w:r w:rsidRPr="00D61E89">
        <w:rPr>
          <w:rFonts w:ascii="Cambria" w:hAnsi="Cambria" w:cs="Garamond-BookCondensed"/>
          <w:i/>
          <w:sz w:val="22"/>
          <w:szCs w:val="22"/>
        </w:rPr>
        <w:t xml:space="preserve"> should routinely receive a 2nd dose at least 28 days after the 1</w:t>
      </w:r>
      <w:r w:rsidRPr="00D61E89">
        <w:rPr>
          <w:rFonts w:ascii="Cambria" w:hAnsi="Cambria" w:cs="Garamond-BookCondensed"/>
          <w:i/>
          <w:sz w:val="22"/>
          <w:szCs w:val="22"/>
          <w:vertAlign w:val="superscript"/>
        </w:rPr>
        <w:t xml:space="preserve">st </w:t>
      </w:r>
      <w:r w:rsidRPr="00D61E89">
        <w:rPr>
          <w:rFonts w:ascii="Cambria" w:hAnsi="Cambria" w:cs="Garamond-BookCondensed"/>
          <w:i/>
          <w:sz w:val="22"/>
          <w:szCs w:val="22"/>
        </w:rPr>
        <w:t>or at least 3 months after the first dose</w:t>
      </w:r>
      <w:r w:rsidR="00B31B58">
        <w:rPr>
          <w:rFonts w:ascii="Cambria" w:hAnsi="Cambria" w:cs="Garamond-BookCondensed"/>
          <w:i/>
          <w:sz w:val="22"/>
          <w:szCs w:val="22"/>
        </w:rPr>
        <w:t>,</w:t>
      </w:r>
      <w:r w:rsidRPr="00D61E89">
        <w:rPr>
          <w:rFonts w:ascii="Cambria" w:hAnsi="Cambria" w:cs="Garamond-BookCondensed"/>
          <w:i/>
          <w:sz w:val="22"/>
          <w:szCs w:val="22"/>
        </w:rPr>
        <w:t xml:space="preserve"> if younger than 13 years of age.</w:t>
      </w:r>
    </w:p>
    <w:p w14:paraId="07122470" w14:textId="77777777" w:rsidR="00F30B1D" w:rsidRPr="00D61E89" w:rsidRDefault="00F30B1D" w:rsidP="00F30B1D">
      <w:pPr>
        <w:autoSpaceDE w:val="0"/>
        <w:autoSpaceDN w:val="0"/>
        <w:adjustRightInd w:val="0"/>
        <w:rPr>
          <w:rFonts w:ascii="Cambria" w:hAnsi="Cambria" w:cs="Garamond-BookCondensed"/>
          <w:sz w:val="22"/>
          <w:szCs w:val="22"/>
        </w:rPr>
      </w:pPr>
    </w:p>
    <w:p w14:paraId="5E0C85D2" w14:textId="77777777" w:rsidR="00F30B1D" w:rsidRPr="004F2DEA" w:rsidRDefault="00F30B1D" w:rsidP="00F30B1D">
      <w:pPr>
        <w:numPr>
          <w:ilvl w:val="0"/>
          <w:numId w:val="15"/>
        </w:numPr>
        <w:autoSpaceDE w:val="0"/>
        <w:autoSpaceDN w:val="0"/>
        <w:adjustRightInd w:val="0"/>
        <w:rPr>
          <w:rFonts w:ascii="Cambria" w:hAnsi="Cambria" w:cs="Garamond-BookCondensed"/>
          <w:b/>
          <w:bCs/>
          <w:sz w:val="22"/>
          <w:szCs w:val="22"/>
        </w:rPr>
      </w:pPr>
      <w:r w:rsidRPr="00D61E89">
        <w:rPr>
          <w:rFonts w:ascii="Cambria" w:hAnsi="Cambria" w:cs="Garamond-BookCondensed"/>
          <w:b/>
          <w:sz w:val="22"/>
          <w:szCs w:val="22"/>
        </w:rPr>
        <w:t>Exclude/quarantine all other exposed susceptible contacts who have not been immunized</w:t>
      </w:r>
      <w:r w:rsidR="004B4BCF">
        <w:rPr>
          <w:rFonts w:ascii="Cambria" w:hAnsi="Cambria" w:cs="Garamond-BookCondensed"/>
          <w:sz w:val="22"/>
          <w:szCs w:val="22"/>
        </w:rPr>
        <w:t xml:space="preserve"> </w:t>
      </w:r>
      <w:r w:rsidR="0097327D" w:rsidRPr="004F2DEA">
        <w:rPr>
          <w:rFonts w:ascii="Cambria" w:hAnsi="Cambria" w:cs="Garamond-BookCondensed"/>
          <w:b/>
          <w:bCs/>
          <w:sz w:val="22"/>
          <w:szCs w:val="22"/>
        </w:rPr>
        <w:t>as follows</w:t>
      </w:r>
      <w:r w:rsidRPr="004F2DEA">
        <w:rPr>
          <w:rFonts w:ascii="Cambria" w:hAnsi="Cambria" w:cs="Garamond-BookCondensed"/>
          <w:b/>
          <w:bCs/>
          <w:sz w:val="22"/>
          <w:szCs w:val="22"/>
        </w:rPr>
        <w:t>:</w:t>
      </w:r>
    </w:p>
    <w:p w14:paraId="2176BEC7" w14:textId="77777777" w:rsidR="00F30B1D" w:rsidRPr="00D61E89" w:rsidRDefault="00F30B1D" w:rsidP="00F30B1D">
      <w:pPr>
        <w:autoSpaceDE w:val="0"/>
        <w:autoSpaceDN w:val="0"/>
        <w:adjustRightInd w:val="0"/>
        <w:ind w:left="360" w:hanging="360"/>
        <w:rPr>
          <w:rFonts w:ascii="Cambria" w:hAnsi="Cambria" w:cs="Garamond-BookCondensed"/>
          <w:sz w:val="16"/>
          <w:szCs w:val="16"/>
        </w:rPr>
      </w:pPr>
    </w:p>
    <w:p w14:paraId="6381AAF0" w14:textId="77777777" w:rsidR="00F30B1D" w:rsidRPr="00D61E89" w:rsidRDefault="00F30B1D" w:rsidP="00F30B1D">
      <w:pPr>
        <w:numPr>
          <w:ilvl w:val="0"/>
          <w:numId w:val="18"/>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If there was a discrete (one time) exposure, exclude susceptible</w:t>
      </w:r>
      <w:r w:rsidR="007D58C8">
        <w:rPr>
          <w:rFonts w:ascii="Cambria" w:hAnsi="Cambria" w:cs="Garamond-BookCondensed"/>
          <w:sz w:val="22"/>
          <w:szCs w:val="22"/>
        </w:rPr>
        <w:t xml:space="preserve"> contacts</w:t>
      </w:r>
      <w:r w:rsidRPr="00D61E89">
        <w:rPr>
          <w:rFonts w:ascii="Cambria" w:hAnsi="Cambria" w:cs="Garamond-BookCondensed"/>
          <w:sz w:val="22"/>
          <w:szCs w:val="22"/>
        </w:rPr>
        <w:t xml:space="preserve"> on days 8–21 from exposure.</w:t>
      </w:r>
    </w:p>
    <w:p w14:paraId="0087A071" w14:textId="77777777" w:rsidR="00F30B1D" w:rsidRPr="00D61E89" w:rsidRDefault="00F30B1D" w:rsidP="00F30B1D">
      <w:pPr>
        <w:numPr>
          <w:ilvl w:val="0"/>
          <w:numId w:val="18"/>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If there was continuous exposure (e.g., attended school for two or more days while person with chickenpox was infectious), exclude susceptible</w:t>
      </w:r>
      <w:r w:rsidR="007D58C8">
        <w:rPr>
          <w:rFonts w:ascii="Cambria" w:hAnsi="Cambria" w:cs="Garamond-BookCondensed"/>
          <w:sz w:val="22"/>
          <w:szCs w:val="22"/>
        </w:rPr>
        <w:t xml:space="preserve"> contacts</w:t>
      </w:r>
      <w:r w:rsidRPr="00D61E89">
        <w:rPr>
          <w:rFonts w:ascii="Cambria" w:hAnsi="Cambria" w:cs="Garamond-BookCondensed"/>
          <w:sz w:val="22"/>
          <w:szCs w:val="22"/>
        </w:rPr>
        <w:t xml:space="preserve"> on day 8 through day 21 following </w:t>
      </w:r>
      <w:r w:rsidR="003A50A1">
        <w:rPr>
          <w:rFonts w:ascii="Cambria" w:hAnsi="Cambria" w:cs="Garamond-BookCondensed"/>
          <w:sz w:val="22"/>
          <w:szCs w:val="22"/>
        </w:rPr>
        <w:t>the case’s rash onset</w:t>
      </w:r>
      <w:r w:rsidRPr="00D61E89">
        <w:rPr>
          <w:rFonts w:ascii="Cambria" w:hAnsi="Cambria" w:cs="Garamond-BookCondensed"/>
          <w:sz w:val="22"/>
          <w:szCs w:val="22"/>
        </w:rPr>
        <w:t>. This does not apply to high</w:t>
      </w:r>
      <w:r w:rsidR="00EC4FAF">
        <w:rPr>
          <w:rFonts w:ascii="Cambria" w:hAnsi="Cambria" w:cs="Garamond-BookCondensed"/>
          <w:sz w:val="22"/>
          <w:szCs w:val="22"/>
        </w:rPr>
        <w:t>-</w:t>
      </w:r>
      <w:r w:rsidRPr="00D61E89">
        <w:rPr>
          <w:rFonts w:ascii="Cambria" w:hAnsi="Cambria" w:cs="Garamond-BookCondensed"/>
          <w:sz w:val="22"/>
          <w:szCs w:val="22"/>
        </w:rPr>
        <w:t>risk settings or populations (e.g., healthcare).</w:t>
      </w:r>
    </w:p>
    <w:p w14:paraId="6E22CE10" w14:textId="77777777" w:rsidR="00F30B1D" w:rsidRPr="00D61E89" w:rsidRDefault="00F30B1D" w:rsidP="00F30B1D">
      <w:pPr>
        <w:autoSpaceDE w:val="0"/>
        <w:autoSpaceDN w:val="0"/>
        <w:adjustRightInd w:val="0"/>
        <w:ind w:left="360"/>
        <w:rPr>
          <w:rFonts w:ascii="Cambria" w:hAnsi="Cambria" w:cs="Garamond-BookCondensed"/>
          <w:sz w:val="16"/>
          <w:szCs w:val="16"/>
        </w:rPr>
      </w:pPr>
    </w:p>
    <w:p w14:paraId="484832CD" w14:textId="77777777" w:rsidR="00F30B1D" w:rsidRPr="00D61E89" w:rsidRDefault="00F30B1D" w:rsidP="008C182F">
      <w:pPr>
        <w:pStyle w:val="Title"/>
        <w:ind w:left="360" w:hanging="360"/>
        <w:jc w:val="left"/>
        <w:rPr>
          <w:rFonts w:ascii="Cambria" w:hAnsi="Cambria" w:cs="Garamond-BookCondensed"/>
          <w:b w:val="0"/>
          <w:sz w:val="22"/>
          <w:szCs w:val="22"/>
        </w:rPr>
      </w:pPr>
      <w:r w:rsidRPr="00D61E89">
        <w:rPr>
          <w:rFonts w:ascii="Cambria" w:hAnsi="Cambria" w:cs="Garamond-BookCondensed"/>
          <w:b w:val="0"/>
          <w:sz w:val="22"/>
          <w:szCs w:val="22"/>
        </w:rPr>
        <w:t>8.</w:t>
      </w:r>
      <w:r w:rsidR="007A4C70" w:rsidRPr="00D61E89">
        <w:rPr>
          <w:rFonts w:ascii="Cambria" w:hAnsi="Cambria" w:cs="Garamond-BookCondensed"/>
          <w:b w:val="0"/>
          <w:sz w:val="22"/>
          <w:szCs w:val="22"/>
        </w:rPr>
        <w:t xml:space="preserve"> </w:t>
      </w:r>
      <w:r w:rsidR="008C182F">
        <w:rPr>
          <w:rFonts w:ascii="Cambria" w:hAnsi="Cambria" w:cs="Garamond-BookCondensed"/>
          <w:b w:val="0"/>
          <w:sz w:val="22"/>
          <w:szCs w:val="22"/>
        </w:rPr>
        <w:t xml:space="preserve">  </w:t>
      </w:r>
      <w:r w:rsidRPr="00D61E89">
        <w:rPr>
          <w:rFonts w:ascii="Cambria" w:hAnsi="Cambria" w:cs="Garamond-BookCondensed"/>
          <w:sz w:val="22"/>
          <w:szCs w:val="22"/>
        </w:rPr>
        <w:t>Document key requirements/recommendations and educate individuals who may have been exposed.</w:t>
      </w:r>
      <w:r w:rsidRPr="00D61E89">
        <w:rPr>
          <w:rFonts w:ascii="Cambria" w:hAnsi="Cambria" w:cs="Garamond-BookCondensed"/>
          <w:b w:val="0"/>
          <w:sz w:val="22"/>
          <w:szCs w:val="22"/>
        </w:rPr>
        <w:t xml:space="preserve"> </w:t>
      </w:r>
    </w:p>
    <w:p w14:paraId="14D1B293" w14:textId="77777777" w:rsidR="00F30B1D" w:rsidRPr="00D61E89" w:rsidRDefault="00F30B1D" w:rsidP="008C182F">
      <w:pPr>
        <w:pStyle w:val="Title"/>
        <w:ind w:left="360"/>
        <w:jc w:val="left"/>
        <w:rPr>
          <w:rFonts w:ascii="Cambria" w:hAnsi="Cambria" w:cs="Garamond-BookCondensed"/>
          <w:b w:val="0"/>
          <w:sz w:val="22"/>
          <w:szCs w:val="22"/>
        </w:rPr>
      </w:pPr>
      <w:r w:rsidRPr="00D61E89">
        <w:rPr>
          <w:rFonts w:ascii="Cambria" w:hAnsi="Cambria" w:cs="Garamond-BookCondensed"/>
          <w:b w:val="0"/>
          <w:sz w:val="22"/>
          <w:szCs w:val="22"/>
        </w:rPr>
        <w:t xml:space="preserve">Supply potentially exposed individuals with </w:t>
      </w:r>
      <w:r w:rsidR="004B4BCF">
        <w:rPr>
          <w:rFonts w:ascii="Cambria" w:hAnsi="Cambria" w:cs="Garamond-BookCondensed"/>
          <w:b w:val="0"/>
          <w:sz w:val="22"/>
          <w:szCs w:val="22"/>
        </w:rPr>
        <w:t>resources</w:t>
      </w:r>
      <w:r w:rsidR="00D15294">
        <w:rPr>
          <w:rFonts w:ascii="Cambria" w:hAnsi="Cambria" w:cs="Garamond-BookCondensed"/>
          <w:b w:val="0"/>
          <w:sz w:val="22"/>
          <w:szCs w:val="22"/>
        </w:rPr>
        <w:t>:</w:t>
      </w:r>
    </w:p>
    <w:p w14:paraId="4BBC6B8C" w14:textId="77777777" w:rsidR="00F30B1D" w:rsidRPr="00D61E89" w:rsidRDefault="00F30B1D" w:rsidP="008C182F">
      <w:pPr>
        <w:pStyle w:val="Title"/>
        <w:ind w:left="360"/>
        <w:jc w:val="left"/>
        <w:rPr>
          <w:rFonts w:ascii="Cambria" w:hAnsi="Cambria" w:cs="Garamond-BookCondensed"/>
          <w:b w:val="0"/>
          <w:sz w:val="22"/>
          <w:szCs w:val="22"/>
        </w:rPr>
      </w:pPr>
    </w:p>
    <w:p w14:paraId="1676B1E7" w14:textId="77777777" w:rsidR="00F30B1D" w:rsidRPr="00D61E89" w:rsidRDefault="00F30B1D" w:rsidP="004F2DEA">
      <w:pPr>
        <w:pStyle w:val="Title"/>
        <w:ind w:left="720"/>
        <w:jc w:val="left"/>
        <w:rPr>
          <w:rFonts w:ascii="Cambria" w:hAnsi="Cambria" w:cs="Garamond-BookCondensed"/>
          <w:b w:val="0"/>
          <w:sz w:val="22"/>
          <w:szCs w:val="22"/>
        </w:rPr>
      </w:pPr>
      <w:r w:rsidRPr="00D61E89">
        <w:rPr>
          <w:rFonts w:ascii="Cambria" w:hAnsi="Cambria" w:cs="Garamond-BookCondensed"/>
          <w:b w:val="0"/>
          <w:sz w:val="22"/>
          <w:szCs w:val="22"/>
        </w:rPr>
        <w:t xml:space="preserve">1) Written or verbal notice of the case or outbreak (without personal identifiers), containing dates by which vaccination must occur and exclusion period dates, </w:t>
      </w:r>
      <w:r w:rsidR="00B31B58">
        <w:rPr>
          <w:rFonts w:ascii="Cambria" w:hAnsi="Cambria" w:cs="Garamond-BookCondensed"/>
          <w:b w:val="0"/>
          <w:sz w:val="22"/>
          <w:szCs w:val="22"/>
        </w:rPr>
        <w:t>as</w:t>
      </w:r>
      <w:r w:rsidR="00B31B58" w:rsidRPr="00D61E89">
        <w:rPr>
          <w:rFonts w:ascii="Cambria" w:hAnsi="Cambria" w:cs="Garamond-BookCondensed"/>
          <w:b w:val="0"/>
          <w:sz w:val="22"/>
          <w:szCs w:val="22"/>
        </w:rPr>
        <w:t xml:space="preserve"> </w:t>
      </w:r>
      <w:r w:rsidRPr="00D61E89">
        <w:rPr>
          <w:rFonts w:ascii="Cambria" w:hAnsi="Cambria" w:cs="Garamond-BookCondensed"/>
          <w:b w:val="0"/>
          <w:sz w:val="22"/>
          <w:szCs w:val="22"/>
        </w:rPr>
        <w:t xml:space="preserve">appropriate – call </w:t>
      </w:r>
      <w:r w:rsidR="005B3DE8" w:rsidRPr="00D61E89">
        <w:rPr>
          <w:rFonts w:ascii="Cambria" w:hAnsi="Cambria" w:cs="Garamond-BookCondensed"/>
          <w:b w:val="0"/>
          <w:sz w:val="22"/>
          <w:szCs w:val="22"/>
        </w:rPr>
        <w:t>(</w:t>
      </w:r>
      <w:r w:rsidRPr="00D61E89">
        <w:rPr>
          <w:rFonts w:ascii="Cambria" w:hAnsi="Cambria" w:cs="Garamond-BookCondensed"/>
          <w:b w:val="0"/>
          <w:sz w:val="22"/>
          <w:szCs w:val="22"/>
        </w:rPr>
        <w:t>617</w:t>
      </w:r>
      <w:r w:rsidR="005B3DE8" w:rsidRPr="00D61E89">
        <w:rPr>
          <w:rFonts w:ascii="Cambria" w:hAnsi="Cambria" w:cs="Garamond-BookCondensed"/>
          <w:b w:val="0"/>
          <w:sz w:val="22"/>
          <w:szCs w:val="22"/>
        </w:rPr>
        <w:t xml:space="preserve">) </w:t>
      </w:r>
      <w:r w:rsidRPr="00D61E89">
        <w:rPr>
          <w:rFonts w:ascii="Cambria" w:hAnsi="Cambria" w:cs="Garamond-BookCondensed"/>
          <w:b w:val="0"/>
          <w:sz w:val="22"/>
          <w:szCs w:val="22"/>
        </w:rPr>
        <w:t>983-6800 for a sample notice (also referred to as advisories and alerts</w:t>
      </w:r>
      <w:r w:rsidR="000136BE">
        <w:rPr>
          <w:rFonts w:ascii="Cambria" w:hAnsi="Cambria" w:cs="Garamond-BookCondensed"/>
          <w:b w:val="0"/>
          <w:sz w:val="22"/>
          <w:szCs w:val="22"/>
        </w:rPr>
        <w:t>)</w:t>
      </w:r>
      <w:r w:rsidRPr="00D61E89">
        <w:rPr>
          <w:rFonts w:ascii="Cambria" w:hAnsi="Cambria" w:cs="Garamond-BookCondensed"/>
          <w:b w:val="0"/>
          <w:sz w:val="22"/>
          <w:szCs w:val="22"/>
        </w:rPr>
        <w:t xml:space="preserve"> </w:t>
      </w:r>
    </w:p>
    <w:p w14:paraId="6293AECD" w14:textId="77777777" w:rsidR="00F30B1D" w:rsidRPr="00D61E89" w:rsidRDefault="00F30B1D" w:rsidP="004F2DEA">
      <w:pPr>
        <w:pStyle w:val="Title"/>
        <w:spacing w:before="120"/>
        <w:ind w:left="720"/>
        <w:jc w:val="left"/>
        <w:rPr>
          <w:rFonts w:ascii="Cambria" w:hAnsi="Cambria"/>
          <w:b w:val="0"/>
          <w:iCs/>
          <w:sz w:val="22"/>
          <w:szCs w:val="22"/>
        </w:rPr>
      </w:pPr>
      <w:r w:rsidRPr="00D61E89">
        <w:rPr>
          <w:rFonts w:ascii="Cambria" w:hAnsi="Cambria" w:cs="Garamond-BookCondensed"/>
          <w:b w:val="0"/>
          <w:sz w:val="22"/>
          <w:szCs w:val="22"/>
        </w:rPr>
        <w:t xml:space="preserve">2) The MDPH </w:t>
      </w:r>
      <w:r w:rsidRPr="00D61E89">
        <w:rPr>
          <w:rFonts w:ascii="Cambria" w:hAnsi="Cambria" w:cs="Garamond-BookCondensed"/>
          <w:b w:val="0"/>
          <w:i/>
          <w:sz w:val="22"/>
          <w:szCs w:val="22"/>
        </w:rPr>
        <w:t>Chickenpox Fact Sheet</w:t>
      </w:r>
      <w:r w:rsidRPr="00D61E89">
        <w:rPr>
          <w:rFonts w:ascii="Cambria" w:hAnsi="Cambria" w:cs="Garamond-BookCondensedItalic"/>
          <w:b w:val="0"/>
          <w:i/>
          <w:iCs/>
          <w:sz w:val="22"/>
          <w:szCs w:val="22"/>
        </w:rPr>
        <w:t xml:space="preserve">, </w:t>
      </w:r>
      <w:r w:rsidRPr="00D61E89">
        <w:rPr>
          <w:rFonts w:ascii="Cambria" w:hAnsi="Cambria" w:cs="Garamond-BookCondensedItalic"/>
          <w:b w:val="0"/>
          <w:iCs/>
          <w:sz w:val="22"/>
          <w:szCs w:val="22"/>
        </w:rPr>
        <w:t xml:space="preserve">available at </w:t>
      </w:r>
      <w:hyperlink r:id="rId19" w:history="1">
        <w:r w:rsidR="007A6DA0" w:rsidRPr="00B1234E">
          <w:rPr>
            <w:rStyle w:val="Hyperlink"/>
            <w:rFonts w:ascii="Cambria" w:hAnsi="Cambria"/>
            <w:b w:val="0"/>
            <w:iCs/>
            <w:sz w:val="20"/>
          </w:rPr>
          <w:t>http://www.mass.gov/eohhs/gov/departments/dph/progr</w:t>
        </w:r>
        <w:r w:rsidR="007A6DA0" w:rsidRPr="00B1234E">
          <w:rPr>
            <w:rStyle w:val="Hyperlink"/>
            <w:rFonts w:ascii="Cambria" w:hAnsi="Cambria"/>
            <w:b w:val="0"/>
            <w:iCs/>
            <w:sz w:val="20"/>
          </w:rPr>
          <w:t>a</w:t>
        </w:r>
        <w:r w:rsidR="007A6DA0" w:rsidRPr="00B1234E">
          <w:rPr>
            <w:rStyle w:val="Hyperlink"/>
            <w:rFonts w:ascii="Cambria" w:hAnsi="Cambria"/>
            <w:b w:val="0"/>
            <w:iCs/>
            <w:sz w:val="20"/>
          </w:rPr>
          <w:t>ms/id/epi</w:t>
        </w:r>
        <w:r w:rsidR="007A6DA0" w:rsidRPr="00B1234E">
          <w:rPr>
            <w:rStyle w:val="Hyperlink"/>
            <w:rFonts w:ascii="Cambria" w:hAnsi="Cambria"/>
            <w:b w:val="0"/>
            <w:iCs/>
            <w:sz w:val="20"/>
          </w:rPr>
          <w:t>d</w:t>
        </w:r>
        <w:r w:rsidR="007A6DA0" w:rsidRPr="00B1234E">
          <w:rPr>
            <w:rStyle w:val="Hyperlink"/>
            <w:rFonts w:ascii="Cambria" w:hAnsi="Cambria"/>
            <w:b w:val="0"/>
            <w:iCs/>
            <w:sz w:val="20"/>
          </w:rPr>
          <w:t>e</w:t>
        </w:r>
        <w:r w:rsidR="007A6DA0" w:rsidRPr="00B1234E">
          <w:rPr>
            <w:rStyle w:val="Hyperlink"/>
            <w:rFonts w:ascii="Cambria" w:hAnsi="Cambria"/>
            <w:b w:val="0"/>
            <w:iCs/>
            <w:sz w:val="20"/>
          </w:rPr>
          <w:t>miology</w:t>
        </w:r>
        <w:r w:rsidR="007A6DA0" w:rsidRPr="00B1234E">
          <w:rPr>
            <w:rStyle w:val="Hyperlink"/>
            <w:rFonts w:ascii="Cambria" w:hAnsi="Cambria"/>
            <w:b w:val="0"/>
            <w:iCs/>
            <w:sz w:val="20"/>
          </w:rPr>
          <w:t>/</w:t>
        </w:r>
        <w:r w:rsidR="007A6DA0" w:rsidRPr="00B1234E">
          <w:rPr>
            <w:rStyle w:val="Hyperlink"/>
            <w:rFonts w:ascii="Cambria" w:hAnsi="Cambria"/>
            <w:b w:val="0"/>
            <w:iCs/>
            <w:sz w:val="20"/>
          </w:rPr>
          <w:t>factsheets.html</w:t>
        </w:r>
      </w:hyperlink>
    </w:p>
    <w:p w14:paraId="56A5DE0A" w14:textId="77777777" w:rsidR="00F30B1D" w:rsidRPr="00D61E89" w:rsidRDefault="00F30B1D" w:rsidP="004F2DEA">
      <w:pPr>
        <w:pStyle w:val="Title"/>
        <w:spacing w:before="120"/>
        <w:ind w:left="720"/>
        <w:jc w:val="left"/>
        <w:rPr>
          <w:rFonts w:ascii="Cambria" w:hAnsi="Cambria"/>
          <w:b w:val="0"/>
          <w:spacing w:val="-3"/>
          <w:sz w:val="22"/>
          <w:szCs w:val="22"/>
        </w:rPr>
      </w:pPr>
      <w:r w:rsidRPr="00D61E89">
        <w:rPr>
          <w:rFonts w:ascii="Cambria" w:hAnsi="Cambria" w:cs="Garamond-BookCondensed"/>
          <w:b w:val="0"/>
          <w:sz w:val="22"/>
          <w:szCs w:val="22"/>
        </w:rPr>
        <w:t xml:space="preserve">3) The </w:t>
      </w:r>
      <w:r w:rsidRPr="00D61E89">
        <w:rPr>
          <w:rFonts w:ascii="Cambria" w:hAnsi="Cambria" w:cs="Garamond-BookCondensed"/>
          <w:b w:val="0"/>
          <w:i/>
          <w:sz w:val="22"/>
          <w:szCs w:val="22"/>
        </w:rPr>
        <w:t>Varicella Vaccine Information Statement</w:t>
      </w:r>
      <w:r w:rsidRPr="00D61E89">
        <w:rPr>
          <w:rFonts w:ascii="Cambria" w:hAnsi="Cambria" w:cs="Garamond-BookCondensedItalic"/>
          <w:b w:val="0"/>
          <w:i/>
          <w:iCs/>
          <w:sz w:val="22"/>
          <w:szCs w:val="22"/>
        </w:rPr>
        <w:t xml:space="preserve"> </w:t>
      </w:r>
      <w:r w:rsidRPr="00D61E89">
        <w:rPr>
          <w:rFonts w:ascii="Cambria" w:hAnsi="Cambria" w:cs="Garamond-BookCondensed"/>
          <w:b w:val="0"/>
          <w:sz w:val="22"/>
          <w:szCs w:val="22"/>
        </w:rPr>
        <w:t>(VIS), available</w:t>
      </w:r>
      <w:r w:rsidRPr="00D61E89">
        <w:rPr>
          <w:rFonts w:ascii="Cambria" w:hAnsi="Cambria" w:cs="Garamond-BookCondensed"/>
          <w:sz w:val="22"/>
          <w:szCs w:val="22"/>
        </w:rPr>
        <w:t xml:space="preserve"> </w:t>
      </w:r>
      <w:r w:rsidRPr="00D61E89">
        <w:rPr>
          <w:rFonts w:ascii="Cambria" w:hAnsi="Cambria"/>
          <w:b w:val="0"/>
          <w:spacing w:val="-3"/>
          <w:sz w:val="22"/>
          <w:szCs w:val="22"/>
        </w:rPr>
        <w:t xml:space="preserve">at </w:t>
      </w:r>
      <w:hyperlink r:id="rId20" w:history="1">
        <w:r w:rsidR="007A6DA0" w:rsidRPr="00D61E89">
          <w:rPr>
            <w:rStyle w:val="Hyperlink"/>
            <w:rFonts w:ascii="Cambria" w:hAnsi="Cambria"/>
            <w:b w:val="0"/>
            <w:spacing w:val="-3"/>
            <w:sz w:val="22"/>
            <w:szCs w:val="22"/>
          </w:rPr>
          <w:t>http://www.cdc.go</w:t>
        </w:r>
        <w:r w:rsidR="007A6DA0" w:rsidRPr="00D61E89">
          <w:rPr>
            <w:rStyle w:val="Hyperlink"/>
            <w:rFonts w:ascii="Cambria" w:hAnsi="Cambria"/>
            <w:b w:val="0"/>
            <w:spacing w:val="-3"/>
            <w:sz w:val="22"/>
            <w:szCs w:val="22"/>
          </w:rPr>
          <w:t>v</w:t>
        </w:r>
        <w:r w:rsidR="007A6DA0" w:rsidRPr="00D61E89">
          <w:rPr>
            <w:rStyle w:val="Hyperlink"/>
            <w:rFonts w:ascii="Cambria" w:hAnsi="Cambria"/>
            <w:b w:val="0"/>
            <w:spacing w:val="-3"/>
            <w:sz w:val="22"/>
            <w:szCs w:val="22"/>
          </w:rPr>
          <w:t>/vacc</w:t>
        </w:r>
        <w:r w:rsidR="007A6DA0" w:rsidRPr="00D61E89">
          <w:rPr>
            <w:rStyle w:val="Hyperlink"/>
            <w:rFonts w:ascii="Cambria" w:hAnsi="Cambria"/>
            <w:b w:val="0"/>
            <w:spacing w:val="-3"/>
            <w:sz w:val="22"/>
            <w:szCs w:val="22"/>
          </w:rPr>
          <w:t>i</w:t>
        </w:r>
        <w:r w:rsidR="007A6DA0" w:rsidRPr="00D61E89">
          <w:rPr>
            <w:rStyle w:val="Hyperlink"/>
            <w:rFonts w:ascii="Cambria" w:hAnsi="Cambria"/>
            <w:b w:val="0"/>
            <w:spacing w:val="-3"/>
            <w:sz w:val="22"/>
            <w:szCs w:val="22"/>
          </w:rPr>
          <w:t>nes</w:t>
        </w:r>
        <w:r w:rsidR="007A6DA0" w:rsidRPr="00D61E89">
          <w:rPr>
            <w:rStyle w:val="Hyperlink"/>
            <w:rFonts w:ascii="Cambria" w:hAnsi="Cambria"/>
            <w:b w:val="0"/>
            <w:spacing w:val="-3"/>
            <w:sz w:val="22"/>
            <w:szCs w:val="22"/>
          </w:rPr>
          <w:t>/</w:t>
        </w:r>
        <w:r w:rsidR="007A6DA0" w:rsidRPr="00D61E89">
          <w:rPr>
            <w:rStyle w:val="Hyperlink"/>
            <w:rFonts w:ascii="Cambria" w:hAnsi="Cambria"/>
            <w:b w:val="0"/>
            <w:spacing w:val="-3"/>
            <w:sz w:val="22"/>
            <w:szCs w:val="22"/>
          </w:rPr>
          <w:t>hcp/vis/vis-statements/v</w:t>
        </w:r>
        <w:r w:rsidR="007A6DA0" w:rsidRPr="00D61E89">
          <w:rPr>
            <w:rStyle w:val="Hyperlink"/>
            <w:rFonts w:ascii="Cambria" w:hAnsi="Cambria"/>
            <w:b w:val="0"/>
            <w:spacing w:val="-3"/>
            <w:sz w:val="22"/>
            <w:szCs w:val="22"/>
          </w:rPr>
          <w:t>a</w:t>
        </w:r>
        <w:r w:rsidR="007A6DA0" w:rsidRPr="00D61E89">
          <w:rPr>
            <w:rStyle w:val="Hyperlink"/>
            <w:rFonts w:ascii="Cambria" w:hAnsi="Cambria"/>
            <w:b w:val="0"/>
            <w:spacing w:val="-3"/>
            <w:sz w:val="22"/>
            <w:szCs w:val="22"/>
          </w:rPr>
          <w:t>ricella.html</w:t>
        </w:r>
      </w:hyperlink>
      <w:r w:rsidR="007A6DA0" w:rsidRPr="00D61E89">
        <w:rPr>
          <w:rFonts w:ascii="Cambria" w:hAnsi="Cambria"/>
          <w:b w:val="0"/>
          <w:spacing w:val="-3"/>
          <w:sz w:val="22"/>
          <w:szCs w:val="22"/>
        </w:rPr>
        <w:t xml:space="preserve"> </w:t>
      </w:r>
      <w:r w:rsidRPr="00D61E89">
        <w:rPr>
          <w:rFonts w:ascii="Cambria" w:hAnsi="Cambria"/>
          <w:b w:val="0"/>
          <w:spacing w:val="-3"/>
          <w:sz w:val="22"/>
          <w:szCs w:val="22"/>
        </w:rPr>
        <w:t xml:space="preserve">and </w:t>
      </w:r>
      <w:hyperlink r:id="rId21" w:history="1">
        <w:r w:rsidRPr="00D61E89">
          <w:rPr>
            <w:rStyle w:val="Hyperlink"/>
            <w:rFonts w:ascii="Cambria" w:eastAsia="MS Mincho" w:hAnsi="Cambria"/>
            <w:b w:val="0"/>
            <w:spacing w:val="-3"/>
            <w:sz w:val="22"/>
            <w:szCs w:val="22"/>
          </w:rPr>
          <w:t>http://www.immu</w:t>
        </w:r>
        <w:r w:rsidRPr="00D61E89">
          <w:rPr>
            <w:rStyle w:val="Hyperlink"/>
            <w:rFonts w:ascii="Cambria" w:eastAsia="MS Mincho" w:hAnsi="Cambria"/>
            <w:b w:val="0"/>
            <w:spacing w:val="-3"/>
            <w:sz w:val="22"/>
            <w:szCs w:val="22"/>
          </w:rPr>
          <w:t>n</w:t>
        </w:r>
        <w:r w:rsidRPr="00D61E89">
          <w:rPr>
            <w:rStyle w:val="Hyperlink"/>
            <w:rFonts w:ascii="Cambria" w:eastAsia="MS Mincho" w:hAnsi="Cambria"/>
            <w:b w:val="0"/>
            <w:spacing w:val="-3"/>
            <w:sz w:val="22"/>
            <w:szCs w:val="22"/>
          </w:rPr>
          <w:t>i</w:t>
        </w:r>
        <w:r w:rsidRPr="00D61E89">
          <w:rPr>
            <w:rStyle w:val="Hyperlink"/>
            <w:rFonts w:ascii="Cambria" w:eastAsia="MS Mincho" w:hAnsi="Cambria"/>
            <w:b w:val="0"/>
            <w:spacing w:val="-3"/>
            <w:sz w:val="22"/>
            <w:szCs w:val="22"/>
          </w:rPr>
          <w:t>ze.org/vis</w:t>
        </w:r>
        <w:r w:rsidRPr="00D61E89">
          <w:rPr>
            <w:rStyle w:val="Hyperlink"/>
            <w:rFonts w:ascii="Cambria" w:eastAsia="MS Mincho" w:hAnsi="Cambria"/>
            <w:b w:val="0"/>
            <w:spacing w:val="-3"/>
            <w:sz w:val="22"/>
            <w:szCs w:val="22"/>
          </w:rPr>
          <w:t>/</w:t>
        </w:r>
        <w:r w:rsidRPr="00D61E89">
          <w:rPr>
            <w:rStyle w:val="Hyperlink"/>
            <w:rFonts w:ascii="Cambria" w:eastAsia="MS Mincho" w:hAnsi="Cambria"/>
            <w:b w:val="0"/>
            <w:spacing w:val="-3"/>
            <w:sz w:val="22"/>
            <w:szCs w:val="22"/>
          </w:rPr>
          <w:t>i</w:t>
        </w:r>
        <w:r w:rsidRPr="00D61E89">
          <w:rPr>
            <w:rStyle w:val="Hyperlink"/>
            <w:rFonts w:ascii="Cambria" w:eastAsia="MS Mincho" w:hAnsi="Cambria"/>
            <w:b w:val="0"/>
            <w:spacing w:val="-3"/>
            <w:sz w:val="22"/>
            <w:szCs w:val="22"/>
          </w:rPr>
          <w:t>n</w:t>
        </w:r>
        <w:r w:rsidRPr="00D61E89">
          <w:rPr>
            <w:rStyle w:val="Hyperlink"/>
            <w:rFonts w:ascii="Cambria" w:eastAsia="MS Mincho" w:hAnsi="Cambria"/>
            <w:b w:val="0"/>
            <w:spacing w:val="-3"/>
            <w:sz w:val="22"/>
            <w:szCs w:val="22"/>
          </w:rPr>
          <w:t>d</w:t>
        </w:r>
        <w:r w:rsidRPr="00D61E89">
          <w:rPr>
            <w:rStyle w:val="Hyperlink"/>
            <w:rFonts w:ascii="Cambria" w:eastAsia="MS Mincho" w:hAnsi="Cambria"/>
            <w:b w:val="0"/>
            <w:spacing w:val="-3"/>
            <w:sz w:val="22"/>
            <w:szCs w:val="22"/>
          </w:rPr>
          <w:t>ex.htm</w:t>
        </w:r>
      </w:hyperlink>
      <w:r w:rsidRPr="00D61E89">
        <w:rPr>
          <w:rFonts w:ascii="Cambria" w:hAnsi="Cambria"/>
          <w:b w:val="0"/>
          <w:spacing w:val="-3"/>
          <w:sz w:val="22"/>
          <w:szCs w:val="22"/>
        </w:rPr>
        <w:t>.</w:t>
      </w:r>
      <w:r w:rsidR="00F70CEE" w:rsidRPr="00D61E89">
        <w:rPr>
          <w:rFonts w:ascii="Cambria" w:hAnsi="Cambria"/>
          <w:b w:val="0"/>
          <w:spacing w:val="-3"/>
          <w:sz w:val="22"/>
          <w:szCs w:val="22"/>
        </w:rPr>
        <w:t xml:space="preserve"> </w:t>
      </w:r>
    </w:p>
    <w:p w14:paraId="3444113B" w14:textId="77777777" w:rsidR="00F30B1D" w:rsidRPr="00D61E89" w:rsidRDefault="00F30B1D" w:rsidP="008C182F">
      <w:pPr>
        <w:pStyle w:val="Title"/>
        <w:ind w:left="360"/>
        <w:jc w:val="left"/>
        <w:rPr>
          <w:rFonts w:ascii="Cambria" w:hAnsi="Cambria"/>
          <w:b w:val="0"/>
          <w:spacing w:val="-3"/>
          <w:sz w:val="22"/>
          <w:szCs w:val="22"/>
        </w:rPr>
      </w:pPr>
    </w:p>
    <w:p w14:paraId="3255D7FB" w14:textId="77777777" w:rsidR="00F30B1D" w:rsidRPr="00D61E89" w:rsidRDefault="00F30B1D" w:rsidP="008C182F">
      <w:pPr>
        <w:autoSpaceDE w:val="0"/>
        <w:autoSpaceDN w:val="0"/>
        <w:adjustRightInd w:val="0"/>
        <w:ind w:left="360"/>
        <w:rPr>
          <w:rFonts w:ascii="Cambria" w:hAnsi="Cambria" w:cs="Garamond-BookCondensed"/>
          <w:sz w:val="22"/>
          <w:szCs w:val="22"/>
        </w:rPr>
      </w:pPr>
      <w:r w:rsidRPr="00D61E89">
        <w:rPr>
          <w:rFonts w:ascii="Cambria" w:hAnsi="Cambria" w:cs="Garamond-BookCondensed"/>
          <w:sz w:val="22"/>
          <w:szCs w:val="22"/>
        </w:rPr>
        <w:t>Review the importance of careful hand washing with staff and students, especially after touching discharges from nose, throat, or chickenpox lesions, and the importance of not sharing eating utensils or toys that are put into the mouth.</w:t>
      </w:r>
    </w:p>
    <w:p w14:paraId="224B7FF8" w14:textId="77777777" w:rsidR="00F30B1D" w:rsidRPr="00D61E89" w:rsidRDefault="00F30B1D" w:rsidP="00F30B1D">
      <w:pPr>
        <w:autoSpaceDE w:val="0"/>
        <w:autoSpaceDN w:val="0"/>
        <w:adjustRightInd w:val="0"/>
        <w:rPr>
          <w:rFonts w:ascii="Cambria" w:hAnsi="Cambria" w:cs="Garamond-BookCondensed"/>
          <w:sz w:val="22"/>
          <w:szCs w:val="22"/>
        </w:rPr>
      </w:pPr>
    </w:p>
    <w:p w14:paraId="45790105" w14:textId="77777777" w:rsidR="00F30B1D" w:rsidRPr="00D61E89" w:rsidRDefault="00F30B1D" w:rsidP="00F30B1D">
      <w:pPr>
        <w:widowControl w:val="0"/>
        <w:autoSpaceDE w:val="0"/>
        <w:autoSpaceDN w:val="0"/>
        <w:adjustRightInd w:val="0"/>
        <w:ind w:left="360" w:hanging="360"/>
        <w:rPr>
          <w:rFonts w:ascii="Cambria" w:hAnsi="Cambria" w:cs="Garamond-BookCondensed"/>
          <w:b/>
          <w:sz w:val="22"/>
          <w:szCs w:val="22"/>
        </w:rPr>
      </w:pPr>
      <w:r w:rsidRPr="00D61E89">
        <w:rPr>
          <w:rFonts w:ascii="Cambria" w:hAnsi="Cambria" w:cs="Garamond-BookCondensed"/>
          <w:sz w:val="22"/>
          <w:szCs w:val="22"/>
        </w:rPr>
        <w:t>9.</w:t>
      </w:r>
      <w:r w:rsidR="007A4C70" w:rsidRPr="00D61E89">
        <w:rPr>
          <w:rFonts w:ascii="Cambria" w:hAnsi="Cambria" w:cs="Garamond-BookCondensed"/>
          <w:sz w:val="22"/>
          <w:szCs w:val="22"/>
        </w:rPr>
        <w:t xml:space="preserve"> </w:t>
      </w:r>
      <w:r w:rsidR="008C182F">
        <w:rPr>
          <w:rFonts w:ascii="Cambria" w:hAnsi="Cambria" w:cs="Garamond-BookCondensed"/>
          <w:sz w:val="22"/>
          <w:szCs w:val="22"/>
        </w:rPr>
        <w:t xml:space="preserve">  </w:t>
      </w:r>
      <w:r w:rsidRPr="00D61E89">
        <w:rPr>
          <w:rFonts w:ascii="Cambria" w:hAnsi="Cambria" w:cs="Garamond-BookCondensed"/>
          <w:b/>
          <w:sz w:val="22"/>
          <w:szCs w:val="22"/>
        </w:rPr>
        <w:t>Conduct surveillance.</w:t>
      </w:r>
    </w:p>
    <w:p w14:paraId="4E28F1EF" w14:textId="77777777" w:rsidR="00F30B1D" w:rsidRPr="00D61E89" w:rsidRDefault="00F30B1D" w:rsidP="008C182F">
      <w:pPr>
        <w:widowControl w:val="0"/>
        <w:autoSpaceDE w:val="0"/>
        <w:autoSpaceDN w:val="0"/>
        <w:adjustRightInd w:val="0"/>
        <w:ind w:left="360"/>
        <w:rPr>
          <w:rFonts w:ascii="Garamond-BookCondensed" w:hAnsi="Garamond-BookCondensed" w:cs="Garamond-BookCondensed"/>
        </w:rPr>
      </w:pPr>
      <w:r w:rsidRPr="00D61E89">
        <w:rPr>
          <w:rFonts w:ascii="Cambria" w:hAnsi="Cambria" w:cs="Garamond-BookCondensed"/>
          <w:sz w:val="22"/>
          <w:szCs w:val="22"/>
        </w:rPr>
        <w:t xml:space="preserve">Surveillance for chickenpox should occur for </w:t>
      </w:r>
      <w:r w:rsidR="00820495" w:rsidRPr="00D61E89">
        <w:rPr>
          <w:rFonts w:ascii="Cambria" w:hAnsi="Cambria" w:cs="Garamond-BookCondensed"/>
          <w:sz w:val="22"/>
          <w:szCs w:val="22"/>
        </w:rPr>
        <w:t>42</w:t>
      </w:r>
      <w:r w:rsidRPr="00D61E89">
        <w:rPr>
          <w:rFonts w:ascii="Cambria" w:hAnsi="Cambria" w:cs="Garamond-BookCondensed"/>
          <w:sz w:val="22"/>
          <w:szCs w:val="22"/>
        </w:rPr>
        <w:t xml:space="preserve"> days (</w:t>
      </w:r>
      <w:r w:rsidR="00820495" w:rsidRPr="00D61E89">
        <w:rPr>
          <w:rFonts w:ascii="Cambria" w:hAnsi="Cambria" w:cs="Garamond-BookCondensed"/>
          <w:sz w:val="22"/>
          <w:szCs w:val="22"/>
        </w:rPr>
        <w:t>2</w:t>
      </w:r>
      <w:r w:rsidRPr="00D61E89">
        <w:rPr>
          <w:rFonts w:ascii="Cambria" w:hAnsi="Cambria" w:cs="Garamond-BookCondensed"/>
          <w:sz w:val="22"/>
          <w:szCs w:val="22"/>
        </w:rPr>
        <w:t xml:space="preserve"> incubation period</w:t>
      </w:r>
      <w:r w:rsidR="00820495" w:rsidRPr="00D61E89">
        <w:rPr>
          <w:rFonts w:ascii="Cambria" w:hAnsi="Cambria" w:cs="Garamond-BookCondensed"/>
          <w:sz w:val="22"/>
          <w:szCs w:val="22"/>
        </w:rPr>
        <w:t>s</w:t>
      </w:r>
      <w:r w:rsidRPr="00D61E89">
        <w:rPr>
          <w:rFonts w:ascii="Cambria" w:hAnsi="Cambria" w:cs="Garamond-BookCondensed"/>
          <w:sz w:val="22"/>
          <w:szCs w:val="22"/>
        </w:rPr>
        <w:t xml:space="preserve">) after the last exposure to chickenpox. For those who received </w:t>
      </w:r>
      <w:r w:rsidR="003D078E">
        <w:rPr>
          <w:rFonts w:ascii="Cambria" w:hAnsi="Cambria" w:cs="Garamond-BookCondensed"/>
          <w:sz w:val="22"/>
          <w:szCs w:val="22"/>
        </w:rPr>
        <w:t>VariZIG</w:t>
      </w:r>
      <w:r w:rsidRPr="00D61E89">
        <w:rPr>
          <w:rFonts w:ascii="Cambria" w:hAnsi="Cambria"/>
          <w:sz w:val="22"/>
          <w:szCs w:val="22"/>
          <w:vertAlign w:val="superscript"/>
        </w:rPr>
        <w:t>®</w:t>
      </w:r>
      <w:r w:rsidRPr="00D61E89">
        <w:rPr>
          <w:rFonts w:ascii="Cambria" w:hAnsi="Cambria" w:cs="Garamond-BookCondensed"/>
          <w:sz w:val="22"/>
          <w:szCs w:val="22"/>
        </w:rPr>
        <w:t xml:space="preserve"> or IGIV and where immunocompromised individuals are involved, surveillance should continue for </w:t>
      </w:r>
      <w:r w:rsidR="00820495" w:rsidRPr="00D61E89">
        <w:rPr>
          <w:rFonts w:ascii="Cambria" w:hAnsi="Cambria" w:cs="Garamond-BookCondensed"/>
          <w:sz w:val="22"/>
          <w:szCs w:val="22"/>
        </w:rPr>
        <w:t>56</w:t>
      </w:r>
      <w:r w:rsidRPr="00D61E89">
        <w:rPr>
          <w:rFonts w:ascii="Cambria" w:hAnsi="Cambria" w:cs="Garamond-BookCondensed"/>
          <w:sz w:val="22"/>
          <w:szCs w:val="22"/>
        </w:rPr>
        <w:t xml:space="preserve"> days.</w:t>
      </w:r>
    </w:p>
    <w:p w14:paraId="13D644DB" w14:textId="77777777" w:rsidR="006D78F0" w:rsidRPr="00D61E89" w:rsidRDefault="006D78F0" w:rsidP="006D78F0">
      <w:pPr>
        <w:autoSpaceDE w:val="0"/>
        <w:autoSpaceDN w:val="0"/>
        <w:adjustRightInd w:val="0"/>
        <w:spacing w:before="240" w:after="120"/>
        <w:rPr>
          <w:rFonts w:ascii="Arial" w:hAnsi="Arial" w:cs="Arial"/>
          <w:b/>
          <w:bCs/>
          <w:sz w:val="22"/>
          <w:szCs w:val="22"/>
        </w:rPr>
      </w:pPr>
      <w:r w:rsidRPr="00D61E89">
        <w:rPr>
          <w:rFonts w:ascii="Arial" w:hAnsi="Arial" w:cs="Arial"/>
          <w:b/>
          <w:bCs/>
          <w:sz w:val="22"/>
          <w:szCs w:val="22"/>
        </w:rPr>
        <w:t>C. Managing Special Situations</w:t>
      </w:r>
    </w:p>
    <w:p w14:paraId="1E1C2FAC" w14:textId="77777777" w:rsidR="00F30B1D" w:rsidRPr="00D61E89" w:rsidRDefault="0097327D" w:rsidP="00F30B1D">
      <w:pPr>
        <w:pStyle w:val="NormalGaramond-BookCondensed"/>
        <w:rPr>
          <w:rFonts w:ascii="Cambria" w:hAnsi="Cambria"/>
          <w:i/>
          <w:sz w:val="22"/>
          <w:szCs w:val="22"/>
        </w:rPr>
      </w:pPr>
      <w:r>
        <w:rPr>
          <w:rFonts w:ascii="Cambria" w:hAnsi="Cambria"/>
          <w:i/>
          <w:sz w:val="22"/>
          <w:szCs w:val="22"/>
        </w:rPr>
        <w:t>General</w:t>
      </w:r>
      <w:r w:rsidR="00F30B1D" w:rsidRPr="00D61E89">
        <w:rPr>
          <w:rFonts w:ascii="Cambria" w:hAnsi="Cambria"/>
          <w:i/>
          <w:sz w:val="22"/>
          <w:szCs w:val="22"/>
        </w:rPr>
        <w:t xml:space="preserve"> control measures </w:t>
      </w:r>
      <w:r>
        <w:rPr>
          <w:rFonts w:ascii="Cambria" w:hAnsi="Cambria"/>
          <w:i/>
          <w:sz w:val="22"/>
          <w:szCs w:val="22"/>
        </w:rPr>
        <w:t xml:space="preserve">are found </w:t>
      </w:r>
      <w:r w:rsidR="00F30B1D" w:rsidRPr="00D61E89">
        <w:rPr>
          <w:rFonts w:ascii="Cambria" w:hAnsi="Cambria"/>
          <w:i/>
          <w:sz w:val="22"/>
          <w:szCs w:val="22"/>
        </w:rPr>
        <w:t xml:space="preserve">in Section 4B: Protection of Contacts of a Case. In </w:t>
      </w:r>
      <w:r w:rsidR="003A50A1">
        <w:rPr>
          <w:rFonts w:ascii="Cambria" w:hAnsi="Cambria"/>
          <w:i/>
          <w:sz w:val="22"/>
          <w:szCs w:val="22"/>
        </w:rPr>
        <w:t xml:space="preserve">some </w:t>
      </w:r>
      <w:r w:rsidR="00F30B1D" w:rsidRPr="00D61E89">
        <w:rPr>
          <w:rFonts w:ascii="Cambria" w:hAnsi="Cambria"/>
          <w:i/>
          <w:sz w:val="22"/>
          <w:szCs w:val="22"/>
        </w:rPr>
        <w:t>situations</w:t>
      </w:r>
      <w:r w:rsidR="00485958">
        <w:rPr>
          <w:rFonts w:ascii="Cambria" w:hAnsi="Cambria"/>
          <w:i/>
          <w:sz w:val="22"/>
          <w:szCs w:val="22"/>
        </w:rPr>
        <w:t>,</w:t>
      </w:r>
      <w:r w:rsidR="00F30B1D" w:rsidRPr="00D61E89">
        <w:rPr>
          <w:rFonts w:ascii="Cambria" w:hAnsi="Cambria"/>
          <w:i/>
          <w:sz w:val="22"/>
          <w:szCs w:val="22"/>
        </w:rPr>
        <w:t xml:space="preserve"> some control measures may be strict</w:t>
      </w:r>
      <w:r w:rsidR="002E4530">
        <w:rPr>
          <w:rFonts w:ascii="Cambria" w:hAnsi="Cambria"/>
          <w:i/>
          <w:sz w:val="22"/>
          <w:szCs w:val="22"/>
        </w:rPr>
        <w:t>er</w:t>
      </w:r>
      <w:r w:rsidR="00F30B1D" w:rsidRPr="00D61E89">
        <w:rPr>
          <w:rFonts w:ascii="Cambria" w:hAnsi="Cambria"/>
          <w:i/>
          <w:sz w:val="22"/>
          <w:szCs w:val="22"/>
        </w:rPr>
        <w:t xml:space="preserve"> in order to protect vulnerable susceptible populations or intervene in an outbreak. This section explains those differences for schools, infant daycares, healthcare (acute and long-term care), congregate housing (prison, jails, dormitories, shelters, group homes, military housing) and institutional settings where group A streptococcal (GAS) infection is also present.</w:t>
      </w:r>
    </w:p>
    <w:p w14:paraId="3A5D901C" w14:textId="77777777" w:rsidR="00197088" w:rsidRPr="00D61E89" w:rsidRDefault="00197088" w:rsidP="00197088">
      <w:pPr>
        <w:pBdr>
          <w:bottom w:val="single" w:sz="2" w:space="1" w:color="BFBFBF"/>
        </w:pBdr>
        <w:autoSpaceDE w:val="0"/>
        <w:autoSpaceDN w:val="0"/>
        <w:adjustRightInd w:val="0"/>
        <w:spacing w:before="240" w:after="120"/>
        <w:rPr>
          <w:rFonts w:ascii="Cambria" w:hAnsi="Cambria" w:cs="Arial"/>
          <w:i/>
          <w:iCs/>
          <w:sz w:val="22"/>
          <w:szCs w:val="20"/>
        </w:rPr>
      </w:pPr>
      <w:r w:rsidRPr="00D61E89">
        <w:rPr>
          <w:rFonts w:ascii="Cambria" w:hAnsi="Cambria" w:cs="Arial"/>
          <w:i/>
          <w:iCs/>
          <w:sz w:val="22"/>
          <w:szCs w:val="20"/>
        </w:rPr>
        <w:t>Schools</w:t>
      </w:r>
    </w:p>
    <w:p w14:paraId="326E459C" w14:textId="77777777" w:rsidR="00197088" w:rsidRPr="00D61E89" w:rsidRDefault="0097327D" w:rsidP="00197088">
      <w:pPr>
        <w:autoSpaceDE w:val="0"/>
        <w:autoSpaceDN w:val="0"/>
        <w:adjustRightInd w:val="0"/>
        <w:rPr>
          <w:rFonts w:ascii="Cambria" w:hAnsi="Cambria" w:cs="Garamond-BookCondensed"/>
          <w:sz w:val="22"/>
          <w:szCs w:val="22"/>
        </w:rPr>
      </w:pPr>
      <w:r>
        <w:rPr>
          <w:rFonts w:ascii="Cambria" w:hAnsi="Cambria" w:cs="Garamond-BookCondensed"/>
          <w:sz w:val="22"/>
          <w:szCs w:val="22"/>
        </w:rPr>
        <w:t xml:space="preserve">Exposure </w:t>
      </w:r>
      <w:r w:rsidR="00197088" w:rsidRPr="00D61E89">
        <w:rPr>
          <w:rFonts w:ascii="Cambria" w:hAnsi="Cambria" w:cs="Garamond-BookCondensed"/>
          <w:sz w:val="22"/>
          <w:szCs w:val="22"/>
        </w:rPr>
        <w:t xml:space="preserve">to chickenpox is defined as contact with nasopharyngeal secretions or lesions, face-to-face interaction, or sharing close indoor airspace with an infectious person during the patient’s infectious period (2 days before rash onset until lesions have crusted over). </w:t>
      </w:r>
      <w:r w:rsidR="00197088" w:rsidRPr="00D61E89">
        <w:rPr>
          <w:rFonts w:ascii="Cambria" w:hAnsi="Cambria" w:cs="Garamond-BookCondensed"/>
          <w:sz w:val="22"/>
          <w:szCs w:val="22"/>
          <w:u w:val="single"/>
        </w:rPr>
        <w:t>Close proximity and sustained contact are high</w:t>
      </w:r>
      <w:r w:rsidR="0007642D">
        <w:rPr>
          <w:rFonts w:ascii="Cambria" w:hAnsi="Cambria" w:cs="Garamond-BookCondensed"/>
          <w:sz w:val="22"/>
          <w:szCs w:val="22"/>
          <w:u w:val="single"/>
        </w:rPr>
        <w:t>-</w:t>
      </w:r>
      <w:r w:rsidR="00197088" w:rsidRPr="00D61E89">
        <w:rPr>
          <w:rFonts w:ascii="Cambria" w:hAnsi="Cambria" w:cs="Garamond-BookCondensed"/>
          <w:sz w:val="22"/>
          <w:szCs w:val="22"/>
          <w:u w:val="single"/>
        </w:rPr>
        <w:t>risk for chickenpox transmission</w:t>
      </w:r>
      <w:r w:rsidR="00197088" w:rsidRPr="00D61E89">
        <w:rPr>
          <w:rFonts w:ascii="Cambria" w:hAnsi="Cambria" w:cs="Garamond-BookCondensed"/>
          <w:sz w:val="22"/>
          <w:szCs w:val="22"/>
        </w:rPr>
        <w:t>.</w:t>
      </w:r>
      <w:r w:rsidR="00F70CEE" w:rsidRPr="00D61E89">
        <w:rPr>
          <w:rFonts w:ascii="Cambria" w:hAnsi="Cambria" w:cs="Garamond-BookCondensed"/>
          <w:sz w:val="22"/>
          <w:szCs w:val="22"/>
        </w:rPr>
        <w:t xml:space="preserve"> </w:t>
      </w:r>
      <w:r w:rsidR="00197088" w:rsidRPr="00D61E89">
        <w:rPr>
          <w:rFonts w:ascii="Cambria" w:hAnsi="Cambria" w:cs="Garamond-BookCondensed"/>
          <w:sz w:val="22"/>
          <w:szCs w:val="22"/>
        </w:rPr>
        <w:t>Identifying “zones of exposure” is a critical step in developing specific control interventions for chickenpox. When dealing with school</w:t>
      </w:r>
      <w:r>
        <w:rPr>
          <w:rFonts w:ascii="Cambria" w:hAnsi="Cambria" w:cs="Garamond-BookCondensed"/>
          <w:sz w:val="22"/>
          <w:szCs w:val="22"/>
        </w:rPr>
        <w:t>s</w:t>
      </w:r>
      <w:r w:rsidR="00197088" w:rsidRPr="00D61E89">
        <w:rPr>
          <w:rFonts w:ascii="Cambria" w:hAnsi="Cambria" w:cs="Garamond-BookCondensed"/>
          <w:sz w:val="22"/>
          <w:szCs w:val="22"/>
        </w:rPr>
        <w:t xml:space="preserve">, </w:t>
      </w:r>
      <w:r>
        <w:rPr>
          <w:rFonts w:ascii="Cambria" w:hAnsi="Cambria" w:cs="Garamond-BookCondensed"/>
          <w:sz w:val="22"/>
          <w:szCs w:val="22"/>
        </w:rPr>
        <w:t xml:space="preserve">identify </w:t>
      </w:r>
      <w:r w:rsidR="00197088" w:rsidRPr="00D61E89">
        <w:rPr>
          <w:rFonts w:ascii="Cambria" w:hAnsi="Cambria" w:cs="Garamond-BookCondensed"/>
          <w:sz w:val="22"/>
          <w:szCs w:val="22"/>
        </w:rPr>
        <w:t xml:space="preserve">zones of exposure, </w:t>
      </w:r>
      <w:r w:rsidR="004B4BCF">
        <w:rPr>
          <w:rFonts w:ascii="Cambria" w:hAnsi="Cambria" w:cs="Garamond-BookCondensed"/>
          <w:sz w:val="22"/>
          <w:szCs w:val="22"/>
        </w:rPr>
        <w:t>starting with the closest contacts</w:t>
      </w:r>
      <w:r w:rsidR="00197088" w:rsidRPr="00D61E89">
        <w:rPr>
          <w:rFonts w:ascii="Cambria" w:hAnsi="Cambria" w:cs="Garamond-BookCondensed"/>
          <w:sz w:val="22"/>
          <w:szCs w:val="22"/>
        </w:rPr>
        <w:t>:</w:t>
      </w:r>
    </w:p>
    <w:p w14:paraId="4B71376E" w14:textId="77777777" w:rsidR="00197088" w:rsidRPr="00D61E89" w:rsidRDefault="00197088" w:rsidP="00197088">
      <w:pPr>
        <w:autoSpaceDE w:val="0"/>
        <w:autoSpaceDN w:val="0"/>
        <w:adjustRightInd w:val="0"/>
        <w:rPr>
          <w:rFonts w:ascii="Cambria" w:hAnsi="Cambria" w:cs="Garamond-BookCondensed"/>
          <w:sz w:val="22"/>
          <w:szCs w:val="22"/>
        </w:rPr>
      </w:pPr>
    </w:p>
    <w:p w14:paraId="516854EC" w14:textId="77777777" w:rsidR="003A50A1" w:rsidRDefault="003A50A1" w:rsidP="00197088">
      <w:pPr>
        <w:numPr>
          <w:ilvl w:val="0"/>
          <w:numId w:val="22"/>
        </w:numPr>
        <w:tabs>
          <w:tab w:val="clear" w:pos="1080"/>
          <w:tab w:val="num" w:pos="720"/>
        </w:tabs>
        <w:autoSpaceDE w:val="0"/>
        <w:autoSpaceDN w:val="0"/>
        <w:adjustRightInd w:val="0"/>
        <w:ind w:left="720"/>
        <w:rPr>
          <w:rFonts w:ascii="Cambria" w:hAnsi="Cambria" w:cs="Garamond-BookCondensed"/>
          <w:sz w:val="22"/>
          <w:szCs w:val="22"/>
        </w:rPr>
      </w:pPr>
      <w:r>
        <w:rPr>
          <w:rFonts w:ascii="Cambria" w:hAnsi="Cambria" w:cs="Garamond-BookCondensed"/>
          <w:sz w:val="22"/>
          <w:szCs w:val="22"/>
        </w:rPr>
        <w:t>Sharing the same small group of desks;</w:t>
      </w:r>
    </w:p>
    <w:p w14:paraId="2A8EB309" w14:textId="77777777" w:rsidR="00197088" w:rsidRPr="00D61E89" w:rsidRDefault="00197088" w:rsidP="00197088">
      <w:pPr>
        <w:numPr>
          <w:ilvl w:val="0"/>
          <w:numId w:val="22"/>
        </w:numPr>
        <w:tabs>
          <w:tab w:val="clear" w:pos="1080"/>
          <w:tab w:val="num" w:pos="720"/>
        </w:tabs>
        <w:autoSpaceDE w:val="0"/>
        <w:autoSpaceDN w:val="0"/>
        <w:adjustRightInd w:val="0"/>
        <w:ind w:left="720"/>
        <w:rPr>
          <w:rFonts w:ascii="Cambria" w:hAnsi="Cambria" w:cs="Garamond-BookCondensed"/>
          <w:sz w:val="22"/>
          <w:szCs w:val="22"/>
        </w:rPr>
      </w:pPr>
      <w:r w:rsidRPr="00D61E89">
        <w:rPr>
          <w:rFonts w:ascii="Cambria" w:hAnsi="Cambria" w:cs="Garamond-BookCondensed"/>
          <w:sz w:val="22"/>
          <w:szCs w:val="22"/>
        </w:rPr>
        <w:t>Sharing the same classroom</w:t>
      </w:r>
      <w:r w:rsidR="006A72E6">
        <w:rPr>
          <w:rFonts w:ascii="Cambria" w:hAnsi="Cambria" w:cs="Garamond-BookCondensed"/>
          <w:sz w:val="22"/>
          <w:szCs w:val="22"/>
        </w:rPr>
        <w:t xml:space="preserve"> (especially younger students)</w:t>
      </w:r>
      <w:r w:rsidRPr="00D61E89">
        <w:rPr>
          <w:rFonts w:ascii="Cambria" w:hAnsi="Cambria" w:cs="Garamond-BookCondensed"/>
          <w:sz w:val="22"/>
          <w:szCs w:val="22"/>
        </w:rPr>
        <w:t>;</w:t>
      </w:r>
    </w:p>
    <w:p w14:paraId="3F7716D1" w14:textId="77777777" w:rsidR="00197088" w:rsidRPr="00D61E89" w:rsidRDefault="00197088" w:rsidP="00197088">
      <w:pPr>
        <w:numPr>
          <w:ilvl w:val="0"/>
          <w:numId w:val="22"/>
        </w:numPr>
        <w:tabs>
          <w:tab w:val="clear" w:pos="1080"/>
          <w:tab w:val="num" w:pos="720"/>
        </w:tabs>
        <w:autoSpaceDE w:val="0"/>
        <w:autoSpaceDN w:val="0"/>
        <w:adjustRightInd w:val="0"/>
        <w:ind w:left="720"/>
        <w:rPr>
          <w:rFonts w:ascii="Cambria" w:hAnsi="Cambria" w:cs="Garamond-BookCondensed"/>
          <w:sz w:val="22"/>
          <w:szCs w:val="22"/>
        </w:rPr>
      </w:pPr>
      <w:r w:rsidRPr="00D61E89">
        <w:rPr>
          <w:rFonts w:ascii="Cambria" w:hAnsi="Cambria" w:cs="Garamond-BookCondensed"/>
          <w:sz w:val="22"/>
          <w:szCs w:val="22"/>
        </w:rPr>
        <w:t>Sitting at the same table in a lunchroom;</w:t>
      </w:r>
    </w:p>
    <w:p w14:paraId="56B332C1" w14:textId="77777777" w:rsidR="00197088" w:rsidRPr="00D61E89" w:rsidRDefault="00197088" w:rsidP="00197088">
      <w:pPr>
        <w:numPr>
          <w:ilvl w:val="0"/>
          <w:numId w:val="22"/>
        </w:numPr>
        <w:tabs>
          <w:tab w:val="clear" w:pos="1080"/>
          <w:tab w:val="num" w:pos="720"/>
        </w:tabs>
        <w:autoSpaceDE w:val="0"/>
        <w:autoSpaceDN w:val="0"/>
        <w:adjustRightInd w:val="0"/>
        <w:ind w:left="720"/>
        <w:rPr>
          <w:rFonts w:ascii="Cambria" w:hAnsi="Cambria" w:cs="Garamond-BookCondensed"/>
          <w:sz w:val="22"/>
          <w:szCs w:val="22"/>
        </w:rPr>
      </w:pPr>
      <w:r w:rsidRPr="00D61E89">
        <w:rPr>
          <w:rFonts w:ascii="Cambria" w:hAnsi="Cambria" w:cs="Garamond-BookCondensed"/>
          <w:sz w:val="22"/>
          <w:szCs w:val="22"/>
        </w:rPr>
        <w:t>Riding the same bus/carpooling; or</w:t>
      </w:r>
    </w:p>
    <w:p w14:paraId="33AF065B" w14:textId="77777777" w:rsidR="00197088" w:rsidRPr="00D61E89" w:rsidRDefault="00197088" w:rsidP="00197088">
      <w:pPr>
        <w:numPr>
          <w:ilvl w:val="0"/>
          <w:numId w:val="22"/>
        </w:numPr>
        <w:tabs>
          <w:tab w:val="clear" w:pos="1080"/>
          <w:tab w:val="num" w:pos="720"/>
        </w:tabs>
        <w:autoSpaceDE w:val="0"/>
        <w:autoSpaceDN w:val="0"/>
        <w:adjustRightInd w:val="0"/>
        <w:ind w:left="720"/>
        <w:rPr>
          <w:rFonts w:ascii="Cambria" w:hAnsi="Cambria" w:cs="Garamond-BookCondensed"/>
          <w:sz w:val="22"/>
          <w:szCs w:val="22"/>
        </w:rPr>
      </w:pPr>
      <w:r w:rsidRPr="00D61E89">
        <w:rPr>
          <w:rFonts w:ascii="Cambria" w:hAnsi="Cambria" w:cs="Garamond-BookCondensed"/>
          <w:sz w:val="22"/>
          <w:szCs w:val="22"/>
        </w:rPr>
        <w:t>Participating on the same sports team or extracurricular activity.</w:t>
      </w:r>
    </w:p>
    <w:p w14:paraId="5C93AEA5" w14:textId="77777777" w:rsidR="00197088" w:rsidRPr="00D61E89" w:rsidRDefault="00197088" w:rsidP="00197088">
      <w:pPr>
        <w:autoSpaceDE w:val="0"/>
        <w:autoSpaceDN w:val="0"/>
        <w:adjustRightInd w:val="0"/>
        <w:rPr>
          <w:rFonts w:ascii="Cambria" w:hAnsi="Cambria" w:cs="Garamond-BookCondensed"/>
          <w:sz w:val="22"/>
          <w:szCs w:val="22"/>
        </w:rPr>
      </w:pPr>
    </w:p>
    <w:p w14:paraId="289FC4C3" w14:textId="77777777" w:rsidR="00197088" w:rsidRDefault="00197088" w:rsidP="0019708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In most settings, casual, brief contact would not constitute exposure for a contact or for an entire school. However, if the individual with chickenpox is immunocompromised or if any contacts are immunocompromised, wider “zones of exposure” may be considered, after consultation with the MDPH.</w:t>
      </w:r>
    </w:p>
    <w:p w14:paraId="144C37FF" w14:textId="77777777" w:rsidR="0097327D" w:rsidRDefault="0097327D" w:rsidP="00197088">
      <w:pPr>
        <w:autoSpaceDE w:val="0"/>
        <w:autoSpaceDN w:val="0"/>
        <w:adjustRightInd w:val="0"/>
        <w:rPr>
          <w:rFonts w:ascii="Cambria" w:hAnsi="Cambria" w:cs="Garamond-BookCondensed"/>
          <w:sz w:val="22"/>
          <w:szCs w:val="22"/>
        </w:rPr>
      </w:pPr>
    </w:p>
    <w:p w14:paraId="4B0CEC3B" w14:textId="77777777" w:rsidR="000136BE" w:rsidRDefault="00197088" w:rsidP="0019708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Because school populations are usually highly vaccinated, and school nurses frequently know which students are susceptible and/or at high</w:t>
      </w:r>
      <w:r w:rsidR="002978B1">
        <w:rPr>
          <w:rFonts w:ascii="Cambria" w:hAnsi="Cambria" w:cs="Garamond-BookCondensed"/>
          <w:sz w:val="22"/>
          <w:szCs w:val="22"/>
        </w:rPr>
        <w:t xml:space="preserve"> </w:t>
      </w:r>
      <w:r w:rsidRPr="00D61E89">
        <w:rPr>
          <w:rFonts w:ascii="Cambria" w:hAnsi="Cambria" w:cs="Garamond-BookCondensed"/>
          <w:sz w:val="22"/>
          <w:szCs w:val="22"/>
        </w:rPr>
        <w:t xml:space="preserve">risk </w:t>
      </w:r>
      <w:r w:rsidR="00B31B58">
        <w:rPr>
          <w:rFonts w:ascii="Cambria" w:hAnsi="Cambria" w:cs="Garamond-BookCondensed"/>
          <w:sz w:val="22"/>
          <w:szCs w:val="22"/>
        </w:rPr>
        <w:t>for</w:t>
      </w:r>
      <w:r w:rsidR="00B31B58" w:rsidRPr="00D61E89">
        <w:rPr>
          <w:rFonts w:ascii="Cambria" w:hAnsi="Cambria" w:cs="Garamond-BookCondensed"/>
          <w:sz w:val="22"/>
          <w:szCs w:val="22"/>
        </w:rPr>
        <w:t xml:space="preserve"> </w:t>
      </w:r>
      <w:r w:rsidRPr="00D61E89">
        <w:rPr>
          <w:rFonts w:ascii="Cambria" w:hAnsi="Cambria" w:cs="Garamond-BookCondensed"/>
          <w:sz w:val="22"/>
          <w:szCs w:val="22"/>
        </w:rPr>
        <w:t>medical complications from chickenpox, the general chickenpox follow-up recommendations described in Section 4B, items 1-9, are usually accomplished fairly quickly. The challenge is determining who is exposed, which can depend on how classes and activities are conducted at the school, transportation to and from school, afterschool activities, and so forth.</w:t>
      </w:r>
      <w:r w:rsidR="00F70CEE" w:rsidRPr="00D61E89">
        <w:rPr>
          <w:rFonts w:ascii="Cambria" w:hAnsi="Cambria" w:cs="Garamond-BookCondensed"/>
          <w:sz w:val="22"/>
          <w:szCs w:val="22"/>
        </w:rPr>
        <w:t xml:space="preserve"> </w:t>
      </w:r>
    </w:p>
    <w:p w14:paraId="49CF6EEC" w14:textId="77777777" w:rsidR="000136BE" w:rsidRDefault="000136BE" w:rsidP="00197088">
      <w:pPr>
        <w:autoSpaceDE w:val="0"/>
        <w:autoSpaceDN w:val="0"/>
        <w:adjustRightInd w:val="0"/>
        <w:rPr>
          <w:rFonts w:ascii="Cambria" w:hAnsi="Cambria" w:cs="Garamond-BookCondensed"/>
          <w:sz w:val="22"/>
          <w:szCs w:val="22"/>
        </w:rPr>
      </w:pPr>
    </w:p>
    <w:p w14:paraId="35DF2542" w14:textId="77777777" w:rsidR="00A87D8F" w:rsidRDefault="00197088" w:rsidP="00197088">
      <w:pPr>
        <w:autoSpaceDE w:val="0"/>
        <w:autoSpaceDN w:val="0"/>
        <w:adjustRightInd w:val="0"/>
        <w:rPr>
          <w:rFonts w:ascii="Cambria" w:hAnsi="Cambria" w:cs="Garamond-BookCondensed"/>
          <w:sz w:val="22"/>
          <w:szCs w:val="22"/>
        </w:rPr>
      </w:pPr>
      <w:r w:rsidRPr="00995FC3">
        <w:rPr>
          <w:rFonts w:ascii="Cambria" w:hAnsi="Cambria" w:cs="Garamond-BookCondensed"/>
          <w:sz w:val="22"/>
          <w:szCs w:val="22"/>
        </w:rPr>
        <w:t xml:space="preserve">Typically, </w:t>
      </w:r>
      <w:r w:rsidR="000706F4" w:rsidRPr="004F2DEA">
        <w:rPr>
          <w:rFonts w:ascii="Cambria" w:hAnsi="Cambria" w:cs="Garamond-BookCondensed"/>
          <w:sz w:val="22"/>
          <w:szCs w:val="22"/>
        </w:rPr>
        <w:t>parents of</w:t>
      </w:r>
      <w:r w:rsidR="000706F4" w:rsidRPr="00995FC3">
        <w:rPr>
          <w:rFonts w:ascii="Cambria" w:hAnsi="Cambria" w:cs="Garamond-BookCondensed"/>
          <w:sz w:val="22"/>
          <w:szCs w:val="22"/>
        </w:rPr>
        <w:t xml:space="preserve"> </w:t>
      </w:r>
      <w:r w:rsidRPr="00995FC3">
        <w:rPr>
          <w:rFonts w:ascii="Cambria" w:hAnsi="Cambria" w:cs="Garamond-BookCondensed"/>
          <w:sz w:val="22"/>
          <w:szCs w:val="22"/>
        </w:rPr>
        <w:t xml:space="preserve">susceptible close contacts are notified individually, </w:t>
      </w:r>
      <w:r w:rsidR="00692A46" w:rsidRPr="004F2DEA">
        <w:rPr>
          <w:rFonts w:ascii="Cambria" w:hAnsi="Cambria" w:cs="Garamond-BookCondensed"/>
          <w:sz w:val="22"/>
          <w:szCs w:val="22"/>
        </w:rPr>
        <w:t>via a phone call</w:t>
      </w:r>
      <w:r w:rsidR="007E3583" w:rsidRPr="004F2DEA">
        <w:rPr>
          <w:rFonts w:ascii="Cambria" w:hAnsi="Cambria" w:cs="Garamond-BookCondensed"/>
          <w:sz w:val="22"/>
          <w:szCs w:val="22"/>
        </w:rPr>
        <w:t>/email</w:t>
      </w:r>
      <w:r w:rsidR="00692A46" w:rsidRPr="004F2DEA">
        <w:rPr>
          <w:rFonts w:ascii="Cambria" w:hAnsi="Cambria" w:cs="Garamond-BookCondensed"/>
          <w:sz w:val="22"/>
          <w:szCs w:val="22"/>
        </w:rPr>
        <w:t xml:space="preserve"> from the school nurse</w:t>
      </w:r>
      <w:r w:rsidR="00692A46" w:rsidRPr="00995FC3">
        <w:rPr>
          <w:rFonts w:ascii="Cambria" w:hAnsi="Cambria" w:cs="Garamond-BookCondensed"/>
          <w:sz w:val="22"/>
          <w:szCs w:val="22"/>
        </w:rPr>
        <w:t xml:space="preserve"> </w:t>
      </w:r>
      <w:r w:rsidRPr="00995FC3">
        <w:rPr>
          <w:rFonts w:ascii="Cambria" w:hAnsi="Cambria" w:cs="Garamond-BookCondensed"/>
          <w:sz w:val="22"/>
          <w:szCs w:val="22"/>
        </w:rPr>
        <w:t>providing specific dates by which vaccination must occur or exclusion will begin, and a general letter</w:t>
      </w:r>
      <w:r w:rsidRPr="00D61E89">
        <w:rPr>
          <w:rFonts w:ascii="Cambria" w:hAnsi="Cambria" w:cs="Garamond-BookCondensed"/>
          <w:sz w:val="22"/>
          <w:szCs w:val="22"/>
        </w:rPr>
        <w:t xml:space="preserve"> about chickenpox in the school </w:t>
      </w:r>
      <w:r w:rsidR="008473F5" w:rsidRPr="006F7BCF">
        <w:rPr>
          <w:rFonts w:ascii="Cambria" w:hAnsi="Cambria" w:cs="Garamond-BookCondensed"/>
          <w:sz w:val="22"/>
          <w:szCs w:val="22"/>
        </w:rPr>
        <w:t>may be</w:t>
      </w:r>
      <w:r w:rsidR="008473F5">
        <w:rPr>
          <w:rFonts w:ascii="Cambria" w:hAnsi="Cambria" w:cs="Garamond-BookCondensed"/>
          <w:sz w:val="22"/>
          <w:szCs w:val="22"/>
        </w:rPr>
        <w:t xml:space="preserve"> </w:t>
      </w:r>
      <w:r w:rsidRPr="00D61E89">
        <w:rPr>
          <w:rFonts w:ascii="Cambria" w:hAnsi="Cambria" w:cs="Garamond-BookCondensed"/>
          <w:sz w:val="22"/>
          <w:szCs w:val="22"/>
        </w:rPr>
        <w:t xml:space="preserve">sent to those who have not been identified as close contacts (but may be in the same class or the same grade). </w:t>
      </w:r>
    </w:p>
    <w:p w14:paraId="4CA5206E" w14:textId="77777777" w:rsidR="00A87D8F" w:rsidRDefault="00A87D8F" w:rsidP="00197088">
      <w:pPr>
        <w:autoSpaceDE w:val="0"/>
        <w:autoSpaceDN w:val="0"/>
        <w:adjustRightInd w:val="0"/>
        <w:rPr>
          <w:rFonts w:ascii="Cambria" w:hAnsi="Cambria" w:cs="Garamond-BookCondensed"/>
          <w:sz w:val="22"/>
          <w:szCs w:val="22"/>
        </w:rPr>
      </w:pPr>
    </w:p>
    <w:p w14:paraId="75D9F26D" w14:textId="77777777" w:rsidR="00197088" w:rsidRDefault="000136BE" w:rsidP="00197088">
      <w:pPr>
        <w:autoSpaceDE w:val="0"/>
        <w:autoSpaceDN w:val="0"/>
        <w:adjustRightInd w:val="0"/>
        <w:rPr>
          <w:rFonts w:ascii="Cambria" w:hAnsi="Cambria" w:cs="Garamond-BookCondensed"/>
          <w:sz w:val="22"/>
          <w:szCs w:val="22"/>
        </w:rPr>
      </w:pPr>
      <w:r w:rsidRPr="000136BE">
        <w:rPr>
          <w:rFonts w:ascii="Cambria" w:hAnsi="Cambria" w:cs="Garamond-BookCondensed"/>
          <w:sz w:val="22"/>
          <w:szCs w:val="22"/>
        </w:rPr>
        <w:t>Parents of children with valid medical or religious exemptions should confirm that these children are susceptible. A child may have a history of chickenpox or laboratory evidence of immunity, despite having a religious exemption on file. If these children are susceptible and refuse vaccination they are to be excluded, as indicated below.</w:t>
      </w:r>
      <w:r>
        <w:rPr>
          <w:rFonts w:ascii="Cambria" w:hAnsi="Cambria" w:cs="Garamond-BookCondensed"/>
          <w:sz w:val="22"/>
          <w:szCs w:val="22"/>
        </w:rPr>
        <w:t xml:space="preserve"> </w:t>
      </w:r>
      <w:r w:rsidR="00197088" w:rsidRPr="00D61E89">
        <w:rPr>
          <w:rFonts w:ascii="Cambria" w:hAnsi="Cambria" w:cs="Garamond-BookCondensed"/>
          <w:sz w:val="22"/>
          <w:szCs w:val="22"/>
        </w:rPr>
        <w:t xml:space="preserve">The scope of this notification varies by the situation and the school. Sample letters are available by calling </w:t>
      </w:r>
      <w:r w:rsidR="005B3DE8" w:rsidRPr="00D61E89">
        <w:rPr>
          <w:rFonts w:ascii="Cambria" w:hAnsi="Cambria" w:cs="Garamond-BookCondensed"/>
          <w:sz w:val="22"/>
          <w:szCs w:val="22"/>
        </w:rPr>
        <w:t>(</w:t>
      </w:r>
      <w:r w:rsidR="00197088" w:rsidRPr="00D61E89">
        <w:rPr>
          <w:rFonts w:ascii="Cambria" w:hAnsi="Cambria" w:cs="Garamond-BookCondensed"/>
          <w:sz w:val="22"/>
          <w:szCs w:val="22"/>
        </w:rPr>
        <w:t>617</w:t>
      </w:r>
      <w:r w:rsidR="005B3DE8" w:rsidRPr="00D61E89">
        <w:rPr>
          <w:rFonts w:ascii="Cambria" w:hAnsi="Cambria" w:cs="Garamond-BookCondensed"/>
          <w:sz w:val="22"/>
          <w:szCs w:val="22"/>
        </w:rPr>
        <w:t xml:space="preserve">) </w:t>
      </w:r>
      <w:r w:rsidR="00197088" w:rsidRPr="00D61E89">
        <w:rPr>
          <w:rFonts w:ascii="Cambria" w:hAnsi="Cambria" w:cs="Garamond-BookCondensed"/>
          <w:sz w:val="22"/>
          <w:szCs w:val="22"/>
        </w:rPr>
        <w:t>983-6800.</w:t>
      </w:r>
    </w:p>
    <w:p w14:paraId="453630F7" w14:textId="77777777" w:rsidR="00995FC3" w:rsidRDefault="00995FC3" w:rsidP="00197088">
      <w:pPr>
        <w:autoSpaceDE w:val="0"/>
        <w:autoSpaceDN w:val="0"/>
        <w:adjustRightInd w:val="0"/>
        <w:rPr>
          <w:rFonts w:ascii="Cambria" w:hAnsi="Cambria" w:cs="Garamond-BookCondensed"/>
          <w:sz w:val="22"/>
          <w:szCs w:val="22"/>
        </w:rPr>
      </w:pPr>
    </w:p>
    <w:p w14:paraId="4B0146D3" w14:textId="77777777" w:rsidR="00995FC3" w:rsidRPr="006F7BCF" w:rsidRDefault="00995FC3" w:rsidP="00197088">
      <w:pPr>
        <w:autoSpaceDE w:val="0"/>
        <w:autoSpaceDN w:val="0"/>
        <w:adjustRightInd w:val="0"/>
        <w:rPr>
          <w:rFonts w:ascii="Cambria" w:hAnsi="Cambria" w:cs="Garamond-BookCondensed"/>
          <w:sz w:val="22"/>
          <w:szCs w:val="22"/>
        </w:rPr>
      </w:pPr>
      <w:r w:rsidRPr="004F2DEA">
        <w:rPr>
          <w:rFonts w:ascii="Cambria" w:hAnsi="Cambria" w:cs="Garamond-BookCondensed"/>
          <w:i/>
          <w:iCs/>
          <w:sz w:val="22"/>
          <w:szCs w:val="22"/>
        </w:rPr>
        <w:t xml:space="preserve">Clusters (three or more cases related in time and space) should be reported using the new web-based varicella </w:t>
      </w:r>
      <w:r w:rsidRPr="004F2DEA">
        <w:rPr>
          <w:rFonts w:ascii="Cambria" w:hAnsi="Cambria" w:cs="Garamond-BookCondensed"/>
          <w:b/>
          <w:bCs/>
          <w:i/>
          <w:iCs/>
          <w:sz w:val="22"/>
          <w:szCs w:val="22"/>
        </w:rPr>
        <w:t>cluster</w:t>
      </w:r>
      <w:r w:rsidRPr="004F2DEA">
        <w:rPr>
          <w:rFonts w:ascii="Cambria" w:hAnsi="Cambria" w:cs="Garamond-BookCondensed"/>
          <w:i/>
          <w:iCs/>
          <w:sz w:val="22"/>
          <w:szCs w:val="22"/>
        </w:rPr>
        <w:t xml:space="preserve"> report form, also at </w:t>
      </w:r>
      <w:hyperlink r:id="rId22" w:history="1">
        <w:r w:rsidRPr="004F2DEA">
          <w:rPr>
            <w:rStyle w:val="Hyperlink"/>
            <w:rFonts w:ascii="Cambria" w:hAnsi="Cambria" w:cs="Garamond-BookCondensed"/>
            <w:i/>
            <w:iCs/>
            <w:sz w:val="21"/>
            <w:szCs w:val="21"/>
          </w:rPr>
          <w:t>https://infectious-disease-reporting.dph.mass.gov/pages/CaseReportForms</w:t>
        </w:r>
      </w:hyperlink>
    </w:p>
    <w:p w14:paraId="0B06F75B" w14:textId="77777777" w:rsidR="006D78F0" w:rsidRPr="00D61E89" w:rsidRDefault="00197088" w:rsidP="006D78F0">
      <w:pPr>
        <w:pBdr>
          <w:bottom w:val="single" w:sz="2" w:space="1" w:color="BFBFBF"/>
        </w:pBdr>
        <w:autoSpaceDE w:val="0"/>
        <w:autoSpaceDN w:val="0"/>
        <w:adjustRightInd w:val="0"/>
        <w:spacing w:before="240" w:after="120"/>
        <w:rPr>
          <w:rFonts w:ascii="Cambria" w:hAnsi="Cambria" w:cs="Arial"/>
          <w:i/>
          <w:iCs/>
          <w:sz w:val="22"/>
          <w:szCs w:val="20"/>
        </w:rPr>
      </w:pPr>
      <w:r w:rsidRPr="006F7BCF">
        <w:rPr>
          <w:rFonts w:ascii="Cambria" w:hAnsi="Cambria" w:cs="Arial"/>
          <w:i/>
          <w:iCs/>
          <w:sz w:val="22"/>
          <w:szCs w:val="20"/>
        </w:rPr>
        <w:t>Daycare with Infants under 1 Year of Age</w:t>
      </w:r>
    </w:p>
    <w:p w14:paraId="254C0459" w14:textId="77777777" w:rsidR="000136BE" w:rsidRDefault="00B31B58" w:rsidP="00197088">
      <w:pPr>
        <w:autoSpaceDE w:val="0"/>
        <w:autoSpaceDN w:val="0"/>
        <w:adjustRightInd w:val="0"/>
        <w:rPr>
          <w:rFonts w:ascii="Cambria" w:hAnsi="Cambria" w:cs="TradeGothic-CondEighteenObl"/>
          <w:iCs/>
          <w:sz w:val="22"/>
          <w:szCs w:val="22"/>
        </w:rPr>
      </w:pPr>
      <w:r w:rsidRPr="00D61E89">
        <w:rPr>
          <w:rFonts w:ascii="Cambria" w:hAnsi="Cambria" w:cs="TradeGothic-CondEighteenObl"/>
          <w:iCs/>
          <w:sz w:val="22"/>
          <w:szCs w:val="22"/>
        </w:rPr>
        <w:t xml:space="preserve">Vaccination </w:t>
      </w:r>
      <w:r>
        <w:rPr>
          <w:rFonts w:ascii="Cambria" w:hAnsi="Cambria" w:cs="TradeGothic-CondEighteenObl"/>
          <w:iCs/>
          <w:sz w:val="22"/>
          <w:szCs w:val="22"/>
        </w:rPr>
        <w:t>is not recommended for p</w:t>
      </w:r>
      <w:r w:rsidR="00197088" w:rsidRPr="00D61E89">
        <w:rPr>
          <w:rFonts w:ascii="Cambria" w:hAnsi="Cambria" w:cs="TradeGothic-CondEighteenObl"/>
          <w:iCs/>
          <w:sz w:val="22"/>
          <w:szCs w:val="22"/>
        </w:rPr>
        <w:t xml:space="preserve">ersons under the age of 12 months, </w:t>
      </w:r>
      <w:r>
        <w:rPr>
          <w:rFonts w:ascii="Cambria" w:hAnsi="Cambria" w:cs="TradeGothic-CondEighteenObl"/>
          <w:iCs/>
          <w:sz w:val="22"/>
          <w:szCs w:val="22"/>
        </w:rPr>
        <w:t>but</w:t>
      </w:r>
      <w:r w:rsidRPr="00D61E89">
        <w:rPr>
          <w:rFonts w:ascii="Cambria" w:hAnsi="Cambria" w:cs="TradeGothic-CondEighteenObl"/>
          <w:iCs/>
          <w:sz w:val="22"/>
          <w:szCs w:val="22"/>
        </w:rPr>
        <w:t xml:space="preserve"> </w:t>
      </w:r>
      <w:r w:rsidR="00197088" w:rsidRPr="00D61E89">
        <w:rPr>
          <w:rFonts w:ascii="Cambria" w:hAnsi="Cambria" w:cs="TradeGothic-CondEighteenObl"/>
          <w:iCs/>
          <w:sz w:val="22"/>
          <w:szCs w:val="22"/>
        </w:rPr>
        <w:t xml:space="preserve">these infants may be at increased risk for complications of chickenpox. In </w:t>
      </w:r>
      <w:r>
        <w:rPr>
          <w:rFonts w:ascii="Cambria" w:hAnsi="Cambria" w:cs="TradeGothic-CondEighteenObl"/>
          <w:iCs/>
          <w:sz w:val="22"/>
          <w:szCs w:val="22"/>
        </w:rPr>
        <w:t>the daycare</w:t>
      </w:r>
      <w:r w:rsidRPr="00D61E89">
        <w:rPr>
          <w:rFonts w:ascii="Cambria" w:hAnsi="Cambria" w:cs="TradeGothic-CondEighteenObl"/>
          <w:iCs/>
          <w:sz w:val="22"/>
          <w:szCs w:val="22"/>
        </w:rPr>
        <w:t xml:space="preserve"> </w:t>
      </w:r>
      <w:r w:rsidR="00197088" w:rsidRPr="00D61E89">
        <w:rPr>
          <w:rFonts w:ascii="Cambria" w:hAnsi="Cambria" w:cs="TradeGothic-CondEighteenObl"/>
          <w:iCs/>
          <w:sz w:val="22"/>
          <w:szCs w:val="22"/>
        </w:rPr>
        <w:t xml:space="preserve">setting, any exposed infant </w:t>
      </w:r>
      <w:r>
        <w:rPr>
          <w:rFonts w:ascii="Cambria" w:hAnsi="Cambria" w:cs="TradeGothic-CondEighteenObl"/>
          <w:iCs/>
          <w:sz w:val="22"/>
          <w:szCs w:val="22"/>
        </w:rPr>
        <w:t xml:space="preserve">for </w:t>
      </w:r>
      <w:r w:rsidR="00197088" w:rsidRPr="00D61E89">
        <w:rPr>
          <w:rFonts w:ascii="Cambria" w:hAnsi="Cambria" w:cs="TradeGothic-CondEighteenObl"/>
          <w:iCs/>
          <w:sz w:val="22"/>
          <w:szCs w:val="22"/>
        </w:rPr>
        <w:t>who</w:t>
      </w:r>
      <w:r>
        <w:rPr>
          <w:rFonts w:ascii="Cambria" w:hAnsi="Cambria" w:cs="TradeGothic-CondEighteenObl"/>
          <w:iCs/>
          <w:sz w:val="22"/>
          <w:szCs w:val="22"/>
        </w:rPr>
        <w:t>m vaccination</w:t>
      </w:r>
      <w:r w:rsidR="00197088" w:rsidRPr="00D61E89">
        <w:rPr>
          <w:rFonts w:ascii="Cambria" w:hAnsi="Cambria" w:cs="TradeGothic-CondEighteenObl"/>
          <w:iCs/>
          <w:sz w:val="22"/>
          <w:szCs w:val="22"/>
        </w:rPr>
        <w:t xml:space="preserve"> is not recommended should be excluded from</w:t>
      </w:r>
      <w:r>
        <w:rPr>
          <w:rFonts w:ascii="Cambria" w:hAnsi="Cambria" w:cs="TradeGothic-CondEighteenObl"/>
          <w:iCs/>
          <w:sz w:val="22"/>
          <w:szCs w:val="22"/>
        </w:rPr>
        <w:t xml:space="preserve"> the</w:t>
      </w:r>
      <w:r w:rsidR="00197088" w:rsidRPr="00D61E89">
        <w:rPr>
          <w:rFonts w:ascii="Cambria" w:hAnsi="Cambria" w:cs="TradeGothic-CondEighteenObl"/>
          <w:iCs/>
          <w:sz w:val="22"/>
          <w:szCs w:val="22"/>
        </w:rPr>
        <w:t xml:space="preserve"> daycare and other activities from day 8 to day 21. Any children who are over 12 months of age </w:t>
      </w:r>
      <w:r>
        <w:rPr>
          <w:rFonts w:ascii="Cambria" w:hAnsi="Cambria" w:cs="TradeGothic-CondEighteenObl"/>
          <w:iCs/>
          <w:sz w:val="22"/>
          <w:szCs w:val="22"/>
        </w:rPr>
        <w:t>should</w:t>
      </w:r>
      <w:r w:rsidR="00197088" w:rsidRPr="00D61E89">
        <w:rPr>
          <w:rFonts w:ascii="Cambria" w:hAnsi="Cambria" w:cs="TradeGothic-CondEighteenObl"/>
          <w:iCs/>
          <w:sz w:val="22"/>
          <w:szCs w:val="22"/>
        </w:rPr>
        <w:t xml:space="preserve"> get a first dose of vaccine</w:t>
      </w:r>
      <w:r>
        <w:rPr>
          <w:rFonts w:ascii="Cambria" w:hAnsi="Cambria" w:cs="TradeGothic-CondEighteenObl"/>
          <w:iCs/>
          <w:sz w:val="22"/>
          <w:szCs w:val="22"/>
        </w:rPr>
        <w:t>,</w:t>
      </w:r>
      <w:r w:rsidR="00197088" w:rsidRPr="00D61E89">
        <w:rPr>
          <w:rFonts w:ascii="Cambria" w:hAnsi="Cambria" w:cs="TradeGothic-CondEighteenObl"/>
          <w:iCs/>
          <w:sz w:val="22"/>
          <w:szCs w:val="22"/>
        </w:rPr>
        <w:t xml:space="preserve"> if there are no contraindications. If the vaccine is given within </w:t>
      </w:r>
      <w:r w:rsidR="003C7441">
        <w:rPr>
          <w:rFonts w:ascii="Cambria" w:hAnsi="Cambria" w:cs="TradeGothic-CondEighteenObl"/>
          <w:iCs/>
          <w:sz w:val="22"/>
          <w:szCs w:val="22"/>
        </w:rPr>
        <w:t>3-</w:t>
      </w:r>
      <w:r w:rsidR="00197088" w:rsidRPr="00D61E89">
        <w:rPr>
          <w:rFonts w:ascii="Cambria" w:hAnsi="Cambria" w:cs="TradeGothic-CondEighteenObl"/>
          <w:iCs/>
          <w:sz w:val="22"/>
          <w:szCs w:val="22"/>
        </w:rPr>
        <w:t xml:space="preserve">5 days of exposure, that child </w:t>
      </w:r>
      <w:r w:rsidR="003C7441">
        <w:rPr>
          <w:rFonts w:ascii="Cambria" w:hAnsi="Cambria" w:cs="TradeGothic-CondEighteenObl"/>
          <w:iCs/>
          <w:sz w:val="22"/>
          <w:szCs w:val="22"/>
        </w:rPr>
        <w:t xml:space="preserve">usually </w:t>
      </w:r>
      <w:r w:rsidR="00197088" w:rsidRPr="00D61E89">
        <w:rPr>
          <w:rFonts w:ascii="Cambria" w:hAnsi="Cambria" w:cs="TradeGothic-CondEighteenObl"/>
          <w:iCs/>
          <w:sz w:val="22"/>
          <w:szCs w:val="22"/>
        </w:rPr>
        <w:t xml:space="preserve">may return to daycare. </w:t>
      </w:r>
      <w:bookmarkStart w:id="8" w:name="_Hlk113524062"/>
      <w:r w:rsidR="003C7441">
        <w:rPr>
          <w:rFonts w:ascii="Cambria" w:hAnsi="Cambria" w:cs="TradeGothic-CondEighteenObl"/>
          <w:iCs/>
          <w:sz w:val="22"/>
          <w:szCs w:val="22"/>
        </w:rPr>
        <w:t>Daycare</w:t>
      </w:r>
      <w:r w:rsidR="00485958">
        <w:rPr>
          <w:rFonts w:ascii="Cambria" w:hAnsi="Cambria" w:cs="TradeGothic-CondEighteenObl"/>
          <w:iCs/>
          <w:sz w:val="22"/>
          <w:szCs w:val="22"/>
        </w:rPr>
        <w:t xml:space="preserve"> centers</w:t>
      </w:r>
      <w:r w:rsidR="003C7441">
        <w:rPr>
          <w:rFonts w:ascii="Cambria" w:hAnsi="Cambria" w:cs="TradeGothic-CondEighteenObl"/>
          <w:iCs/>
          <w:sz w:val="22"/>
          <w:szCs w:val="22"/>
        </w:rPr>
        <w:t xml:space="preserve"> with multiple high-risk children should take a </w:t>
      </w:r>
      <w:r w:rsidR="002978B1">
        <w:rPr>
          <w:rFonts w:ascii="Cambria" w:hAnsi="Cambria" w:cs="TradeGothic-CondEighteenObl"/>
          <w:iCs/>
          <w:sz w:val="22"/>
          <w:szCs w:val="22"/>
        </w:rPr>
        <w:t xml:space="preserve">more </w:t>
      </w:r>
      <w:r w:rsidR="003C7441">
        <w:rPr>
          <w:rFonts w:ascii="Cambria" w:hAnsi="Cambria" w:cs="TradeGothic-CondEighteenObl"/>
          <w:iCs/>
          <w:sz w:val="22"/>
          <w:szCs w:val="22"/>
        </w:rPr>
        <w:t xml:space="preserve">conservative approach. </w:t>
      </w:r>
      <w:bookmarkEnd w:id="8"/>
      <w:r w:rsidR="00197088" w:rsidRPr="00D61E89">
        <w:rPr>
          <w:rFonts w:ascii="Cambria" w:hAnsi="Cambria" w:cs="TradeGothic-CondEighteenObl"/>
          <w:iCs/>
          <w:sz w:val="22"/>
          <w:szCs w:val="22"/>
        </w:rPr>
        <w:t xml:space="preserve">A child who has 1 dose of vaccine when exposed may get a second dose as long as 3 months have elapsed since the first dose. Teachers </w:t>
      </w:r>
      <w:r>
        <w:rPr>
          <w:rFonts w:ascii="Cambria" w:hAnsi="Cambria" w:cs="TradeGothic-CondEighteenObl"/>
          <w:iCs/>
          <w:sz w:val="22"/>
          <w:szCs w:val="22"/>
        </w:rPr>
        <w:t xml:space="preserve">and caregivers </w:t>
      </w:r>
      <w:r w:rsidR="00197088" w:rsidRPr="00D61E89">
        <w:rPr>
          <w:rFonts w:ascii="Cambria" w:hAnsi="Cambria" w:cs="TradeGothic-CondEighteenObl"/>
          <w:iCs/>
          <w:sz w:val="22"/>
          <w:szCs w:val="22"/>
        </w:rPr>
        <w:t xml:space="preserve">should also </w:t>
      </w:r>
      <w:r>
        <w:rPr>
          <w:rFonts w:ascii="Cambria" w:hAnsi="Cambria" w:cs="TradeGothic-CondEighteenObl"/>
          <w:iCs/>
          <w:sz w:val="22"/>
          <w:szCs w:val="22"/>
        </w:rPr>
        <w:t>confirm</w:t>
      </w:r>
      <w:r w:rsidRPr="00D61E89">
        <w:rPr>
          <w:rFonts w:ascii="Cambria" w:hAnsi="Cambria" w:cs="TradeGothic-CondEighteenObl"/>
          <w:iCs/>
          <w:sz w:val="22"/>
          <w:szCs w:val="22"/>
        </w:rPr>
        <w:t xml:space="preserve"> </w:t>
      </w:r>
      <w:r w:rsidR="00197088" w:rsidRPr="00D61E89">
        <w:rPr>
          <w:rFonts w:ascii="Cambria" w:hAnsi="Cambria" w:cs="TradeGothic-CondEighteenObl"/>
          <w:iCs/>
          <w:sz w:val="22"/>
          <w:szCs w:val="22"/>
        </w:rPr>
        <w:t xml:space="preserve">their </w:t>
      </w:r>
      <w:r>
        <w:rPr>
          <w:rFonts w:ascii="Cambria" w:hAnsi="Cambria" w:cs="TradeGothic-CondEighteenObl"/>
          <w:iCs/>
          <w:sz w:val="22"/>
          <w:szCs w:val="22"/>
        </w:rPr>
        <w:t xml:space="preserve">immune </w:t>
      </w:r>
      <w:r w:rsidR="00197088" w:rsidRPr="00D61E89">
        <w:rPr>
          <w:rFonts w:ascii="Cambria" w:hAnsi="Cambria" w:cs="TradeGothic-CondEighteenObl"/>
          <w:iCs/>
          <w:sz w:val="22"/>
          <w:szCs w:val="22"/>
        </w:rPr>
        <w:t>status either by titer, 2 dose vaccine history, birth in the US before 1980, or physician certified disease.</w:t>
      </w:r>
      <w:r w:rsidR="00D15294">
        <w:rPr>
          <w:rFonts w:ascii="Cambria" w:hAnsi="Cambria" w:cs="TradeGothic-CondEighteenObl"/>
          <w:iCs/>
          <w:sz w:val="22"/>
          <w:szCs w:val="22"/>
        </w:rPr>
        <w:t xml:space="preserve"> </w:t>
      </w:r>
    </w:p>
    <w:p w14:paraId="704F9D33" w14:textId="77777777" w:rsidR="000136BE" w:rsidRDefault="000136BE" w:rsidP="00197088">
      <w:pPr>
        <w:autoSpaceDE w:val="0"/>
        <w:autoSpaceDN w:val="0"/>
        <w:adjustRightInd w:val="0"/>
        <w:rPr>
          <w:rFonts w:ascii="Cambria" w:hAnsi="Cambria" w:cs="TradeGothic-CondEighteenObl"/>
          <w:iCs/>
          <w:sz w:val="22"/>
          <w:szCs w:val="22"/>
        </w:rPr>
      </w:pPr>
    </w:p>
    <w:p w14:paraId="394EA9AF" w14:textId="77777777" w:rsidR="00197088" w:rsidRPr="00D61E89" w:rsidRDefault="00D15294" w:rsidP="00197088">
      <w:pPr>
        <w:autoSpaceDE w:val="0"/>
        <w:autoSpaceDN w:val="0"/>
        <w:adjustRightInd w:val="0"/>
        <w:rPr>
          <w:rFonts w:ascii="Cambria" w:hAnsi="Cambria" w:cs="TradeGothic-CondEighteenObl"/>
          <w:iCs/>
          <w:sz w:val="22"/>
          <w:szCs w:val="22"/>
        </w:rPr>
      </w:pPr>
      <w:r w:rsidRPr="00D15294">
        <w:rPr>
          <w:rFonts w:ascii="Cambria" w:hAnsi="Cambria" w:cs="TradeGothic-CondEighteenObl"/>
          <w:iCs/>
          <w:sz w:val="22"/>
          <w:szCs w:val="22"/>
        </w:rPr>
        <w:t>Neonates born to mothers with active chickenpox shall be isolated from susceptible</w:t>
      </w:r>
      <w:r w:rsidR="007D58C8">
        <w:rPr>
          <w:rFonts w:ascii="Cambria" w:hAnsi="Cambria" w:cs="TradeGothic-CondEighteenObl"/>
          <w:iCs/>
          <w:sz w:val="22"/>
          <w:szCs w:val="22"/>
        </w:rPr>
        <w:t xml:space="preserve"> individuals</w:t>
      </w:r>
      <w:r w:rsidRPr="00D15294">
        <w:rPr>
          <w:rFonts w:ascii="Cambria" w:hAnsi="Cambria" w:cs="TradeGothic-CondEighteenObl"/>
          <w:iCs/>
          <w:sz w:val="22"/>
          <w:szCs w:val="22"/>
        </w:rPr>
        <w:t xml:space="preserve"> until 21 days of age. According to the American Academy of Pediatrics (2012), mothers who develop varicella 5 days before through 2 days after delivery should be separated from their infants, but their expressed milk can be used for feeding.</w:t>
      </w:r>
    </w:p>
    <w:p w14:paraId="19D077AB" w14:textId="77777777" w:rsidR="00F30B1D" w:rsidRPr="00D61E89" w:rsidRDefault="00197088" w:rsidP="00F30B1D">
      <w:pPr>
        <w:pBdr>
          <w:bottom w:val="single" w:sz="2" w:space="1" w:color="BFBFBF"/>
        </w:pBdr>
        <w:autoSpaceDE w:val="0"/>
        <w:autoSpaceDN w:val="0"/>
        <w:adjustRightInd w:val="0"/>
        <w:spacing w:before="240" w:after="120"/>
        <w:rPr>
          <w:rFonts w:ascii="Cambria" w:hAnsi="Cambria" w:cs="Arial"/>
          <w:i/>
          <w:iCs/>
          <w:sz w:val="22"/>
          <w:szCs w:val="20"/>
        </w:rPr>
      </w:pPr>
      <w:r w:rsidRPr="00D61E89">
        <w:rPr>
          <w:rFonts w:ascii="Cambria" w:hAnsi="Cambria" w:cs="Arial"/>
          <w:i/>
          <w:iCs/>
          <w:sz w:val="22"/>
          <w:szCs w:val="20"/>
        </w:rPr>
        <w:t>Healthcare Settings (Including Acute and Long-term Care Facilities)</w:t>
      </w:r>
    </w:p>
    <w:p w14:paraId="6D8B8D78" w14:textId="77777777" w:rsidR="00BE3736" w:rsidRPr="00D61E89" w:rsidRDefault="00BE3736" w:rsidP="00BE3736">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Immunization </w:t>
      </w:r>
      <w:r>
        <w:rPr>
          <w:rFonts w:ascii="Cambria" w:hAnsi="Cambria" w:cs="Garamond-BookCondensed"/>
          <w:sz w:val="22"/>
          <w:szCs w:val="22"/>
        </w:rPr>
        <w:t xml:space="preserve">screening </w:t>
      </w:r>
      <w:r w:rsidRPr="00D61E89">
        <w:rPr>
          <w:rFonts w:ascii="Cambria" w:hAnsi="Cambria" w:cs="Garamond-BookCondensed"/>
          <w:sz w:val="22"/>
          <w:szCs w:val="22"/>
        </w:rPr>
        <w:t xml:space="preserve">at time of employment is recommended for all healthcare workers and is particularly important for </w:t>
      </w:r>
      <w:r>
        <w:rPr>
          <w:rFonts w:ascii="Cambria" w:hAnsi="Cambria" w:cs="Garamond-BookCondensed"/>
          <w:sz w:val="22"/>
          <w:szCs w:val="22"/>
        </w:rPr>
        <w:t xml:space="preserve">identification of </w:t>
      </w:r>
      <w:r w:rsidRPr="00D61E89">
        <w:rPr>
          <w:rFonts w:ascii="Cambria" w:hAnsi="Cambria" w:cs="Garamond-BookCondensed"/>
          <w:sz w:val="22"/>
          <w:szCs w:val="22"/>
        </w:rPr>
        <w:t xml:space="preserve">susceptible healthcare workers who </w:t>
      </w:r>
      <w:r>
        <w:rPr>
          <w:rFonts w:ascii="Cambria" w:hAnsi="Cambria" w:cs="Garamond-BookCondensed"/>
          <w:sz w:val="22"/>
          <w:szCs w:val="22"/>
        </w:rPr>
        <w:t xml:space="preserve">will </w:t>
      </w:r>
      <w:r w:rsidRPr="00D61E89">
        <w:rPr>
          <w:rFonts w:ascii="Cambria" w:hAnsi="Cambria" w:cs="Garamond-BookCondensed"/>
          <w:sz w:val="22"/>
          <w:szCs w:val="22"/>
        </w:rPr>
        <w:t xml:space="preserve">have close contact with persons at high-risk for serious complications, including a) premature infants born to susceptible mothers; b) premature infants who are born at &lt;28 weeks of gestation or who weigh ≤1,000 g at birth (regardless of maternal immune status); c) pregnant women; and d) immunocompromised individuals. Healthy </w:t>
      </w:r>
      <w:r w:rsidRPr="006F7BCF">
        <w:rPr>
          <w:rFonts w:ascii="Cambria" w:hAnsi="Cambria" w:cs="Garamond-BookCondensed"/>
          <w:sz w:val="22"/>
          <w:szCs w:val="22"/>
        </w:rPr>
        <w:t>unvaccinated a</w:t>
      </w:r>
      <w:r w:rsidRPr="00D61E89">
        <w:rPr>
          <w:rFonts w:ascii="Cambria" w:hAnsi="Cambria" w:cs="Garamond-BookCondensed"/>
          <w:sz w:val="22"/>
          <w:szCs w:val="22"/>
        </w:rPr>
        <w:t>dolescents and adults are also at higher risk for complications, and healthy, full-term newborns born to susceptible mothers may be as well.</w:t>
      </w:r>
    </w:p>
    <w:p w14:paraId="1DBF3732" w14:textId="77777777" w:rsidR="00BE3736" w:rsidRDefault="00BE3736" w:rsidP="00197088">
      <w:pPr>
        <w:autoSpaceDE w:val="0"/>
        <w:autoSpaceDN w:val="0"/>
        <w:adjustRightInd w:val="0"/>
        <w:rPr>
          <w:rFonts w:ascii="Cambria" w:hAnsi="Cambria" w:cs="Garamond-BookCondensed"/>
          <w:sz w:val="22"/>
          <w:szCs w:val="22"/>
        </w:rPr>
      </w:pPr>
    </w:p>
    <w:p w14:paraId="4BB543B8" w14:textId="77777777" w:rsidR="00197088" w:rsidRPr="001B0B8A" w:rsidRDefault="00197088" w:rsidP="00197088">
      <w:pPr>
        <w:autoSpaceDE w:val="0"/>
        <w:autoSpaceDN w:val="0"/>
        <w:adjustRightInd w:val="0"/>
        <w:rPr>
          <w:rFonts w:ascii="Cambria" w:hAnsi="Cambria" w:cs="Garamond-BookCondensed"/>
          <w:b/>
          <w:bCs/>
          <w:sz w:val="22"/>
          <w:szCs w:val="22"/>
        </w:rPr>
      </w:pPr>
      <w:r w:rsidRPr="001B0B8A">
        <w:rPr>
          <w:rFonts w:ascii="Cambria" w:hAnsi="Cambria" w:cs="Garamond-BookCondensed"/>
          <w:b/>
          <w:bCs/>
          <w:sz w:val="22"/>
          <w:szCs w:val="22"/>
        </w:rPr>
        <w:t xml:space="preserve">All healthcare workers should ensure that they </w:t>
      </w:r>
      <w:r w:rsidR="00BE3736" w:rsidRPr="001B0B8A">
        <w:rPr>
          <w:rFonts w:ascii="Cambria" w:hAnsi="Cambria" w:cs="Garamond-BookCondensed"/>
          <w:b/>
          <w:bCs/>
          <w:sz w:val="22"/>
          <w:szCs w:val="22"/>
        </w:rPr>
        <w:t>have presumptive evidence of</w:t>
      </w:r>
      <w:r w:rsidRPr="001B0B8A">
        <w:rPr>
          <w:rFonts w:ascii="Cambria" w:hAnsi="Cambria" w:cs="Garamond-BookCondensed"/>
          <w:b/>
          <w:bCs/>
          <w:sz w:val="22"/>
          <w:szCs w:val="22"/>
        </w:rPr>
        <w:t xml:space="preserve"> immun</w:t>
      </w:r>
      <w:r w:rsidR="00BE3736" w:rsidRPr="001B0B8A">
        <w:rPr>
          <w:rFonts w:ascii="Cambria" w:hAnsi="Cambria" w:cs="Garamond-BookCondensed"/>
          <w:b/>
          <w:bCs/>
          <w:sz w:val="22"/>
          <w:szCs w:val="22"/>
        </w:rPr>
        <w:t>ity</w:t>
      </w:r>
      <w:r w:rsidRPr="001B0B8A">
        <w:rPr>
          <w:rFonts w:ascii="Cambria" w:hAnsi="Cambria" w:cs="Garamond-BookCondensed"/>
          <w:b/>
          <w:bCs/>
          <w:sz w:val="22"/>
          <w:szCs w:val="22"/>
        </w:rPr>
        <w:t xml:space="preserve"> to </w:t>
      </w:r>
      <w:r w:rsidR="00BE3736" w:rsidRPr="001B0B8A">
        <w:rPr>
          <w:rFonts w:ascii="Cambria" w:hAnsi="Cambria" w:cs="Garamond-BookCondensed"/>
          <w:b/>
          <w:bCs/>
          <w:sz w:val="22"/>
          <w:szCs w:val="22"/>
        </w:rPr>
        <w:t xml:space="preserve">the </w:t>
      </w:r>
      <w:r w:rsidR="00B31B58" w:rsidRPr="001B0B8A">
        <w:rPr>
          <w:rFonts w:ascii="Cambria" w:hAnsi="Cambria" w:cs="Garamond-BookCondensed"/>
          <w:b/>
          <w:bCs/>
          <w:sz w:val="22"/>
          <w:szCs w:val="22"/>
        </w:rPr>
        <w:t>varicella virus</w:t>
      </w:r>
      <w:r w:rsidRPr="001B0B8A">
        <w:rPr>
          <w:rFonts w:ascii="Cambria" w:hAnsi="Cambria" w:cs="Garamond-BookCondensed"/>
          <w:b/>
          <w:bCs/>
          <w:sz w:val="22"/>
          <w:szCs w:val="22"/>
        </w:rPr>
        <w:t xml:space="preserve">. Birth in the US before 1980 is not acceptable presumptive evidence of immunity for healthcare providers. </w:t>
      </w:r>
    </w:p>
    <w:p w14:paraId="03F3B96C" w14:textId="77777777" w:rsidR="00197088" w:rsidRPr="00D61E89" w:rsidRDefault="00197088" w:rsidP="00197088">
      <w:pPr>
        <w:numPr>
          <w:ilvl w:val="0"/>
          <w:numId w:val="23"/>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According to the </w:t>
      </w:r>
      <w:r w:rsidR="00DD6C40">
        <w:rPr>
          <w:rFonts w:ascii="Cambria" w:hAnsi="Cambria" w:cs="Garamond-BookCondensed"/>
          <w:sz w:val="22"/>
          <w:szCs w:val="22"/>
        </w:rPr>
        <w:t>Advisory Committee for Immunization Practices (</w:t>
      </w:r>
      <w:r w:rsidRPr="00D61E89">
        <w:rPr>
          <w:rFonts w:ascii="Cambria" w:hAnsi="Cambria" w:cs="Garamond-BookCondensed"/>
          <w:sz w:val="22"/>
          <w:szCs w:val="22"/>
        </w:rPr>
        <w:t>ACIP</w:t>
      </w:r>
      <w:r w:rsidR="00DD6C40">
        <w:rPr>
          <w:rFonts w:ascii="Cambria" w:hAnsi="Cambria" w:cs="Garamond-BookCondensed"/>
          <w:sz w:val="22"/>
          <w:szCs w:val="22"/>
        </w:rPr>
        <w:t>)</w:t>
      </w:r>
      <w:r w:rsidRPr="00D61E89">
        <w:rPr>
          <w:rFonts w:ascii="Cambria" w:hAnsi="Cambria" w:cs="Garamond-BookCondensed"/>
          <w:sz w:val="22"/>
          <w:szCs w:val="22"/>
        </w:rPr>
        <w:t xml:space="preserve">, </w:t>
      </w:r>
      <w:r w:rsidR="00DD6C40">
        <w:rPr>
          <w:rFonts w:ascii="Cambria" w:hAnsi="Cambria" w:cs="Garamond-BookCondensed"/>
          <w:sz w:val="22"/>
          <w:szCs w:val="22"/>
        </w:rPr>
        <w:t>healthcare personnel (</w:t>
      </w:r>
      <w:r w:rsidRPr="00D61E89">
        <w:rPr>
          <w:rFonts w:ascii="Cambria" w:hAnsi="Cambria" w:cs="Garamond-BookCondensed"/>
          <w:sz w:val="22"/>
          <w:szCs w:val="22"/>
        </w:rPr>
        <w:t>HCP</w:t>
      </w:r>
      <w:r w:rsidR="00DD6C40">
        <w:rPr>
          <w:rFonts w:ascii="Cambria" w:hAnsi="Cambria" w:cs="Garamond-BookCondensed"/>
          <w:sz w:val="22"/>
          <w:szCs w:val="22"/>
        </w:rPr>
        <w:t>)</w:t>
      </w:r>
      <w:r w:rsidRPr="00D61E89">
        <w:rPr>
          <w:rFonts w:ascii="Cambria" w:hAnsi="Cambria" w:cs="Garamond-BookCondensed"/>
          <w:sz w:val="22"/>
          <w:szCs w:val="22"/>
        </w:rPr>
        <w:t xml:space="preserve"> who have received 2 doses of varicella vaccine and who are exposed to VZV should be monitored daily during days 8-21 after exposure for fever, skin lesions and systemic symptoms suggestive of varicella. HCP should be excluded from work immediately if symptoms occur.</w:t>
      </w:r>
      <w:r w:rsidR="00F70CEE" w:rsidRPr="00D61E89">
        <w:rPr>
          <w:rFonts w:ascii="Cambria" w:hAnsi="Cambria" w:cs="Garamond-BookCondensed"/>
          <w:sz w:val="22"/>
          <w:szCs w:val="22"/>
        </w:rPr>
        <w:t xml:space="preserve"> </w:t>
      </w:r>
    </w:p>
    <w:p w14:paraId="381D13F7" w14:textId="77777777" w:rsidR="00197088" w:rsidRPr="006F7BCF" w:rsidRDefault="00197088" w:rsidP="00197088">
      <w:pPr>
        <w:numPr>
          <w:ilvl w:val="0"/>
          <w:numId w:val="23"/>
        </w:numPr>
        <w:autoSpaceDE w:val="0"/>
        <w:autoSpaceDN w:val="0"/>
        <w:adjustRightInd w:val="0"/>
        <w:rPr>
          <w:rFonts w:ascii="Cambria" w:hAnsi="Cambria" w:cs="Garamond-BookCondensed"/>
          <w:sz w:val="22"/>
          <w:szCs w:val="22"/>
        </w:rPr>
      </w:pPr>
      <w:r w:rsidRPr="006F7BCF">
        <w:rPr>
          <w:rFonts w:ascii="Cambria" w:hAnsi="Cambria" w:cs="Garamond-BookCondensed"/>
          <w:sz w:val="22"/>
          <w:szCs w:val="22"/>
        </w:rPr>
        <w:t>HCP who have received 1 dose of vaccine and who are exposed to varicella should receive a second dose within 3 days after exposure (provided four weeks have elapsed after the first dose).</w:t>
      </w:r>
      <w:r w:rsidR="00F70CEE" w:rsidRPr="006F7BCF">
        <w:rPr>
          <w:rFonts w:ascii="Cambria" w:hAnsi="Cambria" w:cs="Garamond-BookCondensed"/>
          <w:sz w:val="22"/>
          <w:szCs w:val="22"/>
        </w:rPr>
        <w:t xml:space="preserve"> </w:t>
      </w:r>
      <w:r w:rsidRPr="006F7BCF">
        <w:rPr>
          <w:rFonts w:ascii="Cambria" w:hAnsi="Cambria" w:cs="Garamond-BookCondensed"/>
          <w:sz w:val="22"/>
          <w:szCs w:val="22"/>
        </w:rPr>
        <w:t>After vaccination, management is similar</w:t>
      </w:r>
      <w:r w:rsidR="00BE3736">
        <w:rPr>
          <w:rFonts w:ascii="Cambria" w:hAnsi="Cambria" w:cs="Garamond-BookCondensed"/>
          <w:sz w:val="22"/>
          <w:szCs w:val="22"/>
        </w:rPr>
        <w:t xml:space="preserve"> </w:t>
      </w:r>
      <w:r w:rsidRPr="006F7BCF">
        <w:rPr>
          <w:rFonts w:ascii="Cambria" w:hAnsi="Cambria" w:cs="Garamond-BookCondensed"/>
          <w:sz w:val="22"/>
          <w:szCs w:val="22"/>
        </w:rPr>
        <w:t>to that of 2-dose vaccine recipients.</w:t>
      </w:r>
      <w:r w:rsidR="00F70CEE" w:rsidRPr="006F7BCF">
        <w:rPr>
          <w:rFonts w:ascii="Cambria" w:hAnsi="Cambria" w:cs="Garamond-BookCondensed"/>
          <w:sz w:val="22"/>
          <w:szCs w:val="22"/>
        </w:rPr>
        <w:t xml:space="preserve"> </w:t>
      </w:r>
      <w:r w:rsidRPr="006F7BCF">
        <w:rPr>
          <w:rFonts w:ascii="Cambria" w:hAnsi="Cambria" w:cs="Garamond-BookCondensed"/>
          <w:sz w:val="22"/>
          <w:szCs w:val="22"/>
        </w:rPr>
        <w:t>Those who did not receive a second dose or who received the second dose &gt;3 days after exposure should be excluded from work for 8-21 days after exposure.</w:t>
      </w:r>
      <w:r w:rsidR="00995C96" w:rsidRPr="006F7BCF">
        <w:rPr>
          <w:rFonts w:ascii="Cambria" w:hAnsi="Cambria" w:cs="Garamond-BookCondensed"/>
          <w:sz w:val="22"/>
          <w:szCs w:val="22"/>
        </w:rPr>
        <w:t xml:space="preserve"> Vaccination within 5 days may be acceptable in some low-risk healthcare settings.</w:t>
      </w:r>
    </w:p>
    <w:p w14:paraId="4E93B941" w14:textId="77777777" w:rsidR="00197088" w:rsidRPr="00D61E89" w:rsidRDefault="00197088" w:rsidP="00197088">
      <w:pPr>
        <w:numPr>
          <w:ilvl w:val="0"/>
          <w:numId w:val="23"/>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Unvaccinated HCP</w:t>
      </w:r>
      <w:r w:rsidR="00DD6C40">
        <w:rPr>
          <w:rFonts w:ascii="Cambria" w:hAnsi="Cambria" w:cs="Garamond-BookCondensed"/>
          <w:sz w:val="22"/>
          <w:szCs w:val="22"/>
        </w:rPr>
        <w:t>,</w:t>
      </w:r>
      <w:r w:rsidRPr="00D61E89">
        <w:rPr>
          <w:rFonts w:ascii="Cambria" w:hAnsi="Cambria" w:cs="Garamond-BookCondensed"/>
          <w:sz w:val="22"/>
          <w:szCs w:val="22"/>
        </w:rPr>
        <w:t xml:space="preserve"> who have no other evidence of immunity</w:t>
      </w:r>
      <w:r w:rsidR="00DD6C40">
        <w:rPr>
          <w:rFonts w:ascii="Cambria" w:hAnsi="Cambria" w:cs="Garamond-BookCondensed"/>
          <w:sz w:val="22"/>
          <w:szCs w:val="22"/>
        </w:rPr>
        <w:t>,</w:t>
      </w:r>
      <w:r w:rsidRPr="00D61E89">
        <w:rPr>
          <w:rFonts w:ascii="Cambria" w:hAnsi="Cambria" w:cs="Garamond-BookCondensed"/>
          <w:sz w:val="22"/>
          <w:szCs w:val="22"/>
        </w:rPr>
        <w:t xml:space="preserve"> who are exposed to varicella are potentially infecti</w:t>
      </w:r>
      <w:r w:rsidR="0007642D">
        <w:rPr>
          <w:rFonts w:ascii="Cambria" w:hAnsi="Cambria" w:cs="Garamond-BookCondensed"/>
          <w:sz w:val="22"/>
          <w:szCs w:val="22"/>
        </w:rPr>
        <w:t>ous</w:t>
      </w:r>
      <w:r w:rsidRPr="00D61E89">
        <w:rPr>
          <w:rFonts w:ascii="Cambria" w:hAnsi="Cambria" w:cs="Garamond-BookCondensed"/>
          <w:sz w:val="22"/>
          <w:szCs w:val="22"/>
        </w:rPr>
        <w:t xml:space="preserve"> from days 8-21 after exposure and should be furloughed during this period. </w:t>
      </w:r>
      <w:r w:rsidR="00B307E8" w:rsidRPr="00D61E89">
        <w:rPr>
          <w:rFonts w:ascii="Cambria" w:hAnsi="Cambria" w:cs="Garamond-BookCondensed"/>
          <w:sz w:val="22"/>
          <w:szCs w:val="22"/>
        </w:rPr>
        <w:t>Susceptible healthcare workers shall be excluded from</w:t>
      </w:r>
      <w:r w:rsidR="00B307E8">
        <w:rPr>
          <w:rFonts w:ascii="Cambria" w:hAnsi="Cambria" w:cs="Garamond-BookCondensed"/>
          <w:sz w:val="22"/>
          <w:szCs w:val="22"/>
        </w:rPr>
        <w:t xml:space="preserve"> work</w:t>
      </w:r>
      <w:r w:rsidR="00B307E8" w:rsidRPr="00D61E89">
        <w:rPr>
          <w:rFonts w:ascii="Cambria" w:hAnsi="Cambria" w:cs="Garamond-BookCondensed"/>
          <w:sz w:val="22"/>
          <w:szCs w:val="22"/>
        </w:rPr>
        <w:t xml:space="preserve"> from the 8th day after their first exposure during the case’s infectious period through the 21st day after the last exposure to the infectious case. </w:t>
      </w:r>
      <w:r w:rsidRPr="00D61E89">
        <w:rPr>
          <w:rFonts w:ascii="Cambria" w:hAnsi="Cambria" w:cs="Garamond-BookCondensed"/>
          <w:sz w:val="22"/>
          <w:szCs w:val="22"/>
        </w:rPr>
        <w:t>They should receive postexposure vaccination as soon as possible. Vaccination within 3-5 days of exposure might modify the disease if infection occurred. Vaccination &gt;5 days postexposure is still indicated because it induces protection against subsequent exposures (if the current exposure did not cause infection).</w:t>
      </w:r>
    </w:p>
    <w:p w14:paraId="1436DA3E" w14:textId="77777777" w:rsidR="00197088" w:rsidRPr="00D61E89" w:rsidRDefault="00197088" w:rsidP="00197088">
      <w:pPr>
        <w:autoSpaceDE w:val="0"/>
        <w:autoSpaceDN w:val="0"/>
        <w:adjustRightInd w:val="0"/>
        <w:rPr>
          <w:rFonts w:ascii="Cambria" w:hAnsi="Cambria" w:cs="Garamond-BookCondensed"/>
          <w:sz w:val="22"/>
          <w:szCs w:val="22"/>
        </w:rPr>
      </w:pPr>
    </w:p>
    <w:p w14:paraId="175F3805" w14:textId="77777777" w:rsidR="00197088" w:rsidRPr="00D61E89" w:rsidRDefault="00197088" w:rsidP="00197088">
      <w:pPr>
        <w:autoSpaceDE w:val="0"/>
        <w:autoSpaceDN w:val="0"/>
        <w:adjustRightInd w:val="0"/>
        <w:rPr>
          <w:rFonts w:ascii="Cambria" w:hAnsi="Cambria" w:cs="Garamond-BookCondensed"/>
          <w:sz w:val="22"/>
          <w:szCs w:val="22"/>
        </w:rPr>
      </w:pPr>
      <w:r w:rsidRPr="00D61E89">
        <w:rPr>
          <w:rFonts w:ascii="Cambria" w:hAnsi="Cambria" w:cs="Garamond-BookCondensed"/>
          <w:b/>
          <w:sz w:val="22"/>
          <w:szCs w:val="22"/>
        </w:rPr>
        <w:t xml:space="preserve">In most healthcare settings, healthcare personnel </w:t>
      </w:r>
      <w:r w:rsidR="00DD6C40">
        <w:rPr>
          <w:rFonts w:ascii="Cambria" w:hAnsi="Cambria" w:cs="Garamond-BookCondensed"/>
          <w:b/>
          <w:sz w:val="22"/>
          <w:szCs w:val="22"/>
        </w:rPr>
        <w:t>who have received</w:t>
      </w:r>
      <w:r w:rsidR="00DD6C40" w:rsidRPr="00D61E89">
        <w:rPr>
          <w:rFonts w:ascii="Cambria" w:hAnsi="Cambria" w:cs="Garamond-BookCondensed"/>
          <w:b/>
          <w:sz w:val="22"/>
          <w:szCs w:val="22"/>
        </w:rPr>
        <w:t xml:space="preserve"> </w:t>
      </w:r>
      <w:r w:rsidRPr="00D61E89">
        <w:rPr>
          <w:rFonts w:ascii="Cambria" w:hAnsi="Cambria" w:cs="Garamond-BookCondensed"/>
          <w:b/>
          <w:sz w:val="22"/>
          <w:szCs w:val="22"/>
        </w:rPr>
        <w:t xml:space="preserve">one dose of varicella vaccine will not need to be excluded if they have been vaccinated with a second dose </w:t>
      </w:r>
      <w:r w:rsidR="00DD6C40">
        <w:rPr>
          <w:rFonts w:ascii="Cambria" w:hAnsi="Cambria" w:cs="Garamond-BookCondensed"/>
          <w:b/>
          <w:sz w:val="22"/>
          <w:szCs w:val="22"/>
        </w:rPr>
        <w:t xml:space="preserve">within </w:t>
      </w:r>
      <w:r w:rsidRPr="00D61E89">
        <w:rPr>
          <w:rFonts w:ascii="Cambria" w:hAnsi="Cambria" w:cs="Garamond-BookCondensed"/>
          <w:b/>
          <w:sz w:val="22"/>
          <w:szCs w:val="22"/>
        </w:rPr>
        <w:t>3 days of exposure</w:t>
      </w:r>
      <w:r w:rsidRPr="00D61E89">
        <w:rPr>
          <w:rFonts w:ascii="Cambria" w:hAnsi="Cambria" w:cs="Garamond-BookCondensed"/>
          <w:sz w:val="22"/>
          <w:szCs w:val="22"/>
        </w:rPr>
        <w:t>. The exception may be long-term care facilities</w:t>
      </w:r>
      <w:r w:rsidR="007A6DA0" w:rsidRPr="00D61E89">
        <w:rPr>
          <w:rFonts w:ascii="Cambria" w:hAnsi="Cambria" w:cs="Garamond-BookCondensed"/>
          <w:sz w:val="22"/>
          <w:szCs w:val="22"/>
        </w:rPr>
        <w:t>,</w:t>
      </w:r>
      <w:r w:rsidRPr="00D61E89">
        <w:rPr>
          <w:rFonts w:ascii="Cambria" w:hAnsi="Cambria" w:cs="Garamond-BookCondensed"/>
          <w:sz w:val="22"/>
          <w:szCs w:val="22"/>
        </w:rPr>
        <w:t xml:space="preserve"> which may use a five-day window for vaccination of staff if the patient population is low risk (believed to be immune, for example, due to </w:t>
      </w:r>
      <w:r w:rsidR="00DD6C40">
        <w:rPr>
          <w:rFonts w:ascii="Cambria" w:hAnsi="Cambria" w:cs="Garamond-BookCondensed"/>
          <w:sz w:val="22"/>
          <w:szCs w:val="22"/>
        </w:rPr>
        <w:t>age</w:t>
      </w:r>
      <w:r w:rsidRPr="00D61E89">
        <w:rPr>
          <w:rFonts w:ascii="Cambria" w:hAnsi="Cambria" w:cs="Garamond-BookCondensed"/>
          <w:sz w:val="22"/>
          <w:szCs w:val="22"/>
        </w:rPr>
        <w:t>).</w:t>
      </w:r>
    </w:p>
    <w:p w14:paraId="3AF4D3D6" w14:textId="77777777" w:rsidR="00197088" w:rsidRPr="00D61E89" w:rsidRDefault="00197088" w:rsidP="00197088">
      <w:pPr>
        <w:autoSpaceDE w:val="0"/>
        <w:autoSpaceDN w:val="0"/>
        <w:adjustRightInd w:val="0"/>
        <w:ind w:left="720"/>
        <w:rPr>
          <w:rFonts w:ascii="Cambria" w:hAnsi="Cambria" w:cs="Garamond-BookCondensed"/>
          <w:sz w:val="22"/>
          <w:szCs w:val="22"/>
        </w:rPr>
      </w:pPr>
    </w:p>
    <w:p w14:paraId="5D6F7F2C" w14:textId="77777777" w:rsidR="00197088" w:rsidRPr="00D61E89" w:rsidRDefault="00197088" w:rsidP="00197088">
      <w:pPr>
        <w:numPr>
          <w:ilvl w:val="0"/>
          <w:numId w:val="24"/>
        </w:numPr>
        <w:tabs>
          <w:tab w:val="num" w:pos="720"/>
        </w:tabs>
        <w:autoSpaceDE w:val="0"/>
        <w:autoSpaceDN w:val="0"/>
        <w:adjustRightInd w:val="0"/>
        <w:ind w:left="1080"/>
        <w:rPr>
          <w:rFonts w:ascii="Cambria" w:hAnsi="Cambria" w:cs="Garamond-BookCondensed"/>
          <w:sz w:val="22"/>
          <w:szCs w:val="22"/>
        </w:rPr>
      </w:pPr>
      <w:r w:rsidRPr="00D61E89">
        <w:rPr>
          <w:rFonts w:ascii="Cambria" w:hAnsi="Cambria" w:cs="Garamond-BookCondensed"/>
          <w:sz w:val="22"/>
          <w:szCs w:val="22"/>
        </w:rPr>
        <w:t xml:space="preserve">In some very high-risk settings, infection </w:t>
      </w:r>
      <w:r w:rsidR="005E37DC">
        <w:rPr>
          <w:rFonts w:ascii="Cambria" w:hAnsi="Cambria" w:cs="Garamond-BookCondensed"/>
          <w:sz w:val="22"/>
          <w:szCs w:val="22"/>
        </w:rPr>
        <w:t>preventionists</w:t>
      </w:r>
      <w:r w:rsidRPr="00D61E89">
        <w:rPr>
          <w:rFonts w:ascii="Cambria" w:hAnsi="Cambria" w:cs="Garamond-BookCondensed"/>
          <w:sz w:val="22"/>
          <w:szCs w:val="22"/>
        </w:rPr>
        <w:t xml:space="preserve"> may wish to exclude or reassign all susceptible</w:t>
      </w:r>
      <w:r w:rsidR="007D58C8">
        <w:rPr>
          <w:rFonts w:ascii="Cambria" w:hAnsi="Cambria" w:cs="Garamond-BookCondensed"/>
          <w:sz w:val="22"/>
          <w:szCs w:val="22"/>
        </w:rPr>
        <w:t xml:space="preserve"> individuals</w:t>
      </w:r>
      <w:r w:rsidRPr="00D61E89">
        <w:rPr>
          <w:rFonts w:ascii="Cambria" w:hAnsi="Cambria" w:cs="Garamond-BookCondensed"/>
          <w:sz w:val="22"/>
          <w:szCs w:val="22"/>
        </w:rPr>
        <w:t>, regardless of timing of vaccination post-exposure. Decisions about exclusion will depend on such factors as the setting (e.g., neonatal ICU, oncology unit, transplant unit) and the degree of direct patient contact.</w:t>
      </w:r>
    </w:p>
    <w:p w14:paraId="196EB14C" w14:textId="77777777" w:rsidR="00197088" w:rsidRPr="00D61E89" w:rsidRDefault="00197088" w:rsidP="00197088">
      <w:pPr>
        <w:numPr>
          <w:ilvl w:val="0"/>
          <w:numId w:val="24"/>
        </w:numPr>
        <w:tabs>
          <w:tab w:val="num" w:pos="720"/>
        </w:tabs>
        <w:autoSpaceDE w:val="0"/>
        <w:autoSpaceDN w:val="0"/>
        <w:adjustRightInd w:val="0"/>
        <w:ind w:left="1080"/>
        <w:rPr>
          <w:rFonts w:ascii="Cambria" w:hAnsi="Cambria" w:cs="Garamond-BookCondensed"/>
          <w:sz w:val="22"/>
          <w:szCs w:val="22"/>
        </w:rPr>
      </w:pPr>
      <w:r w:rsidRPr="00D61E89">
        <w:rPr>
          <w:rFonts w:ascii="Cambria" w:hAnsi="Cambria" w:cs="Garamond-BookCondensed"/>
          <w:sz w:val="22"/>
          <w:szCs w:val="22"/>
        </w:rPr>
        <w:t xml:space="preserve">Anyone receiving </w:t>
      </w:r>
      <w:r w:rsidR="003D078E">
        <w:rPr>
          <w:rFonts w:ascii="Cambria" w:hAnsi="Cambria" w:cs="Garamond-BookCondensed"/>
          <w:sz w:val="22"/>
          <w:szCs w:val="22"/>
        </w:rPr>
        <w:t>VariZIG</w:t>
      </w:r>
      <w:r w:rsidRPr="003D078E">
        <w:rPr>
          <w:rFonts w:ascii="Cambria" w:hAnsi="Cambria"/>
          <w:sz w:val="22"/>
          <w:szCs w:val="22"/>
          <w:vertAlign w:val="superscript"/>
        </w:rPr>
        <w:t>®</w:t>
      </w:r>
      <w:r w:rsidRPr="00D61E89">
        <w:rPr>
          <w:rFonts w:ascii="Cambria" w:hAnsi="Cambria" w:cs="Garamond-BookCondensed"/>
          <w:sz w:val="22"/>
          <w:szCs w:val="22"/>
        </w:rPr>
        <w:t xml:space="preserve"> or IGIV shall extend </w:t>
      </w:r>
      <w:r w:rsidR="000706F4">
        <w:rPr>
          <w:rFonts w:ascii="Cambria" w:hAnsi="Cambria" w:cs="Garamond-BookCondensed"/>
          <w:sz w:val="22"/>
          <w:szCs w:val="22"/>
        </w:rPr>
        <w:t>their</w:t>
      </w:r>
      <w:r w:rsidRPr="00D61E89">
        <w:rPr>
          <w:rFonts w:ascii="Cambria" w:hAnsi="Cambria" w:cs="Garamond-BookCondensed"/>
          <w:sz w:val="22"/>
          <w:szCs w:val="22"/>
        </w:rPr>
        <w:t xml:space="preserve"> exclusion to 28 days post-exposure.</w:t>
      </w:r>
    </w:p>
    <w:p w14:paraId="4694832E" w14:textId="77777777" w:rsidR="00197088" w:rsidRPr="00D61E89" w:rsidRDefault="00197088" w:rsidP="00197088">
      <w:pPr>
        <w:numPr>
          <w:ilvl w:val="0"/>
          <w:numId w:val="24"/>
        </w:numPr>
        <w:tabs>
          <w:tab w:val="num" w:pos="720"/>
        </w:tabs>
        <w:autoSpaceDE w:val="0"/>
        <w:autoSpaceDN w:val="0"/>
        <w:adjustRightInd w:val="0"/>
        <w:ind w:left="1080"/>
        <w:rPr>
          <w:rFonts w:ascii="Cambria" w:hAnsi="Cambria" w:cs="Garamond-BookCondensed"/>
          <w:sz w:val="22"/>
          <w:szCs w:val="22"/>
        </w:rPr>
      </w:pPr>
      <w:r w:rsidRPr="00D61E89">
        <w:rPr>
          <w:rFonts w:ascii="Cambria" w:hAnsi="Cambria" w:cs="Garamond-BookCondensed"/>
          <w:sz w:val="22"/>
          <w:szCs w:val="22"/>
        </w:rPr>
        <w:t>In healthcare settings, discharge all exposed, susceptible patients as soon as possible.</w:t>
      </w:r>
      <w:r w:rsidR="00F70CEE" w:rsidRPr="00D61E89">
        <w:rPr>
          <w:rFonts w:ascii="Cambria" w:hAnsi="Cambria" w:cs="Garamond-BookCondensed"/>
          <w:sz w:val="22"/>
          <w:szCs w:val="22"/>
        </w:rPr>
        <w:t xml:space="preserve"> </w:t>
      </w:r>
      <w:r w:rsidRPr="00D61E89">
        <w:rPr>
          <w:rFonts w:ascii="Cambria" w:hAnsi="Cambria" w:cs="Garamond-BookCondensed"/>
          <w:sz w:val="22"/>
          <w:szCs w:val="22"/>
        </w:rPr>
        <w:t xml:space="preserve">Isolate on contact </w:t>
      </w:r>
      <w:r w:rsidR="005E37DC" w:rsidRPr="00D61E89">
        <w:rPr>
          <w:rFonts w:ascii="Cambria" w:hAnsi="Cambria" w:cs="Garamond-BookCondensed"/>
          <w:sz w:val="22"/>
          <w:szCs w:val="22"/>
        </w:rPr>
        <w:t xml:space="preserve">precautions </w:t>
      </w:r>
      <w:r w:rsidRPr="00D61E89">
        <w:rPr>
          <w:rFonts w:ascii="Cambria" w:hAnsi="Cambria" w:cs="Garamond-BookCondensed"/>
          <w:sz w:val="22"/>
          <w:szCs w:val="22"/>
        </w:rPr>
        <w:t>and airborne</w:t>
      </w:r>
      <w:r w:rsidR="005E37DC">
        <w:rPr>
          <w:rFonts w:ascii="Cambria" w:hAnsi="Cambria" w:cs="Garamond-BookCondensed"/>
          <w:sz w:val="22"/>
          <w:szCs w:val="22"/>
        </w:rPr>
        <w:t xml:space="preserve"> isolation</w:t>
      </w:r>
      <w:r w:rsidRPr="00D61E89">
        <w:rPr>
          <w:rFonts w:ascii="Cambria" w:hAnsi="Cambria" w:cs="Garamond-BookCondensed"/>
          <w:sz w:val="22"/>
          <w:szCs w:val="22"/>
        </w:rPr>
        <w:t xml:space="preserve"> all such patients who cannot be discharged from day 8 after first exposure through day 21 after last exposure to someone who was infectious. </w:t>
      </w:r>
    </w:p>
    <w:p w14:paraId="4A795BFE" w14:textId="77777777" w:rsidR="00197088" w:rsidRPr="00D61E89" w:rsidRDefault="00197088" w:rsidP="00197088">
      <w:pPr>
        <w:autoSpaceDE w:val="0"/>
        <w:autoSpaceDN w:val="0"/>
        <w:adjustRightInd w:val="0"/>
        <w:rPr>
          <w:rFonts w:ascii="Cambria" w:hAnsi="Cambria" w:cs="Garamond-BookCondensed"/>
          <w:sz w:val="22"/>
          <w:szCs w:val="22"/>
        </w:rPr>
      </w:pPr>
    </w:p>
    <w:p w14:paraId="2CCB08C6" w14:textId="77777777" w:rsidR="00197088" w:rsidRPr="00D61E89" w:rsidRDefault="00197088" w:rsidP="00197088">
      <w:pPr>
        <w:autoSpaceDE w:val="0"/>
        <w:autoSpaceDN w:val="0"/>
        <w:adjustRightInd w:val="0"/>
        <w:rPr>
          <w:rFonts w:ascii="Cambria" w:hAnsi="Cambria" w:cs="Garamond-BookCondensed"/>
          <w:sz w:val="22"/>
          <w:szCs w:val="22"/>
        </w:rPr>
      </w:pPr>
      <w:r w:rsidRPr="00D61E89">
        <w:rPr>
          <w:rFonts w:ascii="Cambria" w:hAnsi="Cambria" w:cs="Garamond-BookCondensed"/>
          <w:b/>
          <w:sz w:val="22"/>
          <w:szCs w:val="22"/>
        </w:rPr>
        <w:t xml:space="preserve">Serologic screening and </w:t>
      </w:r>
      <w:r w:rsidR="005E37DC">
        <w:rPr>
          <w:rFonts w:ascii="Cambria" w:hAnsi="Cambria" w:cs="Garamond-BookCondensed"/>
          <w:b/>
          <w:sz w:val="22"/>
          <w:szCs w:val="22"/>
        </w:rPr>
        <w:t xml:space="preserve">antibody </w:t>
      </w:r>
      <w:r w:rsidRPr="00D61E89">
        <w:rPr>
          <w:rFonts w:ascii="Cambria" w:hAnsi="Cambria" w:cs="Garamond-BookCondensed"/>
          <w:b/>
          <w:sz w:val="22"/>
          <w:szCs w:val="22"/>
        </w:rPr>
        <w:t>titers:</w:t>
      </w:r>
      <w:r w:rsidRPr="00D61E89">
        <w:rPr>
          <w:rFonts w:ascii="Cambria" w:hAnsi="Cambria" w:cs="Garamond-BookCondensed"/>
          <w:sz w:val="22"/>
          <w:szCs w:val="22"/>
        </w:rPr>
        <w:t xml:space="preserve"> In healthcare institutions, serologic screening of personnel who have a negative or uncertain history of chickenpox disease is likely to be reliable and cost-effective. However, routine testing for chickenpox immunity after 2 doses of vaccine is unnecessary and is not recommended. </w:t>
      </w:r>
      <w:r w:rsidR="005E37DC">
        <w:rPr>
          <w:rFonts w:ascii="Cambria" w:hAnsi="Cambria" w:cs="Garamond-BookCondensed"/>
          <w:sz w:val="22"/>
          <w:szCs w:val="22"/>
        </w:rPr>
        <w:t>HCP</w:t>
      </w:r>
      <w:r w:rsidRPr="00D61E89">
        <w:rPr>
          <w:rFonts w:ascii="Cambria" w:hAnsi="Cambria" w:cs="Garamond-BookCondensed"/>
          <w:sz w:val="22"/>
          <w:szCs w:val="22"/>
        </w:rPr>
        <w:t xml:space="preserve"> with evidence of two doses who subsequently have a negative titer for varicella should be considered immune. This is because serologic tests are generally not sufficiently sensitive to detect vaccine-induced antibody. On the other hand, </w:t>
      </w:r>
      <w:r w:rsidR="005E37DC">
        <w:rPr>
          <w:rFonts w:ascii="Cambria" w:hAnsi="Cambria" w:cs="Garamond-BookCondensed"/>
          <w:sz w:val="22"/>
          <w:szCs w:val="22"/>
        </w:rPr>
        <w:t>HCP</w:t>
      </w:r>
      <w:r w:rsidR="005E37DC" w:rsidRPr="00D61E89">
        <w:rPr>
          <w:rFonts w:ascii="Cambria" w:hAnsi="Cambria" w:cs="Garamond-BookCondensed"/>
          <w:sz w:val="22"/>
          <w:szCs w:val="22"/>
        </w:rPr>
        <w:t xml:space="preserve"> </w:t>
      </w:r>
      <w:r w:rsidRPr="00D61E89">
        <w:rPr>
          <w:rFonts w:ascii="Cambria" w:hAnsi="Cambria" w:cs="Garamond-BookCondensed"/>
          <w:sz w:val="22"/>
          <w:szCs w:val="22"/>
        </w:rPr>
        <w:t xml:space="preserve">with a history of varicella disease who subsequently have a negative titer for varicella should </w:t>
      </w:r>
      <w:r w:rsidRPr="00D61E89">
        <w:rPr>
          <w:rFonts w:ascii="Cambria" w:hAnsi="Cambria" w:cs="Garamond-BookCondensed"/>
          <w:sz w:val="22"/>
          <w:szCs w:val="22"/>
          <w:u w:val="single"/>
        </w:rPr>
        <w:t>not</w:t>
      </w:r>
      <w:r w:rsidRPr="00D61E89">
        <w:rPr>
          <w:rFonts w:ascii="Cambria" w:hAnsi="Cambria" w:cs="Garamond-BookCondensed"/>
          <w:sz w:val="22"/>
          <w:szCs w:val="22"/>
        </w:rPr>
        <w:t xml:space="preserve"> be considered immune. It is expected that the titer result would be positive in those with a history of varicella disease, and it makes sense to err on the side of caution when evaluating evidence of immunity in the healthcare setting. </w:t>
      </w:r>
    </w:p>
    <w:p w14:paraId="041C642F" w14:textId="77777777" w:rsidR="00F30B1D" w:rsidRPr="00D61E89" w:rsidRDefault="00197088" w:rsidP="00F30B1D">
      <w:pPr>
        <w:pBdr>
          <w:bottom w:val="single" w:sz="2" w:space="1" w:color="BFBFBF"/>
        </w:pBdr>
        <w:autoSpaceDE w:val="0"/>
        <w:autoSpaceDN w:val="0"/>
        <w:adjustRightInd w:val="0"/>
        <w:spacing w:before="240" w:after="120"/>
        <w:rPr>
          <w:rFonts w:ascii="Cambria" w:hAnsi="Cambria" w:cs="Arial"/>
          <w:i/>
          <w:iCs/>
          <w:sz w:val="22"/>
          <w:szCs w:val="20"/>
        </w:rPr>
      </w:pPr>
      <w:r w:rsidRPr="00D61E89">
        <w:rPr>
          <w:rFonts w:ascii="Cambria" w:hAnsi="Cambria" w:cs="Arial"/>
          <w:i/>
          <w:iCs/>
          <w:sz w:val="22"/>
          <w:szCs w:val="20"/>
        </w:rPr>
        <w:t>Congregate Housing (prisons and jails, dormitories, shelters, group homes, military housing, etc.)</w:t>
      </w:r>
    </w:p>
    <w:p w14:paraId="503C00CB" w14:textId="77777777" w:rsidR="00A87D8F" w:rsidRDefault="00F30B1D" w:rsidP="00F30B1D">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As indicated previously, exposure to chickenpox is defined as contact with nasopharyngeal secretions or lesions, face-to-face interaction, or sharing close indoor airspace with an infectious person during the patient’s infectious period (2 days before rash onset until lesions have crusted over). In congregate housing settings, there may be many individuals who live in the facility who may have close contact with the patient while the patient is infectious. The population exposed may or may not be at high risk of complications from chickenpox or may have an uncertain vaccination history. </w:t>
      </w:r>
    </w:p>
    <w:p w14:paraId="28F73B8C" w14:textId="77777777" w:rsidR="00A87D8F" w:rsidRDefault="00A87D8F" w:rsidP="00F30B1D">
      <w:pPr>
        <w:autoSpaceDE w:val="0"/>
        <w:autoSpaceDN w:val="0"/>
        <w:adjustRightInd w:val="0"/>
        <w:rPr>
          <w:rFonts w:ascii="Cambria" w:hAnsi="Cambria" w:cs="Garamond-BookCondensed"/>
          <w:sz w:val="22"/>
          <w:szCs w:val="22"/>
        </w:rPr>
      </w:pPr>
    </w:p>
    <w:p w14:paraId="2FB42E7F" w14:textId="77777777" w:rsidR="00F30B1D" w:rsidRPr="00D61E89" w:rsidRDefault="00F30B1D" w:rsidP="00F30B1D">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Because some settings include residents at increased risk </w:t>
      </w:r>
      <w:r w:rsidR="005E37DC">
        <w:rPr>
          <w:rFonts w:ascii="Cambria" w:hAnsi="Cambria" w:cs="Garamond-BookCondensed"/>
          <w:sz w:val="22"/>
          <w:szCs w:val="22"/>
        </w:rPr>
        <w:t>for</w:t>
      </w:r>
      <w:r w:rsidR="005E37DC" w:rsidRPr="00D61E89">
        <w:rPr>
          <w:rFonts w:ascii="Cambria" w:hAnsi="Cambria" w:cs="Garamond-BookCondensed"/>
          <w:sz w:val="22"/>
          <w:szCs w:val="22"/>
        </w:rPr>
        <w:t xml:space="preserve"> </w:t>
      </w:r>
      <w:r w:rsidRPr="00D61E89">
        <w:rPr>
          <w:rFonts w:ascii="Cambria" w:hAnsi="Cambria" w:cs="Garamond-BookCondensed"/>
          <w:sz w:val="22"/>
          <w:szCs w:val="22"/>
        </w:rPr>
        <w:t>complications</w:t>
      </w:r>
      <w:r w:rsidR="00CA57C2">
        <w:rPr>
          <w:rFonts w:ascii="Cambria" w:hAnsi="Cambria" w:cs="Garamond-BookCondensed"/>
          <w:sz w:val="22"/>
          <w:szCs w:val="22"/>
        </w:rPr>
        <w:t xml:space="preserve"> and</w:t>
      </w:r>
      <w:r w:rsidRPr="00D61E89">
        <w:rPr>
          <w:rFonts w:ascii="Cambria" w:hAnsi="Cambria" w:cs="Garamond-BookCondensed"/>
          <w:sz w:val="22"/>
          <w:szCs w:val="22"/>
        </w:rPr>
        <w:t xml:space="preserve"> residents with uncertain vaccination history </w:t>
      </w:r>
      <w:r w:rsidR="005E37DC">
        <w:rPr>
          <w:rFonts w:ascii="Cambria" w:hAnsi="Cambria" w:cs="Garamond-BookCondensed"/>
          <w:sz w:val="22"/>
          <w:szCs w:val="22"/>
        </w:rPr>
        <w:t xml:space="preserve">living in </w:t>
      </w:r>
      <w:r w:rsidRPr="00D61E89">
        <w:rPr>
          <w:rFonts w:ascii="Cambria" w:hAnsi="Cambria" w:cs="Garamond-BookCondensed"/>
          <w:sz w:val="22"/>
          <w:szCs w:val="22"/>
        </w:rPr>
        <w:t xml:space="preserve">close quarters that can facilitate transmission (e.g., a prison, jail or shelter), vaccination of susceptible residents and staff </w:t>
      </w:r>
      <w:r w:rsidRPr="00D61E89">
        <w:rPr>
          <w:rFonts w:ascii="Cambria" w:hAnsi="Cambria" w:cs="Garamond-BookCondensed"/>
          <w:sz w:val="22"/>
          <w:szCs w:val="22"/>
          <w:u w:val="single"/>
        </w:rPr>
        <w:t>within three days of exposure</w:t>
      </w:r>
      <w:r w:rsidRPr="00D61E89">
        <w:rPr>
          <w:rFonts w:ascii="Cambria" w:hAnsi="Cambria" w:cs="Garamond-BookCondensed"/>
          <w:sz w:val="22"/>
          <w:szCs w:val="22"/>
        </w:rPr>
        <w:t xml:space="preserve"> may be necessary to avoid exclusion</w:t>
      </w:r>
      <w:r w:rsidR="005E37DC">
        <w:rPr>
          <w:rFonts w:ascii="Cambria" w:hAnsi="Cambria" w:cs="Garamond-BookCondensed"/>
          <w:sz w:val="22"/>
          <w:szCs w:val="22"/>
        </w:rPr>
        <w:t xml:space="preserve"> or quarantine</w:t>
      </w:r>
      <w:r w:rsidRPr="00D61E89">
        <w:rPr>
          <w:rFonts w:ascii="Cambria" w:hAnsi="Cambria" w:cs="Garamond-BookCondensed"/>
          <w:sz w:val="22"/>
          <w:szCs w:val="22"/>
        </w:rPr>
        <w:t>.</w:t>
      </w:r>
      <w:r w:rsidR="00F70CEE" w:rsidRPr="00D61E89">
        <w:rPr>
          <w:rFonts w:ascii="Cambria" w:hAnsi="Cambria" w:cs="Garamond-BookCondensed"/>
          <w:sz w:val="22"/>
          <w:szCs w:val="22"/>
        </w:rPr>
        <w:t xml:space="preserve"> </w:t>
      </w:r>
      <w:r w:rsidRPr="00D61E89">
        <w:rPr>
          <w:rFonts w:ascii="Cambria" w:hAnsi="Cambria" w:cs="Garamond-BookCondensed"/>
          <w:sz w:val="22"/>
          <w:szCs w:val="22"/>
        </w:rPr>
        <w:t>MDPH or the local board of health may need to determine acceptable vaccination intervals and evidence of immunity. As with schools, close proximity to the case should be evaluated in terms of zones of exposure, such as the following:</w:t>
      </w:r>
    </w:p>
    <w:p w14:paraId="2E68804D" w14:textId="77777777" w:rsidR="00F30B1D" w:rsidRPr="00D61E89" w:rsidRDefault="00F30B1D" w:rsidP="00F30B1D">
      <w:pPr>
        <w:autoSpaceDE w:val="0"/>
        <w:autoSpaceDN w:val="0"/>
        <w:adjustRightInd w:val="0"/>
        <w:rPr>
          <w:rFonts w:ascii="Cambria" w:hAnsi="Cambria" w:cs="Garamond-BookCondensed"/>
          <w:sz w:val="22"/>
          <w:szCs w:val="22"/>
        </w:rPr>
      </w:pPr>
    </w:p>
    <w:p w14:paraId="7A0ECC5B" w14:textId="77777777" w:rsidR="00F30B1D" w:rsidRPr="00D61E89" w:rsidRDefault="00F30B1D" w:rsidP="00F30B1D">
      <w:pPr>
        <w:numPr>
          <w:ilvl w:val="0"/>
          <w:numId w:val="22"/>
        </w:numPr>
        <w:tabs>
          <w:tab w:val="clear" w:pos="1080"/>
          <w:tab w:val="num" w:pos="720"/>
        </w:tabs>
        <w:autoSpaceDE w:val="0"/>
        <w:autoSpaceDN w:val="0"/>
        <w:adjustRightInd w:val="0"/>
        <w:ind w:left="720"/>
        <w:rPr>
          <w:rFonts w:ascii="Cambria" w:hAnsi="Cambria" w:cs="Garamond-BookCondensed"/>
          <w:sz w:val="22"/>
          <w:szCs w:val="22"/>
        </w:rPr>
      </w:pPr>
      <w:r w:rsidRPr="00D61E89">
        <w:rPr>
          <w:rFonts w:ascii="Cambria" w:hAnsi="Cambria" w:cs="Garamond-BookCondensed"/>
          <w:sz w:val="22"/>
          <w:szCs w:val="22"/>
        </w:rPr>
        <w:t>Sharing the same bedroom</w:t>
      </w:r>
      <w:r w:rsidR="005E37DC">
        <w:rPr>
          <w:rFonts w:ascii="Cambria" w:hAnsi="Cambria" w:cs="Garamond-BookCondensed"/>
          <w:sz w:val="22"/>
          <w:szCs w:val="22"/>
        </w:rPr>
        <w:t xml:space="preserve"> or cell/cell block</w:t>
      </w:r>
      <w:r w:rsidRPr="00D61E89">
        <w:rPr>
          <w:rFonts w:ascii="Cambria" w:hAnsi="Cambria" w:cs="Garamond-BookCondensed"/>
          <w:sz w:val="22"/>
          <w:szCs w:val="22"/>
        </w:rPr>
        <w:t>;</w:t>
      </w:r>
      <w:r w:rsidR="00CA218B" w:rsidRPr="00D61E89">
        <w:rPr>
          <w:rFonts w:ascii="Cambria" w:hAnsi="Cambria" w:cs="Garamond-BookCondensed"/>
          <w:sz w:val="22"/>
          <w:szCs w:val="22"/>
        </w:rPr>
        <w:t xml:space="preserve"> s</w:t>
      </w:r>
      <w:r w:rsidRPr="00D61E89">
        <w:rPr>
          <w:rFonts w:ascii="Cambria" w:hAnsi="Cambria" w:cs="Garamond-BookCondensed"/>
          <w:sz w:val="22"/>
          <w:szCs w:val="22"/>
        </w:rPr>
        <w:t>haring the same home-like residence</w:t>
      </w:r>
    </w:p>
    <w:p w14:paraId="24C2BCB7" w14:textId="77777777" w:rsidR="00F30B1D" w:rsidRPr="00D61E89" w:rsidRDefault="00F30B1D" w:rsidP="00F30B1D">
      <w:pPr>
        <w:numPr>
          <w:ilvl w:val="0"/>
          <w:numId w:val="22"/>
        </w:numPr>
        <w:tabs>
          <w:tab w:val="clear" w:pos="1080"/>
          <w:tab w:val="num" w:pos="720"/>
        </w:tabs>
        <w:autoSpaceDE w:val="0"/>
        <w:autoSpaceDN w:val="0"/>
        <w:adjustRightInd w:val="0"/>
        <w:ind w:left="720"/>
        <w:rPr>
          <w:rFonts w:ascii="Cambria" w:hAnsi="Cambria" w:cs="Garamond-BookCondensed"/>
          <w:sz w:val="22"/>
          <w:szCs w:val="22"/>
        </w:rPr>
      </w:pPr>
      <w:r w:rsidRPr="00D61E89">
        <w:rPr>
          <w:rFonts w:ascii="Cambria" w:hAnsi="Cambria" w:cs="Garamond-BookCondensed"/>
          <w:sz w:val="22"/>
          <w:szCs w:val="22"/>
        </w:rPr>
        <w:t>Sitting at the same table in a lunchroom;</w:t>
      </w:r>
      <w:r w:rsidR="00CA218B" w:rsidRPr="00D61E89">
        <w:rPr>
          <w:rFonts w:ascii="Cambria" w:hAnsi="Cambria" w:cs="Garamond-BookCondensed"/>
          <w:sz w:val="22"/>
          <w:szCs w:val="22"/>
        </w:rPr>
        <w:t xml:space="preserve"> s</w:t>
      </w:r>
      <w:r w:rsidRPr="00D61E89">
        <w:rPr>
          <w:rFonts w:ascii="Cambria" w:hAnsi="Cambria" w:cs="Garamond-BookCondensed"/>
          <w:sz w:val="22"/>
          <w:szCs w:val="22"/>
        </w:rPr>
        <w:t>itting within several seats of the case in a TV room or living room</w:t>
      </w:r>
      <w:r w:rsidR="003A50A1">
        <w:rPr>
          <w:rFonts w:ascii="Cambria" w:hAnsi="Cambria" w:cs="Garamond-BookCondensed"/>
          <w:sz w:val="22"/>
          <w:szCs w:val="22"/>
        </w:rPr>
        <w:t>;</w:t>
      </w:r>
      <w:r w:rsidR="00CA218B" w:rsidRPr="00D61E89">
        <w:rPr>
          <w:rFonts w:ascii="Cambria" w:hAnsi="Cambria" w:cs="Garamond-BookCondensed"/>
          <w:sz w:val="22"/>
          <w:szCs w:val="22"/>
        </w:rPr>
        <w:t xml:space="preserve"> r</w:t>
      </w:r>
      <w:r w:rsidRPr="00D61E89">
        <w:rPr>
          <w:rFonts w:ascii="Cambria" w:hAnsi="Cambria" w:cs="Garamond-BookCondensed"/>
          <w:sz w:val="22"/>
          <w:szCs w:val="22"/>
        </w:rPr>
        <w:t xml:space="preserve">iding the same bus/carpooling; </w:t>
      </w:r>
      <w:r w:rsidR="003A50A1">
        <w:rPr>
          <w:rFonts w:ascii="Cambria" w:hAnsi="Cambria" w:cs="Garamond-BookCondensed"/>
          <w:sz w:val="22"/>
          <w:szCs w:val="22"/>
        </w:rPr>
        <w:t xml:space="preserve">sharing a classroom </w:t>
      </w:r>
      <w:r w:rsidRPr="00D61E89">
        <w:rPr>
          <w:rFonts w:ascii="Cambria" w:hAnsi="Cambria" w:cs="Garamond-BookCondensed"/>
          <w:sz w:val="22"/>
          <w:szCs w:val="22"/>
        </w:rPr>
        <w:t>or</w:t>
      </w:r>
    </w:p>
    <w:p w14:paraId="5DCE837B" w14:textId="77777777" w:rsidR="00F30B1D" w:rsidRDefault="00F30B1D" w:rsidP="00F30B1D">
      <w:pPr>
        <w:numPr>
          <w:ilvl w:val="0"/>
          <w:numId w:val="22"/>
        </w:numPr>
        <w:tabs>
          <w:tab w:val="clear" w:pos="1080"/>
          <w:tab w:val="num" w:pos="720"/>
        </w:tabs>
        <w:autoSpaceDE w:val="0"/>
        <w:autoSpaceDN w:val="0"/>
        <w:adjustRightInd w:val="0"/>
        <w:ind w:left="720"/>
        <w:rPr>
          <w:rFonts w:ascii="Cambria" w:hAnsi="Cambria" w:cs="Garamond-BookCondensed"/>
          <w:sz w:val="22"/>
          <w:szCs w:val="22"/>
        </w:rPr>
      </w:pPr>
      <w:r w:rsidRPr="00D61E89">
        <w:rPr>
          <w:rFonts w:ascii="Cambria" w:hAnsi="Cambria" w:cs="Garamond-BookCondensed"/>
          <w:sz w:val="22"/>
          <w:szCs w:val="22"/>
        </w:rPr>
        <w:t>Participating in the same work, recreation or other activity</w:t>
      </w:r>
    </w:p>
    <w:p w14:paraId="5696FF11" w14:textId="77777777" w:rsidR="006F7BCF" w:rsidRDefault="006F7BCF" w:rsidP="004F2DEA">
      <w:pPr>
        <w:autoSpaceDE w:val="0"/>
        <w:autoSpaceDN w:val="0"/>
        <w:adjustRightInd w:val="0"/>
        <w:rPr>
          <w:rFonts w:ascii="Cambria" w:hAnsi="Cambria" w:cs="Garamond-BookCondensed"/>
          <w:sz w:val="22"/>
          <w:szCs w:val="22"/>
        </w:rPr>
      </w:pPr>
    </w:p>
    <w:p w14:paraId="79C412E7" w14:textId="77777777" w:rsidR="00713739" w:rsidRDefault="00995FC3" w:rsidP="00995FC3">
      <w:pPr>
        <w:autoSpaceDE w:val="0"/>
        <w:autoSpaceDN w:val="0"/>
        <w:adjustRightInd w:val="0"/>
        <w:rPr>
          <w:rFonts w:ascii="Cambria" w:hAnsi="Cambria" w:cs="Garamond-BookCondensed"/>
          <w:i/>
          <w:iCs/>
          <w:sz w:val="21"/>
          <w:szCs w:val="21"/>
        </w:rPr>
      </w:pPr>
      <w:r w:rsidRPr="004F2DEA">
        <w:rPr>
          <w:rFonts w:ascii="Cambria" w:hAnsi="Cambria" w:cs="Garamond-BookCondensed"/>
          <w:i/>
          <w:iCs/>
          <w:sz w:val="22"/>
          <w:szCs w:val="22"/>
        </w:rPr>
        <w:t xml:space="preserve">Clusters (three or more cases related in time and space) should be reported using the new web-based varicella </w:t>
      </w:r>
      <w:r w:rsidRPr="004F2DEA">
        <w:rPr>
          <w:rFonts w:ascii="Cambria" w:hAnsi="Cambria" w:cs="Garamond-BookCondensed"/>
          <w:b/>
          <w:bCs/>
          <w:i/>
          <w:iCs/>
          <w:sz w:val="22"/>
          <w:szCs w:val="22"/>
        </w:rPr>
        <w:t>cluster</w:t>
      </w:r>
      <w:r w:rsidRPr="004F2DEA">
        <w:rPr>
          <w:rFonts w:ascii="Cambria" w:hAnsi="Cambria" w:cs="Garamond-BookCondensed"/>
          <w:i/>
          <w:iCs/>
          <w:sz w:val="22"/>
          <w:szCs w:val="22"/>
        </w:rPr>
        <w:t xml:space="preserve"> report form, also at </w:t>
      </w:r>
      <w:hyperlink r:id="rId23" w:history="1">
        <w:r w:rsidRPr="004F2DEA">
          <w:rPr>
            <w:rStyle w:val="Hyperlink"/>
            <w:rFonts w:ascii="Cambria" w:hAnsi="Cambria" w:cs="Garamond-BookCondensed"/>
            <w:i/>
            <w:iCs/>
            <w:sz w:val="21"/>
            <w:szCs w:val="21"/>
          </w:rPr>
          <w:t>https://infectious-disease-reporting.dph.mass.gov/pages/CaseReportForms</w:t>
        </w:r>
      </w:hyperlink>
    </w:p>
    <w:p w14:paraId="72161F0D" w14:textId="77777777" w:rsidR="00713739" w:rsidRPr="00D61E89" w:rsidRDefault="00713739" w:rsidP="004F2DEA">
      <w:pPr>
        <w:autoSpaceDE w:val="0"/>
        <w:autoSpaceDN w:val="0"/>
        <w:adjustRightInd w:val="0"/>
        <w:rPr>
          <w:rFonts w:ascii="Cambria" w:hAnsi="Cambria" w:cs="Garamond-BookCondensed"/>
          <w:sz w:val="22"/>
          <w:szCs w:val="22"/>
        </w:rPr>
      </w:pPr>
    </w:p>
    <w:p w14:paraId="55B22EBB" w14:textId="77777777" w:rsidR="00F30B1D" w:rsidRPr="00D61E89" w:rsidRDefault="00F30B1D" w:rsidP="004F2DEA">
      <w:pPr>
        <w:autoSpaceDE w:val="0"/>
        <w:autoSpaceDN w:val="0"/>
        <w:adjustRightInd w:val="0"/>
        <w:rPr>
          <w:rFonts w:ascii="Cambria" w:hAnsi="Cambria" w:cs="Arial"/>
          <w:i/>
          <w:iCs/>
          <w:sz w:val="22"/>
          <w:szCs w:val="20"/>
        </w:rPr>
      </w:pPr>
      <w:r w:rsidRPr="00D61E89">
        <w:rPr>
          <w:rFonts w:ascii="Cambria" w:hAnsi="Cambria" w:cs="Arial"/>
          <w:i/>
          <w:iCs/>
          <w:sz w:val="22"/>
          <w:szCs w:val="20"/>
        </w:rPr>
        <w:t>Institutional Settings Where Group A Streptococcal (GAS) Infection is Also Present</w:t>
      </w:r>
    </w:p>
    <w:p w14:paraId="2FB7A343" w14:textId="77777777" w:rsidR="000706F4" w:rsidRDefault="009140C2" w:rsidP="00F30B1D">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Before use of varicella vaccine, varicella was the most commonly identified predisposing factor for invasive GAS infection.</w:t>
      </w:r>
      <w:r w:rsidRPr="009140C2">
        <w:rPr>
          <w:rFonts w:ascii="Cambria" w:hAnsi="Cambria" w:cs="Garamond-BookCondensed"/>
          <w:sz w:val="22"/>
          <w:szCs w:val="22"/>
        </w:rPr>
        <w:t xml:space="preserve"> </w:t>
      </w:r>
      <w:r>
        <w:rPr>
          <w:rFonts w:ascii="Cambria" w:hAnsi="Cambria" w:cs="Garamond-BookCondensed"/>
          <w:sz w:val="22"/>
          <w:szCs w:val="22"/>
        </w:rPr>
        <w:t>In the post-vaccine era, i</w:t>
      </w:r>
      <w:r w:rsidR="00F30B1D" w:rsidRPr="00D61E89">
        <w:rPr>
          <w:rFonts w:ascii="Cambria" w:hAnsi="Cambria" w:cs="Garamond-BookCondensed"/>
          <w:sz w:val="22"/>
          <w:szCs w:val="22"/>
        </w:rPr>
        <w:t xml:space="preserve">nvasive GAS infection as a complication </w:t>
      </w:r>
      <w:r w:rsidR="005E37DC">
        <w:rPr>
          <w:rFonts w:ascii="Cambria" w:hAnsi="Cambria" w:cs="Garamond-BookCondensed"/>
          <w:sz w:val="22"/>
          <w:szCs w:val="22"/>
        </w:rPr>
        <w:t>of</w:t>
      </w:r>
      <w:r w:rsidR="005E37DC" w:rsidRPr="00D61E89">
        <w:rPr>
          <w:rFonts w:ascii="Cambria" w:hAnsi="Cambria" w:cs="Garamond-BookCondensed"/>
          <w:sz w:val="22"/>
          <w:szCs w:val="22"/>
        </w:rPr>
        <w:t xml:space="preserve"> </w:t>
      </w:r>
      <w:r w:rsidR="00F30B1D" w:rsidRPr="00D61E89">
        <w:rPr>
          <w:rFonts w:ascii="Cambria" w:hAnsi="Cambria" w:cs="Garamond-BookCondensed"/>
          <w:sz w:val="22"/>
          <w:szCs w:val="22"/>
        </w:rPr>
        <w:t xml:space="preserve">chickenpox is relatively rare but can be </w:t>
      </w:r>
      <w:r w:rsidR="00F30B1D" w:rsidRPr="00CA791F">
        <w:rPr>
          <w:rFonts w:ascii="Cambria" w:hAnsi="Cambria" w:cs="Garamond-BookCondensed"/>
          <w:sz w:val="22"/>
          <w:szCs w:val="22"/>
        </w:rPr>
        <w:t>very</w:t>
      </w:r>
      <w:r w:rsidR="00E4657A" w:rsidRPr="00CA791F">
        <w:rPr>
          <w:rFonts w:ascii="Cambria" w:hAnsi="Cambria" w:cs="Garamond-BookCondensed"/>
          <w:sz w:val="22"/>
          <w:szCs w:val="22"/>
        </w:rPr>
        <w:t xml:space="preserve"> serious</w:t>
      </w:r>
      <w:r w:rsidR="00F30B1D" w:rsidRPr="00CA791F">
        <w:rPr>
          <w:rFonts w:ascii="Cambria" w:hAnsi="Cambria" w:cs="Garamond-BookCondensed"/>
          <w:sz w:val="22"/>
          <w:szCs w:val="22"/>
        </w:rPr>
        <w:t>.</w:t>
      </w:r>
      <w:r w:rsidR="00F30B1D" w:rsidRPr="00C4374D">
        <w:rPr>
          <w:rFonts w:ascii="Cambria" w:hAnsi="Cambria" w:cs="Garamond-BookCondensed"/>
          <w:sz w:val="22"/>
          <w:szCs w:val="22"/>
        </w:rPr>
        <w:t xml:space="preserve"> </w:t>
      </w:r>
      <w:r w:rsidRPr="004F2DEA">
        <w:rPr>
          <w:rFonts w:ascii="Cambria" w:hAnsi="Cambria" w:cs="Garamond-BookCondensed"/>
          <w:sz w:val="22"/>
          <w:szCs w:val="22"/>
        </w:rPr>
        <w:t>In institutional settings</w:t>
      </w:r>
      <w:r w:rsidR="00F30B1D" w:rsidRPr="004F2DEA">
        <w:rPr>
          <w:rFonts w:ascii="Cambria" w:hAnsi="Cambria" w:cs="Garamond-BookCondensed"/>
          <w:sz w:val="22"/>
          <w:szCs w:val="22"/>
        </w:rPr>
        <w:t xml:space="preserve"> where chickenpox </w:t>
      </w:r>
      <w:r w:rsidR="005E37DC" w:rsidRPr="004F2DEA">
        <w:rPr>
          <w:rFonts w:ascii="Cambria" w:hAnsi="Cambria" w:cs="Garamond-BookCondensed"/>
          <w:sz w:val="22"/>
          <w:szCs w:val="22"/>
        </w:rPr>
        <w:t xml:space="preserve">cases are </w:t>
      </w:r>
      <w:r w:rsidR="00F30B1D" w:rsidRPr="004F2DEA">
        <w:rPr>
          <w:rFonts w:ascii="Cambria" w:hAnsi="Cambria" w:cs="Garamond-BookCondensed"/>
          <w:sz w:val="22"/>
          <w:szCs w:val="22"/>
        </w:rPr>
        <w:t>accompanied by GAS infection, whether invasive or non-invasive</w:t>
      </w:r>
      <w:r w:rsidRPr="00C4374D">
        <w:rPr>
          <w:rFonts w:ascii="Cambria" w:hAnsi="Cambria" w:cs="Garamond-BookCondensed"/>
          <w:sz w:val="22"/>
          <w:szCs w:val="22"/>
        </w:rPr>
        <w:t>,</w:t>
      </w:r>
      <w:r w:rsidR="00F30B1D" w:rsidRPr="00D61E89">
        <w:rPr>
          <w:rFonts w:ascii="Cambria" w:hAnsi="Cambria" w:cs="Garamond-BookCondensed"/>
          <w:sz w:val="22"/>
          <w:szCs w:val="22"/>
        </w:rPr>
        <w:t xml:space="preserve"> rapid vaccination of exposed susceptibles and antibiotic treatment </w:t>
      </w:r>
      <w:r w:rsidRPr="004F2DEA">
        <w:rPr>
          <w:rFonts w:ascii="Cambria" w:hAnsi="Cambria" w:cs="Garamond-BookCondensed"/>
          <w:sz w:val="22"/>
          <w:szCs w:val="22"/>
        </w:rPr>
        <w:t>or prophylaxis</w:t>
      </w:r>
      <w:r>
        <w:rPr>
          <w:rFonts w:ascii="Cambria" w:hAnsi="Cambria" w:cs="Garamond-BookCondensed"/>
          <w:sz w:val="22"/>
          <w:szCs w:val="22"/>
        </w:rPr>
        <w:t xml:space="preserve"> </w:t>
      </w:r>
      <w:r w:rsidR="00CB3147">
        <w:rPr>
          <w:rFonts w:ascii="Cambria" w:hAnsi="Cambria" w:cs="Garamond-BookCondensed"/>
          <w:sz w:val="22"/>
          <w:szCs w:val="22"/>
        </w:rPr>
        <w:t xml:space="preserve">with regard to GAS infection </w:t>
      </w:r>
      <w:r>
        <w:rPr>
          <w:rFonts w:ascii="Cambria" w:hAnsi="Cambria" w:cs="Garamond-BookCondensed"/>
          <w:sz w:val="22"/>
          <w:szCs w:val="22"/>
        </w:rPr>
        <w:t>may be indicated</w:t>
      </w:r>
      <w:r w:rsidR="00F30B1D" w:rsidRPr="00D61E89">
        <w:rPr>
          <w:rFonts w:ascii="Cambria" w:hAnsi="Cambria" w:cs="Garamond-BookCondensed"/>
          <w:sz w:val="22"/>
          <w:szCs w:val="22"/>
        </w:rPr>
        <w:t xml:space="preserve">. Contact the MDPH Division of Epidemiology immediately for assistance </w:t>
      </w:r>
      <w:r w:rsidR="00CA791F">
        <w:rPr>
          <w:rFonts w:ascii="Cambria" w:hAnsi="Cambria" w:cs="Garamond-BookCondensed"/>
          <w:sz w:val="22"/>
          <w:szCs w:val="22"/>
        </w:rPr>
        <w:t>with GAS cases a</w:t>
      </w:r>
      <w:r w:rsidR="00F30B1D" w:rsidRPr="00D61E89">
        <w:rPr>
          <w:rFonts w:ascii="Cambria" w:hAnsi="Cambria" w:cs="Garamond-BookCondensed"/>
          <w:sz w:val="22"/>
          <w:szCs w:val="22"/>
        </w:rPr>
        <w:t xml:space="preserve">t (617) 983-6800. Also refer to the </w:t>
      </w:r>
      <w:r w:rsidR="00F30B1D" w:rsidRPr="00D61E89">
        <w:rPr>
          <w:rFonts w:ascii="Cambria" w:hAnsi="Cambria" w:cs="Garamond-BookCondensed"/>
          <w:i/>
          <w:sz w:val="22"/>
          <w:szCs w:val="22"/>
        </w:rPr>
        <w:t>Group A Streptococcus (Invasive)</w:t>
      </w:r>
      <w:r w:rsidR="00F30B1D" w:rsidRPr="00D61E89">
        <w:rPr>
          <w:rFonts w:ascii="Cambria" w:hAnsi="Cambria" w:cs="Garamond-BookCondensedItalic"/>
          <w:i/>
          <w:iCs/>
          <w:sz w:val="22"/>
          <w:szCs w:val="22"/>
        </w:rPr>
        <w:t xml:space="preserve"> </w:t>
      </w:r>
      <w:r w:rsidR="00F30B1D" w:rsidRPr="00D61E89">
        <w:rPr>
          <w:rFonts w:ascii="Cambria" w:hAnsi="Cambria" w:cs="Garamond-BookCondensed"/>
          <w:sz w:val="22"/>
          <w:szCs w:val="22"/>
        </w:rPr>
        <w:t>chapter for more information about this infection</w:t>
      </w:r>
      <w:r w:rsidR="00F30B1D" w:rsidRPr="00CA791F">
        <w:rPr>
          <w:rFonts w:ascii="Cambria" w:hAnsi="Cambria" w:cs="Garamond-BookCondensed"/>
          <w:sz w:val="22"/>
          <w:szCs w:val="22"/>
        </w:rPr>
        <w:t>.</w:t>
      </w:r>
    </w:p>
    <w:p w14:paraId="32FF0753" w14:textId="77777777" w:rsidR="00B31856" w:rsidRDefault="00B31856" w:rsidP="00F30B1D">
      <w:pPr>
        <w:autoSpaceDE w:val="0"/>
        <w:autoSpaceDN w:val="0"/>
        <w:adjustRightInd w:val="0"/>
        <w:rPr>
          <w:rFonts w:ascii="Cambria" w:hAnsi="Cambria" w:cs="Garamond-BookCondensed"/>
          <w:sz w:val="22"/>
          <w:szCs w:val="22"/>
        </w:rPr>
      </w:pPr>
    </w:p>
    <w:p w14:paraId="7CC8C7A7" w14:textId="77777777" w:rsidR="00B31856" w:rsidRPr="004F2DEA" w:rsidRDefault="00B31856" w:rsidP="00B31856">
      <w:pPr>
        <w:autoSpaceDE w:val="0"/>
        <w:autoSpaceDN w:val="0"/>
        <w:adjustRightInd w:val="0"/>
        <w:rPr>
          <w:rFonts w:ascii="Cambria" w:hAnsi="Cambria" w:cs="Garamond-BookCondensed"/>
          <w:i/>
          <w:iCs/>
          <w:sz w:val="22"/>
          <w:szCs w:val="22"/>
        </w:rPr>
      </w:pPr>
      <w:r w:rsidRPr="004F2DEA">
        <w:rPr>
          <w:rFonts w:ascii="Cambria" w:hAnsi="Cambria" w:cs="Garamond-BookCondensed"/>
          <w:i/>
          <w:iCs/>
          <w:sz w:val="22"/>
          <w:szCs w:val="22"/>
        </w:rPr>
        <w:t>Shingles</w:t>
      </w:r>
    </w:p>
    <w:p w14:paraId="3DA03CF7" w14:textId="77777777" w:rsidR="00B31856" w:rsidRPr="00D61E89" w:rsidRDefault="00B31856" w:rsidP="00B31856">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Exposure to uncomplicated shingles is defined as </w:t>
      </w:r>
      <w:r w:rsidRPr="00D61E89">
        <w:rPr>
          <w:rFonts w:ascii="Cambria" w:hAnsi="Cambria" w:cs="Garamond-BookCondensed"/>
          <w:b/>
          <w:sz w:val="22"/>
          <w:szCs w:val="22"/>
        </w:rPr>
        <w:t>contact with lesions</w:t>
      </w:r>
      <w:r w:rsidRPr="00D61E89">
        <w:rPr>
          <w:rFonts w:ascii="Cambria" w:hAnsi="Cambria" w:cs="Garamond-BookCondensed"/>
          <w:sz w:val="22"/>
          <w:szCs w:val="22"/>
        </w:rPr>
        <w:t>, (e.g., through close patient care, touching, or hugging). Susceptible individuals who are exposed to shingles lesions should be treated the same as susceptible chickenpox contacts.</w:t>
      </w:r>
      <w:r>
        <w:rPr>
          <w:rFonts w:ascii="Cambria" w:hAnsi="Cambria" w:cs="Garamond-BookCondensed"/>
          <w:sz w:val="22"/>
          <w:szCs w:val="22"/>
        </w:rPr>
        <w:t xml:space="preserve"> </w:t>
      </w:r>
    </w:p>
    <w:p w14:paraId="474FADC4" w14:textId="77777777" w:rsidR="00B31856" w:rsidRPr="00D61E89" w:rsidRDefault="00B31856" w:rsidP="00B31856">
      <w:pPr>
        <w:autoSpaceDE w:val="0"/>
        <w:autoSpaceDN w:val="0"/>
        <w:adjustRightInd w:val="0"/>
        <w:rPr>
          <w:rFonts w:ascii="Cambria" w:hAnsi="Cambria" w:cs="Garamond-BookCondensed"/>
          <w:i/>
          <w:sz w:val="22"/>
          <w:szCs w:val="22"/>
        </w:rPr>
      </w:pPr>
    </w:p>
    <w:p w14:paraId="56CA1078" w14:textId="77777777" w:rsidR="00B31856" w:rsidRPr="00D61E89" w:rsidRDefault="00B31856" w:rsidP="00B31856">
      <w:pPr>
        <w:autoSpaceDE w:val="0"/>
        <w:autoSpaceDN w:val="0"/>
        <w:adjustRightInd w:val="0"/>
        <w:rPr>
          <w:rFonts w:ascii="Cambria" w:hAnsi="Cambria" w:cs="Garamond-BookCondensed"/>
          <w:sz w:val="22"/>
          <w:szCs w:val="22"/>
        </w:rPr>
      </w:pPr>
      <w:r>
        <w:rPr>
          <w:rFonts w:ascii="Cambria" w:hAnsi="Cambria" w:cs="Garamond-BookCondensed"/>
          <w:sz w:val="22"/>
          <w:szCs w:val="22"/>
        </w:rPr>
        <w:t>Persons</w:t>
      </w:r>
      <w:r w:rsidRPr="00D61E89">
        <w:rPr>
          <w:rFonts w:ascii="Cambria" w:hAnsi="Cambria" w:cs="Garamond-BookCondensed"/>
          <w:sz w:val="22"/>
          <w:szCs w:val="22"/>
        </w:rPr>
        <w:t xml:space="preserve"> with shingles must be very careful about personal hygiene and must wash their hands if they touch their lesions. In otherwise healthy individuals, lesions that are covered appear to pose little risk to susceptible individuals. </w:t>
      </w:r>
      <w:r w:rsidRPr="00D61E89">
        <w:rPr>
          <w:rFonts w:ascii="Cambria" w:hAnsi="Cambria" w:cs="Garamond-BookCondensed"/>
          <w:b/>
          <w:sz w:val="22"/>
          <w:szCs w:val="22"/>
        </w:rPr>
        <w:t>Unless the shingles rash can be completely covered, it is advisable that individuals with shingles stay at home until the rash is crusted over and dry. Children with shingles whose lesions cannot be covered should be excluded from childcare/school until their lesions have crusted.</w:t>
      </w:r>
    </w:p>
    <w:p w14:paraId="20E6A463" w14:textId="77777777" w:rsidR="00B31856" w:rsidRPr="00D61E89" w:rsidRDefault="00B31856" w:rsidP="00B31856">
      <w:pPr>
        <w:autoSpaceDE w:val="0"/>
        <w:autoSpaceDN w:val="0"/>
        <w:adjustRightInd w:val="0"/>
        <w:rPr>
          <w:rFonts w:ascii="Cambria" w:hAnsi="Cambria" w:cs="Garamond-BookCondensed"/>
          <w:sz w:val="22"/>
          <w:szCs w:val="22"/>
        </w:rPr>
      </w:pPr>
    </w:p>
    <w:p w14:paraId="4B3D26CE" w14:textId="77777777" w:rsidR="00B31856" w:rsidRPr="00D61E89" w:rsidRDefault="00B31856" w:rsidP="00B31856">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In a high</w:t>
      </w:r>
      <w:r>
        <w:rPr>
          <w:rFonts w:ascii="Cambria" w:hAnsi="Cambria" w:cs="Garamond-BookCondensed"/>
          <w:sz w:val="22"/>
          <w:szCs w:val="22"/>
        </w:rPr>
        <w:t xml:space="preserve"> </w:t>
      </w:r>
      <w:r w:rsidRPr="00D61E89">
        <w:rPr>
          <w:rFonts w:ascii="Cambria" w:hAnsi="Cambria" w:cs="Garamond-BookCondensed"/>
          <w:sz w:val="22"/>
          <w:szCs w:val="22"/>
        </w:rPr>
        <w:t>risk setting with patients at high risk of complications from varicella, if there is doubt about a case’s ability to comply with keeping lesions covered (e.g., young children, individuals with developmental delay), the case may be asked to stay home until he/she is no longer infectious. Additionally, those with shingles should avoid contact with those at higher risk for infection with VZV or complications from VZV infection (e.g., unvaccinated infants, immunocompromised people). This is not possible in some settings, and in these situations, exclusion of the case (or the high-risk individual[s]) may be considered.</w:t>
      </w:r>
    </w:p>
    <w:p w14:paraId="04069990" w14:textId="77777777" w:rsidR="00B31856" w:rsidRPr="00D61E89" w:rsidRDefault="00B31856" w:rsidP="00B31856">
      <w:pPr>
        <w:autoSpaceDE w:val="0"/>
        <w:autoSpaceDN w:val="0"/>
        <w:adjustRightInd w:val="0"/>
        <w:ind w:left="180"/>
        <w:rPr>
          <w:rFonts w:ascii="Cambria" w:hAnsi="Cambria" w:cs="Garamond-BookCondensed"/>
          <w:sz w:val="22"/>
          <w:szCs w:val="22"/>
        </w:rPr>
      </w:pPr>
    </w:p>
    <w:p w14:paraId="0C3DCBEF" w14:textId="77777777" w:rsidR="006D78F0" w:rsidRPr="00D61E89" w:rsidRDefault="006D78F0" w:rsidP="004F2DEA">
      <w:pPr>
        <w:autoSpaceDE w:val="0"/>
        <w:autoSpaceDN w:val="0"/>
        <w:adjustRightInd w:val="0"/>
        <w:rPr>
          <w:rFonts w:ascii="Arial" w:hAnsi="Arial" w:cs="Arial"/>
          <w:b/>
          <w:bCs/>
          <w:sz w:val="22"/>
          <w:szCs w:val="22"/>
        </w:rPr>
      </w:pPr>
      <w:r w:rsidRPr="00D61E89">
        <w:rPr>
          <w:rFonts w:ascii="Arial" w:hAnsi="Arial" w:cs="Arial"/>
          <w:b/>
          <w:bCs/>
          <w:sz w:val="22"/>
          <w:szCs w:val="22"/>
        </w:rPr>
        <w:t>D. Preventive Measures</w:t>
      </w:r>
    </w:p>
    <w:p w14:paraId="39C54027" w14:textId="77777777" w:rsidR="00197088" w:rsidRPr="00D61E89" w:rsidRDefault="00197088" w:rsidP="00197088">
      <w:pPr>
        <w:autoSpaceDE w:val="0"/>
        <w:autoSpaceDN w:val="0"/>
        <w:adjustRightInd w:val="0"/>
        <w:rPr>
          <w:rFonts w:ascii="Cambria" w:hAnsi="Cambria" w:cs="Garamond-BookCondensed"/>
          <w:sz w:val="22"/>
          <w:szCs w:val="22"/>
        </w:rPr>
      </w:pPr>
      <w:bookmarkStart w:id="9" w:name="_Hlk113524030"/>
      <w:r w:rsidRPr="00D61E89">
        <w:rPr>
          <w:rFonts w:ascii="Cambria" w:hAnsi="Cambria" w:cs="Garamond-BookCondensed"/>
          <w:sz w:val="22"/>
          <w:szCs w:val="22"/>
        </w:rPr>
        <w:t>Vaccination, including routine childhood vaccination, catch-up vaccination of adolescents, and targeted vaccination of high-risk adult</w:t>
      </w:r>
      <w:r w:rsidR="005E37DC">
        <w:rPr>
          <w:rFonts w:ascii="Cambria" w:hAnsi="Cambria" w:cs="Garamond-BookCondensed"/>
          <w:sz w:val="22"/>
          <w:szCs w:val="22"/>
        </w:rPr>
        <w:t>s</w:t>
      </w:r>
      <w:r w:rsidRPr="00D61E89">
        <w:rPr>
          <w:rFonts w:ascii="Cambria" w:hAnsi="Cambria" w:cs="Garamond-BookCondensed"/>
          <w:sz w:val="22"/>
          <w:szCs w:val="22"/>
        </w:rPr>
        <w:t>, is the best preventive measure against chickenpox and subsequent shingles</w:t>
      </w:r>
      <w:bookmarkEnd w:id="9"/>
      <w:r w:rsidRPr="00D61E89">
        <w:rPr>
          <w:rFonts w:ascii="Cambria" w:hAnsi="Cambria" w:cs="Garamond-BookCondensed"/>
          <w:sz w:val="22"/>
          <w:szCs w:val="22"/>
        </w:rPr>
        <w:t>. To decrease the occurrence of breakthrough disease, CDC recommends:</w:t>
      </w:r>
      <w:r w:rsidR="00F70CEE" w:rsidRPr="00D61E89">
        <w:rPr>
          <w:rFonts w:ascii="Cambria" w:hAnsi="Cambria" w:cs="Garamond-BookCondensed"/>
          <w:sz w:val="22"/>
          <w:szCs w:val="22"/>
        </w:rPr>
        <w:t xml:space="preserve"> </w:t>
      </w:r>
    </w:p>
    <w:p w14:paraId="5F3AF813" w14:textId="77777777" w:rsidR="00197088" w:rsidRPr="00D61E89" w:rsidRDefault="00197088" w:rsidP="00197088">
      <w:pPr>
        <w:autoSpaceDE w:val="0"/>
        <w:autoSpaceDN w:val="0"/>
        <w:adjustRightInd w:val="0"/>
        <w:rPr>
          <w:rFonts w:ascii="Cambria" w:hAnsi="Cambria" w:cs="Garamond-BookCondensed"/>
          <w:sz w:val="22"/>
          <w:szCs w:val="22"/>
        </w:rPr>
      </w:pPr>
    </w:p>
    <w:p w14:paraId="744BDDEC" w14:textId="77777777" w:rsidR="00197088" w:rsidRPr="00D61E89" w:rsidRDefault="004A06AC" w:rsidP="00197088">
      <w:pPr>
        <w:numPr>
          <w:ilvl w:val="0"/>
          <w:numId w:val="25"/>
        </w:numPr>
        <w:autoSpaceDE w:val="0"/>
        <w:autoSpaceDN w:val="0"/>
        <w:adjustRightInd w:val="0"/>
        <w:rPr>
          <w:rFonts w:ascii="Cambria" w:hAnsi="Cambria" w:cs="AGaramond-Italic"/>
          <w:sz w:val="22"/>
          <w:szCs w:val="22"/>
        </w:rPr>
      </w:pPr>
      <w:r w:rsidRPr="00D61E89">
        <w:rPr>
          <w:rFonts w:ascii="Cambria" w:hAnsi="Cambria" w:cs="AGaramond-Italic"/>
          <w:sz w:val="22"/>
          <w:szCs w:val="22"/>
        </w:rPr>
        <w:t>I</w:t>
      </w:r>
      <w:r w:rsidR="00197088" w:rsidRPr="00D61E89">
        <w:rPr>
          <w:rFonts w:ascii="Cambria" w:hAnsi="Cambria" w:cs="AGaramond-Italic"/>
          <w:sz w:val="22"/>
          <w:szCs w:val="22"/>
        </w:rPr>
        <w:t xml:space="preserve">mplementation of a routine 2-dose varicella vaccination program for children, with the first dose administered at age 12–15 months and the second dose at age 4–6 years; </w:t>
      </w:r>
    </w:p>
    <w:p w14:paraId="1D8D8B97" w14:textId="77777777" w:rsidR="00197088" w:rsidRPr="00D61E89" w:rsidRDefault="004A06AC" w:rsidP="00197088">
      <w:pPr>
        <w:numPr>
          <w:ilvl w:val="0"/>
          <w:numId w:val="25"/>
        </w:numPr>
        <w:autoSpaceDE w:val="0"/>
        <w:autoSpaceDN w:val="0"/>
        <w:adjustRightInd w:val="0"/>
        <w:rPr>
          <w:rFonts w:ascii="Cambria" w:hAnsi="Cambria" w:cs="AGaramond-Italic"/>
          <w:sz w:val="22"/>
          <w:szCs w:val="22"/>
        </w:rPr>
      </w:pPr>
      <w:r w:rsidRPr="00D61E89">
        <w:rPr>
          <w:rFonts w:ascii="Cambria" w:hAnsi="Cambria" w:cs="AGaramond-Italic"/>
          <w:sz w:val="22"/>
          <w:szCs w:val="22"/>
        </w:rPr>
        <w:t>A</w:t>
      </w:r>
      <w:r w:rsidR="00197088" w:rsidRPr="00D61E89">
        <w:rPr>
          <w:rFonts w:ascii="Cambria" w:hAnsi="Cambria" w:cs="AGaramond-Italic"/>
          <w:sz w:val="22"/>
          <w:szCs w:val="22"/>
        </w:rPr>
        <w:t xml:space="preserve"> second dose catch-up varicella vaccination for children, adolescents, and adults who previously had received 1 dose; </w:t>
      </w:r>
    </w:p>
    <w:p w14:paraId="5A30E636" w14:textId="77777777" w:rsidR="00197088" w:rsidRPr="00D61E89" w:rsidRDefault="004A06AC" w:rsidP="00197088">
      <w:pPr>
        <w:numPr>
          <w:ilvl w:val="0"/>
          <w:numId w:val="25"/>
        </w:numPr>
        <w:autoSpaceDE w:val="0"/>
        <w:autoSpaceDN w:val="0"/>
        <w:adjustRightInd w:val="0"/>
        <w:rPr>
          <w:rFonts w:ascii="Cambria" w:hAnsi="Cambria" w:cs="Garamond-BookCondensed"/>
          <w:sz w:val="22"/>
          <w:szCs w:val="22"/>
        </w:rPr>
      </w:pPr>
      <w:r w:rsidRPr="00D61E89">
        <w:rPr>
          <w:rFonts w:ascii="Cambria" w:hAnsi="Cambria" w:cs="AGaramond-Italic"/>
          <w:sz w:val="22"/>
          <w:szCs w:val="22"/>
        </w:rPr>
        <w:t>R</w:t>
      </w:r>
      <w:r w:rsidR="00197088" w:rsidRPr="00D61E89">
        <w:rPr>
          <w:rFonts w:ascii="Cambria" w:hAnsi="Cambria" w:cs="AGaramond-Italic"/>
          <w:sz w:val="22"/>
          <w:szCs w:val="22"/>
        </w:rPr>
        <w:t xml:space="preserve">outine vaccination of all healthy persons </w:t>
      </w:r>
      <w:r w:rsidR="00197088" w:rsidRPr="00CA791F">
        <w:rPr>
          <w:rFonts w:ascii="Cambria" w:hAnsi="Cambria" w:cs="AGaramond-Italic"/>
          <w:sz w:val="22"/>
          <w:szCs w:val="22"/>
        </w:rPr>
        <w:t xml:space="preserve">aged </w:t>
      </w:r>
      <w:r w:rsidR="00197088" w:rsidRPr="004F2DEA">
        <w:rPr>
          <w:rFonts w:ascii="Cambria" w:hAnsi="Cambria" w:cs="AGaramond-Italic"/>
          <w:sz w:val="22"/>
          <w:szCs w:val="22"/>
          <w:u w:val="single"/>
        </w:rPr>
        <w:t>&gt;</w:t>
      </w:r>
      <w:r w:rsidR="00197088" w:rsidRPr="00CA791F">
        <w:rPr>
          <w:rFonts w:ascii="Cambria" w:hAnsi="Cambria" w:cs="AGaramond-Italic"/>
          <w:sz w:val="22"/>
          <w:szCs w:val="22"/>
        </w:rPr>
        <w:t>13</w:t>
      </w:r>
      <w:r w:rsidR="00197088" w:rsidRPr="00D61E89">
        <w:rPr>
          <w:rFonts w:ascii="Cambria" w:hAnsi="Cambria" w:cs="AGaramond-Italic"/>
          <w:sz w:val="22"/>
          <w:szCs w:val="22"/>
        </w:rPr>
        <w:t xml:space="preserve"> years without evidence of immunity.</w:t>
      </w:r>
    </w:p>
    <w:p w14:paraId="20FC94F6" w14:textId="77777777" w:rsidR="00197088" w:rsidRPr="00D61E89" w:rsidRDefault="00197088" w:rsidP="00197088">
      <w:pPr>
        <w:shd w:val="clear" w:color="auto" w:fill="FFFFFF"/>
        <w:spacing w:before="45" w:after="150"/>
        <w:rPr>
          <w:rFonts w:ascii="Cambria" w:hAnsi="Cambria" w:cs="Arial"/>
          <w:sz w:val="22"/>
          <w:szCs w:val="22"/>
          <w:lang w:val="en"/>
        </w:rPr>
      </w:pPr>
      <w:r w:rsidRPr="00D61E89">
        <w:rPr>
          <w:rFonts w:ascii="Cambria" w:hAnsi="Cambria"/>
          <w:sz w:val="22"/>
          <w:szCs w:val="22"/>
        </w:rPr>
        <w:t xml:space="preserve">Prenatal assessment of women for evidence of varicella immunity is recommended. Birth before 1980 is not considered evidence of immunity for pregnant women. Women who do not have evidence of varicella immunity should receive the first dose of vaccine before discharge from the health-care facility after delivery. The second dose should be administered </w:t>
      </w:r>
      <w:r w:rsidR="00C62C7B" w:rsidRPr="00D61E89">
        <w:rPr>
          <w:rFonts w:ascii="Cambria" w:hAnsi="Cambria"/>
          <w:sz w:val="22"/>
          <w:szCs w:val="22"/>
        </w:rPr>
        <w:t>4-8</w:t>
      </w:r>
      <w:r w:rsidRPr="00D61E89">
        <w:rPr>
          <w:rFonts w:ascii="Cambria" w:hAnsi="Cambria"/>
          <w:sz w:val="22"/>
          <w:szCs w:val="22"/>
        </w:rPr>
        <w:t xml:space="preserve"> weeks later</w:t>
      </w:r>
      <w:r w:rsidR="005E37DC">
        <w:rPr>
          <w:rFonts w:ascii="Cambria" w:hAnsi="Cambria"/>
          <w:sz w:val="22"/>
          <w:szCs w:val="22"/>
        </w:rPr>
        <w:t>,</w:t>
      </w:r>
      <w:r w:rsidRPr="00D61E89">
        <w:rPr>
          <w:rFonts w:ascii="Cambria" w:hAnsi="Cambria"/>
          <w:sz w:val="22"/>
          <w:szCs w:val="22"/>
        </w:rPr>
        <w:t xml:space="preserve"> which may coincide with </w:t>
      </w:r>
      <w:r w:rsidR="005E37DC">
        <w:rPr>
          <w:rFonts w:ascii="Cambria" w:hAnsi="Cambria"/>
          <w:sz w:val="22"/>
          <w:szCs w:val="22"/>
        </w:rPr>
        <w:t>a</w:t>
      </w:r>
      <w:r w:rsidR="005E37DC" w:rsidRPr="00D61E89">
        <w:rPr>
          <w:rFonts w:ascii="Cambria" w:hAnsi="Cambria"/>
          <w:sz w:val="22"/>
          <w:szCs w:val="22"/>
        </w:rPr>
        <w:t xml:space="preserve"> </w:t>
      </w:r>
      <w:r w:rsidRPr="00D61E89">
        <w:rPr>
          <w:rFonts w:ascii="Cambria" w:hAnsi="Cambria"/>
          <w:sz w:val="22"/>
          <w:szCs w:val="22"/>
        </w:rPr>
        <w:t>postpartum visit. Women should be counseled to avoid conception for 1 month after each dose of varicella vaccine.</w:t>
      </w:r>
      <w:r w:rsidRPr="00D61E89">
        <w:rPr>
          <w:rFonts w:ascii="Cambria" w:hAnsi="Cambria" w:cs="Garamond-BookCondensed"/>
          <w:sz w:val="22"/>
          <w:szCs w:val="22"/>
        </w:rPr>
        <w:t xml:space="preserve"> </w:t>
      </w:r>
    </w:p>
    <w:p w14:paraId="14EB7810" w14:textId="77777777" w:rsidR="00B31856" w:rsidRDefault="00B31856" w:rsidP="00B31856">
      <w:pPr>
        <w:rPr>
          <w:rFonts w:ascii="Cambria" w:hAnsi="Cambria" w:cs="Arial"/>
          <w:color w:val="000000"/>
          <w:sz w:val="22"/>
          <w:szCs w:val="22"/>
        </w:rPr>
      </w:pPr>
      <w:r w:rsidRPr="00D61E89">
        <w:rPr>
          <w:rFonts w:ascii="Cambria" w:hAnsi="Cambria" w:cs="Arial"/>
          <w:color w:val="000000"/>
          <w:sz w:val="22"/>
          <w:szCs w:val="22"/>
        </w:rPr>
        <w:t>The vaccine for shingles (</w:t>
      </w:r>
      <w:r>
        <w:rPr>
          <w:rFonts w:ascii="Cambria" w:hAnsi="Cambria" w:cs="Arial"/>
          <w:color w:val="000000"/>
          <w:sz w:val="22"/>
          <w:szCs w:val="22"/>
        </w:rPr>
        <w:t>Shingrix</w:t>
      </w:r>
      <w:r w:rsidRPr="00D61E89">
        <w:rPr>
          <w:rFonts w:ascii="Cambria" w:hAnsi="Cambria" w:cs="Arial"/>
          <w:color w:val="000000"/>
          <w:sz w:val="22"/>
          <w:szCs w:val="22"/>
          <w:vertAlign w:val="superscript"/>
        </w:rPr>
        <w:t>®</w:t>
      </w:r>
      <w:r w:rsidRPr="00D61E89">
        <w:rPr>
          <w:rFonts w:ascii="Cambria" w:hAnsi="Cambria" w:cs="Arial"/>
          <w:color w:val="000000"/>
          <w:sz w:val="22"/>
          <w:szCs w:val="22"/>
        </w:rPr>
        <w:t xml:space="preserve">) is recommended for use in people </w:t>
      </w:r>
      <w:r>
        <w:rPr>
          <w:rFonts w:ascii="Cambria" w:hAnsi="Cambria" w:cs="Arial"/>
          <w:color w:val="000000"/>
          <w:sz w:val="22"/>
          <w:szCs w:val="22"/>
        </w:rPr>
        <w:t>5</w:t>
      </w:r>
      <w:r w:rsidRPr="00D61E89">
        <w:rPr>
          <w:rFonts w:ascii="Cambria" w:hAnsi="Cambria" w:cs="Arial"/>
          <w:color w:val="000000"/>
          <w:sz w:val="22"/>
          <w:szCs w:val="22"/>
        </w:rPr>
        <w:t>0 years old and older to prevent shingles</w:t>
      </w:r>
      <w:r>
        <w:rPr>
          <w:rFonts w:ascii="Cambria" w:hAnsi="Cambria" w:cs="Arial"/>
          <w:color w:val="000000"/>
          <w:sz w:val="22"/>
          <w:szCs w:val="22"/>
        </w:rPr>
        <w:t xml:space="preserve"> and for adults ages 19 years or older who are or will be immunodeficient or immunosuppressed because of disease or therapy. </w:t>
      </w:r>
      <w:r w:rsidRPr="00575625">
        <w:rPr>
          <w:rFonts w:ascii="Cambria" w:hAnsi="Cambria"/>
          <w:sz w:val="22"/>
          <w:szCs w:val="22"/>
        </w:rPr>
        <w:t>Shingrix is administered as a 2-dose series by the intramuscular route. The second dose should be given 2 to 6 months after the first dose, with a minimum interval of 1 month (4 weeks) between doses.</w:t>
      </w:r>
      <w:r w:rsidRPr="009B1B95">
        <w:rPr>
          <w:rFonts w:ascii="Cambria" w:hAnsi="Cambria" w:cs="Arial"/>
          <w:color w:val="000000"/>
          <w:sz w:val="22"/>
          <w:szCs w:val="22"/>
        </w:rPr>
        <w:t xml:space="preserve"> </w:t>
      </w:r>
    </w:p>
    <w:p w14:paraId="2869B75C" w14:textId="77777777" w:rsidR="00B31856" w:rsidRDefault="00B31856" w:rsidP="00197088">
      <w:pPr>
        <w:autoSpaceDE w:val="0"/>
        <w:autoSpaceDN w:val="0"/>
        <w:adjustRightInd w:val="0"/>
        <w:rPr>
          <w:rFonts w:ascii="Cambria" w:hAnsi="Cambria" w:cs="Garamond-BookCondensed"/>
          <w:sz w:val="22"/>
          <w:szCs w:val="22"/>
        </w:rPr>
      </w:pPr>
    </w:p>
    <w:p w14:paraId="7AAC0B13" w14:textId="77777777" w:rsidR="00197088" w:rsidRPr="00D61E89" w:rsidRDefault="00197088" w:rsidP="00197088">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Good personal hygiene (which consists of proper hand washing, disposal of used tissues, not sharing eating utensils, etc.) is also important. Please refer to the most current versions of the ACIP statements on varicella (listed under </w:t>
      </w:r>
      <w:r w:rsidR="005E37DC">
        <w:rPr>
          <w:rFonts w:ascii="Cambria" w:hAnsi="Cambria" w:cs="Garamond-BookCondensed"/>
          <w:sz w:val="22"/>
          <w:szCs w:val="22"/>
        </w:rPr>
        <w:t xml:space="preserve">the </w:t>
      </w:r>
      <w:r w:rsidRPr="00D61E89">
        <w:rPr>
          <w:rFonts w:ascii="Cambria" w:hAnsi="Cambria" w:cs="Garamond-BookCondensed"/>
          <w:sz w:val="22"/>
          <w:szCs w:val="22"/>
        </w:rPr>
        <w:t xml:space="preserve">References section), MDPH’s Immunization Guidelines, and MDPH’s Massachusetts Immunization </w:t>
      </w:r>
      <w:r w:rsidR="006A72E6">
        <w:rPr>
          <w:rFonts w:ascii="Cambria" w:hAnsi="Cambria" w:cs="Garamond-BookCondensed"/>
          <w:sz w:val="22"/>
          <w:szCs w:val="22"/>
        </w:rPr>
        <w:t>Division</w:t>
      </w:r>
      <w:r w:rsidRPr="00D61E89">
        <w:rPr>
          <w:rFonts w:ascii="Cambria" w:hAnsi="Cambria" w:cs="Garamond-BookCondensed"/>
          <w:sz w:val="22"/>
          <w:szCs w:val="22"/>
        </w:rPr>
        <w:t xml:space="preserve">-State Supplied Vaccines and Patient Eligibility Criteria for details about varicella vaccine, the recommended schedule, who should and shouldn’t get the vaccine, and who is eligible to receive state-supplied vaccine. These, as well as other relevant resources, are available through the </w:t>
      </w:r>
      <w:r w:rsidRPr="00C4374D">
        <w:rPr>
          <w:rFonts w:ascii="Cambria" w:hAnsi="Cambria" w:cs="Garamond-BookCondensed"/>
          <w:sz w:val="22"/>
          <w:szCs w:val="22"/>
        </w:rPr>
        <w:t xml:space="preserve">MDPH </w:t>
      </w:r>
      <w:r w:rsidRPr="004F2DEA">
        <w:rPr>
          <w:rFonts w:ascii="Cambria" w:hAnsi="Cambria" w:cs="Garamond-BookCondensed"/>
          <w:sz w:val="22"/>
          <w:szCs w:val="22"/>
        </w:rPr>
        <w:t xml:space="preserve">Division of Epidemiology </w:t>
      </w:r>
      <w:r w:rsidRPr="00C4374D">
        <w:rPr>
          <w:rFonts w:ascii="Cambria" w:hAnsi="Cambria" w:cs="Garamond-BookCondensed"/>
          <w:sz w:val="22"/>
          <w:szCs w:val="22"/>
        </w:rPr>
        <w:t>at (</w:t>
      </w:r>
      <w:r w:rsidRPr="00D61E89">
        <w:rPr>
          <w:rFonts w:ascii="Cambria" w:hAnsi="Cambria" w:cs="Garamond-BookCondensed"/>
          <w:sz w:val="22"/>
          <w:szCs w:val="22"/>
        </w:rPr>
        <w:t>617) 983-6800.</w:t>
      </w:r>
      <w:r w:rsidR="00CA218B" w:rsidRPr="00D61E89">
        <w:rPr>
          <w:rFonts w:ascii="Cambria" w:hAnsi="Cambria" w:cs="Garamond-BookCondensed"/>
          <w:sz w:val="22"/>
          <w:szCs w:val="22"/>
        </w:rPr>
        <w:t xml:space="preserve"> </w:t>
      </w:r>
      <w:r w:rsidRPr="00D61E89">
        <w:rPr>
          <w:rFonts w:ascii="Cambria" w:hAnsi="Cambria" w:cs="Garamond-BookCondensed"/>
          <w:sz w:val="22"/>
          <w:szCs w:val="22"/>
        </w:rPr>
        <w:t xml:space="preserve">A Chickenpox (Varicella) Public Health Fact Sheet for the general public is available from the MDPH </w:t>
      </w:r>
      <w:r w:rsidRPr="004F2DEA">
        <w:rPr>
          <w:rFonts w:ascii="Cambria" w:hAnsi="Cambria" w:cs="Garamond-BookCondensed"/>
          <w:sz w:val="22"/>
          <w:szCs w:val="22"/>
        </w:rPr>
        <w:t xml:space="preserve">Division of Epidemiology </w:t>
      </w:r>
      <w:r w:rsidRPr="00C4374D">
        <w:rPr>
          <w:rFonts w:ascii="Cambria" w:hAnsi="Cambria" w:cs="Garamond-BookCondensed"/>
          <w:sz w:val="22"/>
          <w:szCs w:val="22"/>
        </w:rPr>
        <w:t>or</w:t>
      </w:r>
      <w:r w:rsidRPr="00D61E89">
        <w:rPr>
          <w:rFonts w:ascii="Cambria" w:hAnsi="Cambria" w:cs="Garamond-BookCondensed"/>
          <w:sz w:val="22"/>
          <w:szCs w:val="22"/>
        </w:rPr>
        <w:t xml:space="preserve"> on the MDPH website at: </w:t>
      </w:r>
      <w:hyperlink r:id="rId24" w:history="1">
        <w:r w:rsidRPr="00D61E89">
          <w:rPr>
            <w:rStyle w:val="Hyperlink"/>
            <w:rFonts w:ascii="Cambria" w:eastAsia="MS Mincho" w:hAnsi="Cambria" w:cs="Garamond-BookCondensed"/>
            <w:sz w:val="22"/>
            <w:szCs w:val="22"/>
          </w:rPr>
          <w:t>http://www.mass.gov/eohhs/gov/departments/dph/programs/id/epidemiology/factsheets.html</w:t>
        </w:r>
      </w:hyperlink>
    </w:p>
    <w:p w14:paraId="3531E31F" w14:textId="77777777" w:rsidR="00B41185" w:rsidRPr="00D61E89" w:rsidRDefault="00B41185" w:rsidP="006D78F0"/>
    <w:p w14:paraId="55E2E29E" w14:textId="77777777" w:rsidR="006155B5" w:rsidRPr="00D61E89" w:rsidRDefault="006155B5" w:rsidP="006D78F0">
      <w:pPr>
        <w:rPr>
          <w:rFonts w:ascii="Arial" w:hAnsi="Arial" w:cs="Arial"/>
          <w:b/>
          <w:bCs/>
          <w:color w:val="4F81BD"/>
          <w:sz w:val="28"/>
          <w:szCs w:val="28"/>
        </w:rPr>
      </w:pPr>
      <w:r w:rsidRPr="00D61E89">
        <w:rPr>
          <w:rFonts w:ascii="Arial" w:hAnsi="Arial" w:cs="Arial"/>
          <w:b/>
          <w:bCs/>
          <w:color w:val="4F81BD"/>
          <w:sz w:val="28"/>
          <w:szCs w:val="28"/>
        </w:rPr>
        <w:t>ADDITIONAL INFORMATION</w:t>
      </w:r>
    </w:p>
    <w:p w14:paraId="7C1CB6BD" w14:textId="77777777" w:rsidR="006155B5" w:rsidRPr="00D61E89" w:rsidRDefault="006155B5" w:rsidP="006155B5">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The following is the formal CDC surveillance case definition for chickenpox. It is provided for your information only and should not affect the investigation and reporting of a case that fulfills the criteria in Section 2A of this chapter. (The CDC and the MDPH use the CDC case definitions to maintain uniform standards for national reporting.) For reporting to the MDPH, always use the criteria outlined in Section 2A.</w:t>
      </w:r>
    </w:p>
    <w:p w14:paraId="749B6DB6" w14:textId="77777777" w:rsidR="006155B5" w:rsidRPr="00D61E89" w:rsidRDefault="006155B5" w:rsidP="006155B5">
      <w:pPr>
        <w:autoSpaceDE w:val="0"/>
        <w:autoSpaceDN w:val="0"/>
        <w:adjustRightInd w:val="0"/>
        <w:rPr>
          <w:rFonts w:ascii="Cambria" w:hAnsi="Cambria" w:cs="Garamond-BookCondensed"/>
          <w:sz w:val="22"/>
          <w:szCs w:val="22"/>
        </w:rPr>
      </w:pPr>
    </w:p>
    <w:p w14:paraId="09CCE578" w14:textId="77777777" w:rsidR="006155B5" w:rsidRDefault="006155B5" w:rsidP="006155B5">
      <w:pPr>
        <w:autoSpaceDE w:val="0"/>
        <w:autoSpaceDN w:val="0"/>
        <w:adjustRightInd w:val="0"/>
        <w:rPr>
          <w:rFonts w:ascii="Cambria" w:hAnsi="Cambria" w:cs="Garamond-BookCondensedItalic"/>
          <w:i/>
          <w:iCs/>
          <w:sz w:val="22"/>
          <w:szCs w:val="22"/>
        </w:rPr>
      </w:pPr>
      <w:r w:rsidRPr="00D61E89">
        <w:rPr>
          <w:rFonts w:ascii="Cambria" w:hAnsi="Cambria" w:cs="Garamond-BookCondensed"/>
          <w:i/>
          <w:sz w:val="22"/>
          <w:szCs w:val="22"/>
        </w:rPr>
        <w:t>Note: The most up-to-date CDC</w:t>
      </w:r>
      <w:r w:rsidR="007E3583">
        <w:rPr>
          <w:rFonts w:ascii="Cambria" w:hAnsi="Cambria" w:cs="Garamond-BookCondensed"/>
          <w:i/>
          <w:sz w:val="22"/>
          <w:szCs w:val="22"/>
        </w:rPr>
        <w:t>/CSTE</w:t>
      </w:r>
      <w:r w:rsidRPr="00D61E89">
        <w:rPr>
          <w:rFonts w:ascii="Cambria" w:hAnsi="Cambria" w:cs="Garamond-BookCondensed"/>
          <w:i/>
          <w:sz w:val="22"/>
          <w:szCs w:val="22"/>
        </w:rPr>
        <w:t xml:space="preserve"> case definitions are available on the CDC website at</w:t>
      </w:r>
      <w:r w:rsidRPr="00D61E89">
        <w:rPr>
          <w:rFonts w:ascii="Cambria" w:hAnsi="Cambria" w:cs="Garamond-BookCondensedItalic"/>
          <w:i/>
          <w:iCs/>
          <w:sz w:val="22"/>
          <w:szCs w:val="22"/>
        </w:rPr>
        <w:t xml:space="preserve"> </w:t>
      </w:r>
      <w:hyperlink w:history="1"/>
      <w:hyperlink r:id="rId25" w:history="1">
        <w:r w:rsidR="00EE6A44" w:rsidRPr="00D00C0E">
          <w:rPr>
            <w:rStyle w:val="Hyperlink"/>
            <w:rFonts w:ascii="Cambria" w:hAnsi="Cambria" w:cs="Garamond-BookCondensedItalic"/>
            <w:i/>
            <w:iCs/>
            <w:sz w:val="22"/>
            <w:szCs w:val="22"/>
          </w:rPr>
          <w:t>https://ndc.services.cdc.g</w:t>
        </w:r>
        <w:r w:rsidR="00EE6A44" w:rsidRPr="00D00C0E">
          <w:rPr>
            <w:rStyle w:val="Hyperlink"/>
            <w:rFonts w:ascii="Cambria" w:hAnsi="Cambria" w:cs="Garamond-BookCondensedItalic"/>
            <w:i/>
            <w:iCs/>
            <w:sz w:val="22"/>
            <w:szCs w:val="22"/>
          </w:rPr>
          <w:t>o</w:t>
        </w:r>
        <w:r w:rsidR="00EE6A44" w:rsidRPr="00D00C0E">
          <w:rPr>
            <w:rStyle w:val="Hyperlink"/>
            <w:rFonts w:ascii="Cambria" w:hAnsi="Cambria" w:cs="Garamond-BookCondensedItalic"/>
            <w:i/>
            <w:iCs/>
            <w:sz w:val="22"/>
            <w:szCs w:val="22"/>
          </w:rPr>
          <w:t>v/</w:t>
        </w:r>
      </w:hyperlink>
    </w:p>
    <w:p w14:paraId="148BD3EF" w14:textId="77777777" w:rsidR="006155B5" w:rsidRPr="00D61E89" w:rsidRDefault="006155B5" w:rsidP="006155B5">
      <w:pPr>
        <w:autoSpaceDE w:val="0"/>
        <w:autoSpaceDN w:val="0"/>
        <w:adjustRightInd w:val="0"/>
        <w:rPr>
          <w:rFonts w:ascii="Garamond-BookCondensed" w:hAnsi="Garamond-BookCondensed" w:cs="Garamond-BookCondensed"/>
          <w:sz w:val="20"/>
          <w:szCs w:val="20"/>
        </w:rPr>
      </w:pPr>
    </w:p>
    <w:p w14:paraId="534E3929" w14:textId="77777777" w:rsidR="006155B5" w:rsidRPr="004F2DEA" w:rsidRDefault="00A87D8F" w:rsidP="006155B5">
      <w:pPr>
        <w:autoSpaceDE w:val="0"/>
        <w:autoSpaceDN w:val="0"/>
        <w:adjustRightInd w:val="0"/>
        <w:rPr>
          <w:rFonts w:ascii="Arial" w:hAnsi="Arial" w:cs="Arial"/>
          <w:b/>
          <w:bCs/>
          <w:color w:val="2F5496"/>
          <w:sz w:val="28"/>
          <w:szCs w:val="28"/>
        </w:rPr>
      </w:pPr>
      <w:r>
        <w:rPr>
          <w:rFonts w:ascii="Arial" w:hAnsi="Arial" w:cs="Arial"/>
          <w:b/>
          <w:bCs/>
          <w:sz w:val="28"/>
          <w:szCs w:val="28"/>
        </w:rPr>
        <w:br w:type="page"/>
      </w:r>
      <w:r w:rsidR="006155B5" w:rsidRPr="004F2DEA">
        <w:rPr>
          <w:rFonts w:ascii="Arial" w:hAnsi="Arial" w:cs="Arial"/>
          <w:b/>
          <w:bCs/>
          <w:color w:val="2F5496"/>
          <w:sz w:val="28"/>
          <w:szCs w:val="28"/>
        </w:rPr>
        <w:t>REFERENCES</w:t>
      </w:r>
      <w:r w:rsidR="009B199C" w:rsidRPr="004F2DEA">
        <w:rPr>
          <w:rFonts w:ascii="Arial" w:hAnsi="Arial" w:cs="Arial"/>
          <w:b/>
          <w:bCs/>
          <w:color w:val="2F5496"/>
          <w:sz w:val="28"/>
          <w:szCs w:val="28"/>
        </w:rPr>
        <w:t xml:space="preserve"> </w:t>
      </w:r>
    </w:p>
    <w:p w14:paraId="7AF3C2B7" w14:textId="77777777" w:rsidR="00CA791F" w:rsidRDefault="00CA791F" w:rsidP="00AB5681">
      <w:pPr>
        <w:autoSpaceDE w:val="0"/>
        <w:autoSpaceDN w:val="0"/>
        <w:adjustRightInd w:val="0"/>
        <w:rPr>
          <w:rFonts w:ascii="Cambria" w:hAnsi="Cambria"/>
          <w:sz w:val="22"/>
          <w:szCs w:val="22"/>
        </w:rPr>
      </w:pPr>
    </w:p>
    <w:p w14:paraId="7481EB1A" w14:textId="77777777" w:rsidR="00AB5681" w:rsidRPr="00C4374D" w:rsidRDefault="008A1C50" w:rsidP="00AB5681">
      <w:pPr>
        <w:autoSpaceDE w:val="0"/>
        <w:autoSpaceDN w:val="0"/>
        <w:adjustRightInd w:val="0"/>
        <w:rPr>
          <w:rFonts w:ascii="Cambria" w:hAnsi="Cambria" w:cs="Garamond-BookCondensed"/>
          <w:sz w:val="22"/>
          <w:szCs w:val="22"/>
        </w:rPr>
      </w:pPr>
      <w:r w:rsidRPr="004F2DEA">
        <w:rPr>
          <w:rFonts w:ascii="Cambria" w:hAnsi="Cambria"/>
          <w:sz w:val="22"/>
          <w:szCs w:val="22"/>
        </w:rPr>
        <w:t>Kimberlin, D. (Ed.). Red Book (2018-2021):</w:t>
      </w:r>
      <w:r w:rsidRPr="004F2DEA">
        <w:rPr>
          <w:rFonts w:ascii="Calibri Light" w:hAnsi="Calibri Light"/>
          <w:i/>
          <w:iCs/>
          <w:sz w:val="22"/>
          <w:szCs w:val="22"/>
        </w:rPr>
        <w:t xml:space="preserve"> </w:t>
      </w:r>
      <w:r w:rsidR="00AB5681" w:rsidRPr="004F2DEA">
        <w:rPr>
          <w:rFonts w:ascii="Cambria" w:hAnsi="Cambria" w:cs="Garamond-BookCondensed"/>
          <w:sz w:val="22"/>
          <w:szCs w:val="22"/>
        </w:rPr>
        <w:t xml:space="preserve">[Varicella-Zoster Infections.] Report of the Committee on Infectious Diseases, </w:t>
      </w:r>
      <w:r w:rsidR="00CC20AF" w:rsidRPr="004F2DEA">
        <w:rPr>
          <w:rFonts w:ascii="Cambria" w:hAnsi="Cambria" w:cs="Garamond-BookCondensed"/>
          <w:sz w:val="22"/>
          <w:szCs w:val="22"/>
        </w:rPr>
        <w:t>3</w:t>
      </w:r>
      <w:r w:rsidR="00651FBF" w:rsidRPr="004F2DEA">
        <w:rPr>
          <w:rFonts w:ascii="Cambria" w:hAnsi="Cambria" w:cs="Garamond-BookCondensed"/>
          <w:sz w:val="22"/>
          <w:szCs w:val="22"/>
        </w:rPr>
        <w:t>1st</w:t>
      </w:r>
      <w:r w:rsidR="00AB5681" w:rsidRPr="004F2DEA">
        <w:rPr>
          <w:rFonts w:ascii="Cambria" w:hAnsi="Cambria" w:cs="Garamond-BookCondensed"/>
          <w:sz w:val="22"/>
          <w:szCs w:val="22"/>
        </w:rPr>
        <w:t xml:space="preserve"> Edition.</w:t>
      </w:r>
      <w:r w:rsidR="00F17777" w:rsidRPr="004F2DEA">
        <w:rPr>
          <w:rFonts w:ascii="Cambria" w:hAnsi="Cambria" w:cs="Garamond-BookCondensed"/>
          <w:sz w:val="22"/>
          <w:szCs w:val="22"/>
        </w:rPr>
        <w:t xml:space="preserve"> American</w:t>
      </w:r>
      <w:r w:rsidR="00AB5681" w:rsidRPr="004F2DEA">
        <w:rPr>
          <w:rFonts w:ascii="Cambria" w:hAnsi="Cambria" w:cs="Garamond-BookCondensed"/>
          <w:sz w:val="22"/>
          <w:szCs w:val="22"/>
        </w:rPr>
        <w:t xml:space="preserve"> Academy of Pediatrics; 201</w:t>
      </w:r>
      <w:r w:rsidR="00F17777" w:rsidRPr="004F2DEA">
        <w:rPr>
          <w:rFonts w:ascii="Cambria" w:hAnsi="Cambria" w:cs="Garamond-BookCondensed"/>
          <w:sz w:val="22"/>
          <w:szCs w:val="22"/>
        </w:rPr>
        <w:t>8</w:t>
      </w:r>
      <w:r w:rsidR="00AB5681" w:rsidRPr="004F2DEA">
        <w:rPr>
          <w:rFonts w:ascii="Cambria" w:hAnsi="Cambria" w:cs="Garamond-BookCondensed"/>
          <w:sz w:val="22"/>
          <w:szCs w:val="22"/>
        </w:rPr>
        <w:t xml:space="preserve">: </w:t>
      </w:r>
      <w:r w:rsidR="00F17777" w:rsidRPr="004F2DEA">
        <w:rPr>
          <w:rFonts w:ascii="Cambria" w:hAnsi="Cambria" w:cs="Garamond-BookCondensed"/>
          <w:sz w:val="22"/>
          <w:szCs w:val="22"/>
        </w:rPr>
        <w:t>869-883</w:t>
      </w:r>
      <w:r w:rsidR="00AB5681" w:rsidRPr="004F2DEA">
        <w:rPr>
          <w:rFonts w:ascii="Cambria" w:hAnsi="Cambria" w:cs="Garamond-BookCondensed"/>
          <w:sz w:val="22"/>
          <w:szCs w:val="22"/>
        </w:rPr>
        <w:t>.</w:t>
      </w:r>
    </w:p>
    <w:p w14:paraId="372531C4" w14:textId="77777777" w:rsidR="00AB5681" w:rsidRPr="00C4374D" w:rsidRDefault="00AB5681" w:rsidP="00AB5681">
      <w:pPr>
        <w:autoSpaceDE w:val="0"/>
        <w:autoSpaceDN w:val="0"/>
        <w:adjustRightInd w:val="0"/>
        <w:rPr>
          <w:rFonts w:ascii="Cambria" w:hAnsi="Cambria" w:cs="Garamond-BookCondensed"/>
          <w:sz w:val="16"/>
          <w:szCs w:val="16"/>
        </w:rPr>
      </w:pPr>
    </w:p>
    <w:p w14:paraId="28F306A5" w14:textId="77777777" w:rsidR="00AB5681" w:rsidRPr="004F2DEA" w:rsidRDefault="00AB5681" w:rsidP="00AB5681">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CDC</w:t>
      </w:r>
      <w:r w:rsidRPr="004F2DEA">
        <w:rPr>
          <w:rFonts w:ascii="Cambria" w:hAnsi="Cambria" w:cs="Garamond-BookCondensed"/>
          <w:i/>
          <w:sz w:val="22"/>
          <w:szCs w:val="22"/>
        </w:rPr>
        <w:t>. Basics and Common Questions: How Vaccines Prevent Disease</w:t>
      </w:r>
      <w:r w:rsidRPr="004F2DEA">
        <w:rPr>
          <w:rFonts w:ascii="Cambria" w:hAnsi="Cambria" w:cs="Garamond-BookCondensed"/>
          <w:sz w:val="22"/>
          <w:szCs w:val="22"/>
        </w:rPr>
        <w:t>. Centers for Disease Control and Prevention. August, 20</w:t>
      </w:r>
      <w:r w:rsidR="00AB62F7" w:rsidRPr="004F2DEA">
        <w:rPr>
          <w:rFonts w:ascii="Cambria" w:hAnsi="Cambria" w:cs="Garamond-BookCondensed"/>
          <w:sz w:val="22"/>
          <w:szCs w:val="22"/>
        </w:rPr>
        <w:t>2</w:t>
      </w:r>
      <w:r w:rsidR="008A1C50" w:rsidRPr="004F2DEA">
        <w:rPr>
          <w:rFonts w:ascii="Cambria" w:hAnsi="Cambria" w:cs="Garamond-BookCondensed"/>
          <w:sz w:val="22"/>
          <w:szCs w:val="22"/>
        </w:rPr>
        <w:t>1</w:t>
      </w:r>
      <w:r w:rsidRPr="004F2DEA">
        <w:rPr>
          <w:rFonts w:ascii="Cambria" w:hAnsi="Cambria" w:cs="Garamond-BookCondensed"/>
          <w:sz w:val="22"/>
          <w:szCs w:val="22"/>
        </w:rPr>
        <w:t xml:space="preserve">. </w:t>
      </w:r>
      <w:hyperlink r:id="rId26" w:history="1">
        <w:r w:rsidR="00AB62F7" w:rsidRPr="004F2DEA">
          <w:rPr>
            <w:rStyle w:val="Hyperlink"/>
            <w:rFonts w:ascii="Cambria" w:hAnsi="Cambria" w:cs="Garamond-BookCondensed"/>
            <w:sz w:val="22"/>
            <w:szCs w:val="22"/>
          </w:rPr>
          <w:t>http://www.cdc.gov/vaccines/vac-gen/</w:t>
        </w:r>
      </w:hyperlink>
    </w:p>
    <w:p w14:paraId="0E52A4A3" w14:textId="77777777" w:rsidR="00AB5681" w:rsidRPr="004F2DEA" w:rsidRDefault="00AB62F7" w:rsidP="00AB62F7">
      <w:pPr>
        <w:tabs>
          <w:tab w:val="left" w:pos="8184"/>
        </w:tabs>
        <w:autoSpaceDE w:val="0"/>
        <w:autoSpaceDN w:val="0"/>
        <w:adjustRightInd w:val="0"/>
        <w:rPr>
          <w:rFonts w:ascii="Cambria" w:hAnsi="Cambria" w:cs="Garamond-BookCondensed"/>
          <w:sz w:val="22"/>
          <w:szCs w:val="22"/>
        </w:rPr>
      </w:pPr>
      <w:r w:rsidRPr="004F2DEA">
        <w:rPr>
          <w:rFonts w:ascii="Cambria" w:hAnsi="Cambria" w:cs="Garamond-BookCondensed"/>
          <w:sz w:val="22"/>
          <w:szCs w:val="22"/>
        </w:rPr>
        <w:tab/>
      </w:r>
    </w:p>
    <w:p w14:paraId="1382B9A4" w14:textId="77777777" w:rsidR="00AB5681" w:rsidRPr="00C4374D" w:rsidRDefault="00AB5681" w:rsidP="00AB5681">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 xml:space="preserve">CDC. </w:t>
      </w:r>
      <w:r w:rsidRPr="004F2DEA">
        <w:rPr>
          <w:rFonts w:ascii="Cambria" w:hAnsi="Cambria" w:cs="Garamond-BookCondensed"/>
          <w:i/>
          <w:sz w:val="22"/>
          <w:szCs w:val="22"/>
        </w:rPr>
        <w:t>Case Definitions for Infectious Conditions under Public Health Surveillance</w:t>
      </w:r>
      <w:r w:rsidRPr="004F2DEA">
        <w:rPr>
          <w:rFonts w:ascii="Cambria" w:hAnsi="Cambria" w:cs="Garamond-BookCondensed"/>
          <w:sz w:val="22"/>
          <w:szCs w:val="22"/>
        </w:rPr>
        <w:t xml:space="preserve">. </w:t>
      </w:r>
      <w:r w:rsidRPr="004F2DEA">
        <w:rPr>
          <w:rFonts w:ascii="Cambria" w:hAnsi="Cambria" w:cs="Garamond-BookCondensed"/>
          <w:i/>
          <w:sz w:val="22"/>
          <w:szCs w:val="22"/>
        </w:rPr>
        <w:t>MMWR.</w:t>
      </w:r>
      <w:r w:rsidRPr="004F2DEA">
        <w:rPr>
          <w:rFonts w:ascii="Cambria" w:hAnsi="Cambria" w:cs="Garamond-BookCondensed"/>
          <w:sz w:val="22"/>
          <w:szCs w:val="22"/>
        </w:rPr>
        <w:t xml:space="preserve"> 1997; 46(RR-10).</w:t>
      </w:r>
      <w:r w:rsidR="00F70CEE" w:rsidRPr="004F2DEA">
        <w:rPr>
          <w:rFonts w:ascii="Cambria" w:hAnsi="Cambria" w:cs="Garamond-BookCondensed"/>
          <w:sz w:val="22"/>
          <w:szCs w:val="22"/>
        </w:rPr>
        <w:t xml:space="preserve"> </w:t>
      </w:r>
      <w:hyperlink r:id="rId27" w:history="1">
        <w:r w:rsidRPr="004F2DEA">
          <w:rPr>
            <w:rFonts w:ascii="Cambria" w:hAnsi="Cambria" w:cs="Garamond-BookCondensed"/>
            <w:color w:val="0000FF"/>
            <w:sz w:val="22"/>
            <w:szCs w:val="22"/>
            <w:u w:val="single"/>
          </w:rPr>
          <w:t>http://www.cdc.gov/mmwr/preview/mmwrhtml/00</w:t>
        </w:r>
        <w:r w:rsidRPr="004F2DEA">
          <w:rPr>
            <w:rFonts w:ascii="Cambria" w:hAnsi="Cambria" w:cs="Garamond-BookCondensed"/>
            <w:color w:val="0000FF"/>
            <w:sz w:val="22"/>
            <w:szCs w:val="22"/>
            <w:u w:val="single"/>
          </w:rPr>
          <w:t>0</w:t>
        </w:r>
        <w:r w:rsidRPr="004F2DEA">
          <w:rPr>
            <w:rFonts w:ascii="Cambria" w:hAnsi="Cambria" w:cs="Garamond-BookCondensed"/>
            <w:color w:val="0000FF"/>
            <w:sz w:val="22"/>
            <w:szCs w:val="22"/>
            <w:u w:val="single"/>
          </w:rPr>
          <w:t>47449.htm</w:t>
        </w:r>
      </w:hyperlink>
    </w:p>
    <w:p w14:paraId="19187371" w14:textId="77777777" w:rsidR="00AB5681" w:rsidRPr="00C4374D" w:rsidRDefault="00AB5681" w:rsidP="00AB5681">
      <w:pPr>
        <w:autoSpaceDE w:val="0"/>
        <w:autoSpaceDN w:val="0"/>
        <w:adjustRightInd w:val="0"/>
        <w:rPr>
          <w:rFonts w:ascii="Cambria" w:hAnsi="Cambria" w:cs="Garamond-BookCondensed"/>
          <w:sz w:val="16"/>
          <w:szCs w:val="16"/>
        </w:rPr>
      </w:pPr>
    </w:p>
    <w:p w14:paraId="5A1165A1" w14:textId="77777777" w:rsidR="00AB5681" w:rsidRPr="00D61E89" w:rsidRDefault="00AB5681" w:rsidP="00AB5681">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 xml:space="preserve">CDC, </w:t>
      </w:r>
      <w:hyperlink r:id="rId28" w:history="1">
        <w:r w:rsidRPr="004F2DEA">
          <w:rPr>
            <w:rFonts w:ascii="Cambria" w:hAnsi="Cambria" w:cs="Garamond-BookCondensed"/>
            <w:color w:val="0000FF"/>
            <w:sz w:val="22"/>
            <w:szCs w:val="22"/>
            <w:u w:val="single"/>
          </w:rPr>
          <w:t>Herpes Zoster Clin</w:t>
        </w:r>
        <w:r w:rsidRPr="004F2DEA">
          <w:rPr>
            <w:rFonts w:ascii="Cambria" w:hAnsi="Cambria" w:cs="Garamond-BookCondensed"/>
            <w:color w:val="0000FF"/>
            <w:sz w:val="22"/>
            <w:szCs w:val="22"/>
            <w:u w:val="single"/>
          </w:rPr>
          <w:t>i</w:t>
        </w:r>
        <w:r w:rsidRPr="004F2DEA">
          <w:rPr>
            <w:rFonts w:ascii="Cambria" w:hAnsi="Cambria" w:cs="Garamond-BookCondensed"/>
            <w:color w:val="0000FF"/>
            <w:sz w:val="22"/>
            <w:szCs w:val="22"/>
            <w:u w:val="single"/>
          </w:rPr>
          <w:t>cal Overview</w:t>
        </w:r>
      </w:hyperlink>
      <w:r w:rsidRPr="004F2DEA">
        <w:rPr>
          <w:rFonts w:ascii="Cambria" w:hAnsi="Cambria" w:cs="Garamond-BookCondensed"/>
          <w:sz w:val="22"/>
          <w:szCs w:val="22"/>
        </w:rPr>
        <w:t>, October 20</w:t>
      </w:r>
      <w:r w:rsidR="002C4296" w:rsidRPr="004F2DEA">
        <w:rPr>
          <w:rFonts w:ascii="Cambria" w:hAnsi="Cambria" w:cs="Garamond-BookCondensed"/>
          <w:sz w:val="22"/>
          <w:szCs w:val="22"/>
        </w:rPr>
        <w:t>20</w:t>
      </w:r>
      <w:r w:rsidRPr="004F2DEA">
        <w:rPr>
          <w:rFonts w:ascii="Cambria" w:hAnsi="Cambria" w:cs="Garamond-BookCondensed"/>
          <w:sz w:val="22"/>
          <w:szCs w:val="22"/>
        </w:rPr>
        <w:t xml:space="preserve">, </w:t>
      </w:r>
      <w:hyperlink r:id="rId29" w:history="1">
        <w:r w:rsidRPr="004F2DEA">
          <w:rPr>
            <w:rFonts w:ascii="Cambria" w:hAnsi="Cambria" w:cs="Garamond-BookCondensed"/>
            <w:color w:val="0000FF"/>
            <w:sz w:val="22"/>
            <w:szCs w:val="22"/>
            <w:u w:val="single"/>
          </w:rPr>
          <w:t>http://www.cdc.gov/shingles/hcp/clinical-overview.html</w:t>
        </w:r>
      </w:hyperlink>
    </w:p>
    <w:p w14:paraId="6874B870" w14:textId="77777777" w:rsidR="00AB5681" w:rsidRPr="005E0BF8" w:rsidRDefault="00AB5681" w:rsidP="00AB5681">
      <w:pPr>
        <w:autoSpaceDE w:val="0"/>
        <w:autoSpaceDN w:val="0"/>
        <w:adjustRightInd w:val="0"/>
        <w:rPr>
          <w:rFonts w:ascii="Cambria" w:hAnsi="Cambria" w:cs="Garamond-BookCondensed"/>
          <w:sz w:val="16"/>
          <w:szCs w:val="16"/>
        </w:rPr>
      </w:pPr>
    </w:p>
    <w:p w14:paraId="60D4908E" w14:textId="77777777" w:rsidR="00651FBF" w:rsidRPr="00D61E89" w:rsidRDefault="00AB5681" w:rsidP="00AB5681">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CDC. </w:t>
      </w:r>
      <w:r w:rsidRPr="00D61E89">
        <w:rPr>
          <w:rFonts w:ascii="Cambria" w:hAnsi="Cambria" w:cs="Garamond-BookCondensed"/>
          <w:i/>
          <w:sz w:val="22"/>
          <w:szCs w:val="22"/>
        </w:rPr>
        <w:t>Epidemiology &amp; Prevention of Vaccine-Preventable Diseases: The Pink Book, 1</w:t>
      </w:r>
      <w:r w:rsidR="00CC20AF">
        <w:rPr>
          <w:rFonts w:ascii="Cambria" w:hAnsi="Cambria" w:cs="Garamond-BookCondensed"/>
          <w:i/>
          <w:sz w:val="22"/>
          <w:szCs w:val="22"/>
        </w:rPr>
        <w:t>3</w:t>
      </w:r>
      <w:r w:rsidRPr="00D61E89">
        <w:rPr>
          <w:rFonts w:ascii="Cambria" w:hAnsi="Cambria" w:cs="Garamond-BookCondensed"/>
          <w:i/>
          <w:sz w:val="22"/>
          <w:szCs w:val="22"/>
        </w:rPr>
        <w:t>th Edition.</w:t>
      </w:r>
      <w:r w:rsidRPr="00D61E89">
        <w:rPr>
          <w:rFonts w:ascii="Cambria" w:hAnsi="Cambria" w:cs="Garamond-BookCondensed"/>
          <w:sz w:val="22"/>
          <w:szCs w:val="22"/>
        </w:rPr>
        <w:t xml:space="preserve"> CDC, 201</w:t>
      </w:r>
      <w:r w:rsidR="00CC20AF">
        <w:rPr>
          <w:rFonts w:ascii="Cambria" w:hAnsi="Cambria" w:cs="Garamond-BookCondensed"/>
          <w:sz w:val="22"/>
          <w:szCs w:val="22"/>
        </w:rPr>
        <w:t>5</w:t>
      </w:r>
      <w:r w:rsidRPr="00D61E89">
        <w:rPr>
          <w:rFonts w:ascii="Cambria" w:hAnsi="Cambria" w:cs="Garamond-BookCondensed"/>
          <w:sz w:val="22"/>
          <w:szCs w:val="22"/>
        </w:rPr>
        <w:t>.</w:t>
      </w:r>
    </w:p>
    <w:p w14:paraId="55BA78B1" w14:textId="77777777" w:rsidR="00AB5681" w:rsidRPr="005E0BF8" w:rsidRDefault="00AB5681" w:rsidP="00AB5681">
      <w:pPr>
        <w:autoSpaceDE w:val="0"/>
        <w:autoSpaceDN w:val="0"/>
        <w:adjustRightInd w:val="0"/>
        <w:rPr>
          <w:rFonts w:ascii="Cambria" w:hAnsi="Cambria" w:cs="TradeGothic-BoldCondTwenty"/>
          <w:sz w:val="16"/>
          <w:szCs w:val="16"/>
        </w:rPr>
      </w:pPr>
    </w:p>
    <w:p w14:paraId="6DB507B9" w14:textId="77777777" w:rsidR="00AB5681" w:rsidRPr="0067639E" w:rsidRDefault="00AB5681" w:rsidP="00AB5681">
      <w:pPr>
        <w:autoSpaceDE w:val="0"/>
        <w:autoSpaceDN w:val="0"/>
        <w:adjustRightInd w:val="0"/>
        <w:rPr>
          <w:rFonts w:ascii="Cambria" w:hAnsi="Cambria" w:cs="TradeGothic-BoldCondTwenty"/>
          <w:sz w:val="22"/>
          <w:szCs w:val="22"/>
        </w:rPr>
      </w:pPr>
      <w:r w:rsidRPr="00E51E5D">
        <w:rPr>
          <w:rFonts w:ascii="Cambria" w:hAnsi="Cambria" w:cs="TradeGothic-BoldCondTwenty"/>
          <w:sz w:val="22"/>
          <w:szCs w:val="22"/>
        </w:rPr>
        <w:t>CDC.</w:t>
      </w:r>
      <w:r w:rsidR="00F70CEE" w:rsidRPr="00E51E5D">
        <w:rPr>
          <w:rFonts w:ascii="Cambria" w:hAnsi="Cambria" w:cs="TradeGothic-BoldCondTwenty"/>
          <w:sz w:val="22"/>
          <w:szCs w:val="22"/>
        </w:rPr>
        <w:t xml:space="preserve"> </w:t>
      </w:r>
      <w:r w:rsidRPr="00E51E5D">
        <w:rPr>
          <w:rFonts w:ascii="Cambria" w:hAnsi="Cambria" w:cs="TradeGothic-BoldCondTwenty"/>
          <w:i/>
          <w:sz w:val="22"/>
          <w:szCs w:val="22"/>
        </w:rPr>
        <w:t xml:space="preserve">Updated Recommendations for the Use of </w:t>
      </w:r>
      <w:r w:rsidR="003D078E">
        <w:rPr>
          <w:rFonts w:ascii="Cambria" w:hAnsi="Cambria" w:cs="TradeGothic-BoldCondTwenty"/>
          <w:i/>
          <w:sz w:val="22"/>
          <w:szCs w:val="22"/>
        </w:rPr>
        <w:t>VariZIG</w:t>
      </w:r>
      <w:r w:rsidRPr="00E51E5D">
        <w:rPr>
          <w:rFonts w:ascii="Cambria" w:hAnsi="Cambria" w:cs="TradeGothic-BoldCondTwenty"/>
          <w:sz w:val="22"/>
          <w:szCs w:val="22"/>
        </w:rPr>
        <w:t>.</w:t>
      </w:r>
      <w:r w:rsidR="00F70CEE" w:rsidRPr="00E51E5D">
        <w:rPr>
          <w:rFonts w:ascii="Cambria" w:hAnsi="Cambria" w:cs="TradeGothic-BoldCondTwenty"/>
          <w:sz w:val="22"/>
          <w:szCs w:val="22"/>
        </w:rPr>
        <w:t xml:space="preserve"> </w:t>
      </w:r>
      <w:r w:rsidRPr="00E51E5D">
        <w:rPr>
          <w:rFonts w:ascii="Cambria" w:hAnsi="Cambria" w:cs="TradeGothic-BoldCondTwenty"/>
          <w:sz w:val="22"/>
          <w:szCs w:val="22"/>
        </w:rPr>
        <w:t>MMWR, July 19, 2013.</w:t>
      </w:r>
    </w:p>
    <w:p w14:paraId="54F633D9" w14:textId="77777777" w:rsidR="00AB5681" w:rsidRPr="005E0BF8" w:rsidRDefault="00AB5681" w:rsidP="00AB5681">
      <w:pPr>
        <w:autoSpaceDE w:val="0"/>
        <w:autoSpaceDN w:val="0"/>
        <w:adjustRightInd w:val="0"/>
        <w:rPr>
          <w:rFonts w:ascii="Cambria" w:hAnsi="Cambria" w:cs="TradeGothic-BoldCondTwenty"/>
          <w:sz w:val="16"/>
          <w:szCs w:val="16"/>
          <w:u w:val="single"/>
        </w:rPr>
      </w:pPr>
    </w:p>
    <w:p w14:paraId="042FFE8D" w14:textId="77777777" w:rsidR="00AB5681" w:rsidRPr="00D61E89" w:rsidRDefault="00AB5681" w:rsidP="00AB5681">
      <w:pPr>
        <w:autoSpaceDE w:val="0"/>
        <w:autoSpaceDN w:val="0"/>
        <w:adjustRightInd w:val="0"/>
        <w:rPr>
          <w:rFonts w:ascii="Cambria" w:hAnsi="Cambria" w:cs="TradeGothic-BoldCondTwenty"/>
          <w:sz w:val="22"/>
          <w:szCs w:val="22"/>
        </w:rPr>
      </w:pPr>
      <w:r w:rsidRPr="00E51E5D">
        <w:rPr>
          <w:rFonts w:ascii="Cambria" w:hAnsi="Cambria" w:cs="TradeGothic-BoldCondTwenty"/>
          <w:sz w:val="22"/>
          <w:szCs w:val="22"/>
        </w:rPr>
        <w:t>CDC.</w:t>
      </w:r>
      <w:r w:rsidR="00F70CEE" w:rsidRPr="00E51E5D">
        <w:rPr>
          <w:rFonts w:ascii="Cambria" w:hAnsi="Cambria" w:cs="TradeGothic-BoldCondTwenty"/>
          <w:sz w:val="22"/>
          <w:szCs w:val="22"/>
        </w:rPr>
        <w:t xml:space="preserve"> </w:t>
      </w:r>
      <w:hyperlink r:id="rId30" w:history="1">
        <w:r w:rsidRPr="00E51E5D">
          <w:rPr>
            <w:rFonts w:ascii="Cambria" w:hAnsi="Cambria" w:cs="TradeGothic-BoldCondTwenty"/>
            <w:color w:val="0000FF"/>
            <w:sz w:val="22"/>
            <w:szCs w:val="22"/>
            <w:u w:val="single"/>
          </w:rPr>
          <w:t>FDA Approval of an Extended Period for Administering</w:t>
        </w:r>
        <w:r w:rsidRPr="00E51E5D">
          <w:rPr>
            <w:rFonts w:ascii="Cambria" w:hAnsi="Cambria" w:cs="TradeGothic-BoldCondTwenty"/>
            <w:color w:val="0000FF"/>
            <w:sz w:val="22"/>
            <w:szCs w:val="22"/>
            <w:u w:val="single"/>
          </w:rPr>
          <w:t xml:space="preserve"> </w:t>
        </w:r>
        <w:r w:rsidR="003D078E">
          <w:rPr>
            <w:rFonts w:ascii="Cambria" w:hAnsi="Cambria" w:cs="TradeGothic-BoldCondTwenty"/>
            <w:color w:val="0000FF"/>
            <w:sz w:val="22"/>
            <w:szCs w:val="22"/>
            <w:u w:val="single"/>
          </w:rPr>
          <w:t>VariZIG</w:t>
        </w:r>
      </w:hyperlink>
      <w:r w:rsidRPr="00E51E5D">
        <w:rPr>
          <w:rFonts w:ascii="Cambria" w:hAnsi="Cambria" w:cs="TradeGothic-BoldCondTwenty"/>
          <w:sz w:val="22"/>
          <w:szCs w:val="22"/>
        </w:rPr>
        <w:t xml:space="preserve"> for the Postexposure Prophylaxis of Varicella, MMWR, March 30, 2012.</w:t>
      </w:r>
    </w:p>
    <w:p w14:paraId="40451E38" w14:textId="77777777" w:rsidR="00AB5681" w:rsidRPr="005E0BF8" w:rsidRDefault="00AB5681" w:rsidP="00AB5681">
      <w:pPr>
        <w:autoSpaceDE w:val="0"/>
        <w:autoSpaceDN w:val="0"/>
        <w:adjustRightInd w:val="0"/>
        <w:rPr>
          <w:rFonts w:ascii="Cambria" w:hAnsi="Cambria" w:cs="TradeGothic-BoldCondTwenty"/>
          <w:sz w:val="16"/>
          <w:szCs w:val="16"/>
        </w:rPr>
      </w:pPr>
    </w:p>
    <w:p w14:paraId="36A5309F" w14:textId="77777777" w:rsidR="00AB5681" w:rsidRPr="00D61E89" w:rsidRDefault="00AB5681" w:rsidP="00AB5681">
      <w:pPr>
        <w:autoSpaceDE w:val="0"/>
        <w:autoSpaceDN w:val="0"/>
        <w:adjustRightInd w:val="0"/>
        <w:rPr>
          <w:rFonts w:ascii="Cambria" w:hAnsi="Cambria" w:cs="Garamond-BookCondensed"/>
          <w:sz w:val="22"/>
          <w:szCs w:val="22"/>
        </w:rPr>
      </w:pPr>
      <w:r w:rsidRPr="00E51E5D">
        <w:rPr>
          <w:rFonts w:ascii="Cambria" w:hAnsi="Cambria" w:cs="Garamond-BookCondensed"/>
          <w:sz w:val="22"/>
          <w:szCs w:val="22"/>
        </w:rPr>
        <w:t xml:space="preserve">CDC. </w:t>
      </w:r>
      <w:r w:rsidRPr="00E51E5D">
        <w:rPr>
          <w:rFonts w:ascii="Cambria" w:hAnsi="Cambria" w:cs="Garamond-BookCondensed"/>
          <w:i/>
          <w:sz w:val="22"/>
          <w:szCs w:val="22"/>
        </w:rPr>
        <w:t>Immunization of Health-Care Workers. Recommendations of the Advisory Committee on Immunization Practices (ACIP) and the Hospital Infection Control Practices Advisory Committee (HICPAC)</w:t>
      </w:r>
      <w:r w:rsidRPr="00E51E5D">
        <w:rPr>
          <w:rFonts w:ascii="Cambria" w:hAnsi="Cambria" w:cs="Garamond-BookCondensed"/>
          <w:sz w:val="22"/>
          <w:szCs w:val="22"/>
        </w:rPr>
        <w:t xml:space="preserve">. </w:t>
      </w:r>
      <w:r w:rsidRPr="00E51E5D">
        <w:rPr>
          <w:rFonts w:ascii="Cambria" w:hAnsi="Cambria" w:cs="Garamond-BookCondensed"/>
          <w:i/>
          <w:sz w:val="22"/>
          <w:szCs w:val="22"/>
        </w:rPr>
        <w:t>MMWR</w:t>
      </w:r>
      <w:r w:rsidRPr="00E51E5D">
        <w:rPr>
          <w:rFonts w:ascii="Cambria" w:hAnsi="Cambria" w:cs="Garamond-BookCondensed"/>
          <w:sz w:val="22"/>
          <w:szCs w:val="22"/>
        </w:rPr>
        <w:t>. December 26, 1997;46(RR-18).</w:t>
      </w:r>
    </w:p>
    <w:p w14:paraId="7A471B46" w14:textId="77777777" w:rsidR="00AB5681" w:rsidRPr="005E0BF8" w:rsidRDefault="00AB5681" w:rsidP="00AB5681">
      <w:pPr>
        <w:autoSpaceDE w:val="0"/>
        <w:autoSpaceDN w:val="0"/>
        <w:adjustRightInd w:val="0"/>
        <w:rPr>
          <w:rFonts w:ascii="Cambria" w:hAnsi="Cambria" w:cs="Garamond-BookCondensed"/>
          <w:sz w:val="16"/>
          <w:szCs w:val="16"/>
        </w:rPr>
      </w:pPr>
    </w:p>
    <w:p w14:paraId="14EE52A1" w14:textId="77777777" w:rsidR="00AB5681" w:rsidRPr="00D61E89" w:rsidRDefault="00AB5681" w:rsidP="00AB5681">
      <w:pPr>
        <w:autoSpaceDE w:val="0"/>
        <w:autoSpaceDN w:val="0"/>
        <w:adjustRightInd w:val="0"/>
        <w:rPr>
          <w:rFonts w:ascii="Cambria" w:hAnsi="Cambria" w:cs="Garamond-BookCondensed"/>
          <w:sz w:val="22"/>
          <w:szCs w:val="22"/>
        </w:rPr>
      </w:pPr>
      <w:r w:rsidRPr="00E51E5D">
        <w:rPr>
          <w:rFonts w:ascii="Cambria" w:hAnsi="Cambria" w:cs="Garamond-BookCondensed"/>
          <w:sz w:val="22"/>
          <w:szCs w:val="22"/>
        </w:rPr>
        <w:t>CDC.</w:t>
      </w:r>
      <w:r w:rsidR="00F70CEE" w:rsidRPr="00E51E5D">
        <w:rPr>
          <w:rFonts w:ascii="Cambria" w:hAnsi="Cambria" w:cs="Garamond-BookCondensed"/>
          <w:sz w:val="22"/>
          <w:szCs w:val="22"/>
        </w:rPr>
        <w:t xml:space="preserve"> </w:t>
      </w:r>
      <w:r w:rsidRPr="00E51E5D">
        <w:rPr>
          <w:rFonts w:ascii="Cambria" w:hAnsi="Cambria" w:cs="Garamond-BookCondensed"/>
          <w:sz w:val="22"/>
          <w:szCs w:val="22"/>
        </w:rPr>
        <w:t>Immunization of Health-care Personnel:</w:t>
      </w:r>
      <w:r w:rsidR="00F70CEE" w:rsidRPr="00E51E5D">
        <w:rPr>
          <w:rFonts w:ascii="Cambria" w:hAnsi="Cambria" w:cs="Garamond-BookCondensed"/>
          <w:sz w:val="22"/>
          <w:szCs w:val="22"/>
        </w:rPr>
        <w:t xml:space="preserve"> </w:t>
      </w:r>
      <w:r w:rsidRPr="00E51E5D">
        <w:rPr>
          <w:rFonts w:ascii="Cambria" w:hAnsi="Cambria" w:cs="Garamond-BookCondensed"/>
          <w:sz w:val="22"/>
          <w:szCs w:val="22"/>
        </w:rPr>
        <w:t>Recommendations of the Advisory Committee on Immunization Practices, MMWR November 2011, 60(7) 21 – 25.</w:t>
      </w:r>
    </w:p>
    <w:p w14:paraId="15E4AA41" w14:textId="77777777" w:rsidR="00AB5681" w:rsidRPr="005E0BF8" w:rsidRDefault="00AB5681" w:rsidP="00AB5681">
      <w:pPr>
        <w:autoSpaceDE w:val="0"/>
        <w:autoSpaceDN w:val="0"/>
        <w:adjustRightInd w:val="0"/>
        <w:rPr>
          <w:rFonts w:ascii="Cambria" w:hAnsi="Cambria" w:cs="Garamond-BookCondensed"/>
          <w:sz w:val="16"/>
          <w:szCs w:val="16"/>
        </w:rPr>
      </w:pPr>
    </w:p>
    <w:p w14:paraId="00644932" w14:textId="77777777" w:rsidR="00B0559B" w:rsidRPr="00D61E89" w:rsidRDefault="00AB5681" w:rsidP="00AB5681">
      <w:pPr>
        <w:autoSpaceDE w:val="0"/>
        <w:autoSpaceDN w:val="0"/>
        <w:adjustRightInd w:val="0"/>
        <w:rPr>
          <w:rFonts w:ascii="Cambria" w:hAnsi="Cambria" w:cs="Garamond-BookCondensed"/>
          <w:sz w:val="22"/>
          <w:szCs w:val="22"/>
        </w:rPr>
      </w:pPr>
      <w:r w:rsidRPr="00E51E5D">
        <w:rPr>
          <w:rFonts w:ascii="Cambria" w:hAnsi="Cambria" w:cs="Garamond-BookCondensed"/>
          <w:sz w:val="22"/>
          <w:szCs w:val="22"/>
        </w:rPr>
        <w:t xml:space="preserve">CDC. </w:t>
      </w:r>
      <w:r w:rsidRPr="00E51E5D">
        <w:rPr>
          <w:rFonts w:ascii="Cambria" w:hAnsi="Cambria" w:cs="Garamond-BookCondensed"/>
          <w:i/>
          <w:sz w:val="22"/>
          <w:szCs w:val="22"/>
        </w:rPr>
        <w:t>Manual for the Surveillance of Vaccine-Preventable Diseases</w:t>
      </w:r>
      <w:r w:rsidRPr="00E51E5D">
        <w:rPr>
          <w:rFonts w:ascii="Cambria" w:hAnsi="Cambria" w:cs="Garamond-BookCondensed"/>
          <w:sz w:val="22"/>
          <w:szCs w:val="22"/>
        </w:rPr>
        <w:t>. Varicella Chapter, CDC, 5</w:t>
      </w:r>
      <w:r w:rsidRPr="00E51E5D">
        <w:rPr>
          <w:rFonts w:ascii="Cambria" w:hAnsi="Cambria" w:cs="Garamond-BookCondensed"/>
          <w:sz w:val="22"/>
          <w:szCs w:val="22"/>
          <w:vertAlign w:val="superscript"/>
        </w:rPr>
        <w:t>th</w:t>
      </w:r>
      <w:r w:rsidRPr="00E51E5D">
        <w:rPr>
          <w:rFonts w:ascii="Cambria" w:hAnsi="Cambria" w:cs="Garamond-BookCondensed"/>
          <w:sz w:val="22"/>
          <w:szCs w:val="22"/>
        </w:rPr>
        <w:t xml:space="preserve"> Edition, 2011.</w:t>
      </w:r>
    </w:p>
    <w:p w14:paraId="2258C4E1" w14:textId="77777777" w:rsidR="00AB5681" w:rsidRPr="005E0BF8" w:rsidRDefault="00AB5681" w:rsidP="00AB5681">
      <w:pPr>
        <w:autoSpaceDE w:val="0"/>
        <w:autoSpaceDN w:val="0"/>
        <w:adjustRightInd w:val="0"/>
        <w:rPr>
          <w:rFonts w:ascii="Cambria" w:hAnsi="Cambria" w:cs="Garamond-BookCondensed"/>
          <w:sz w:val="16"/>
          <w:szCs w:val="16"/>
        </w:rPr>
      </w:pPr>
    </w:p>
    <w:p w14:paraId="4285AAAE" w14:textId="77777777" w:rsidR="00AC3C46" w:rsidRPr="00C4374D" w:rsidRDefault="00AB5681" w:rsidP="00AB5681">
      <w:pPr>
        <w:keepNext/>
        <w:outlineLvl w:val="0"/>
        <w:rPr>
          <w:rFonts w:ascii="Cambria" w:hAnsi="Cambria" w:cs="Garamond-BookCondensed"/>
          <w:bCs/>
          <w:sz w:val="22"/>
          <w:szCs w:val="22"/>
          <w:lang w:val="da-DK"/>
        </w:rPr>
      </w:pPr>
      <w:r w:rsidRPr="004F2DEA">
        <w:rPr>
          <w:rFonts w:ascii="Cambria" w:hAnsi="Cambria" w:cs="Garamond-BookCondensed"/>
          <w:sz w:val="22"/>
          <w:szCs w:val="22"/>
        </w:rPr>
        <w:t xml:space="preserve">CDC. National and State Vaccination Coverage among Children Aged 19--35 Months --- United States, </w:t>
      </w:r>
      <w:r w:rsidR="00AC3C46" w:rsidRPr="004F2DEA">
        <w:rPr>
          <w:rFonts w:ascii="Cambria" w:hAnsi="Cambria" w:cs="Garamond-BookCondensed"/>
          <w:sz w:val="22"/>
          <w:szCs w:val="22"/>
        </w:rPr>
        <w:t>2017</w:t>
      </w:r>
      <w:r w:rsidRPr="004F2DEA">
        <w:rPr>
          <w:rFonts w:ascii="Cambria" w:hAnsi="Cambria" w:cs="Garamond-BookCondensed"/>
          <w:sz w:val="22"/>
          <w:szCs w:val="22"/>
        </w:rPr>
        <w:t xml:space="preserve">. </w:t>
      </w:r>
      <w:r w:rsidRPr="004F2DEA">
        <w:rPr>
          <w:rFonts w:ascii="Cambria" w:hAnsi="Cambria" w:cs="Garamond-BookCondensed"/>
          <w:i/>
          <w:sz w:val="22"/>
          <w:szCs w:val="22"/>
          <w:lang w:val="da-DK"/>
        </w:rPr>
        <w:t>MMWR.</w:t>
      </w:r>
      <w:r w:rsidRPr="004F2DEA">
        <w:rPr>
          <w:rFonts w:ascii="Cambria" w:hAnsi="Cambria" w:cs="Garamond-BookCondensed"/>
          <w:sz w:val="22"/>
          <w:szCs w:val="22"/>
          <w:lang w:val="da-DK"/>
        </w:rPr>
        <w:t xml:space="preserve"> </w:t>
      </w:r>
      <w:r w:rsidR="00AC3C46" w:rsidRPr="004F2DEA">
        <w:rPr>
          <w:rFonts w:ascii="Cambria" w:hAnsi="Cambria" w:cs="Garamond-BookCondensed"/>
          <w:sz w:val="22"/>
          <w:szCs w:val="22"/>
          <w:lang w:val="da-DK"/>
        </w:rPr>
        <w:t>October 12, 2018:</w:t>
      </w:r>
      <w:r w:rsidRPr="004F2DEA">
        <w:rPr>
          <w:rFonts w:ascii="Cambria" w:hAnsi="Cambria" w:cs="Garamond-BookCondensed"/>
          <w:sz w:val="22"/>
          <w:szCs w:val="22"/>
          <w:lang w:val="da-DK"/>
        </w:rPr>
        <w:t xml:space="preserve"> </w:t>
      </w:r>
      <w:r w:rsidR="00AC3C46" w:rsidRPr="004F2DEA">
        <w:rPr>
          <w:rFonts w:ascii="Cambria" w:hAnsi="Cambria" w:cs="Garamond-BookCondensed"/>
          <w:sz w:val="22"/>
          <w:szCs w:val="22"/>
          <w:lang w:val="da-DK"/>
        </w:rPr>
        <w:t xml:space="preserve">Vol. </w:t>
      </w:r>
      <w:r w:rsidRPr="004F2DEA">
        <w:rPr>
          <w:rFonts w:ascii="Cambria" w:hAnsi="Cambria" w:cs="Garamond-BookCondensed"/>
          <w:sz w:val="22"/>
          <w:szCs w:val="22"/>
          <w:lang w:val="da-DK"/>
        </w:rPr>
        <w:t>6</w:t>
      </w:r>
      <w:r w:rsidR="00AC3C46" w:rsidRPr="004F2DEA">
        <w:rPr>
          <w:rFonts w:ascii="Cambria" w:hAnsi="Cambria" w:cs="Garamond-BookCondensed"/>
          <w:sz w:val="22"/>
          <w:szCs w:val="22"/>
          <w:lang w:val="da-DK"/>
        </w:rPr>
        <w:t>7, No. 40</w:t>
      </w:r>
      <w:r w:rsidRPr="004F2DEA">
        <w:rPr>
          <w:rFonts w:ascii="Cambria" w:hAnsi="Cambria" w:cs="Garamond-BookCondensed"/>
          <w:sz w:val="22"/>
          <w:szCs w:val="22"/>
          <w:lang w:val="da-DK"/>
        </w:rPr>
        <w:t xml:space="preserve"> (</w:t>
      </w:r>
      <w:r w:rsidR="00AC3C46" w:rsidRPr="004F2DEA">
        <w:rPr>
          <w:rFonts w:ascii="Cambria" w:hAnsi="Cambria" w:cs="Garamond-BookCondensed"/>
          <w:bCs/>
          <w:sz w:val="22"/>
          <w:szCs w:val="22"/>
          <w:lang w:val="da-DK"/>
        </w:rPr>
        <w:t>1123</w:t>
      </w:r>
      <w:r w:rsidRPr="004F2DEA">
        <w:rPr>
          <w:rFonts w:ascii="Cambria" w:hAnsi="Cambria" w:cs="Garamond-BookCondensed"/>
          <w:bCs/>
          <w:sz w:val="22"/>
          <w:szCs w:val="22"/>
          <w:lang w:val="da-DK"/>
        </w:rPr>
        <w:t>-</w:t>
      </w:r>
      <w:r w:rsidR="00AC3C46" w:rsidRPr="004F2DEA">
        <w:rPr>
          <w:rFonts w:ascii="Cambria" w:hAnsi="Cambria" w:cs="Garamond-BookCondensed"/>
          <w:bCs/>
          <w:sz w:val="22"/>
          <w:szCs w:val="22"/>
          <w:lang w:val="da-DK"/>
        </w:rPr>
        <w:t>1128</w:t>
      </w:r>
      <w:r w:rsidRPr="004F2DEA">
        <w:rPr>
          <w:rFonts w:ascii="Cambria" w:hAnsi="Cambria" w:cs="Garamond-BookCondensed"/>
          <w:bCs/>
          <w:sz w:val="22"/>
          <w:szCs w:val="22"/>
          <w:lang w:val="da-DK"/>
        </w:rPr>
        <w:t xml:space="preserve">). </w:t>
      </w:r>
      <w:hyperlink r:id="rId31" w:history="1">
        <w:r w:rsidR="00AC3C46" w:rsidRPr="004F2DEA">
          <w:rPr>
            <w:rStyle w:val="Hyperlink"/>
            <w:rFonts w:ascii="Cambria" w:hAnsi="Cambria" w:cs="Garamond-BookCondensed"/>
            <w:bCs/>
            <w:sz w:val="22"/>
            <w:szCs w:val="22"/>
            <w:lang w:val="da-DK"/>
          </w:rPr>
          <w:t>https://www.cdc.gov/mmwr/volumes/67/wr/pdfs/mm6740a4-H.pdf</w:t>
        </w:r>
      </w:hyperlink>
    </w:p>
    <w:p w14:paraId="1CF1AD41" w14:textId="77777777" w:rsidR="00AB5681" w:rsidRPr="00C4374D" w:rsidRDefault="00AB5681" w:rsidP="00E51E5D">
      <w:pPr>
        <w:keepNext/>
        <w:outlineLvl w:val="0"/>
        <w:rPr>
          <w:rFonts w:ascii="Cambria" w:hAnsi="Cambria" w:cs="Garamond-BookCondensed"/>
          <w:sz w:val="16"/>
          <w:szCs w:val="16"/>
          <w:lang w:val="da-DK"/>
        </w:rPr>
      </w:pPr>
    </w:p>
    <w:p w14:paraId="7E905A7F" w14:textId="77777777" w:rsidR="00AB5681" w:rsidRPr="00C4374D" w:rsidRDefault="00AB5681" w:rsidP="00AB5681">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CDC. A New Product (</w:t>
      </w:r>
      <w:r w:rsidR="003D078E" w:rsidRPr="004F2DEA">
        <w:rPr>
          <w:rFonts w:ascii="Cambria" w:hAnsi="Cambria" w:cs="Garamond-BookCondensed"/>
          <w:sz w:val="22"/>
          <w:szCs w:val="22"/>
        </w:rPr>
        <w:t>VariZIG</w:t>
      </w:r>
      <w:r w:rsidRPr="004F2DEA">
        <w:rPr>
          <w:rFonts w:ascii="Cambria" w:hAnsi="Cambria" w:cs="Garamond-BookCondensed"/>
          <w:sz w:val="22"/>
          <w:szCs w:val="22"/>
        </w:rPr>
        <w:t xml:space="preserve">™) for Post-Exposure Prophylaxis of Varicella Available under an Investigational New Drug Application Expanded Access Protocol. </w:t>
      </w:r>
      <w:r w:rsidRPr="004F2DEA">
        <w:rPr>
          <w:rFonts w:ascii="Cambria" w:hAnsi="Cambria" w:cs="Garamond-BookCondensedItalic"/>
          <w:i/>
          <w:iCs/>
          <w:sz w:val="22"/>
          <w:szCs w:val="22"/>
        </w:rPr>
        <w:t>MMWR</w:t>
      </w:r>
      <w:r w:rsidRPr="004F2DEA">
        <w:rPr>
          <w:rFonts w:ascii="Cambria" w:hAnsi="Cambria" w:cs="Garamond-BookCondensed"/>
          <w:sz w:val="22"/>
          <w:szCs w:val="22"/>
        </w:rPr>
        <w:t>. February 24, 2006; 55(RR-2).</w:t>
      </w:r>
    </w:p>
    <w:p w14:paraId="02ECA9B6" w14:textId="77777777" w:rsidR="00AB5681" w:rsidRPr="00C4374D" w:rsidRDefault="00AB5681" w:rsidP="00AB5681">
      <w:pPr>
        <w:autoSpaceDE w:val="0"/>
        <w:autoSpaceDN w:val="0"/>
        <w:adjustRightInd w:val="0"/>
        <w:rPr>
          <w:rFonts w:ascii="Cambria" w:hAnsi="Cambria" w:cs="Garamond-BookCondensed"/>
          <w:sz w:val="16"/>
          <w:szCs w:val="16"/>
        </w:rPr>
      </w:pPr>
    </w:p>
    <w:p w14:paraId="4C374A10" w14:textId="77777777" w:rsidR="00AB5681" w:rsidRPr="00C4374D" w:rsidRDefault="00AB5681" w:rsidP="00AB5681">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CDC.</w:t>
      </w:r>
      <w:r w:rsidR="00F70CEE" w:rsidRPr="004F2DEA">
        <w:rPr>
          <w:rFonts w:ascii="Cambria" w:hAnsi="Cambria" w:cs="Garamond-BookCondensed"/>
          <w:sz w:val="22"/>
          <w:szCs w:val="22"/>
        </w:rPr>
        <w:t xml:space="preserve"> </w:t>
      </w:r>
      <w:hyperlink r:id="rId32" w:anchor="patients" w:history="1">
        <w:r w:rsidRPr="004F2DEA">
          <w:rPr>
            <w:rFonts w:ascii="Cambria" w:hAnsi="Cambria" w:cs="Garamond-BookCondensed"/>
            <w:color w:val="0000FF"/>
            <w:sz w:val="22"/>
            <w:szCs w:val="22"/>
            <w:u w:val="single"/>
          </w:rPr>
          <w:t>Preventing Transmission</w:t>
        </w:r>
        <w:r w:rsidRPr="004F2DEA">
          <w:rPr>
            <w:rFonts w:ascii="Cambria" w:hAnsi="Cambria" w:cs="Garamond-BookCondensed"/>
            <w:color w:val="0000FF"/>
            <w:sz w:val="22"/>
            <w:szCs w:val="22"/>
            <w:u w:val="single"/>
          </w:rPr>
          <w:t xml:space="preserve"> </w:t>
        </w:r>
        <w:r w:rsidRPr="004F2DEA">
          <w:rPr>
            <w:rFonts w:ascii="Cambria" w:hAnsi="Cambria" w:cs="Garamond-BookCondensed"/>
            <w:color w:val="0000FF"/>
            <w:sz w:val="22"/>
            <w:szCs w:val="22"/>
            <w:u w:val="single"/>
          </w:rPr>
          <w:t>in Healthcare Settings</w:t>
        </w:r>
      </w:hyperlink>
      <w:r w:rsidRPr="004F2DEA">
        <w:rPr>
          <w:rFonts w:ascii="Cambria" w:hAnsi="Cambria" w:cs="Garamond-BookCondensed"/>
          <w:sz w:val="22"/>
          <w:szCs w:val="22"/>
        </w:rPr>
        <w:t>:</w:t>
      </w:r>
      <w:r w:rsidR="00F70CEE" w:rsidRPr="004F2DEA">
        <w:rPr>
          <w:rFonts w:ascii="Cambria" w:hAnsi="Cambria" w:cs="Garamond-BookCondensed"/>
          <w:sz w:val="22"/>
          <w:szCs w:val="22"/>
        </w:rPr>
        <w:t xml:space="preserve"> </w:t>
      </w:r>
      <w:r w:rsidRPr="004F2DEA">
        <w:rPr>
          <w:rFonts w:ascii="Cambria" w:hAnsi="Cambria" w:cs="Garamond-BookCondensed"/>
          <w:sz w:val="22"/>
          <w:szCs w:val="22"/>
        </w:rPr>
        <w:t>Management of Patients with Herpes Zoster.</w:t>
      </w:r>
      <w:r w:rsidR="00F70CEE" w:rsidRPr="004F2DEA">
        <w:rPr>
          <w:rFonts w:ascii="Cambria" w:hAnsi="Cambria" w:cs="Garamond-BookCondensed"/>
          <w:sz w:val="22"/>
          <w:szCs w:val="22"/>
        </w:rPr>
        <w:t xml:space="preserve"> </w:t>
      </w:r>
      <w:r w:rsidRPr="004F2DEA">
        <w:rPr>
          <w:rFonts w:ascii="Cambria" w:hAnsi="Cambria" w:cs="Garamond-BookCondensed"/>
          <w:sz w:val="22"/>
          <w:szCs w:val="22"/>
        </w:rPr>
        <w:t xml:space="preserve">Centers for Disease Control and Prevention, (web page, </w:t>
      </w:r>
      <w:r w:rsidR="009463DA" w:rsidRPr="004F2DEA">
        <w:rPr>
          <w:rFonts w:ascii="Cambria" w:hAnsi="Cambria" w:cs="Garamond-BookCondensed"/>
          <w:sz w:val="22"/>
          <w:szCs w:val="22"/>
        </w:rPr>
        <w:t xml:space="preserve">August </w:t>
      </w:r>
      <w:r w:rsidRPr="004F2DEA">
        <w:rPr>
          <w:rFonts w:ascii="Cambria" w:hAnsi="Cambria" w:cs="Garamond-BookCondensed"/>
          <w:sz w:val="22"/>
          <w:szCs w:val="22"/>
        </w:rPr>
        <w:t>201</w:t>
      </w:r>
      <w:r w:rsidR="009463DA" w:rsidRPr="004F2DEA">
        <w:rPr>
          <w:rFonts w:ascii="Cambria" w:hAnsi="Cambria" w:cs="Garamond-BookCondensed"/>
          <w:sz w:val="22"/>
          <w:szCs w:val="22"/>
        </w:rPr>
        <w:t>9</w:t>
      </w:r>
      <w:r w:rsidRPr="004F2DEA">
        <w:rPr>
          <w:rFonts w:ascii="Cambria" w:hAnsi="Cambria" w:cs="Garamond-BookCondensed"/>
          <w:sz w:val="22"/>
          <w:szCs w:val="22"/>
        </w:rPr>
        <w:t>).</w:t>
      </w:r>
      <w:r w:rsidR="00F70CEE" w:rsidRPr="00C4374D">
        <w:rPr>
          <w:rFonts w:ascii="Cambria" w:hAnsi="Cambria" w:cs="Garamond-BookCondensed"/>
          <w:sz w:val="22"/>
          <w:szCs w:val="22"/>
        </w:rPr>
        <w:t xml:space="preserve"> </w:t>
      </w:r>
    </w:p>
    <w:p w14:paraId="00212255" w14:textId="77777777" w:rsidR="00AB5681" w:rsidRPr="00C4374D" w:rsidRDefault="00AB5681" w:rsidP="00AB5681">
      <w:pPr>
        <w:autoSpaceDE w:val="0"/>
        <w:autoSpaceDN w:val="0"/>
        <w:adjustRightInd w:val="0"/>
        <w:rPr>
          <w:rFonts w:ascii="Cambria" w:hAnsi="Cambria" w:cs="Garamond-BookCondensed"/>
          <w:sz w:val="16"/>
          <w:szCs w:val="16"/>
        </w:rPr>
      </w:pPr>
    </w:p>
    <w:p w14:paraId="122ECB2F" w14:textId="77777777" w:rsidR="008A0DC1" w:rsidRPr="00C4374D" w:rsidRDefault="00AB5681" w:rsidP="00AB5681">
      <w:pPr>
        <w:autoSpaceDE w:val="0"/>
        <w:autoSpaceDN w:val="0"/>
        <w:adjustRightInd w:val="0"/>
        <w:rPr>
          <w:rFonts w:ascii="Cambria" w:hAnsi="Cambria" w:cs="Arial"/>
          <w:bCs/>
          <w:color w:val="333333"/>
          <w:sz w:val="22"/>
          <w:szCs w:val="22"/>
        </w:rPr>
      </w:pPr>
      <w:r w:rsidRPr="004F2DEA">
        <w:rPr>
          <w:rFonts w:ascii="Cambria" w:hAnsi="Cambria" w:cs="Garamond-BookCondensed"/>
          <w:sz w:val="22"/>
          <w:szCs w:val="22"/>
        </w:rPr>
        <w:t>CDC. Prevention of Varicella. Recommendations of the Advisory Committee on Immunization Practices (ACIP).</w:t>
      </w:r>
      <w:r w:rsidR="00F70CEE" w:rsidRPr="004F2DEA">
        <w:rPr>
          <w:rFonts w:ascii="Cambria" w:hAnsi="Cambria" w:cs="Garamond-BookCondensed"/>
          <w:sz w:val="22"/>
          <w:szCs w:val="22"/>
        </w:rPr>
        <w:t xml:space="preserve"> </w:t>
      </w:r>
      <w:r w:rsidRPr="004F2DEA">
        <w:rPr>
          <w:rFonts w:ascii="Cambria" w:hAnsi="Cambria" w:cs="Arial"/>
          <w:bCs/>
          <w:color w:val="333333"/>
          <w:sz w:val="22"/>
          <w:szCs w:val="22"/>
          <w:lang w:val="da-DK"/>
        </w:rPr>
        <w:t xml:space="preserve">June 22, 2007 / 56(RR04);1-40. </w:t>
      </w:r>
      <w:hyperlink r:id="rId33" w:history="1">
        <w:r w:rsidRPr="004F2DEA">
          <w:rPr>
            <w:rFonts w:ascii="Cambria" w:hAnsi="Cambria" w:cs="Arial"/>
            <w:bCs/>
            <w:color w:val="0000FF"/>
            <w:sz w:val="22"/>
            <w:szCs w:val="22"/>
            <w:u w:val="single"/>
            <w:lang w:val="da-DK"/>
          </w:rPr>
          <w:t>http://www.cdc.gov/mmwr/preview/mmwrht</w:t>
        </w:r>
        <w:r w:rsidRPr="004F2DEA">
          <w:rPr>
            <w:rFonts w:ascii="Cambria" w:hAnsi="Cambria" w:cs="Arial"/>
            <w:bCs/>
            <w:color w:val="0000FF"/>
            <w:sz w:val="22"/>
            <w:szCs w:val="22"/>
            <w:u w:val="single"/>
            <w:lang w:val="da-DK"/>
          </w:rPr>
          <w:t>m</w:t>
        </w:r>
        <w:r w:rsidRPr="004F2DEA">
          <w:rPr>
            <w:rFonts w:ascii="Cambria" w:hAnsi="Cambria" w:cs="Arial"/>
            <w:bCs/>
            <w:color w:val="0000FF"/>
            <w:sz w:val="22"/>
            <w:szCs w:val="22"/>
            <w:u w:val="single"/>
            <w:lang w:val="da-DK"/>
          </w:rPr>
          <w:t>l/rr5604a1.htm</w:t>
        </w:r>
      </w:hyperlink>
    </w:p>
    <w:p w14:paraId="28357550" w14:textId="77777777" w:rsidR="008A0DC1" w:rsidRPr="00C4374D" w:rsidRDefault="008A0DC1" w:rsidP="00AB5681">
      <w:pPr>
        <w:autoSpaceDE w:val="0"/>
        <w:autoSpaceDN w:val="0"/>
        <w:adjustRightInd w:val="0"/>
        <w:rPr>
          <w:rFonts w:ascii="Cambria" w:hAnsi="Cambria" w:cs="Arial"/>
          <w:bCs/>
          <w:color w:val="333333"/>
          <w:sz w:val="22"/>
          <w:szCs w:val="22"/>
          <w:lang w:val="da-DK"/>
        </w:rPr>
      </w:pPr>
    </w:p>
    <w:p w14:paraId="25E2387D" w14:textId="77777777" w:rsidR="00AB5681" w:rsidRPr="00C4374D" w:rsidRDefault="00AB5681" w:rsidP="0067639E">
      <w:pPr>
        <w:autoSpaceDE w:val="0"/>
        <w:autoSpaceDN w:val="0"/>
        <w:adjustRightInd w:val="0"/>
        <w:rPr>
          <w:rFonts w:ascii="Cambria" w:hAnsi="Cambria"/>
          <w:sz w:val="22"/>
          <w:szCs w:val="22"/>
          <w:lang w:val="da-DK"/>
        </w:rPr>
      </w:pPr>
      <w:r w:rsidRPr="004F2DEA">
        <w:rPr>
          <w:rFonts w:ascii="Cambria" w:hAnsi="Cambria"/>
          <w:sz w:val="22"/>
          <w:szCs w:val="22"/>
        </w:rPr>
        <w:t>CDC</w:t>
      </w:r>
      <w:r w:rsidRPr="004F2DEA">
        <w:t xml:space="preserve">. </w:t>
      </w:r>
      <w:r w:rsidR="008A0DC1" w:rsidRPr="004F2DEA">
        <w:rPr>
          <w:rFonts w:ascii="Cambria" w:hAnsi="Cambria"/>
          <w:sz w:val="22"/>
          <w:szCs w:val="22"/>
        </w:rPr>
        <w:t>Varicella Vaccination Information for Healthcare Professionals</w:t>
      </w:r>
      <w:r w:rsidRPr="004F2DEA">
        <w:rPr>
          <w:rFonts w:ascii="Cambria" w:hAnsi="Cambria"/>
          <w:sz w:val="22"/>
          <w:szCs w:val="22"/>
        </w:rPr>
        <w:t xml:space="preserve">. Centers for Disease Control and Prevention. </w:t>
      </w:r>
      <w:r w:rsidR="008A0DC1" w:rsidRPr="004F2DEA">
        <w:rPr>
          <w:rFonts w:ascii="Cambria" w:hAnsi="Cambria"/>
          <w:sz w:val="22"/>
          <w:szCs w:val="22"/>
          <w:lang w:val="da-DK"/>
        </w:rPr>
        <w:t>April 2021</w:t>
      </w:r>
      <w:r w:rsidRPr="004F2DEA">
        <w:rPr>
          <w:rFonts w:ascii="Cambria" w:hAnsi="Cambria"/>
          <w:sz w:val="22"/>
          <w:szCs w:val="22"/>
          <w:lang w:val="da-DK"/>
        </w:rPr>
        <w:t>.</w:t>
      </w:r>
      <w:r w:rsidR="008A0DC1" w:rsidRPr="004F2DEA">
        <w:rPr>
          <w:rFonts w:ascii="Cambria" w:hAnsi="Cambria"/>
          <w:sz w:val="22"/>
          <w:szCs w:val="22"/>
        </w:rPr>
        <w:t xml:space="preserve"> </w:t>
      </w:r>
      <w:hyperlink r:id="rId34" w:history="1">
        <w:r w:rsidR="008A0DC1" w:rsidRPr="004F2DEA">
          <w:rPr>
            <w:rStyle w:val="Hyperlink"/>
            <w:rFonts w:ascii="Cambria" w:hAnsi="Cambria" w:cs="Garamond-BookCondensed"/>
            <w:sz w:val="22"/>
            <w:szCs w:val="22"/>
            <w:lang w:val="da-DK"/>
          </w:rPr>
          <w:t>https://www.cdc.gov/vaccines/vpd/varicella/hcp/index.html</w:t>
        </w:r>
      </w:hyperlink>
    </w:p>
    <w:p w14:paraId="729DE8D3" w14:textId="77777777" w:rsidR="00AB5681" w:rsidRPr="00C4374D" w:rsidRDefault="00AB5681" w:rsidP="00AB5681">
      <w:pPr>
        <w:autoSpaceDE w:val="0"/>
        <w:autoSpaceDN w:val="0"/>
        <w:adjustRightInd w:val="0"/>
        <w:rPr>
          <w:rFonts w:ascii="Cambria" w:hAnsi="Cambria" w:cs="Garamond-BookCondensed"/>
          <w:sz w:val="16"/>
          <w:szCs w:val="16"/>
          <w:lang w:val="da-DK"/>
        </w:rPr>
      </w:pPr>
    </w:p>
    <w:p w14:paraId="2EF9E98E" w14:textId="77777777" w:rsidR="003A2A36" w:rsidRDefault="003A2A36" w:rsidP="003A2A36">
      <w:pPr>
        <w:autoSpaceDE w:val="0"/>
        <w:autoSpaceDN w:val="0"/>
        <w:adjustRightInd w:val="0"/>
        <w:rPr>
          <w:rFonts w:ascii="Cambria" w:hAnsi="Cambria"/>
          <w:sz w:val="22"/>
          <w:szCs w:val="22"/>
        </w:rPr>
      </w:pPr>
      <w:r w:rsidRPr="00C4374D">
        <w:rPr>
          <w:rFonts w:ascii="Cambria" w:hAnsi="Cambria"/>
          <w:sz w:val="22"/>
          <w:szCs w:val="22"/>
        </w:rPr>
        <w:t>C</w:t>
      </w:r>
      <w:r w:rsidRPr="004F2DEA">
        <w:rPr>
          <w:rFonts w:ascii="Cambria" w:hAnsi="Cambria"/>
          <w:sz w:val="22"/>
          <w:szCs w:val="22"/>
        </w:rPr>
        <w:t xml:space="preserve">DC. Varicella Outbreak Identification, Investigation, and Control, Centers for Disease Control and Prevention April 2021 </w:t>
      </w:r>
      <w:hyperlink r:id="rId35" w:history="1">
        <w:r w:rsidRPr="004F2DEA">
          <w:rPr>
            <w:rStyle w:val="Hyperlink"/>
            <w:rFonts w:ascii="Cambria" w:hAnsi="Cambria"/>
            <w:sz w:val="22"/>
            <w:szCs w:val="22"/>
          </w:rPr>
          <w:t>https://www.cdc.gov/chickenpox/outbreaks.html</w:t>
        </w:r>
      </w:hyperlink>
    </w:p>
    <w:p w14:paraId="4481ACA6" w14:textId="77777777" w:rsidR="00AB5681" w:rsidRPr="00D61E89" w:rsidRDefault="00AB5681" w:rsidP="00AB5681">
      <w:pPr>
        <w:autoSpaceDE w:val="0"/>
        <w:autoSpaceDN w:val="0"/>
        <w:adjustRightInd w:val="0"/>
        <w:rPr>
          <w:rFonts w:ascii="Cambria" w:hAnsi="Cambria" w:cs="Garamond-BookCondensed"/>
          <w:sz w:val="22"/>
          <w:szCs w:val="22"/>
        </w:rPr>
      </w:pPr>
    </w:p>
    <w:p w14:paraId="3DC941C2" w14:textId="77777777" w:rsidR="00AB5681" w:rsidRPr="00D61E89" w:rsidRDefault="00AB5681" w:rsidP="00AB5681">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 xml:space="preserve">Heymann, D., ed. </w:t>
      </w:r>
      <w:r w:rsidRPr="004F2DEA">
        <w:rPr>
          <w:rFonts w:ascii="Cambria" w:hAnsi="Cambria" w:cs="Garamond-BookCondensed"/>
          <w:i/>
          <w:sz w:val="22"/>
          <w:szCs w:val="22"/>
        </w:rPr>
        <w:t xml:space="preserve">Control of Communicable Diseases Manual, </w:t>
      </w:r>
      <w:r w:rsidR="003A2A36" w:rsidRPr="004F2DEA">
        <w:rPr>
          <w:rFonts w:ascii="Cambria" w:hAnsi="Cambria" w:cs="Garamond-BookCondensed"/>
          <w:i/>
          <w:sz w:val="22"/>
          <w:szCs w:val="22"/>
        </w:rPr>
        <w:t>21st</w:t>
      </w:r>
      <w:r w:rsidRPr="004F2DEA">
        <w:rPr>
          <w:rFonts w:ascii="Cambria" w:hAnsi="Cambria" w:cs="Garamond-BookCondensed"/>
          <w:i/>
          <w:sz w:val="22"/>
          <w:szCs w:val="22"/>
        </w:rPr>
        <w:t xml:space="preserve"> Edition</w:t>
      </w:r>
      <w:r w:rsidRPr="004F2DEA">
        <w:rPr>
          <w:rFonts w:ascii="Cambria" w:hAnsi="Cambria" w:cs="Garamond-BookCondensedItalic"/>
          <w:i/>
          <w:iCs/>
          <w:sz w:val="22"/>
          <w:szCs w:val="22"/>
        </w:rPr>
        <w:t xml:space="preserve">. </w:t>
      </w:r>
      <w:r w:rsidRPr="004F2DEA">
        <w:rPr>
          <w:rFonts w:ascii="Cambria" w:hAnsi="Cambria" w:cs="Garamond-BookCondensed"/>
          <w:sz w:val="22"/>
          <w:szCs w:val="22"/>
        </w:rPr>
        <w:t>Washington, DC, American Public Health Association, 20</w:t>
      </w:r>
      <w:r w:rsidR="00AC5A67" w:rsidRPr="004F2DEA">
        <w:rPr>
          <w:rFonts w:ascii="Cambria" w:hAnsi="Cambria" w:cs="Garamond-BookCondensed"/>
          <w:sz w:val="22"/>
          <w:szCs w:val="22"/>
        </w:rPr>
        <w:t>22</w:t>
      </w:r>
      <w:r w:rsidRPr="004F2DEA">
        <w:rPr>
          <w:rFonts w:ascii="Cambria" w:hAnsi="Cambria" w:cs="Garamond-BookCondensed"/>
          <w:sz w:val="22"/>
          <w:szCs w:val="22"/>
        </w:rPr>
        <w:t>.</w:t>
      </w:r>
    </w:p>
    <w:p w14:paraId="6CEC8711" w14:textId="77777777" w:rsidR="00AB5681" w:rsidRPr="005E0BF8" w:rsidRDefault="00AB5681" w:rsidP="00AB5681">
      <w:pPr>
        <w:autoSpaceDE w:val="0"/>
        <w:autoSpaceDN w:val="0"/>
        <w:adjustRightInd w:val="0"/>
        <w:rPr>
          <w:rFonts w:ascii="Cambria" w:hAnsi="Cambria" w:cs="Garamond-BookCondensed"/>
          <w:sz w:val="16"/>
          <w:szCs w:val="16"/>
        </w:rPr>
      </w:pPr>
    </w:p>
    <w:p w14:paraId="49067DFA" w14:textId="77777777" w:rsidR="00AB5681" w:rsidRPr="00D61E89" w:rsidRDefault="00AB5681" w:rsidP="00AB5681">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Ihekwaba, UK, Goura K, and McKendrick MW.</w:t>
      </w:r>
      <w:r w:rsidR="00F70CEE" w:rsidRPr="00D61E89">
        <w:rPr>
          <w:rFonts w:ascii="Cambria" w:hAnsi="Cambria" w:cs="Garamond-BookCondensed"/>
          <w:sz w:val="22"/>
          <w:szCs w:val="22"/>
        </w:rPr>
        <w:t xml:space="preserve"> </w:t>
      </w:r>
      <w:r w:rsidRPr="00D61E89">
        <w:rPr>
          <w:rFonts w:ascii="Cambria" w:hAnsi="Cambria" w:cs="Garamond-BookCondensed"/>
          <w:sz w:val="22"/>
          <w:szCs w:val="22"/>
        </w:rPr>
        <w:t>Clinical Features of Viral Meningitis in Adults:</w:t>
      </w:r>
      <w:r w:rsidR="00F70CEE" w:rsidRPr="00D61E89">
        <w:rPr>
          <w:rFonts w:ascii="Cambria" w:hAnsi="Cambria" w:cs="Garamond-BookCondensed"/>
          <w:sz w:val="22"/>
          <w:szCs w:val="22"/>
        </w:rPr>
        <w:t xml:space="preserve"> </w:t>
      </w:r>
      <w:r w:rsidRPr="00D61E89">
        <w:rPr>
          <w:rFonts w:ascii="Cambria" w:hAnsi="Cambria" w:cs="Garamond-BookCondensed"/>
          <w:sz w:val="22"/>
          <w:szCs w:val="22"/>
        </w:rPr>
        <w:t>Significant Differences in Cerebrospinal Fluid Findings among Herpes Simplex Virus, Varicella Zoster Virus, and Enterovirus Infections.</w:t>
      </w:r>
      <w:r w:rsidR="00F70CEE" w:rsidRPr="00D61E89">
        <w:rPr>
          <w:rFonts w:ascii="Cambria" w:hAnsi="Cambria" w:cs="Garamond-BookCondensed"/>
          <w:sz w:val="22"/>
          <w:szCs w:val="22"/>
        </w:rPr>
        <w:t xml:space="preserve"> </w:t>
      </w:r>
      <w:r w:rsidRPr="00D61E89">
        <w:rPr>
          <w:rFonts w:ascii="Cambria" w:hAnsi="Cambria" w:cs="Garamond-BookCondensed"/>
          <w:sz w:val="22"/>
          <w:szCs w:val="22"/>
        </w:rPr>
        <w:t>Clinical Infectious Diseases 2008; 47:783-9.</w:t>
      </w:r>
    </w:p>
    <w:p w14:paraId="191BC1C1" w14:textId="77777777" w:rsidR="00AB5681" w:rsidRPr="005E0BF8" w:rsidRDefault="00AB5681" w:rsidP="00AB5681">
      <w:pPr>
        <w:autoSpaceDE w:val="0"/>
        <w:autoSpaceDN w:val="0"/>
        <w:adjustRightInd w:val="0"/>
        <w:rPr>
          <w:rFonts w:ascii="Cambria" w:hAnsi="Cambria" w:cs="Garamond-BookCondensed"/>
          <w:sz w:val="16"/>
          <w:szCs w:val="16"/>
        </w:rPr>
      </w:pPr>
    </w:p>
    <w:p w14:paraId="58E4CC19" w14:textId="77777777" w:rsidR="00AB5681" w:rsidRPr="00C4374D" w:rsidRDefault="00AB5681" w:rsidP="00AB5681">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 xml:space="preserve">MDPH. </w:t>
      </w:r>
      <w:r w:rsidRPr="004F2DEA">
        <w:rPr>
          <w:rFonts w:ascii="Cambria" w:hAnsi="Cambria" w:cs="Garamond-BookCondensed"/>
          <w:i/>
          <w:sz w:val="22"/>
          <w:szCs w:val="22"/>
        </w:rPr>
        <w:t xml:space="preserve">The Comprehensive </w:t>
      </w:r>
      <w:hyperlink r:id="rId36" w:history="1">
        <w:r w:rsidRPr="004F2DEA">
          <w:rPr>
            <w:rFonts w:ascii="Cambria" w:hAnsi="Cambria" w:cs="Garamond-BookCondensed"/>
            <w:i/>
            <w:color w:val="0000FF"/>
            <w:sz w:val="22"/>
            <w:szCs w:val="22"/>
            <w:u w:val="single"/>
          </w:rPr>
          <w:t>School Health Manual</w:t>
        </w:r>
      </w:hyperlink>
      <w:r w:rsidRPr="004F2DEA">
        <w:rPr>
          <w:rFonts w:ascii="Cambria" w:hAnsi="Cambria" w:cs="Garamond-BookCondensed"/>
          <w:sz w:val="22"/>
          <w:szCs w:val="22"/>
        </w:rPr>
        <w:t>. MDPH, 2007.</w:t>
      </w:r>
    </w:p>
    <w:p w14:paraId="5C76C3C1" w14:textId="77777777" w:rsidR="00AB5681" w:rsidRPr="00C4374D" w:rsidRDefault="00AB5681" w:rsidP="00AB5681">
      <w:pPr>
        <w:autoSpaceDE w:val="0"/>
        <w:autoSpaceDN w:val="0"/>
        <w:adjustRightInd w:val="0"/>
        <w:rPr>
          <w:rFonts w:ascii="Cambria" w:hAnsi="Cambria" w:cs="Garamond-BookCondensed"/>
          <w:sz w:val="16"/>
          <w:szCs w:val="16"/>
        </w:rPr>
      </w:pPr>
    </w:p>
    <w:p w14:paraId="5340B9CD" w14:textId="77777777" w:rsidR="00AB5681" w:rsidRPr="00D61E89" w:rsidRDefault="00AB5681" w:rsidP="00AB5681">
      <w:p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 xml:space="preserve">MDPH. </w:t>
      </w:r>
      <w:r w:rsidRPr="004F2DEA">
        <w:rPr>
          <w:rFonts w:ascii="Cambria" w:hAnsi="Cambria" w:cs="Garamond-BookCondensed"/>
          <w:i/>
          <w:sz w:val="22"/>
          <w:szCs w:val="22"/>
        </w:rPr>
        <w:t>Regulation 105 CMR 300.</w:t>
      </w:r>
      <w:r w:rsidR="00C4374D">
        <w:rPr>
          <w:rFonts w:ascii="Cambria" w:hAnsi="Cambria" w:cs="Garamond-BookCondensed"/>
          <w:i/>
          <w:sz w:val="22"/>
          <w:szCs w:val="22"/>
        </w:rPr>
        <w:t>0</w:t>
      </w:r>
      <w:r w:rsidRPr="004F2DEA">
        <w:rPr>
          <w:rFonts w:ascii="Cambria" w:hAnsi="Cambria" w:cs="Garamond-BookCondensed"/>
          <w:i/>
          <w:sz w:val="22"/>
          <w:szCs w:val="22"/>
        </w:rPr>
        <w:t>00: Reportable Diseases, Surveillance, and Isolation and</w:t>
      </w:r>
      <w:r w:rsidRPr="004F2DEA">
        <w:rPr>
          <w:rFonts w:ascii="Cambria" w:hAnsi="Cambria" w:cs="Garamond-BookCondensedItalic"/>
          <w:i/>
          <w:iCs/>
          <w:sz w:val="22"/>
          <w:szCs w:val="22"/>
        </w:rPr>
        <w:t xml:space="preserve"> </w:t>
      </w:r>
      <w:r w:rsidRPr="004F2DEA">
        <w:rPr>
          <w:rFonts w:ascii="Cambria" w:hAnsi="Cambria" w:cs="Garamond-BookCondensed"/>
          <w:i/>
          <w:sz w:val="22"/>
          <w:szCs w:val="22"/>
        </w:rPr>
        <w:t>Quarantine Requirements</w:t>
      </w:r>
      <w:r w:rsidRPr="004F2DEA">
        <w:rPr>
          <w:rFonts w:ascii="Cambria" w:hAnsi="Cambria" w:cs="Garamond-BookCondensedItalic"/>
          <w:i/>
          <w:iCs/>
          <w:sz w:val="22"/>
          <w:szCs w:val="22"/>
        </w:rPr>
        <w:t xml:space="preserve">. </w:t>
      </w:r>
      <w:r w:rsidRPr="004F2DEA">
        <w:rPr>
          <w:rFonts w:ascii="Cambria" w:hAnsi="Cambria" w:cs="Garamond-BookCondensed"/>
          <w:sz w:val="22"/>
          <w:szCs w:val="22"/>
        </w:rPr>
        <w:t xml:space="preserve">MDPH, Effective </w:t>
      </w:r>
      <w:r w:rsidR="00EA196B" w:rsidRPr="004F2DEA">
        <w:rPr>
          <w:rFonts w:ascii="Cambria" w:hAnsi="Cambria" w:cs="Garamond-BookCondensed"/>
          <w:sz w:val="22"/>
          <w:szCs w:val="22"/>
        </w:rPr>
        <w:t>May 2022</w:t>
      </w:r>
      <w:r w:rsidRPr="004F2DEA">
        <w:rPr>
          <w:rFonts w:ascii="Cambria" w:hAnsi="Cambria" w:cs="Garamond-BookCondensed"/>
          <w:sz w:val="22"/>
          <w:szCs w:val="22"/>
        </w:rPr>
        <w:t>.</w:t>
      </w:r>
    </w:p>
    <w:p w14:paraId="7524BC85" w14:textId="77777777" w:rsidR="00AB5681" w:rsidRPr="005E0BF8" w:rsidRDefault="00AB5681" w:rsidP="00AB5681">
      <w:pPr>
        <w:autoSpaceDE w:val="0"/>
        <w:autoSpaceDN w:val="0"/>
        <w:adjustRightInd w:val="0"/>
        <w:rPr>
          <w:rFonts w:ascii="Cambria" w:hAnsi="Cambria" w:cs="Garamond-BookCondensed"/>
          <w:sz w:val="16"/>
          <w:szCs w:val="16"/>
        </w:rPr>
      </w:pPr>
    </w:p>
    <w:p w14:paraId="1D612C5C" w14:textId="77777777" w:rsidR="00AB5681" w:rsidRDefault="00AB5681" w:rsidP="00AB5681">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Wharton, M. The Epidemiology of Varicella-Zoster Virus Infections. </w:t>
      </w:r>
      <w:r w:rsidRPr="00D61E89">
        <w:rPr>
          <w:rFonts w:ascii="Cambria" w:hAnsi="Cambria" w:cs="Garamond-BookCondensed"/>
          <w:i/>
          <w:sz w:val="22"/>
          <w:szCs w:val="22"/>
        </w:rPr>
        <w:t>Infectious Disease Clinics of North America.</w:t>
      </w:r>
      <w:r w:rsidRPr="00D61E89">
        <w:rPr>
          <w:rFonts w:ascii="Cambria" w:hAnsi="Cambria" w:cs="Garamond-BookCondensed"/>
          <w:sz w:val="22"/>
          <w:szCs w:val="22"/>
        </w:rPr>
        <w:t xml:space="preserve"> September 1996; 10: 3.</w:t>
      </w:r>
    </w:p>
    <w:p w14:paraId="33EF8A95" w14:textId="77777777" w:rsidR="00AB5681" w:rsidRPr="00D61E89" w:rsidRDefault="00AB5681" w:rsidP="00AB5681">
      <w:pPr>
        <w:autoSpaceDE w:val="0"/>
        <w:autoSpaceDN w:val="0"/>
        <w:adjustRightInd w:val="0"/>
        <w:rPr>
          <w:rFonts w:ascii="TradeGothic-BoldCondTwenty" w:hAnsi="TradeGothic-BoldCondTwenty" w:cs="TradeGothic-BoldCondTwenty"/>
          <w:b/>
          <w:bCs/>
          <w:sz w:val="28"/>
          <w:szCs w:val="28"/>
        </w:rPr>
      </w:pPr>
    </w:p>
    <w:p w14:paraId="07A442B6" w14:textId="77777777" w:rsidR="00AB5681" w:rsidRPr="00D61E89" w:rsidRDefault="00AB5681" w:rsidP="00AB5681">
      <w:pPr>
        <w:autoSpaceDE w:val="0"/>
        <w:autoSpaceDN w:val="0"/>
        <w:adjustRightInd w:val="0"/>
        <w:rPr>
          <w:rFonts w:ascii="TradeGothic-BoldCondTwenty" w:hAnsi="TradeGothic-BoldCondTwenty" w:cs="TradeGothic-BoldCondTwenty"/>
          <w:b/>
          <w:bCs/>
          <w:sz w:val="28"/>
          <w:szCs w:val="28"/>
        </w:rPr>
      </w:pPr>
      <w:r w:rsidRPr="00D61E89">
        <w:rPr>
          <w:rFonts w:ascii="TradeGothic-BoldCondTwenty" w:hAnsi="TradeGothic-BoldCondTwenty" w:cs="TradeGothic-BoldCondTwenty"/>
          <w:b/>
          <w:bCs/>
          <w:sz w:val="28"/>
          <w:szCs w:val="28"/>
        </w:rPr>
        <w:t>ATTACHMENTS</w:t>
      </w:r>
    </w:p>
    <w:p w14:paraId="439FE5A8" w14:textId="77777777" w:rsidR="00AB5681" w:rsidRPr="005E0BF8" w:rsidRDefault="00AB5681" w:rsidP="00AB5681">
      <w:pPr>
        <w:autoSpaceDE w:val="0"/>
        <w:autoSpaceDN w:val="0"/>
        <w:adjustRightInd w:val="0"/>
        <w:rPr>
          <w:rFonts w:ascii="Cambria" w:hAnsi="Cambria" w:cs="TradeGothic-BoldCondTwenty"/>
          <w:b/>
          <w:bCs/>
        </w:rPr>
      </w:pPr>
    </w:p>
    <w:p w14:paraId="683A37F1" w14:textId="77777777" w:rsidR="00AB5681" w:rsidRPr="005E0BF8" w:rsidRDefault="00AB5681" w:rsidP="00AB5681">
      <w:pPr>
        <w:autoSpaceDE w:val="0"/>
        <w:autoSpaceDN w:val="0"/>
        <w:adjustRightInd w:val="0"/>
        <w:rPr>
          <w:rFonts w:ascii="Cambria" w:hAnsi="Cambria" w:cs="Garamond-BookCondensed"/>
          <w:b/>
          <w:vertAlign w:val="superscript"/>
        </w:rPr>
      </w:pPr>
      <w:r w:rsidRPr="005E0BF8">
        <w:rPr>
          <w:rFonts w:ascii="Cambria" w:hAnsi="Cambria" w:cs="Garamond-BookCondensed"/>
          <w:i/>
        </w:rPr>
        <w:t>Attachment A: Evidence of Immunity to Varicella</w:t>
      </w:r>
    </w:p>
    <w:p w14:paraId="1C81178F" w14:textId="77777777" w:rsidR="00AB5681" w:rsidRPr="005E0BF8" w:rsidRDefault="00AB5681" w:rsidP="00AB5681">
      <w:pPr>
        <w:autoSpaceDE w:val="0"/>
        <w:autoSpaceDN w:val="0"/>
        <w:adjustRightInd w:val="0"/>
        <w:rPr>
          <w:rFonts w:ascii="Cambria" w:hAnsi="Cambria" w:cs="Garamond-BookCondensed"/>
          <w:i/>
        </w:rPr>
      </w:pPr>
    </w:p>
    <w:p w14:paraId="1F7177DB" w14:textId="77777777" w:rsidR="00AB5681" w:rsidRPr="005E0BF8" w:rsidRDefault="00AB5681" w:rsidP="00AB5681">
      <w:pPr>
        <w:autoSpaceDE w:val="0"/>
        <w:autoSpaceDN w:val="0"/>
        <w:adjustRightInd w:val="0"/>
        <w:rPr>
          <w:rFonts w:ascii="Cambria" w:hAnsi="Cambria" w:cs="Garamond-BookCondensed"/>
          <w:i/>
        </w:rPr>
      </w:pPr>
      <w:r w:rsidRPr="005E0BF8">
        <w:rPr>
          <w:rFonts w:ascii="Cambria" w:hAnsi="Cambria" w:cs="Garamond-BookCondensed"/>
          <w:i/>
        </w:rPr>
        <w:t xml:space="preserve">Attachment B: Guidelines for Evaluating Chickenpox-Like Rash </w:t>
      </w:r>
    </w:p>
    <w:p w14:paraId="5F0FDB28" w14:textId="77777777" w:rsidR="00AB5681" w:rsidRPr="005E0BF8" w:rsidRDefault="00AB5681" w:rsidP="00AB5681">
      <w:pPr>
        <w:autoSpaceDE w:val="0"/>
        <w:autoSpaceDN w:val="0"/>
        <w:adjustRightInd w:val="0"/>
        <w:rPr>
          <w:rFonts w:ascii="Cambria" w:hAnsi="Cambria" w:cs="Garamond-BookCondensed"/>
          <w:i/>
        </w:rPr>
      </w:pPr>
    </w:p>
    <w:p w14:paraId="7E577C1F" w14:textId="77777777" w:rsidR="00AB5681" w:rsidRDefault="00AB5681" w:rsidP="00AB5681">
      <w:pPr>
        <w:autoSpaceDE w:val="0"/>
        <w:autoSpaceDN w:val="0"/>
        <w:adjustRightInd w:val="0"/>
        <w:rPr>
          <w:rFonts w:ascii="Cambria" w:hAnsi="Cambria" w:cs="Garamond-BoldCondensed"/>
          <w:bCs/>
          <w:i/>
        </w:rPr>
      </w:pPr>
      <w:r w:rsidRPr="005E0BF8">
        <w:rPr>
          <w:rFonts w:ascii="Cambria" w:hAnsi="Cambria" w:cs="Garamond-BookCondensed"/>
          <w:i/>
        </w:rPr>
        <w:t xml:space="preserve">Attachment </w:t>
      </w:r>
      <w:r w:rsidR="00AF6C88">
        <w:rPr>
          <w:rFonts w:ascii="Cambria" w:hAnsi="Cambria" w:cs="Garamond-BookCondensed"/>
          <w:i/>
        </w:rPr>
        <w:t>C</w:t>
      </w:r>
      <w:r w:rsidRPr="005E0BF8">
        <w:rPr>
          <w:rFonts w:ascii="Cambria" w:hAnsi="Cambria" w:cs="Garamond-BookCondensed"/>
          <w:i/>
        </w:rPr>
        <w:t xml:space="preserve">: </w:t>
      </w:r>
      <w:r w:rsidRPr="005E0BF8">
        <w:rPr>
          <w:rFonts w:ascii="Cambria" w:hAnsi="Cambria" w:cs="Garamond-BoldCondensed"/>
          <w:bCs/>
          <w:i/>
        </w:rPr>
        <w:t>Guidance for Interpreting a Past History of Chickenpox</w:t>
      </w:r>
    </w:p>
    <w:p w14:paraId="7D41B55B" w14:textId="77777777" w:rsidR="00A87D8F" w:rsidRDefault="00A87D8F" w:rsidP="00AB5681">
      <w:pPr>
        <w:autoSpaceDE w:val="0"/>
        <w:autoSpaceDN w:val="0"/>
        <w:adjustRightInd w:val="0"/>
        <w:rPr>
          <w:rFonts w:ascii="Cambria" w:hAnsi="Cambria" w:cs="Garamond-BoldCondensed"/>
          <w:bCs/>
          <w:i/>
        </w:rPr>
      </w:pPr>
    </w:p>
    <w:p w14:paraId="5CD76D40" w14:textId="77777777" w:rsidR="00A87D8F" w:rsidRDefault="00A87D8F" w:rsidP="00AB5681">
      <w:pPr>
        <w:autoSpaceDE w:val="0"/>
        <w:autoSpaceDN w:val="0"/>
        <w:adjustRightInd w:val="0"/>
        <w:rPr>
          <w:rFonts w:ascii="Cambria" w:hAnsi="Cambria" w:cs="Garamond-BoldCondensed"/>
          <w:bCs/>
          <w:i/>
        </w:rPr>
      </w:pPr>
      <w:r>
        <w:rPr>
          <w:rFonts w:ascii="Cambria" w:hAnsi="Cambria" w:cs="Garamond-BoldCondensed"/>
          <w:bCs/>
          <w:i/>
        </w:rPr>
        <w:t xml:space="preserve">Attachment D: </w:t>
      </w:r>
      <w:r w:rsidRPr="00A87D8F">
        <w:rPr>
          <w:rFonts w:ascii="Cambria" w:hAnsi="Cambria" w:cs="Garamond-BoldCondensed"/>
          <w:bCs/>
          <w:i/>
        </w:rPr>
        <w:t>Notes about VariZIG and IVIG Following an Exposure</w:t>
      </w:r>
    </w:p>
    <w:p w14:paraId="4F872091" w14:textId="77777777" w:rsidR="00D36F28" w:rsidRDefault="00D36F28" w:rsidP="00AB5681">
      <w:pPr>
        <w:autoSpaceDE w:val="0"/>
        <w:autoSpaceDN w:val="0"/>
        <w:adjustRightInd w:val="0"/>
        <w:rPr>
          <w:rFonts w:ascii="Cambria" w:hAnsi="Cambria" w:cs="Garamond-BoldCondensed"/>
          <w:bCs/>
          <w:i/>
        </w:rPr>
      </w:pPr>
    </w:p>
    <w:p w14:paraId="0DF93F3C" w14:textId="77777777" w:rsidR="00D36F28" w:rsidRDefault="00D36F28" w:rsidP="00AB5681">
      <w:pPr>
        <w:autoSpaceDE w:val="0"/>
        <w:autoSpaceDN w:val="0"/>
        <w:adjustRightInd w:val="0"/>
        <w:rPr>
          <w:rFonts w:ascii="Cambria" w:hAnsi="Cambria" w:cs="Garamond-BoldCondensed"/>
          <w:bCs/>
          <w:i/>
        </w:rPr>
      </w:pPr>
    </w:p>
    <w:p w14:paraId="2DFB8B22" w14:textId="77777777" w:rsidR="00D36F28" w:rsidRDefault="00D36F28" w:rsidP="00AB5681">
      <w:pPr>
        <w:autoSpaceDE w:val="0"/>
        <w:autoSpaceDN w:val="0"/>
        <w:adjustRightInd w:val="0"/>
        <w:rPr>
          <w:rFonts w:ascii="Cambria" w:hAnsi="Cambria" w:cs="Garamond-BoldCondensed"/>
          <w:bCs/>
          <w:i/>
        </w:rPr>
      </w:pPr>
    </w:p>
    <w:p w14:paraId="261562E2" w14:textId="77777777" w:rsidR="00D36F28" w:rsidRDefault="00D36F28" w:rsidP="00AB5681">
      <w:pPr>
        <w:autoSpaceDE w:val="0"/>
        <w:autoSpaceDN w:val="0"/>
        <w:adjustRightInd w:val="0"/>
        <w:rPr>
          <w:rFonts w:ascii="Cambria" w:hAnsi="Cambria" w:cs="Garamond-BoldCondensed"/>
          <w:bCs/>
          <w:i/>
        </w:rPr>
      </w:pPr>
    </w:p>
    <w:p w14:paraId="1D7F2F2D" w14:textId="77777777" w:rsidR="00D36F28" w:rsidRPr="005E0BF8" w:rsidRDefault="00D36F28" w:rsidP="00AB5681">
      <w:pPr>
        <w:autoSpaceDE w:val="0"/>
        <w:autoSpaceDN w:val="0"/>
        <w:adjustRightInd w:val="0"/>
        <w:rPr>
          <w:rFonts w:ascii="Cambria" w:hAnsi="Cambria" w:cs="Garamond-BoldCondensed"/>
          <w:b/>
          <w:bCs/>
        </w:rPr>
      </w:pPr>
    </w:p>
    <w:p w14:paraId="3341983B" w14:textId="77777777" w:rsidR="00AB5681" w:rsidRPr="005E0BF8" w:rsidRDefault="00AB5681" w:rsidP="00AB5681">
      <w:pPr>
        <w:autoSpaceDE w:val="0"/>
        <w:autoSpaceDN w:val="0"/>
        <w:adjustRightInd w:val="0"/>
        <w:rPr>
          <w:rFonts w:ascii="Cambria" w:hAnsi="Cambria" w:cs="Garamond-BookCondensed"/>
          <w:i/>
        </w:rPr>
      </w:pPr>
    </w:p>
    <w:p w14:paraId="7679E2D3" w14:textId="77777777" w:rsidR="00DC46FC" w:rsidRPr="005E0BF8" w:rsidRDefault="00DC46FC" w:rsidP="00AB5681">
      <w:pPr>
        <w:autoSpaceDE w:val="0"/>
        <w:autoSpaceDN w:val="0"/>
        <w:adjustRightInd w:val="0"/>
        <w:rPr>
          <w:rFonts w:ascii="Cambria" w:hAnsi="Cambria" w:cs="Garamond-BookCondensed"/>
          <w:i/>
        </w:rPr>
        <w:sectPr w:rsidR="00DC46FC" w:rsidRPr="005E0BF8" w:rsidSect="004F2DEA">
          <w:headerReference w:type="default" r:id="rId37"/>
          <w:footerReference w:type="default" r:id="rId38"/>
          <w:pgSz w:w="12240" w:h="15840"/>
          <w:pgMar w:top="1267" w:right="1800" w:bottom="1440" w:left="1080" w:header="720" w:footer="720" w:gutter="0"/>
          <w:pgNumType w:start="1"/>
          <w:cols w:space="720"/>
          <w:titlePg/>
          <w:docGrid w:linePitch="326"/>
        </w:sectPr>
      </w:pPr>
    </w:p>
    <w:p w14:paraId="3CFFBF39" w14:textId="77777777" w:rsidR="00AB5681" w:rsidRPr="00D61E89" w:rsidRDefault="00AB5681" w:rsidP="00AB5681">
      <w:pPr>
        <w:autoSpaceDE w:val="0"/>
        <w:autoSpaceDN w:val="0"/>
        <w:adjustRightInd w:val="0"/>
        <w:jc w:val="center"/>
        <w:rPr>
          <w:rFonts w:ascii="Arial" w:hAnsi="Arial" w:cs="Arial"/>
          <w:b/>
          <w:bCs/>
        </w:rPr>
      </w:pPr>
      <w:r w:rsidRPr="00D61E89">
        <w:rPr>
          <w:rFonts w:ascii="Arial" w:hAnsi="Arial" w:cs="Arial"/>
          <w:b/>
          <w:bCs/>
        </w:rPr>
        <w:t>Attachment A</w:t>
      </w:r>
    </w:p>
    <w:p w14:paraId="3A57D03D" w14:textId="77777777" w:rsidR="00AB5681" w:rsidRPr="00D61E89" w:rsidRDefault="00AB5681" w:rsidP="00AB5681">
      <w:pPr>
        <w:autoSpaceDE w:val="0"/>
        <w:autoSpaceDN w:val="0"/>
        <w:adjustRightInd w:val="0"/>
        <w:rPr>
          <w:rFonts w:ascii="TradeGothic-BoldCondTwenty" w:hAnsi="TradeGothic-BoldCondTwenty" w:cs="TradeGothic-BoldCondTwenty"/>
          <w:b/>
          <w:bCs/>
          <w:sz w:val="28"/>
          <w:szCs w:val="28"/>
        </w:rPr>
      </w:pP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B5681" w:rsidRPr="00D61E89" w14:paraId="6BA922CC" w14:textId="77777777" w:rsidTr="00DA5592">
        <w:trPr>
          <w:trHeight w:val="586"/>
        </w:trPr>
        <w:tc>
          <w:tcPr>
            <w:tcW w:w="10440" w:type="dxa"/>
          </w:tcPr>
          <w:p w14:paraId="55DC8887" w14:textId="77777777" w:rsidR="00AB5681" w:rsidRPr="00D61E89" w:rsidRDefault="00AB5681" w:rsidP="00AB5681">
            <w:pPr>
              <w:autoSpaceDE w:val="0"/>
              <w:autoSpaceDN w:val="0"/>
              <w:adjustRightInd w:val="0"/>
              <w:jc w:val="center"/>
              <w:rPr>
                <w:rFonts w:ascii="Garamond-BookCondensed" w:hAnsi="Garamond-BookCondensed" w:cs="Garamond-BookCondensed"/>
                <w:b/>
                <w:sz w:val="22"/>
                <w:szCs w:val="22"/>
              </w:rPr>
            </w:pPr>
          </w:p>
          <w:p w14:paraId="086E911E" w14:textId="77777777" w:rsidR="00AB5681" w:rsidRPr="00D61E89" w:rsidRDefault="00AB5681" w:rsidP="00AB5681">
            <w:pPr>
              <w:autoSpaceDE w:val="0"/>
              <w:autoSpaceDN w:val="0"/>
              <w:adjustRightInd w:val="0"/>
              <w:jc w:val="center"/>
              <w:rPr>
                <w:rFonts w:ascii="Arial" w:hAnsi="Arial" w:cs="Arial"/>
                <w:b/>
                <w:sz w:val="22"/>
                <w:szCs w:val="22"/>
                <w:vertAlign w:val="superscript"/>
              </w:rPr>
            </w:pPr>
            <w:r w:rsidRPr="00D61E89">
              <w:rPr>
                <w:rFonts w:ascii="Arial" w:hAnsi="Arial" w:cs="Arial"/>
                <w:b/>
                <w:sz w:val="22"/>
                <w:szCs w:val="22"/>
              </w:rPr>
              <w:t>Evidence of Immunity to Varicella</w:t>
            </w:r>
            <w:r w:rsidRPr="00D61E89">
              <w:rPr>
                <w:rFonts w:ascii="Arial" w:hAnsi="Arial" w:cs="Arial"/>
                <w:b/>
                <w:sz w:val="22"/>
                <w:szCs w:val="22"/>
                <w:vertAlign w:val="superscript"/>
              </w:rPr>
              <w:t>1</w:t>
            </w:r>
          </w:p>
          <w:p w14:paraId="14C1D8DC" w14:textId="77777777" w:rsidR="00AB5681" w:rsidRPr="00D61E89" w:rsidRDefault="00AB5681" w:rsidP="00AB5681">
            <w:pPr>
              <w:autoSpaceDE w:val="0"/>
              <w:autoSpaceDN w:val="0"/>
              <w:adjustRightInd w:val="0"/>
              <w:jc w:val="center"/>
              <w:rPr>
                <w:rFonts w:ascii="Garamond-BookCondensed" w:hAnsi="Garamond-BookCondensed" w:cs="Garamond-BookCondensed"/>
                <w:b/>
                <w:sz w:val="22"/>
                <w:szCs w:val="22"/>
              </w:rPr>
            </w:pPr>
          </w:p>
        </w:tc>
      </w:tr>
      <w:tr w:rsidR="00AB5681" w:rsidRPr="00D61E89" w14:paraId="10521718" w14:textId="77777777" w:rsidTr="00DA5592">
        <w:trPr>
          <w:trHeight w:val="2582"/>
        </w:trPr>
        <w:tc>
          <w:tcPr>
            <w:tcW w:w="10440" w:type="dxa"/>
          </w:tcPr>
          <w:p w14:paraId="52A8D2C3" w14:textId="77777777" w:rsidR="00AB5681" w:rsidRPr="00D61E89" w:rsidRDefault="00AB5681" w:rsidP="004F669C">
            <w:pPr>
              <w:keepNext/>
              <w:pBdr>
                <w:top w:val="single" w:sz="12" w:space="1" w:color="auto"/>
                <w:left w:val="single" w:sz="12" w:space="4" w:color="auto"/>
                <w:bottom w:val="single" w:sz="12" w:space="1" w:color="auto"/>
                <w:right w:val="single" w:sz="12" w:space="4" w:color="auto"/>
              </w:pBdr>
              <w:spacing w:before="60" w:after="80"/>
              <w:rPr>
                <w:rFonts w:ascii="Cambria" w:hAnsi="Cambria"/>
                <w:szCs w:val="20"/>
              </w:rPr>
            </w:pPr>
            <w:r w:rsidRPr="00D61E89">
              <w:rPr>
                <w:rFonts w:ascii="Cambria" w:hAnsi="Cambria"/>
                <w:szCs w:val="20"/>
              </w:rPr>
              <w:t>Evidence of immunity to varicella includes any of the following:</w:t>
            </w:r>
          </w:p>
          <w:p w14:paraId="31AA56FC" w14:textId="77777777" w:rsidR="00AB5681" w:rsidRPr="00D61E89" w:rsidRDefault="00AB5681" w:rsidP="004F669C">
            <w:pPr>
              <w:keepNext/>
              <w:numPr>
                <w:ilvl w:val="0"/>
                <w:numId w:val="41"/>
              </w:numPr>
              <w:spacing w:after="40"/>
              <w:rPr>
                <w:rFonts w:ascii="Cambria" w:hAnsi="Cambria"/>
                <w:szCs w:val="20"/>
              </w:rPr>
            </w:pPr>
            <w:r w:rsidRPr="00D61E89">
              <w:rPr>
                <w:rFonts w:ascii="Cambria" w:hAnsi="Cambria"/>
                <w:szCs w:val="20"/>
              </w:rPr>
              <w:t xml:space="preserve">Documentation of age-appropriate vaccination against chickenpox; or </w:t>
            </w:r>
          </w:p>
          <w:p w14:paraId="6ED7DAB6" w14:textId="77777777" w:rsidR="00AB5681" w:rsidRPr="00D61E89" w:rsidRDefault="00AB5681" w:rsidP="004F669C">
            <w:pPr>
              <w:keepNext/>
              <w:numPr>
                <w:ilvl w:val="0"/>
                <w:numId w:val="41"/>
              </w:numPr>
              <w:spacing w:after="40"/>
              <w:rPr>
                <w:rFonts w:ascii="Cambria" w:hAnsi="Cambria"/>
                <w:szCs w:val="20"/>
              </w:rPr>
            </w:pPr>
            <w:r w:rsidRPr="00D61E89">
              <w:rPr>
                <w:rFonts w:ascii="Cambria" w:hAnsi="Cambria"/>
                <w:szCs w:val="20"/>
              </w:rPr>
              <w:t>Laboratory evidence of immunity or laboratory confirmation of disease</w:t>
            </w:r>
            <w:r w:rsidRPr="00D61E89">
              <w:rPr>
                <w:rFonts w:ascii="Cambria" w:hAnsi="Cambria"/>
                <w:szCs w:val="20"/>
                <w:vertAlign w:val="superscript"/>
              </w:rPr>
              <w:t>2</w:t>
            </w:r>
            <w:r w:rsidRPr="00D61E89">
              <w:rPr>
                <w:rFonts w:ascii="Cambria" w:hAnsi="Cambria"/>
                <w:szCs w:val="20"/>
              </w:rPr>
              <w:t xml:space="preserve">; or </w:t>
            </w:r>
          </w:p>
          <w:p w14:paraId="69EE57CC" w14:textId="77777777" w:rsidR="00AB5681" w:rsidRPr="00D61E89" w:rsidRDefault="00AB5681" w:rsidP="004F669C">
            <w:pPr>
              <w:keepNext/>
              <w:numPr>
                <w:ilvl w:val="0"/>
                <w:numId w:val="41"/>
              </w:numPr>
              <w:spacing w:after="40"/>
              <w:rPr>
                <w:rFonts w:ascii="Cambria" w:hAnsi="Cambria"/>
                <w:szCs w:val="20"/>
              </w:rPr>
            </w:pPr>
            <w:r w:rsidRPr="00D61E89">
              <w:rPr>
                <w:rFonts w:ascii="Cambria" w:hAnsi="Cambria"/>
                <w:szCs w:val="20"/>
              </w:rPr>
              <w:t xml:space="preserve">Born in the United States </w:t>
            </w:r>
            <w:r w:rsidRPr="00D61E89">
              <w:rPr>
                <w:rFonts w:ascii="Cambria" w:hAnsi="Cambria"/>
                <w:szCs w:val="20"/>
                <w:u w:val="single"/>
              </w:rPr>
              <w:t>before</w:t>
            </w:r>
            <w:r w:rsidRPr="00D61E89">
              <w:rPr>
                <w:rFonts w:ascii="Cambria" w:hAnsi="Cambria"/>
                <w:szCs w:val="20"/>
              </w:rPr>
              <w:t xml:space="preserve"> 1980. </w:t>
            </w:r>
            <w:r w:rsidRPr="00D61E89">
              <w:rPr>
                <w:rFonts w:ascii="Cambria" w:hAnsi="Cambria"/>
                <w:b/>
                <w:szCs w:val="20"/>
              </w:rPr>
              <w:t xml:space="preserve">However, this should </w:t>
            </w:r>
            <w:r w:rsidRPr="00D61E89">
              <w:rPr>
                <w:rFonts w:ascii="Cambria" w:hAnsi="Cambria"/>
                <w:b/>
                <w:szCs w:val="20"/>
                <w:u w:val="single"/>
              </w:rPr>
              <w:t>not</w:t>
            </w:r>
            <w:r w:rsidRPr="00D61E89">
              <w:rPr>
                <w:rFonts w:ascii="Cambria" w:hAnsi="Cambria"/>
                <w:b/>
                <w:szCs w:val="20"/>
              </w:rPr>
              <w:t xml:space="preserve"> be considered evidence of immunity for healthcare workers, pregnant women and immunocompromised persons</w:t>
            </w:r>
            <w:r w:rsidRPr="00D61E89">
              <w:rPr>
                <w:rFonts w:ascii="Cambria" w:hAnsi="Cambria"/>
                <w:szCs w:val="20"/>
              </w:rPr>
              <w:t>.</w:t>
            </w:r>
            <w:r w:rsidR="00F70CEE" w:rsidRPr="00D61E89">
              <w:rPr>
                <w:rFonts w:ascii="Cambria" w:hAnsi="Cambria"/>
                <w:szCs w:val="20"/>
              </w:rPr>
              <w:t xml:space="preserve"> </w:t>
            </w:r>
            <w:r w:rsidRPr="00D61E89">
              <w:rPr>
                <w:rFonts w:ascii="Cambria" w:hAnsi="Cambria"/>
                <w:szCs w:val="20"/>
              </w:rPr>
              <w:t xml:space="preserve">Persons born outside the United States should meet one of the other criteria for varicella </w:t>
            </w:r>
            <w:r w:rsidR="00C62C7B" w:rsidRPr="00D61E89">
              <w:rPr>
                <w:rFonts w:ascii="Cambria" w:hAnsi="Cambria"/>
                <w:szCs w:val="20"/>
              </w:rPr>
              <w:t>immunity.</w:t>
            </w:r>
          </w:p>
          <w:p w14:paraId="77AB2BA9" w14:textId="77777777" w:rsidR="00AB5681" w:rsidRPr="00D61E89" w:rsidRDefault="00AB5681" w:rsidP="004F669C">
            <w:pPr>
              <w:keepNext/>
              <w:numPr>
                <w:ilvl w:val="0"/>
                <w:numId w:val="41"/>
              </w:numPr>
              <w:spacing w:after="40"/>
              <w:rPr>
                <w:rFonts w:ascii="Cambria" w:hAnsi="Cambria"/>
                <w:szCs w:val="20"/>
              </w:rPr>
            </w:pPr>
            <w:r w:rsidRPr="00D61E89">
              <w:rPr>
                <w:rFonts w:ascii="Cambria" w:hAnsi="Cambria"/>
                <w:szCs w:val="20"/>
              </w:rPr>
              <w:t xml:space="preserve">A healthcare provider diagnosis or verification of </w:t>
            </w:r>
            <w:r w:rsidR="004F669C">
              <w:rPr>
                <w:rFonts w:ascii="Cambria" w:hAnsi="Cambria"/>
                <w:szCs w:val="20"/>
              </w:rPr>
              <w:t>chickenpox</w:t>
            </w:r>
            <w:r w:rsidRPr="00D61E89">
              <w:rPr>
                <w:rFonts w:ascii="Cambria" w:hAnsi="Cambria"/>
                <w:szCs w:val="20"/>
                <w:vertAlign w:val="superscript"/>
              </w:rPr>
              <w:t>3</w:t>
            </w:r>
            <w:r w:rsidRPr="00D61E89">
              <w:rPr>
                <w:rFonts w:ascii="Cambria" w:hAnsi="Cambria"/>
                <w:szCs w:val="20"/>
              </w:rPr>
              <w:t xml:space="preserve">; or </w:t>
            </w:r>
          </w:p>
          <w:p w14:paraId="7CB6EA93" w14:textId="77777777" w:rsidR="00AB5681" w:rsidRPr="00D61E89" w:rsidRDefault="00AB5681" w:rsidP="004F669C">
            <w:pPr>
              <w:keepNext/>
              <w:numPr>
                <w:ilvl w:val="0"/>
                <w:numId w:val="41"/>
              </w:numPr>
              <w:spacing w:after="80"/>
              <w:rPr>
                <w:rFonts w:ascii="Garamond-BookCondensed" w:hAnsi="Garamond-BookCondensed" w:cs="Garamond-BookCondensed"/>
                <w:sz w:val="20"/>
                <w:szCs w:val="20"/>
                <w:u w:val="single"/>
              </w:rPr>
            </w:pPr>
            <w:r w:rsidRPr="00D61E89">
              <w:rPr>
                <w:rFonts w:ascii="Cambria" w:hAnsi="Cambria"/>
                <w:szCs w:val="20"/>
              </w:rPr>
              <w:t xml:space="preserve">History of </w:t>
            </w:r>
            <w:r w:rsidR="004F669C">
              <w:rPr>
                <w:rFonts w:ascii="Cambria" w:hAnsi="Cambria"/>
                <w:szCs w:val="20"/>
              </w:rPr>
              <w:t>shingles (</w:t>
            </w:r>
            <w:r w:rsidRPr="00D61E89">
              <w:rPr>
                <w:rFonts w:ascii="Cambria" w:hAnsi="Cambria"/>
                <w:szCs w:val="20"/>
              </w:rPr>
              <w:t>herpes zoster</w:t>
            </w:r>
            <w:r w:rsidR="004F669C">
              <w:rPr>
                <w:rFonts w:ascii="Cambria" w:hAnsi="Cambria"/>
                <w:szCs w:val="20"/>
              </w:rPr>
              <w:t>)</w:t>
            </w:r>
            <w:r w:rsidRPr="00D61E89">
              <w:rPr>
                <w:rFonts w:ascii="Cambria" w:hAnsi="Cambria"/>
                <w:szCs w:val="20"/>
              </w:rPr>
              <w:t xml:space="preserve"> based on healthcare provider diagnosis</w:t>
            </w:r>
            <w:r w:rsidRPr="00D61E89">
              <w:rPr>
                <w:rFonts w:ascii="Cambria" w:hAnsi="Cambria"/>
                <w:szCs w:val="20"/>
                <w:vertAlign w:val="superscript"/>
              </w:rPr>
              <w:t>.4</w:t>
            </w:r>
            <w:r w:rsidRPr="00D61E89">
              <w:rPr>
                <w:rFonts w:ascii="Cambria" w:hAnsi="Cambria"/>
                <w:szCs w:val="20"/>
              </w:rPr>
              <w:t>.</w:t>
            </w:r>
          </w:p>
        </w:tc>
      </w:tr>
    </w:tbl>
    <w:p w14:paraId="384CB9C7" w14:textId="77777777" w:rsidR="00AB5681" w:rsidRPr="00D61E89" w:rsidRDefault="00AB5681" w:rsidP="00AB5681">
      <w:pPr>
        <w:autoSpaceDE w:val="0"/>
        <w:autoSpaceDN w:val="0"/>
        <w:adjustRightInd w:val="0"/>
        <w:ind w:left="360"/>
        <w:rPr>
          <w:rFonts w:ascii="Garamond-BookCondensed" w:hAnsi="Garamond-BookCondensed" w:cs="Garamond-BookCondensed"/>
          <w:sz w:val="20"/>
          <w:szCs w:val="20"/>
          <w:u w:val="single"/>
        </w:rPr>
      </w:pPr>
    </w:p>
    <w:p w14:paraId="727FDAC3" w14:textId="77777777" w:rsidR="00AB5681" w:rsidRPr="00D61E89" w:rsidRDefault="00AB5681" w:rsidP="004F2DEA">
      <w:pPr>
        <w:rPr>
          <w:rFonts w:ascii="Cambria" w:hAnsi="Cambria"/>
        </w:rPr>
      </w:pPr>
      <w:r w:rsidRPr="00D61E89">
        <w:rPr>
          <w:rFonts w:ascii="Cambria" w:hAnsi="Cambria"/>
          <w:smallCaps/>
          <w:vertAlign w:val="superscript"/>
        </w:rPr>
        <w:t>1</w:t>
      </w:r>
      <w:r w:rsidRPr="00D61E89">
        <w:rPr>
          <w:rFonts w:ascii="Cambria" w:hAnsi="Cambria"/>
        </w:rPr>
        <w:t xml:space="preserve">Bone marrow transplant recipients should be considered susceptible </w:t>
      </w:r>
      <w:r w:rsidRPr="00D61E89">
        <w:rPr>
          <w:rFonts w:ascii="Cambria" w:hAnsi="Cambria"/>
          <w:i/>
        </w:rPr>
        <w:t>regardless</w:t>
      </w:r>
      <w:r w:rsidRPr="00D61E89">
        <w:rPr>
          <w:rFonts w:ascii="Cambria" w:hAnsi="Cambria"/>
        </w:rPr>
        <w:t xml:space="preserve"> of past history of disease.</w:t>
      </w:r>
      <w:r w:rsidR="00F70CEE" w:rsidRPr="00D61E89">
        <w:rPr>
          <w:rFonts w:ascii="Cambria" w:hAnsi="Cambria"/>
        </w:rPr>
        <w:t xml:space="preserve"> </w:t>
      </w:r>
    </w:p>
    <w:p w14:paraId="2DF85204" w14:textId="77777777" w:rsidR="00AB5681" w:rsidRPr="00D61E89" w:rsidRDefault="00AB5681" w:rsidP="004F2DEA">
      <w:pPr>
        <w:rPr>
          <w:rFonts w:ascii="Cambria" w:hAnsi="Cambria"/>
        </w:rPr>
      </w:pPr>
    </w:p>
    <w:p w14:paraId="2A6F41F0" w14:textId="77777777" w:rsidR="00AB5681" w:rsidRPr="00D61E89" w:rsidRDefault="00AB5681" w:rsidP="004F2DEA">
      <w:pPr>
        <w:rPr>
          <w:rFonts w:ascii="Cambria" w:hAnsi="Cambria"/>
        </w:rPr>
      </w:pPr>
      <w:r w:rsidRPr="00D61E89">
        <w:rPr>
          <w:rFonts w:ascii="Cambria" w:hAnsi="Cambria"/>
          <w:smallCaps/>
          <w:vertAlign w:val="superscript"/>
        </w:rPr>
        <w:t>2</w:t>
      </w:r>
      <w:r w:rsidRPr="00D61E89">
        <w:rPr>
          <w:rFonts w:ascii="Cambria" w:hAnsi="Cambria"/>
        </w:rPr>
        <w:t xml:space="preserve">Commercial assays can be used to assess disease-induced immunity, but they lack adequate sensitivity to detect vaccine-induced immunity </w:t>
      </w:r>
      <w:r w:rsidR="00F8559B" w:rsidRPr="00D61E89">
        <w:rPr>
          <w:rFonts w:ascii="Cambria" w:hAnsi="Cambria"/>
        </w:rPr>
        <w:t xml:space="preserve">reliably </w:t>
      </w:r>
      <w:r w:rsidRPr="00D61E89">
        <w:rPr>
          <w:rFonts w:ascii="Cambria" w:hAnsi="Cambria"/>
        </w:rPr>
        <w:t>(may yield false negative results).</w:t>
      </w:r>
      <w:r w:rsidR="007A4C70" w:rsidRPr="00D61E89">
        <w:rPr>
          <w:rFonts w:ascii="Cambria" w:hAnsi="Cambria"/>
          <w:smallCaps/>
          <w:vertAlign w:val="superscript"/>
        </w:rPr>
        <w:t xml:space="preserve"> </w:t>
      </w:r>
      <w:r w:rsidRPr="00D61E89">
        <w:rPr>
          <w:rFonts w:ascii="Cambria" w:hAnsi="Cambria"/>
        </w:rPr>
        <w:t>Therefore, someone with documentation of age-appropriate vaccination and a subsequent negative titer should still be considered immune.</w:t>
      </w:r>
      <w:r w:rsidR="00F70CEE" w:rsidRPr="00D61E89">
        <w:rPr>
          <w:rFonts w:ascii="Cambria" w:hAnsi="Cambria"/>
        </w:rPr>
        <w:t xml:space="preserve"> </w:t>
      </w:r>
      <w:r w:rsidRPr="00D61E89">
        <w:rPr>
          <w:rFonts w:ascii="Cambria" w:hAnsi="Cambria"/>
        </w:rPr>
        <w:t>On the other hand, someone with a history of chickenpox with a subsequent negative titer should be considered susceptible, particularly in healthcare and other high-risk settings.</w:t>
      </w:r>
    </w:p>
    <w:p w14:paraId="09416FE7" w14:textId="77777777" w:rsidR="00AB5681" w:rsidRPr="00D61E89" w:rsidRDefault="00AB5681" w:rsidP="004F2DEA">
      <w:pPr>
        <w:rPr>
          <w:rFonts w:ascii="Cambria" w:hAnsi="Cambria"/>
        </w:rPr>
      </w:pPr>
    </w:p>
    <w:p w14:paraId="2E6EB0FC" w14:textId="77777777" w:rsidR="00AB5681" w:rsidRPr="00D61E89" w:rsidRDefault="00AB5681" w:rsidP="004F2DEA">
      <w:pPr>
        <w:rPr>
          <w:rFonts w:ascii="Cambria" w:hAnsi="Cambria"/>
        </w:rPr>
      </w:pPr>
      <w:r w:rsidRPr="00D61E89">
        <w:rPr>
          <w:rFonts w:ascii="Cambria" w:hAnsi="Cambria"/>
          <w:smallCaps/>
          <w:vertAlign w:val="superscript"/>
        </w:rPr>
        <w:t>3</w:t>
      </w:r>
      <w:r w:rsidRPr="00D61E89">
        <w:rPr>
          <w:rFonts w:ascii="Cambria" w:hAnsi="Cambria"/>
        </w:rPr>
        <w:t>Self-reported history of chickenpox is acceptable for adults and college students, with review by appropriate healthcare or supervisory staff.</w:t>
      </w:r>
      <w:r w:rsidR="00F70CEE" w:rsidRPr="00D61E89">
        <w:rPr>
          <w:rFonts w:ascii="Cambria" w:hAnsi="Cambria"/>
        </w:rPr>
        <w:t xml:space="preserve"> </w:t>
      </w:r>
      <w:r w:rsidRPr="00D61E89">
        <w:rPr>
          <w:rFonts w:ascii="Cambria" w:hAnsi="Cambria"/>
        </w:rPr>
        <w:t>Self reported history is not acceptable in healthcare settings.</w:t>
      </w:r>
    </w:p>
    <w:p w14:paraId="678872A2" w14:textId="77777777" w:rsidR="00AB5681" w:rsidRPr="00D61E89" w:rsidRDefault="00AB5681" w:rsidP="004F2DEA">
      <w:pPr>
        <w:rPr>
          <w:rFonts w:ascii="Cambria" w:hAnsi="Cambria"/>
          <w:bCs/>
        </w:rPr>
      </w:pPr>
    </w:p>
    <w:p w14:paraId="78A2AECE" w14:textId="77777777" w:rsidR="00AB5681" w:rsidRPr="00D61E89" w:rsidRDefault="00AB5681" w:rsidP="004F2DEA">
      <w:pPr>
        <w:rPr>
          <w:rFonts w:ascii="Cambria" w:hAnsi="Cambria"/>
        </w:rPr>
      </w:pPr>
      <w:r w:rsidRPr="00D61E89">
        <w:rPr>
          <w:rFonts w:ascii="Cambria" w:hAnsi="Cambria"/>
          <w:smallCaps/>
          <w:vertAlign w:val="superscript"/>
        </w:rPr>
        <w:t>4</w:t>
      </w:r>
      <w:r w:rsidRPr="00D61E89">
        <w:rPr>
          <w:rFonts w:ascii="Cambria" w:hAnsi="Cambria"/>
        </w:rPr>
        <w:t>Verification of history or diagnosis of typical disease can be done by any healthcare provider (e.g., school or occupational clinic nurse, nurse practitioner, physician assistant, physician, appropriate supervisory or public health staff).</w:t>
      </w:r>
      <w:r w:rsidR="00F70CEE" w:rsidRPr="00D61E89">
        <w:rPr>
          <w:rFonts w:ascii="Cambria" w:hAnsi="Cambria"/>
        </w:rPr>
        <w:t xml:space="preserve"> </w:t>
      </w:r>
      <w:r w:rsidRPr="00D61E89">
        <w:rPr>
          <w:rFonts w:ascii="Cambria" w:hAnsi="Cambria"/>
        </w:rPr>
        <w:t>For people reporting a history of</w:t>
      </w:r>
      <w:r w:rsidR="00F8559B">
        <w:rPr>
          <w:rFonts w:ascii="Cambria" w:hAnsi="Cambria"/>
        </w:rPr>
        <w:t>,</w:t>
      </w:r>
      <w:r w:rsidRPr="00D61E89">
        <w:rPr>
          <w:rFonts w:ascii="Cambria" w:hAnsi="Cambria"/>
        </w:rPr>
        <w:t xml:space="preserve"> or presenting with</w:t>
      </w:r>
      <w:r w:rsidR="00F8559B">
        <w:rPr>
          <w:rFonts w:ascii="Cambria" w:hAnsi="Cambria"/>
        </w:rPr>
        <w:t>,</w:t>
      </w:r>
      <w:r w:rsidRPr="00D61E89">
        <w:rPr>
          <w:rFonts w:ascii="Cambria" w:hAnsi="Cambria"/>
        </w:rPr>
        <w:t xml:space="preserve"> atypical and/or mild </w:t>
      </w:r>
      <w:r w:rsidR="00F8559B">
        <w:rPr>
          <w:rFonts w:ascii="Cambria" w:hAnsi="Cambria"/>
        </w:rPr>
        <w:t>disease</w:t>
      </w:r>
      <w:r w:rsidRPr="00D61E89">
        <w:rPr>
          <w:rFonts w:ascii="Cambria" w:hAnsi="Cambria"/>
        </w:rPr>
        <w:t>, assessment by a physician or their designee is recommended and one of the following should be sought:</w:t>
      </w:r>
      <w:r w:rsidR="00F70CEE" w:rsidRPr="00D61E89">
        <w:rPr>
          <w:rFonts w:ascii="Cambria" w:hAnsi="Cambria"/>
        </w:rPr>
        <w:t xml:space="preserve"> </w:t>
      </w:r>
      <w:r w:rsidRPr="00D61E89">
        <w:rPr>
          <w:rFonts w:ascii="Cambria" w:hAnsi="Cambria"/>
        </w:rPr>
        <w:t>a) an epidemiologic link to a typical varicella case or b) laboratory confirmation, if laboratory testing was performed at the time of acute disease.</w:t>
      </w:r>
      <w:r w:rsidR="00F70CEE" w:rsidRPr="00D61E89">
        <w:rPr>
          <w:rFonts w:ascii="Cambria" w:hAnsi="Cambria"/>
        </w:rPr>
        <w:t xml:space="preserve"> </w:t>
      </w:r>
      <w:r w:rsidRPr="00D61E89">
        <w:rPr>
          <w:rFonts w:ascii="Cambria" w:hAnsi="Cambria"/>
        </w:rPr>
        <w:t>When such documentation is lacking, people should not be considered as having a valid history of disease, because other diseases may mimic mild atypical varicella.</w:t>
      </w:r>
    </w:p>
    <w:p w14:paraId="1418FBA4" w14:textId="77777777" w:rsidR="00AB5681" w:rsidRPr="00D61E89" w:rsidRDefault="00AB5681" w:rsidP="00AB5681">
      <w:pPr>
        <w:autoSpaceDE w:val="0"/>
        <w:autoSpaceDN w:val="0"/>
        <w:adjustRightInd w:val="0"/>
        <w:ind w:left="360"/>
        <w:rPr>
          <w:rFonts w:ascii="Garamond-BookCondensed" w:hAnsi="Garamond-BookCondensed" w:cs="Garamond-BookCondensed"/>
          <w:sz w:val="20"/>
          <w:szCs w:val="20"/>
          <w:u w:val="single"/>
        </w:rPr>
      </w:pPr>
    </w:p>
    <w:p w14:paraId="1D7A7E26" w14:textId="77777777" w:rsidR="00AB5681" w:rsidRPr="00D61E89" w:rsidRDefault="00AB5681" w:rsidP="00AB5681">
      <w:pPr>
        <w:autoSpaceDE w:val="0"/>
        <w:autoSpaceDN w:val="0"/>
        <w:adjustRightInd w:val="0"/>
        <w:ind w:left="360"/>
        <w:rPr>
          <w:rFonts w:ascii="Garamond-BookCondensed" w:hAnsi="Garamond-BookCondensed" w:cs="Garamond-BookCondensed"/>
          <w:sz w:val="20"/>
          <w:szCs w:val="20"/>
        </w:rPr>
      </w:pPr>
    </w:p>
    <w:p w14:paraId="7F463AC9" w14:textId="77777777" w:rsidR="00AB5681" w:rsidRPr="00D61E89" w:rsidRDefault="00AB5681" w:rsidP="00AB5681">
      <w:pPr>
        <w:autoSpaceDE w:val="0"/>
        <w:autoSpaceDN w:val="0"/>
        <w:adjustRightInd w:val="0"/>
        <w:ind w:left="360"/>
        <w:rPr>
          <w:rFonts w:ascii="Garamond-BookCondensed" w:hAnsi="Garamond-BookCondensed" w:cs="Garamond-BookCondensed"/>
          <w:sz w:val="20"/>
          <w:szCs w:val="20"/>
        </w:rPr>
      </w:pPr>
    </w:p>
    <w:p w14:paraId="444A400F" w14:textId="77777777" w:rsidR="00AB5681" w:rsidRDefault="00AB5681" w:rsidP="00AB568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0D61E89">
        <w:rPr>
          <w:rFonts w:ascii="Arial" w:hAnsi="Arial" w:cs="Arial"/>
          <w:b/>
          <w:bCs/>
        </w:rPr>
        <w:br w:type="page"/>
        <w:t>Attachment B</w:t>
      </w:r>
    </w:p>
    <w:p w14:paraId="6F884FD8" w14:textId="77777777" w:rsidR="00CA791F" w:rsidRPr="00D61E89" w:rsidRDefault="00CA791F" w:rsidP="00AB568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p>
    <w:p w14:paraId="5B6C0DD9" w14:textId="77777777" w:rsidR="00912C4D" w:rsidRPr="00912C4D" w:rsidRDefault="00AB5681" w:rsidP="00AB5681">
      <w:pPr>
        <w:keepNext/>
        <w:ind w:right="-720" w:hanging="720"/>
        <w:jc w:val="center"/>
        <w:outlineLvl w:val="4"/>
        <w:rPr>
          <w:rFonts w:ascii="Arial" w:hAnsi="Arial" w:cs="Arial"/>
          <w:b/>
          <w:bCs/>
        </w:rPr>
      </w:pPr>
      <w:r w:rsidRPr="00912C4D">
        <w:rPr>
          <w:rFonts w:ascii="Arial" w:hAnsi="Arial" w:cs="Arial"/>
          <w:b/>
          <w:bCs/>
        </w:rPr>
        <w:t xml:space="preserve">Guidelines for Evaluating Chickenpox-like Rash </w:t>
      </w:r>
    </w:p>
    <w:p w14:paraId="5B5C2BC0" w14:textId="77777777" w:rsidR="00AB5681" w:rsidRPr="00D61E89" w:rsidRDefault="00AB5681" w:rsidP="00AB5681">
      <w:pPr>
        <w:keepNext/>
        <w:ind w:right="-720" w:hanging="720"/>
        <w:jc w:val="center"/>
        <w:outlineLvl w:val="4"/>
        <w:rPr>
          <w:rFonts w:ascii="Cambria" w:hAnsi="Cambria"/>
          <w:bCs/>
          <w:sz w:val="22"/>
          <w:szCs w:val="22"/>
        </w:rPr>
      </w:pPr>
      <w:r w:rsidRPr="00D61E89">
        <w:rPr>
          <w:rFonts w:ascii="Cambria" w:hAnsi="Cambria"/>
          <w:bCs/>
          <w:sz w:val="22"/>
          <w:szCs w:val="22"/>
        </w:rPr>
        <w:t>(Wild Type vs. Breakthrough vs. Vaccine</w:t>
      </w:r>
      <w:r w:rsidR="00F8559B">
        <w:rPr>
          <w:rFonts w:ascii="Cambria" w:hAnsi="Cambria"/>
          <w:bCs/>
          <w:sz w:val="22"/>
          <w:szCs w:val="22"/>
        </w:rPr>
        <w:t>-Associated</w:t>
      </w:r>
      <w:r w:rsidRPr="00D61E89">
        <w:rPr>
          <w:rFonts w:ascii="Cambria" w:hAnsi="Cambria"/>
          <w:bCs/>
          <w:sz w:val="22"/>
          <w:szCs w:val="22"/>
        </w:rPr>
        <w:t>)</w:t>
      </w:r>
    </w:p>
    <w:p w14:paraId="7A07507E" w14:textId="77777777" w:rsidR="00AB5681" w:rsidRPr="00D61E89" w:rsidRDefault="00AB5681" w:rsidP="00AB5681">
      <w:pPr>
        <w:ind w:right="-720"/>
        <w:jc w:val="center"/>
        <w:rPr>
          <w:rFonts w:ascii="Cambria" w:hAnsi="Cambria"/>
          <w:bCs/>
          <w:sz w:val="16"/>
          <w:szCs w:val="16"/>
        </w:rPr>
      </w:pPr>
    </w:p>
    <w:p w14:paraId="05A7F99F" w14:textId="77777777" w:rsidR="00AB5681" w:rsidRPr="00D61E89" w:rsidRDefault="00AB5681" w:rsidP="00AB5681">
      <w:pPr>
        <w:ind w:left="-720" w:right="-720"/>
        <w:jc w:val="both"/>
        <w:rPr>
          <w:rFonts w:ascii="Cambria" w:hAnsi="Cambria"/>
          <w:bCs/>
          <w:sz w:val="22"/>
          <w:szCs w:val="22"/>
        </w:rPr>
      </w:pPr>
      <w:r w:rsidRPr="00D61E89">
        <w:rPr>
          <w:rFonts w:ascii="Cambria" w:hAnsi="Cambria"/>
          <w:bCs/>
          <w:sz w:val="22"/>
          <w:szCs w:val="22"/>
        </w:rPr>
        <w:t xml:space="preserve">The three most important features are: 1) the severity of the chickenpox-like illness, 2) any known exposure to chickenpox, and 3) the time interval since receipt of varicella vaccine, as outlined below. </w:t>
      </w:r>
    </w:p>
    <w:p w14:paraId="18200861" w14:textId="77777777" w:rsidR="00AB5681" w:rsidRPr="00D61E89" w:rsidRDefault="00AB5681" w:rsidP="00AB5681">
      <w:pPr>
        <w:rPr>
          <w:rFonts w:ascii="Arial" w:hAnsi="Arial" w:cs="Arial"/>
          <w:bCs/>
          <w:i/>
          <w:sz w:val="16"/>
          <w:szCs w:val="16"/>
        </w:rPr>
      </w:pPr>
    </w:p>
    <w:p w14:paraId="1FEE2CE2" w14:textId="77777777" w:rsidR="00AB5681" w:rsidRPr="00D61E89" w:rsidRDefault="00AB5681" w:rsidP="00AB5681">
      <w:pPr>
        <w:rPr>
          <w:rFonts w:ascii="Arial" w:hAnsi="Arial" w:cs="Arial"/>
          <w:b/>
          <w:bCs/>
          <w:sz w:val="20"/>
        </w:rPr>
      </w:pPr>
      <w:r w:rsidRPr="00D61E89">
        <w:rPr>
          <w:rFonts w:ascii="Arial" w:hAnsi="Arial" w:cs="Arial"/>
          <w:bCs/>
          <w:i/>
          <w:sz w:val="20"/>
        </w:rPr>
        <w:tab/>
      </w:r>
      <w:r w:rsidRPr="00D61E89">
        <w:rPr>
          <w:rFonts w:ascii="Arial" w:hAnsi="Arial" w:cs="Arial"/>
          <w:bCs/>
          <w:i/>
          <w:sz w:val="20"/>
        </w:rPr>
        <w:tab/>
      </w:r>
      <w:r w:rsidRPr="00D61E89">
        <w:rPr>
          <w:rFonts w:ascii="Arial" w:hAnsi="Arial" w:cs="Arial"/>
          <w:b/>
          <w:bCs/>
          <w:sz w:val="20"/>
        </w:rPr>
        <w:tab/>
      </w:r>
      <w:r w:rsidRPr="00D61E89">
        <w:rPr>
          <w:rFonts w:ascii="Arial" w:hAnsi="Arial" w:cs="Arial"/>
          <w:b/>
          <w:bCs/>
          <w:sz w:val="20"/>
        </w:rPr>
        <w:tab/>
      </w:r>
      <w:r w:rsidRPr="00D61E89">
        <w:rPr>
          <w:rFonts w:ascii="Arial" w:hAnsi="Arial" w:cs="Arial"/>
          <w:b/>
          <w:bCs/>
          <w:sz w:val="20"/>
        </w:rPr>
        <w:tab/>
      </w:r>
      <w:r w:rsidRPr="00D61E89">
        <w:rPr>
          <w:rFonts w:ascii="Arial" w:hAnsi="Arial" w:cs="Arial"/>
          <w:b/>
          <w:bCs/>
          <w:sz w:val="20"/>
        </w:rPr>
        <w:tab/>
      </w:r>
      <w:r w:rsidR="007A4C70" w:rsidRPr="00D61E89">
        <w:rPr>
          <w:rFonts w:ascii="Arial" w:hAnsi="Arial" w:cs="Arial"/>
          <w:b/>
          <w:bCs/>
          <w:sz w:val="20"/>
        </w:rPr>
        <w:t xml:space="preserve">     </w:t>
      </w:r>
      <w:r w:rsidR="00F70CEE" w:rsidRPr="00D61E89">
        <w:rPr>
          <w:rFonts w:ascii="Arial" w:hAnsi="Arial" w:cs="Arial"/>
          <w:b/>
          <w:bCs/>
          <w:sz w:val="20"/>
        </w:rPr>
        <w:t xml:space="preserve"> </w:t>
      </w:r>
      <w:r w:rsidR="00F8559B">
        <w:rPr>
          <w:rFonts w:ascii="Arial" w:hAnsi="Arial" w:cs="Arial"/>
          <w:b/>
          <w:bCs/>
          <w:sz w:val="20"/>
        </w:rPr>
        <w:t xml:space="preserve">    </w:t>
      </w:r>
    </w:p>
    <w:tbl>
      <w:tblPr>
        <w:tblW w:w="11520" w:type="dxa"/>
        <w:tblInd w:w="-612" w:type="dxa"/>
        <w:tblLayout w:type="fixed"/>
        <w:tblLook w:val="0000" w:firstRow="0" w:lastRow="0" w:firstColumn="0" w:lastColumn="0" w:noHBand="0" w:noVBand="0"/>
      </w:tblPr>
      <w:tblGrid>
        <w:gridCol w:w="1350"/>
        <w:gridCol w:w="3330"/>
        <w:gridCol w:w="2880"/>
        <w:gridCol w:w="3960"/>
      </w:tblGrid>
      <w:tr w:rsidR="00F8559B" w:rsidRPr="00D61E89" w14:paraId="0EB6D33A" w14:textId="77777777" w:rsidTr="005E0BF8">
        <w:tblPrEx>
          <w:tblCellMar>
            <w:top w:w="0" w:type="dxa"/>
            <w:bottom w:w="0" w:type="dxa"/>
          </w:tblCellMar>
        </w:tblPrEx>
        <w:trPr>
          <w:trHeight w:val="465"/>
        </w:trPr>
        <w:tc>
          <w:tcPr>
            <w:tcW w:w="1350" w:type="dxa"/>
            <w:tcBorders>
              <w:top w:val="single" w:sz="12" w:space="0" w:color="auto"/>
              <w:left w:val="single" w:sz="12" w:space="0" w:color="auto"/>
              <w:bottom w:val="single" w:sz="12" w:space="0" w:color="auto"/>
            </w:tcBorders>
            <w:shd w:val="clear" w:color="auto" w:fill="D9D9D9"/>
            <w:vAlign w:val="center"/>
          </w:tcPr>
          <w:p w14:paraId="0F3CA40F" w14:textId="77777777" w:rsidR="00F8559B" w:rsidRPr="00D61E89" w:rsidRDefault="00F8559B" w:rsidP="005E0BF8">
            <w:pPr>
              <w:keepNext/>
              <w:spacing w:before="360"/>
              <w:ind w:left="360"/>
              <w:jc w:val="center"/>
              <w:outlineLvl w:val="0"/>
              <w:rPr>
                <w:b/>
                <w:bCs/>
                <w:sz w:val="20"/>
                <w:szCs w:val="20"/>
              </w:rPr>
            </w:pPr>
          </w:p>
        </w:tc>
        <w:tc>
          <w:tcPr>
            <w:tcW w:w="3330" w:type="dxa"/>
            <w:tcBorders>
              <w:top w:val="single" w:sz="12" w:space="0" w:color="auto"/>
              <w:left w:val="nil"/>
              <w:bottom w:val="single" w:sz="12" w:space="0" w:color="auto"/>
              <w:right w:val="single" w:sz="12" w:space="0" w:color="auto"/>
            </w:tcBorders>
            <w:vAlign w:val="center"/>
          </w:tcPr>
          <w:p w14:paraId="246E91A4" w14:textId="77777777" w:rsidR="00F8559B" w:rsidRPr="00D61E89" w:rsidRDefault="00F8559B" w:rsidP="005E0BF8">
            <w:pPr>
              <w:spacing w:before="40"/>
              <w:ind w:left="360"/>
              <w:jc w:val="center"/>
              <w:rPr>
                <w:bCs/>
                <w:sz w:val="20"/>
              </w:rPr>
            </w:pPr>
            <w:r w:rsidRPr="00D61E89">
              <w:rPr>
                <w:rFonts w:ascii="Arial" w:hAnsi="Arial" w:cs="Arial"/>
                <w:b/>
                <w:bCs/>
                <w:sz w:val="20"/>
              </w:rPr>
              <w:t>WILD TYPE</w:t>
            </w:r>
          </w:p>
        </w:tc>
        <w:tc>
          <w:tcPr>
            <w:tcW w:w="2880" w:type="dxa"/>
            <w:tcBorders>
              <w:top w:val="single" w:sz="12" w:space="0" w:color="auto"/>
              <w:left w:val="single" w:sz="12" w:space="0" w:color="auto"/>
              <w:bottom w:val="single" w:sz="12" w:space="0" w:color="auto"/>
              <w:right w:val="single" w:sz="12" w:space="0" w:color="auto"/>
            </w:tcBorders>
            <w:vAlign w:val="center"/>
          </w:tcPr>
          <w:p w14:paraId="40D61147" w14:textId="77777777" w:rsidR="00F8559B" w:rsidRPr="00D61E89" w:rsidRDefault="00F8559B" w:rsidP="005E0BF8">
            <w:pPr>
              <w:spacing w:before="40"/>
              <w:ind w:left="360"/>
              <w:jc w:val="center"/>
              <w:rPr>
                <w:bCs/>
                <w:sz w:val="20"/>
              </w:rPr>
            </w:pPr>
            <w:r w:rsidRPr="00D61E89">
              <w:rPr>
                <w:rFonts w:ascii="Arial" w:hAnsi="Arial" w:cs="Arial"/>
                <w:b/>
                <w:bCs/>
                <w:sz w:val="20"/>
              </w:rPr>
              <w:t>BREAKTHROUGH</w:t>
            </w:r>
          </w:p>
        </w:tc>
        <w:tc>
          <w:tcPr>
            <w:tcW w:w="3960" w:type="dxa"/>
            <w:tcBorders>
              <w:top w:val="single" w:sz="12" w:space="0" w:color="auto"/>
              <w:left w:val="single" w:sz="12" w:space="0" w:color="auto"/>
              <w:bottom w:val="single" w:sz="12" w:space="0" w:color="auto"/>
              <w:right w:val="single" w:sz="12" w:space="0" w:color="auto"/>
            </w:tcBorders>
            <w:vAlign w:val="center"/>
          </w:tcPr>
          <w:p w14:paraId="6F619C51" w14:textId="77777777" w:rsidR="00F8559B" w:rsidRPr="00D61E89" w:rsidRDefault="00F8559B" w:rsidP="005E0BF8">
            <w:pPr>
              <w:spacing w:before="40"/>
              <w:ind w:left="360"/>
              <w:jc w:val="center"/>
              <w:rPr>
                <w:bCs/>
                <w:sz w:val="20"/>
              </w:rPr>
            </w:pPr>
            <w:r w:rsidRPr="00D61E89">
              <w:rPr>
                <w:rFonts w:ascii="Arial" w:hAnsi="Arial" w:cs="Arial"/>
                <w:b/>
                <w:bCs/>
                <w:sz w:val="20"/>
              </w:rPr>
              <w:t>VACCINE</w:t>
            </w:r>
            <w:r>
              <w:rPr>
                <w:rFonts w:ascii="Arial" w:hAnsi="Arial" w:cs="Arial"/>
                <w:b/>
                <w:bCs/>
                <w:sz w:val="20"/>
              </w:rPr>
              <w:t>-ASSOCIATED</w:t>
            </w:r>
          </w:p>
        </w:tc>
      </w:tr>
      <w:tr w:rsidR="00AB5681" w:rsidRPr="00D61E89" w14:paraId="5A6034D8" w14:textId="77777777" w:rsidTr="005E0BF8">
        <w:tblPrEx>
          <w:tblCellMar>
            <w:top w:w="0" w:type="dxa"/>
            <w:bottom w:w="0" w:type="dxa"/>
          </w:tblCellMar>
        </w:tblPrEx>
        <w:trPr>
          <w:trHeight w:val="1950"/>
        </w:trPr>
        <w:tc>
          <w:tcPr>
            <w:tcW w:w="1350" w:type="dxa"/>
            <w:tcBorders>
              <w:top w:val="single" w:sz="12" w:space="0" w:color="auto"/>
              <w:left w:val="single" w:sz="12" w:space="0" w:color="auto"/>
              <w:bottom w:val="single" w:sz="12" w:space="0" w:color="auto"/>
            </w:tcBorders>
            <w:shd w:val="clear" w:color="auto" w:fill="D9D9D9"/>
            <w:vAlign w:val="center"/>
          </w:tcPr>
          <w:p w14:paraId="16D21F08" w14:textId="77777777" w:rsidR="00AB5681" w:rsidRPr="00D61E89" w:rsidRDefault="00AB5681" w:rsidP="004A06AC">
            <w:pPr>
              <w:keepNext/>
              <w:spacing w:before="360"/>
              <w:ind w:left="-108"/>
              <w:jc w:val="center"/>
              <w:outlineLvl w:val="0"/>
              <w:rPr>
                <w:b/>
                <w:bCs/>
                <w:sz w:val="20"/>
                <w:szCs w:val="20"/>
              </w:rPr>
            </w:pPr>
            <w:r w:rsidRPr="00D61E89">
              <w:rPr>
                <w:b/>
                <w:bCs/>
                <w:sz w:val="20"/>
                <w:szCs w:val="20"/>
              </w:rPr>
              <w:t>Symptoms</w:t>
            </w:r>
          </w:p>
          <w:p w14:paraId="15FD29E9" w14:textId="77777777" w:rsidR="00AB5681" w:rsidRPr="00D61E89" w:rsidRDefault="00AB5681" w:rsidP="00AB5681">
            <w:pPr>
              <w:jc w:val="center"/>
              <w:rPr>
                <w:b/>
                <w:sz w:val="20"/>
                <w:szCs w:val="20"/>
              </w:rPr>
            </w:pPr>
          </w:p>
          <w:p w14:paraId="2C3D855F" w14:textId="77777777" w:rsidR="00AB5681" w:rsidRPr="00D61E89" w:rsidRDefault="00AB5681" w:rsidP="00AB5681">
            <w:pPr>
              <w:jc w:val="center"/>
              <w:rPr>
                <w:b/>
                <w:sz w:val="20"/>
                <w:szCs w:val="20"/>
              </w:rPr>
            </w:pPr>
          </w:p>
          <w:p w14:paraId="4F324A0E" w14:textId="77777777" w:rsidR="00AB5681" w:rsidRPr="00D61E89" w:rsidRDefault="00AB5681" w:rsidP="00AB5681">
            <w:pPr>
              <w:jc w:val="center"/>
              <w:rPr>
                <w:b/>
                <w:sz w:val="20"/>
                <w:szCs w:val="20"/>
              </w:rPr>
            </w:pPr>
          </w:p>
          <w:p w14:paraId="574FCBEF" w14:textId="77777777" w:rsidR="00AB5681" w:rsidRPr="00D61E89" w:rsidRDefault="00AB5681" w:rsidP="00AB5681">
            <w:pPr>
              <w:jc w:val="center"/>
              <w:rPr>
                <w:b/>
                <w:sz w:val="20"/>
                <w:szCs w:val="20"/>
              </w:rPr>
            </w:pPr>
          </w:p>
          <w:p w14:paraId="2B4F694A" w14:textId="77777777" w:rsidR="00AB5681" w:rsidRPr="00D61E89" w:rsidRDefault="00AB5681" w:rsidP="00AB5681">
            <w:pPr>
              <w:jc w:val="center"/>
              <w:rPr>
                <w:b/>
                <w:sz w:val="20"/>
                <w:szCs w:val="20"/>
              </w:rPr>
            </w:pPr>
          </w:p>
        </w:tc>
        <w:tc>
          <w:tcPr>
            <w:tcW w:w="3330" w:type="dxa"/>
            <w:tcBorders>
              <w:top w:val="single" w:sz="12" w:space="0" w:color="auto"/>
              <w:left w:val="nil"/>
              <w:bottom w:val="single" w:sz="12" w:space="0" w:color="auto"/>
              <w:right w:val="single" w:sz="12" w:space="0" w:color="auto"/>
            </w:tcBorders>
          </w:tcPr>
          <w:p w14:paraId="20871114" w14:textId="77777777" w:rsidR="00AB5681" w:rsidRPr="00D61E89" w:rsidRDefault="00AB5681" w:rsidP="00DA5592">
            <w:pPr>
              <w:numPr>
                <w:ilvl w:val="0"/>
                <w:numId w:val="34"/>
              </w:numPr>
              <w:spacing w:before="40"/>
              <w:rPr>
                <w:bCs/>
                <w:sz w:val="20"/>
              </w:rPr>
            </w:pPr>
            <w:r w:rsidRPr="00D61E89">
              <w:rPr>
                <w:bCs/>
                <w:sz w:val="20"/>
              </w:rPr>
              <w:t xml:space="preserve">Generalized rash </w:t>
            </w:r>
            <w:r w:rsidRPr="00D61E89">
              <w:rPr>
                <w:bCs/>
                <w:sz w:val="20"/>
              </w:rPr>
              <w:br/>
              <w:t>(typically 200 – &gt; 500 lesions with many vesicles)</w:t>
            </w:r>
          </w:p>
          <w:p w14:paraId="78A6F3E5" w14:textId="77777777" w:rsidR="00AB5681" w:rsidRPr="00D61E89" w:rsidRDefault="00AB5681" w:rsidP="00DA5592">
            <w:pPr>
              <w:numPr>
                <w:ilvl w:val="0"/>
                <w:numId w:val="34"/>
              </w:numPr>
              <w:spacing w:before="40"/>
              <w:rPr>
                <w:bCs/>
                <w:sz w:val="20"/>
              </w:rPr>
            </w:pPr>
            <w:r w:rsidRPr="00D61E89">
              <w:rPr>
                <w:bCs/>
                <w:sz w:val="20"/>
              </w:rPr>
              <w:t>Fever</w:t>
            </w:r>
          </w:p>
          <w:p w14:paraId="37E78AE8" w14:textId="77777777" w:rsidR="00AB5681" w:rsidRPr="00D61E89" w:rsidRDefault="00AB5681" w:rsidP="00DA5592">
            <w:pPr>
              <w:numPr>
                <w:ilvl w:val="0"/>
                <w:numId w:val="34"/>
              </w:numPr>
              <w:spacing w:before="40"/>
              <w:rPr>
                <w:bCs/>
                <w:sz w:val="20"/>
              </w:rPr>
            </w:pPr>
            <w:r w:rsidRPr="00D61E89">
              <w:rPr>
                <w:bCs/>
                <w:sz w:val="20"/>
              </w:rPr>
              <w:t xml:space="preserve">Cough </w:t>
            </w:r>
          </w:p>
          <w:p w14:paraId="48C8C3B7" w14:textId="77777777" w:rsidR="00AB5681" w:rsidRPr="00D61E89" w:rsidRDefault="00AB5681" w:rsidP="00DA5592">
            <w:pPr>
              <w:tabs>
                <w:tab w:val="num" w:pos="162"/>
              </w:tabs>
              <w:spacing w:before="40"/>
              <w:ind w:left="162" w:hanging="180"/>
              <w:rPr>
                <w:bCs/>
                <w:sz w:val="8"/>
                <w:szCs w:val="8"/>
              </w:rPr>
            </w:pPr>
          </w:p>
          <w:p w14:paraId="590930BA" w14:textId="77777777" w:rsidR="00AB5681" w:rsidRPr="00D61E89" w:rsidRDefault="00AB5681" w:rsidP="005E0BF8">
            <w:pPr>
              <w:spacing w:before="40"/>
              <w:rPr>
                <w:bCs/>
                <w:sz w:val="20"/>
                <w:szCs w:val="20"/>
              </w:rPr>
            </w:pPr>
            <w:r w:rsidRPr="00D61E89">
              <w:rPr>
                <w:bCs/>
                <w:sz w:val="20"/>
                <w:szCs w:val="20"/>
              </w:rPr>
              <w:t>(if “partial” immunity has developed, symptoms may be attenuated)</w:t>
            </w:r>
          </w:p>
        </w:tc>
        <w:tc>
          <w:tcPr>
            <w:tcW w:w="2880" w:type="dxa"/>
            <w:tcBorders>
              <w:top w:val="single" w:sz="12" w:space="0" w:color="auto"/>
              <w:left w:val="single" w:sz="12" w:space="0" w:color="auto"/>
              <w:bottom w:val="single" w:sz="12" w:space="0" w:color="auto"/>
              <w:right w:val="single" w:sz="12" w:space="0" w:color="auto"/>
            </w:tcBorders>
          </w:tcPr>
          <w:p w14:paraId="509F22F7" w14:textId="77777777" w:rsidR="00AB5681" w:rsidRPr="00D61E89" w:rsidRDefault="00AB5681" w:rsidP="00DA5592">
            <w:pPr>
              <w:numPr>
                <w:ilvl w:val="0"/>
                <w:numId w:val="35"/>
              </w:numPr>
              <w:spacing w:before="40"/>
              <w:rPr>
                <w:bCs/>
                <w:sz w:val="20"/>
              </w:rPr>
            </w:pPr>
            <w:r w:rsidRPr="00D61E89">
              <w:rPr>
                <w:bCs/>
                <w:sz w:val="20"/>
              </w:rPr>
              <w:t>Generalized rash, more maculo-papular than vesicular (usually &lt; 50 lesions)</w:t>
            </w:r>
          </w:p>
          <w:p w14:paraId="040D3DF1" w14:textId="77777777" w:rsidR="00AB5681" w:rsidRPr="00D61E89" w:rsidRDefault="00AB5681" w:rsidP="00DA5592">
            <w:pPr>
              <w:numPr>
                <w:ilvl w:val="0"/>
                <w:numId w:val="35"/>
              </w:numPr>
              <w:spacing w:before="40"/>
              <w:rPr>
                <w:bCs/>
                <w:sz w:val="20"/>
              </w:rPr>
            </w:pPr>
            <w:r w:rsidRPr="00D61E89">
              <w:rPr>
                <w:bCs/>
                <w:sz w:val="20"/>
              </w:rPr>
              <w:t>Often afebrile</w:t>
            </w:r>
          </w:p>
          <w:p w14:paraId="0B0E02B9" w14:textId="77777777" w:rsidR="00AB5681" w:rsidRPr="00D61E89" w:rsidRDefault="00AB5681" w:rsidP="00DA5592">
            <w:pPr>
              <w:numPr>
                <w:ilvl w:val="0"/>
                <w:numId w:val="35"/>
              </w:numPr>
              <w:spacing w:before="40"/>
              <w:rPr>
                <w:bCs/>
                <w:sz w:val="20"/>
              </w:rPr>
            </w:pPr>
            <w:r w:rsidRPr="00D61E89">
              <w:rPr>
                <w:bCs/>
                <w:sz w:val="20"/>
              </w:rPr>
              <w:t>Minimally symptomatic</w:t>
            </w:r>
          </w:p>
          <w:p w14:paraId="338B2137" w14:textId="77777777" w:rsidR="00AB5681" w:rsidRPr="00D61E89" w:rsidRDefault="00AB5681" w:rsidP="00DA5592">
            <w:pPr>
              <w:spacing w:before="40"/>
              <w:rPr>
                <w:bCs/>
                <w:sz w:val="20"/>
              </w:rPr>
            </w:pPr>
          </w:p>
        </w:tc>
        <w:tc>
          <w:tcPr>
            <w:tcW w:w="3960" w:type="dxa"/>
            <w:tcBorders>
              <w:top w:val="single" w:sz="12" w:space="0" w:color="auto"/>
              <w:left w:val="single" w:sz="12" w:space="0" w:color="auto"/>
              <w:bottom w:val="single" w:sz="12" w:space="0" w:color="auto"/>
              <w:right w:val="single" w:sz="12" w:space="0" w:color="auto"/>
            </w:tcBorders>
          </w:tcPr>
          <w:p w14:paraId="7B8602AF" w14:textId="77777777" w:rsidR="00AB5681" w:rsidRPr="00D61E89" w:rsidRDefault="00AB5681" w:rsidP="00DA5592">
            <w:pPr>
              <w:numPr>
                <w:ilvl w:val="0"/>
                <w:numId w:val="35"/>
              </w:numPr>
              <w:spacing w:before="40"/>
              <w:rPr>
                <w:bCs/>
                <w:sz w:val="20"/>
              </w:rPr>
            </w:pPr>
            <w:r w:rsidRPr="00D61E89">
              <w:rPr>
                <w:bCs/>
                <w:sz w:val="20"/>
              </w:rPr>
              <w:t>Generalized rash, more maculopapular than vesicular (&lt; 20 lesions [median=5])</w:t>
            </w:r>
          </w:p>
          <w:p w14:paraId="5F21ED42" w14:textId="77777777" w:rsidR="00AB5681" w:rsidRPr="00D61E89" w:rsidRDefault="00AB5681" w:rsidP="00DA5592">
            <w:pPr>
              <w:numPr>
                <w:ilvl w:val="0"/>
                <w:numId w:val="35"/>
              </w:numPr>
              <w:spacing w:before="40"/>
              <w:rPr>
                <w:bCs/>
                <w:sz w:val="20"/>
              </w:rPr>
            </w:pPr>
            <w:r w:rsidRPr="00D61E89">
              <w:rPr>
                <w:bCs/>
                <w:sz w:val="20"/>
              </w:rPr>
              <w:t>Some localized vesicles at the site of injection (median=2)</w:t>
            </w:r>
          </w:p>
          <w:p w14:paraId="3397D638" w14:textId="77777777" w:rsidR="00AB5681" w:rsidRPr="00D61E89" w:rsidRDefault="00AB5681" w:rsidP="00DA5592">
            <w:pPr>
              <w:keepNext/>
              <w:numPr>
                <w:ilvl w:val="0"/>
                <w:numId w:val="35"/>
              </w:numPr>
              <w:tabs>
                <w:tab w:val="left" w:pos="222"/>
              </w:tabs>
              <w:spacing w:before="40"/>
              <w:outlineLvl w:val="8"/>
              <w:rPr>
                <w:bCs/>
                <w:sz w:val="20"/>
                <w:szCs w:val="20"/>
              </w:rPr>
            </w:pPr>
            <w:r w:rsidRPr="00D61E89">
              <w:rPr>
                <w:bCs/>
                <w:sz w:val="20"/>
                <w:szCs w:val="20"/>
              </w:rPr>
              <w:t>Afebrile</w:t>
            </w:r>
          </w:p>
          <w:p w14:paraId="6301E2A1" w14:textId="77777777" w:rsidR="00AB5681" w:rsidRPr="00D61E89" w:rsidRDefault="00AB5681" w:rsidP="00DA5592">
            <w:pPr>
              <w:numPr>
                <w:ilvl w:val="0"/>
                <w:numId w:val="35"/>
              </w:numPr>
              <w:tabs>
                <w:tab w:val="left" w:pos="222"/>
              </w:tabs>
              <w:spacing w:before="40"/>
              <w:rPr>
                <w:bCs/>
                <w:sz w:val="20"/>
              </w:rPr>
            </w:pPr>
            <w:r w:rsidRPr="00D61E89">
              <w:rPr>
                <w:bCs/>
                <w:sz w:val="20"/>
              </w:rPr>
              <w:t>Asymptomatic</w:t>
            </w:r>
          </w:p>
        </w:tc>
      </w:tr>
      <w:tr w:rsidR="00AB5681" w:rsidRPr="00D61E89" w14:paraId="79B7A3FB" w14:textId="77777777" w:rsidTr="005E0BF8">
        <w:tblPrEx>
          <w:tblCellMar>
            <w:top w:w="0" w:type="dxa"/>
            <w:bottom w:w="0" w:type="dxa"/>
          </w:tblCellMar>
        </w:tblPrEx>
        <w:tc>
          <w:tcPr>
            <w:tcW w:w="1350" w:type="dxa"/>
            <w:tcBorders>
              <w:top w:val="single" w:sz="12" w:space="0" w:color="auto"/>
              <w:bottom w:val="single" w:sz="12" w:space="0" w:color="auto"/>
            </w:tcBorders>
            <w:shd w:val="clear" w:color="auto" w:fill="auto"/>
            <w:vAlign w:val="center"/>
          </w:tcPr>
          <w:p w14:paraId="37D83410" w14:textId="77777777" w:rsidR="00AB5681" w:rsidRPr="00D61E89" w:rsidRDefault="00AB5681" w:rsidP="00AB5681">
            <w:pPr>
              <w:jc w:val="center"/>
              <w:rPr>
                <w:b/>
                <w:bCs/>
                <w:sz w:val="20"/>
                <w:szCs w:val="20"/>
              </w:rPr>
            </w:pPr>
          </w:p>
        </w:tc>
        <w:tc>
          <w:tcPr>
            <w:tcW w:w="3330" w:type="dxa"/>
            <w:tcBorders>
              <w:top w:val="single" w:sz="12" w:space="0" w:color="auto"/>
            </w:tcBorders>
          </w:tcPr>
          <w:p w14:paraId="7C520B5F" w14:textId="77777777" w:rsidR="00AB5681" w:rsidRPr="00D61E89" w:rsidRDefault="00AB5681" w:rsidP="00AB5681">
            <w:pPr>
              <w:jc w:val="center"/>
              <w:rPr>
                <w:bCs/>
                <w:i/>
                <w:sz w:val="20"/>
              </w:rPr>
            </w:pPr>
            <w:r w:rsidRPr="00D61E89">
              <w:rPr>
                <w:bCs/>
                <w:i/>
                <w:sz w:val="20"/>
              </w:rPr>
              <w:t>and</w:t>
            </w:r>
          </w:p>
        </w:tc>
        <w:tc>
          <w:tcPr>
            <w:tcW w:w="2880" w:type="dxa"/>
            <w:tcBorders>
              <w:top w:val="single" w:sz="12" w:space="0" w:color="auto"/>
            </w:tcBorders>
          </w:tcPr>
          <w:p w14:paraId="728B393D" w14:textId="77777777" w:rsidR="00AB5681" w:rsidRPr="00D61E89" w:rsidRDefault="00AB5681" w:rsidP="00AB5681">
            <w:pPr>
              <w:jc w:val="center"/>
              <w:rPr>
                <w:bCs/>
                <w:i/>
                <w:sz w:val="20"/>
              </w:rPr>
            </w:pPr>
            <w:r w:rsidRPr="00D61E89">
              <w:rPr>
                <w:bCs/>
                <w:i/>
                <w:sz w:val="20"/>
              </w:rPr>
              <w:t>and</w:t>
            </w:r>
          </w:p>
        </w:tc>
        <w:tc>
          <w:tcPr>
            <w:tcW w:w="3960" w:type="dxa"/>
            <w:tcBorders>
              <w:top w:val="single" w:sz="12" w:space="0" w:color="auto"/>
            </w:tcBorders>
          </w:tcPr>
          <w:p w14:paraId="621FD191" w14:textId="77777777" w:rsidR="00AB5681" w:rsidRPr="00D61E89" w:rsidRDefault="00AB5681" w:rsidP="00AB5681">
            <w:pPr>
              <w:jc w:val="center"/>
              <w:rPr>
                <w:bCs/>
                <w:i/>
                <w:sz w:val="20"/>
              </w:rPr>
            </w:pPr>
            <w:r w:rsidRPr="00D61E89">
              <w:rPr>
                <w:bCs/>
                <w:i/>
                <w:sz w:val="20"/>
              </w:rPr>
              <w:t>and</w:t>
            </w:r>
          </w:p>
        </w:tc>
      </w:tr>
      <w:tr w:rsidR="00AB5681" w:rsidRPr="00D61E89" w14:paraId="796CA5A6" w14:textId="77777777" w:rsidTr="005E0BF8">
        <w:tblPrEx>
          <w:tblCellMar>
            <w:top w:w="0" w:type="dxa"/>
            <w:bottom w:w="0" w:type="dxa"/>
          </w:tblCellMar>
        </w:tblPrEx>
        <w:tc>
          <w:tcPr>
            <w:tcW w:w="1350" w:type="dxa"/>
            <w:tcBorders>
              <w:top w:val="single" w:sz="12" w:space="0" w:color="auto"/>
              <w:left w:val="single" w:sz="12" w:space="0" w:color="auto"/>
              <w:bottom w:val="single" w:sz="12" w:space="0" w:color="auto"/>
            </w:tcBorders>
            <w:shd w:val="clear" w:color="auto" w:fill="D9D9D9"/>
            <w:vAlign w:val="center"/>
          </w:tcPr>
          <w:p w14:paraId="151ABB23" w14:textId="77777777" w:rsidR="00AB5681" w:rsidRPr="00D61E89" w:rsidRDefault="00AB5681" w:rsidP="00AB5681">
            <w:pPr>
              <w:keepNext/>
              <w:jc w:val="center"/>
              <w:outlineLvl w:val="0"/>
              <w:rPr>
                <w:rFonts w:ascii="Arial" w:hAnsi="Arial"/>
                <w:b/>
                <w:bCs/>
                <w:sz w:val="20"/>
                <w:szCs w:val="20"/>
              </w:rPr>
            </w:pPr>
            <w:r w:rsidRPr="00D61E89">
              <w:rPr>
                <w:b/>
                <w:bCs/>
                <w:sz w:val="20"/>
                <w:szCs w:val="20"/>
              </w:rPr>
              <w:t>Exposure to chickenpox</w:t>
            </w:r>
          </w:p>
        </w:tc>
        <w:tc>
          <w:tcPr>
            <w:tcW w:w="3330" w:type="dxa"/>
            <w:tcBorders>
              <w:top w:val="single" w:sz="12" w:space="0" w:color="auto"/>
              <w:left w:val="nil"/>
              <w:bottom w:val="single" w:sz="12" w:space="0" w:color="auto"/>
              <w:right w:val="single" w:sz="12" w:space="0" w:color="auto"/>
            </w:tcBorders>
            <w:vAlign w:val="center"/>
          </w:tcPr>
          <w:p w14:paraId="3D89F75F" w14:textId="77777777" w:rsidR="00AB5681" w:rsidRPr="00D61E89" w:rsidRDefault="00AB5681" w:rsidP="00DA5592">
            <w:pPr>
              <w:spacing w:before="40"/>
              <w:jc w:val="center"/>
              <w:rPr>
                <w:bCs/>
                <w:i/>
                <w:sz w:val="20"/>
              </w:rPr>
            </w:pPr>
            <w:r w:rsidRPr="00D61E89">
              <w:rPr>
                <w:bCs/>
                <w:sz w:val="20"/>
              </w:rPr>
              <w:t xml:space="preserve">often a known or possible exposure </w:t>
            </w:r>
          </w:p>
        </w:tc>
        <w:tc>
          <w:tcPr>
            <w:tcW w:w="2880" w:type="dxa"/>
            <w:tcBorders>
              <w:top w:val="single" w:sz="12" w:space="0" w:color="auto"/>
              <w:left w:val="single" w:sz="12" w:space="0" w:color="auto"/>
              <w:bottom w:val="single" w:sz="12" w:space="0" w:color="auto"/>
              <w:right w:val="single" w:sz="12" w:space="0" w:color="auto"/>
            </w:tcBorders>
            <w:vAlign w:val="center"/>
          </w:tcPr>
          <w:p w14:paraId="70E3C031" w14:textId="77777777" w:rsidR="00AB5681" w:rsidRPr="00D61E89" w:rsidRDefault="00AB5681" w:rsidP="00DA5592">
            <w:pPr>
              <w:spacing w:before="40"/>
              <w:jc w:val="center"/>
              <w:rPr>
                <w:bCs/>
                <w:i/>
                <w:sz w:val="20"/>
              </w:rPr>
            </w:pPr>
            <w:r w:rsidRPr="00D61E89">
              <w:rPr>
                <w:bCs/>
                <w:sz w:val="20"/>
              </w:rPr>
              <w:t>often a known or possible exposure</w:t>
            </w:r>
          </w:p>
        </w:tc>
        <w:tc>
          <w:tcPr>
            <w:tcW w:w="3960" w:type="dxa"/>
            <w:tcBorders>
              <w:top w:val="single" w:sz="12" w:space="0" w:color="auto"/>
              <w:left w:val="single" w:sz="12" w:space="0" w:color="auto"/>
              <w:bottom w:val="single" w:sz="12" w:space="0" w:color="auto"/>
              <w:right w:val="single" w:sz="12" w:space="0" w:color="auto"/>
            </w:tcBorders>
            <w:vAlign w:val="center"/>
          </w:tcPr>
          <w:p w14:paraId="6C50F8FB" w14:textId="77777777" w:rsidR="00AB5681" w:rsidRPr="00D61E89" w:rsidRDefault="00AB5681" w:rsidP="00DA5592">
            <w:pPr>
              <w:spacing w:before="40"/>
              <w:jc w:val="center"/>
              <w:rPr>
                <w:bCs/>
                <w:i/>
                <w:sz w:val="20"/>
              </w:rPr>
            </w:pPr>
            <w:r w:rsidRPr="00D61E89">
              <w:rPr>
                <w:bCs/>
                <w:sz w:val="20"/>
              </w:rPr>
              <w:t>No known exposure</w:t>
            </w:r>
          </w:p>
        </w:tc>
      </w:tr>
      <w:tr w:rsidR="00AB5681" w:rsidRPr="00D61E89" w14:paraId="2E88DAE1" w14:textId="77777777" w:rsidTr="005E0BF8">
        <w:tblPrEx>
          <w:tblCellMar>
            <w:top w:w="0" w:type="dxa"/>
            <w:bottom w:w="0" w:type="dxa"/>
          </w:tblCellMar>
        </w:tblPrEx>
        <w:tc>
          <w:tcPr>
            <w:tcW w:w="1350" w:type="dxa"/>
            <w:tcBorders>
              <w:top w:val="single" w:sz="12" w:space="0" w:color="auto"/>
              <w:bottom w:val="single" w:sz="12" w:space="0" w:color="auto"/>
            </w:tcBorders>
            <w:shd w:val="clear" w:color="auto" w:fill="auto"/>
            <w:vAlign w:val="center"/>
          </w:tcPr>
          <w:p w14:paraId="581BC3DE" w14:textId="77777777" w:rsidR="00AB5681" w:rsidRPr="00D61E89" w:rsidRDefault="00AB5681" w:rsidP="00AB5681">
            <w:pPr>
              <w:jc w:val="center"/>
              <w:rPr>
                <w:b/>
                <w:bCs/>
                <w:sz w:val="20"/>
                <w:szCs w:val="20"/>
              </w:rPr>
            </w:pPr>
          </w:p>
        </w:tc>
        <w:tc>
          <w:tcPr>
            <w:tcW w:w="3330" w:type="dxa"/>
            <w:tcBorders>
              <w:top w:val="single" w:sz="12" w:space="0" w:color="auto"/>
            </w:tcBorders>
          </w:tcPr>
          <w:p w14:paraId="3C361183" w14:textId="77777777" w:rsidR="00AB5681" w:rsidRPr="00D61E89" w:rsidRDefault="00AB5681" w:rsidP="00AB5681">
            <w:pPr>
              <w:jc w:val="center"/>
              <w:rPr>
                <w:bCs/>
                <w:i/>
                <w:sz w:val="20"/>
              </w:rPr>
            </w:pPr>
            <w:r w:rsidRPr="00D61E89">
              <w:rPr>
                <w:bCs/>
                <w:i/>
                <w:sz w:val="20"/>
              </w:rPr>
              <w:t>and</w:t>
            </w:r>
          </w:p>
        </w:tc>
        <w:tc>
          <w:tcPr>
            <w:tcW w:w="2880" w:type="dxa"/>
            <w:tcBorders>
              <w:top w:val="single" w:sz="12" w:space="0" w:color="auto"/>
            </w:tcBorders>
          </w:tcPr>
          <w:p w14:paraId="014A9DB8" w14:textId="77777777" w:rsidR="00AB5681" w:rsidRPr="00D61E89" w:rsidRDefault="00AB5681" w:rsidP="00AB5681">
            <w:pPr>
              <w:jc w:val="center"/>
              <w:rPr>
                <w:bCs/>
                <w:i/>
                <w:sz w:val="20"/>
              </w:rPr>
            </w:pPr>
            <w:r w:rsidRPr="00D61E89">
              <w:rPr>
                <w:bCs/>
                <w:i/>
                <w:sz w:val="20"/>
              </w:rPr>
              <w:t>and</w:t>
            </w:r>
          </w:p>
        </w:tc>
        <w:tc>
          <w:tcPr>
            <w:tcW w:w="3960" w:type="dxa"/>
            <w:tcBorders>
              <w:top w:val="single" w:sz="12" w:space="0" w:color="auto"/>
            </w:tcBorders>
          </w:tcPr>
          <w:p w14:paraId="26914821" w14:textId="77777777" w:rsidR="00AB5681" w:rsidRPr="00D61E89" w:rsidRDefault="00AB5681" w:rsidP="00AB5681">
            <w:pPr>
              <w:jc w:val="center"/>
              <w:rPr>
                <w:bCs/>
                <w:i/>
                <w:sz w:val="20"/>
              </w:rPr>
            </w:pPr>
            <w:r w:rsidRPr="00D61E89">
              <w:rPr>
                <w:bCs/>
                <w:i/>
                <w:sz w:val="20"/>
              </w:rPr>
              <w:t>and</w:t>
            </w:r>
          </w:p>
        </w:tc>
      </w:tr>
      <w:tr w:rsidR="00AB5681" w:rsidRPr="00D61E89" w14:paraId="289646B3" w14:textId="77777777" w:rsidTr="005E0BF8">
        <w:tblPrEx>
          <w:tblCellMar>
            <w:top w:w="0" w:type="dxa"/>
            <w:bottom w:w="0" w:type="dxa"/>
          </w:tblCellMar>
        </w:tblPrEx>
        <w:trPr>
          <w:trHeight w:val="825"/>
        </w:trPr>
        <w:tc>
          <w:tcPr>
            <w:tcW w:w="1350" w:type="dxa"/>
            <w:tcBorders>
              <w:top w:val="single" w:sz="12" w:space="0" w:color="auto"/>
              <w:left w:val="single" w:sz="12" w:space="0" w:color="auto"/>
              <w:bottom w:val="single" w:sz="12" w:space="0" w:color="auto"/>
            </w:tcBorders>
            <w:shd w:val="clear" w:color="auto" w:fill="D9D9D9"/>
            <w:vAlign w:val="center"/>
          </w:tcPr>
          <w:p w14:paraId="5341B441" w14:textId="77777777" w:rsidR="00AB5681" w:rsidRPr="00D61E89" w:rsidRDefault="00AB5681" w:rsidP="00AB5681">
            <w:pPr>
              <w:keepNext/>
              <w:jc w:val="center"/>
              <w:outlineLvl w:val="0"/>
              <w:rPr>
                <w:b/>
                <w:bCs/>
                <w:sz w:val="20"/>
                <w:szCs w:val="20"/>
              </w:rPr>
            </w:pPr>
            <w:r w:rsidRPr="00D61E89">
              <w:rPr>
                <w:b/>
                <w:bCs/>
                <w:sz w:val="20"/>
                <w:szCs w:val="20"/>
              </w:rPr>
              <w:t>Timing Post Vaccination</w:t>
            </w:r>
          </w:p>
        </w:tc>
        <w:tc>
          <w:tcPr>
            <w:tcW w:w="3330" w:type="dxa"/>
            <w:tcBorders>
              <w:top w:val="single" w:sz="12" w:space="0" w:color="auto"/>
              <w:left w:val="nil"/>
              <w:bottom w:val="single" w:sz="12" w:space="0" w:color="auto"/>
              <w:right w:val="single" w:sz="12" w:space="0" w:color="auto"/>
            </w:tcBorders>
            <w:vAlign w:val="center"/>
          </w:tcPr>
          <w:p w14:paraId="1AAD00E3" w14:textId="77777777" w:rsidR="00AB5681" w:rsidRPr="00D61E89" w:rsidRDefault="00AB5681" w:rsidP="007D5DEC">
            <w:pPr>
              <w:spacing w:before="40"/>
              <w:rPr>
                <w:bCs/>
                <w:sz w:val="20"/>
              </w:rPr>
            </w:pPr>
            <w:r w:rsidRPr="00D61E89">
              <w:rPr>
                <w:bCs/>
                <w:sz w:val="20"/>
              </w:rPr>
              <w:t xml:space="preserve">rash occurs &lt; 7 days or &gt; 42 days </w:t>
            </w:r>
            <w:r w:rsidRPr="00D61E89">
              <w:rPr>
                <w:bCs/>
                <w:sz w:val="20"/>
              </w:rPr>
              <w:br/>
              <w:t>(but can also occur between 7 – 42 days)*</w:t>
            </w:r>
          </w:p>
        </w:tc>
        <w:tc>
          <w:tcPr>
            <w:tcW w:w="2880" w:type="dxa"/>
            <w:tcBorders>
              <w:top w:val="single" w:sz="12" w:space="0" w:color="auto"/>
              <w:left w:val="single" w:sz="12" w:space="0" w:color="auto"/>
              <w:bottom w:val="single" w:sz="12" w:space="0" w:color="auto"/>
              <w:right w:val="single" w:sz="12" w:space="0" w:color="auto"/>
            </w:tcBorders>
            <w:vAlign w:val="center"/>
          </w:tcPr>
          <w:p w14:paraId="7A07C965" w14:textId="77777777" w:rsidR="00AB5681" w:rsidRPr="00D61E89" w:rsidRDefault="00AB5681" w:rsidP="007D5DEC">
            <w:pPr>
              <w:spacing w:before="40"/>
              <w:rPr>
                <w:bCs/>
                <w:sz w:val="20"/>
              </w:rPr>
            </w:pPr>
            <w:r w:rsidRPr="00D61E89">
              <w:rPr>
                <w:bCs/>
                <w:sz w:val="20"/>
              </w:rPr>
              <w:t xml:space="preserve">rash usually occurs &gt; 42 days </w:t>
            </w:r>
            <w:r w:rsidRPr="00D61E89">
              <w:rPr>
                <w:bCs/>
                <w:sz w:val="20"/>
              </w:rPr>
              <w:br/>
              <w:t>(but can also occur between 7 – 42 days)*</w:t>
            </w:r>
          </w:p>
        </w:tc>
        <w:tc>
          <w:tcPr>
            <w:tcW w:w="3960" w:type="dxa"/>
            <w:tcBorders>
              <w:top w:val="single" w:sz="12" w:space="0" w:color="auto"/>
              <w:left w:val="single" w:sz="12" w:space="0" w:color="auto"/>
              <w:bottom w:val="single" w:sz="12" w:space="0" w:color="auto"/>
              <w:right w:val="single" w:sz="12" w:space="0" w:color="auto"/>
            </w:tcBorders>
            <w:vAlign w:val="center"/>
          </w:tcPr>
          <w:p w14:paraId="17C62C18" w14:textId="77777777" w:rsidR="00AB5681" w:rsidRPr="00D61E89" w:rsidRDefault="00AB5681" w:rsidP="007D5DEC">
            <w:pPr>
              <w:spacing w:before="40"/>
              <w:jc w:val="center"/>
              <w:rPr>
                <w:bCs/>
                <w:sz w:val="20"/>
              </w:rPr>
            </w:pPr>
            <w:r w:rsidRPr="00D61E89">
              <w:rPr>
                <w:bCs/>
                <w:sz w:val="20"/>
              </w:rPr>
              <w:t xml:space="preserve">rash occurs at 7-21 days </w:t>
            </w:r>
            <w:r w:rsidRPr="00D61E89">
              <w:rPr>
                <w:bCs/>
                <w:sz w:val="20"/>
              </w:rPr>
              <w:br/>
              <w:t>(but can occur up to 42 days)*</w:t>
            </w:r>
          </w:p>
        </w:tc>
      </w:tr>
      <w:tr w:rsidR="00AB5681" w:rsidRPr="00D61E89" w14:paraId="6980492A" w14:textId="77777777" w:rsidTr="005E0BF8">
        <w:tblPrEx>
          <w:tblCellMar>
            <w:top w:w="0" w:type="dxa"/>
            <w:bottom w:w="0" w:type="dxa"/>
          </w:tblCellMar>
        </w:tblPrEx>
        <w:tc>
          <w:tcPr>
            <w:tcW w:w="1350" w:type="dxa"/>
            <w:tcBorders>
              <w:top w:val="single" w:sz="12" w:space="0" w:color="auto"/>
              <w:bottom w:val="single" w:sz="12" w:space="0" w:color="auto"/>
            </w:tcBorders>
            <w:shd w:val="clear" w:color="auto" w:fill="auto"/>
            <w:vAlign w:val="center"/>
          </w:tcPr>
          <w:p w14:paraId="2822FA6D" w14:textId="77777777" w:rsidR="00AB5681" w:rsidRPr="00D61E89" w:rsidRDefault="00AB5681" w:rsidP="00AB5681">
            <w:pPr>
              <w:jc w:val="center"/>
              <w:rPr>
                <w:b/>
                <w:bCs/>
                <w:sz w:val="20"/>
                <w:szCs w:val="20"/>
              </w:rPr>
            </w:pPr>
          </w:p>
        </w:tc>
        <w:tc>
          <w:tcPr>
            <w:tcW w:w="3330" w:type="dxa"/>
            <w:tcBorders>
              <w:top w:val="single" w:sz="12" w:space="0" w:color="auto"/>
            </w:tcBorders>
          </w:tcPr>
          <w:p w14:paraId="60EDE051" w14:textId="77777777" w:rsidR="00AB5681" w:rsidRPr="00D61E89" w:rsidRDefault="00AB5681" w:rsidP="00AB5681">
            <w:pPr>
              <w:jc w:val="center"/>
              <w:rPr>
                <w:bCs/>
                <w:i/>
                <w:sz w:val="20"/>
              </w:rPr>
            </w:pPr>
            <w:r w:rsidRPr="00D61E89">
              <w:rPr>
                <w:bCs/>
                <w:sz w:val="20"/>
                <w:szCs w:val="20"/>
              </w:rPr>
              <w:sym w:font="Symbol" w:char="F0DF"/>
            </w:r>
          </w:p>
        </w:tc>
        <w:tc>
          <w:tcPr>
            <w:tcW w:w="2880" w:type="dxa"/>
            <w:tcBorders>
              <w:top w:val="single" w:sz="12" w:space="0" w:color="auto"/>
            </w:tcBorders>
          </w:tcPr>
          <w:p w14:paraId="20C37086" w14:textId="77777777" w:rsidR="00AB5681" w:rsidRPr="00D61E89" w:rsidRDefault="00AB5681" w:rsidP="00AB5681">
            <w:pPr>
              <w:jc w:val="center"/>
              <w:rPr>
                <w:bCs/>
                <w:i/>
                <w:sz w:val="20"/>
              </w:rPr>
            </w:pPr>
            <w:r w:rsidRPr="00D61E89">
              <w:rPr>
                <w:bCs/>
                <w:sz w:val="20"/>
                <w:szCs w:val="20"/>
              </w:rPr>
              <w:sym w:font="Symbol" w:char="F0DF"/>
            </w:r>
          </w:p>
        </w:tc>
        <w:tc>
          <w:tcPr>
            <w:tcW w:w="3960" w:type="dxa"/>
            <w:tcBorders>
              <w:top w:val="single" w:sz="12" w:space="0" w:color="auto"/>
            </w:tcBorders>
          </w:tcPr>
          <w:p w14:paraId="04C08A24" w14:textId="77777777" w:rsidR="00AB5681" w:rsidRPr="00D61E89" w:rsidRDefault="00AB5681" w:rsidP="00AB5681">
            <w:pPr>
              <w:jc w:val="center"/>
              <w:rPr>
                <w:bCs/>
                <w:i/>
                <w:sz w:val="20"/>
              </w:rPr>
            </w:pPr>
            <w:r w:rsidRPr="00D61E89">
              <w:rPr>
                <w:bCs/>
                <w:sz w:val="20"/>
                <w:szCs w:val="20"/>
              </w:rPr>
              <w:sym w:font="Symbol" w:char="F0DF"/>
            </w:r>
          </w:p>
        </w:tc>
      </w:tr>
      <w:tr w:rsidR="00AB5681" w:rsidRPr="00D61E89" w14:paraId="7D8089B1" w14:textId="77777777" w:rsidTr="005E0BF8">
        <w:tblPrEx>
          <w:tblCellMar>
            <w:top w:w="0" w:type="dxa"/>
            <w:bottom w:w="0" w:type="dxa"/>
          </w:tblCellMar>
        </w:tblPrEx>
        <w:tc>
          <w:tcPr>
            <w:tcW w:w="1350" w:type="dxa"/>
            <w:tcBorders>
              <w:top w:val="single" w:sz="12" w:space="0" w:color="auto"/>
              <w:left w:val="single" w:sz="12" w:space="0" w:color="auto"/>
              <w:bottom w:val="single" w:sz="12" w:space="0" w:color="auto"/>
            </w:tcBorders>
            <w:shd w:val="clear" w:color="auto" w:fill="D9D9D9"/>
            <w:vAlign w:val="center"/>
          </w:tcPr>
          <w:p w14:paraId="7983B209" w14:textId="77777777" w:rsidR="00AB5681" w:rsidRPr="00D61E89" w:rsidRDefault="00F8559B" w:rsidP="00AB5681">
            <w:pPr>
              <w:keepNext/>
              <w:jc w:val="center"/>
              <w:outlineLvl w:val="0"/>
              <w:rPr>
                <w:rFonts w:ascii="Cambria" w:hAnsi="Cambria"/>
                <w:b/>
                <w:bCs/>
                <w:sz w:val="20"/>
                <w:szCs w:val="20"/>
              </w:rPr>
            </w:pPr>
            <w:r>
              <w:rPr>
                <w:rFonts w:ascii="Cambria" w:hAnsi="Cambria"/>
                <w:b/>
                <w:bCs/>
                <w:sz w:val="20"/>
                <w:szCs w:val="20"/>
              </w:rPr>
              <w:t>Occurrence</w:t>
            </w:r>
          </w:p>
        </w:tc>
        <w:tc>
          <w:tcPr>
            <w:tcW w:w="3330" w:type="dxa"/>
            <w:tcBorders>
              <w:top w:val="single" w:sz="12" w:space="0" w:color="auto"/>
              <w:left w:val="nil"/>
              <w:bottom w:val="single" w:sz="12" w:space="0" w:color="auto"/>
              <w:right w:val="single" w:sz="12" w:space="0" w:color="auto"/>
            </w:tcBorders>
          </w:tcPr>
          <w:p w14:paraId="4C52050B" w14:textId="77777777" w:rsidR="00AB5681" w:rsidRPr="00D61E89" w:rsidRDefault="00F8559B" w:rsidP="005E0BF8">
            <w:pPr>
              <w:spacing w:before="40"/>
              <w:jc w:val="center"/>
              <w:rPr>
                <w:rFonts w:ascii="Cambria" w:hAnsi="Cambria"/>
                <w:bCs/>
                <w:sz w:val="20"/>
                <w:szCs w:val="20"/>
              </w:rPr>
            </w:pPr>
            <w:r w:rsidRPr="00D61E89" w:rsidDel="00F8559B">
              <w:rPr>
                <w:rFonts w:ascii="Cambria" w:hAnsi="Cambria"/>
                <w:b/>
                <w:bCs/>
                <w:sz w:val="20"/>
                <w:szCs w:val="20"/>
              </w:rPr>
              <w:t xml:space="preserve"> </w:t>
            </w:r>
          </w:p>
        </w:tc>
        <w:tc>
          <w:tcPr>
            <w:tcW w:w="2880" w:type="dxa"/>
            <w:tcBorders>
              <w:top w:val="single" w:sz="12" w:space="0" w:color="auto"/>
              <w:left w:val="single" w:sz="12" w:space="0" w:color="auto"/>
              <w:bottom w:val="single" w:sz="12" w:space="0" w:color="auto"/>
              <w:right w:val="single" w:sz="12" w:space="0" w:color="auto"/>
            </w:tcBorders>
          </w:tcPr>
          <w:p w14:paraId="019867EB" w14:textId="77777777" w:rsidR="00AB5681" w:rsidRPr="00D61E89" w:rsidRDefault="00F8559B" w:rsidP="005D51B1">
            <w:pPr>
              <w:spacing w:before="40"/>
              <w:jc w:val="center"/>
              <w:rPr>
                <w:rFonts w:ascii="Cambria" w:hAnsi="Cambria"/>
                <w:bCs/>
                <w:sz w:val="20"/>
                <w:szCs w:val="20"/>
              </w:rPr>
            </w:pPr>
            <w:r>
              <w:rPr>
                <w:rFonts w:ascii="Cambria" w:hAnsi="Cambria"/>
                <w:bCs/>
                <w:sz w:val="20"/>
                <w:szCs w:val="20"/>
              </w:rPr>
              <w:t>U</w:t>
            </w:r>
            <w:r w:rsidR="00AB5681" w:rsidRPr="00D61E89">
              <w:rPr>
                <w:rFonts w:ascii="Cambria" w:hAnsi="Cambria"/>
                <w:bCs/>
                <w:sz w:val="20"/>
                <w:szCs w:val="20"/>
              </w:rPr>
              <w:t>p to 30% of vaccinated children and adults, respectively, with household exposure to wild-type varicella</w:t>
            </w:r>
          </w:p>
        </w:tc>
        <w:tc>
          <w:tcPr>
            <w:tcW w:w="3960" w:type="dxa"/>
            <w:tcBorders>
              <w:top w:val="single" w:sz="12" w:space="0" w:color="auto"/>
              <w:left w:val="single" w:sz="12" w:space="0" w:color="auto"/>
              <w:bottom w:val="single" w:sz="12" w:space="0" w:color="auto"/>
              <w:right w:val="single" w:sz="12" w:space="0" w:color="auto"/>
            </w:tcBorders>
          </w:tcPr>
          <w:p w14:paraId="4ED74B95" w14:textId="77777777" w:rsidR="00AB5681" w:rsidRPr="005D51B1" w:rsidRDefault="00F8559B" w:rsidP="00DA5592">
            <w:pPr>
              <w:keepNext/>
              <w:spacing w:before="40"/>
              <w:jc w:val="center"/>
              <w:outlineLvl w:val="0"/>
              <w:rPr>
                <w:rFonts w:ascii="Cambria" w:hAnsi="Cambria"/>
                <w:bCs/>
                <w:sz w:val="20"/>
                <w:szCs w:val="20"/>
              </w:rPr>
            </w:pPr>
            <w:r w:rsidRPr="005E0BF8">
              <w:rPr>
                <w:rFonts w:ascii="Cambria" w:hAnsi="Cambria"/>
                <w:bCs/>
                <w:sz w:val="20"/>
                <w:szCs w:val="20"/>
              </w:rPr>
              <w:t>Side effect of the</w:t>
            </w:r>
            <w:r w:rsidR="00AB5681" w:rsidRPr="005D51B1">
              <w:rPr>
                <w:rFonts w:ascii="Cambria" w:hAnsi="Cambria"/>
                <w:bCs/>
                <w:sz w:val="20"/>
                <w:szCs w:val="20"/>
              </w:rPr>
              <w:t xml:space="preserve"> vaccine</w:t>
            </w:r>
          </w:p>
          <w:p w14:paraId="347B6939" w14:textId="77777777" w:rsidR="00AB5681" w:rsidRPr="00D61E89" w:rsidRDefault="00AB5681" w:rsidP="00DA5592">
            <w:pPr>
              <w:spacing w:before="40"/>
              <w:jc w:val="center"/>
              <w:rPr>
                <w:rFonts w:ascii="Cambria" w:hAnsi="Cambria"/>
                <w:bCs/>
                <w:sz w:val="20"/>
                <w:szCs w:val="20"/>
              </w:rPr>
            </w:pPr>
            <w:r w:rsidRPr="00D61E89">
              <w:rPr>
                <w:rFonts w:ascii="Cambria" w:hAnsi="Cambria"/>
                <w:bCs/>
                <w:sz w:val="20"/>
                <w:szCs w:val="20"/>
              </w:rPr>
              <w:t>(occurs in 4% of vaccinees)</w:t>
            </w:r>
          </w:p>
        </w:tc>
      </w:tr>
      <w:tr w:rsidR="00AB5681" w:rsidRPr="00D61E89" w14:paraId="0C58612C" w14:textId="77777777" w:rsidTr="005E0BF8">
        <w:tblPrEx>
          <w:tblCellMar>
            <w:top w:w="0" w:type="dxa"/>
            <w:bottom w:w="0" w:type="dxa"/>
          </w:tblCellMar>
        </w:tblPrEx>
        <w:tc>
          <w:tcPr>
            <w:tcW w:w="1350" w:type="dxa"/>
            <w:tcBorders>
              <w:top w:val="single" w:sz="12" w:space="0" w:color="auto"/>
              <w:bottom w:val="single" w:sz="12" w:space="0" w:color="auto"/>
            </w:tcBorders>
            <w:shd w:val="clear" w:color="auto" w:fill="auto"/>
            <w:vAlign w:val="center"/>
          </w:tcPr>
          <w:p w14:paraId="472F5146" w14:textId="77777777" w:rsidR="00AB5681" w:rsidRPr="00D61E89" w:rsidRDefault="00AB5681" w:rsidP="00AB5681">
            <w:pPr>
              <w:jc w:val="center"/>
              <w:rPr>
                <w:b/>
                <w:bCs/>
                <w:sz w:val="20"/>
                <w:szCs w:val="20"/>
              </w:rPr>
            </w:pPr>
          </w:p>
        </w:tc>
        <w:tc>
          <w:tcPr>
            <w:tcW w:w="3330" w:type="dxa"/>
            <w:tcBorders>
              <w:top w:val="single" w:sz="12" w:space="0" w:color="auto"/>
            </w:tcBorders>
          </w:tcPr>
          <w:p w14:paraId="7D4DBB93" w14:textId="77777777" w:rsidR="00AB5681" w:rsidRPr="00D61E89" w:rsidRDefault="00AB5681" w:rsidP="00AB5681">
            <w:pPr>
              <w:jc w:val="center"/>
              <w:rPr>
                <w:bCs/>
                <w:i/>
                <w:sz w:val="20"/>
              </w:rPr>
            </w:pPr>
            <w:r w:rsidRPr="00D61E89">
              <w:rPr>
                <w:bCs/>
                <w:sz w:val="20"/>
                <w:szCs w:val="20"/>
              </w:rPr>
              <w:sym w:font="Symbol" w:char="F0DF"/>
            </w:r>
          </w:p>
        </w:tc>
        <w:tc>
          <w:tcPr>
            <w:tcW w:w="2880" w:type="dxa"/>
            <w:tcBorders>
              <w:top w:val="single" w:sz="12" w:space="0" w:color="auto"/>
            </w:tcBorders>
          </w:tcPr>
          <w:p w14:paraId="2A21EBBE" w14:textId="77777777" w:rsidR="00AB5681" w:rsidRPr="00D61E89" w:rsidRDefault="00AB5681" w:rsidP="00AB5681">
            <w:pPr>
              <w:jc w:val="center"/>
              <w:rPr>
                <w:bCs/>
                <w:i/>
                <w:sz w:val="20"/>
              </w:rPr>
            </w:pPr>
            <w:r w:rsidRPr="00D61E89">
              <w:rPr>
                <w:bCs/>
                <w:sz w:val="20"/>
                <w:szCs w:val="20"/>
              </w:rPr>
              <w:sym w:font="Symbol" w:char="F0DF"/>
            </w:r>
          </w:p>
        </w:tc>
        <w:tc>
          <w:tcPr>
            <w:tcW w:w="3960" w:type="dxa"/>
            <w:tcBorders>
              <w:top w:val="single" w:sz="12" w:space="0" w:color="auto"/>
            </w:tcBorders>
          </w:tcPr>
          <w:p w14:paraId="725D9CE1" w14:textId="77777777" w:rsidR="00AB5681" w:rsidRPr="00D61E89" w:rsidRDefault="00AB5681" w:rsidP="00AB5681">
            <w:pPr>
              <w:jc w:val="center"/>
              <w:rPr>
                <w:bCs/>
                <w:i/>
                <w:sz w:val="20"/>
              </w:rPr>
            </w:pPr>
            <w:r w:rsidRPr="00D61E89">
              <w:rPr>
                <w:bCs/>
                <w:sz w:val="20"/>
                <w:szCs w:val="20"/>
              </w:rPr>
              <w:sym w:font="Symbol" w:char="F0DF"/>
            </w:r>
          </w:p>
        </w:tc>
      </w:tr>
      <w:tr w:rsidR="00AB5681" w:rsidRPr="00D61E89" w14:paraId="1BB1573B" w14:textId="77777777" w:rsidTr="005E0BF8">
        <w:tblPrEx>
          <w:tblCellMar>
            <w:top w:w="0" w:type="dxa"/>
            <w:bottom w:w="0" w:type="dxa"/>
          </w:tblCellMar>
        </w:tblPrEx>
        <w:tc>
          <w:tcPr>
            <w:tcW w:w="1350" w:type="dxa"/>
            <w:tcBorders>
              <w:top w:val="single" w:sz="12" w:space="0" w:color="auto"/>
              <w:left w:val="single" w:sz="12" w:space="0" w:color="auto"/>
              <w:bottom w:val="single" w:sz="12" w:space="0" w:color="auto"/>
            </w:tcBorders>
            <w:shd w:val="clear" w:color="auto" w:fill="D9D9D9"/>
            <w:vAlign w:val="center"/>
          </w:tcPr>
          <w:p w14:paraId="35948B29" w14:textId="77777777" w:rsidR="00AB5681" w:rsidRPr="00D61E89" w:rsidRDefault="00AB5681" w:rsidP="00AB5681">
            <w:pPr>
              <w:keepNext/>
              <w:jc w:val="center"/>
              <w:outlineLvl w:val="0"/>
              <w:rPr>
                <w:rFonts w:ascii="Arial" w:hAnsi="Arial"/>
                <w:b/>
                <w:bCs/>
                <w:sz w:val="20"/>
                <w:szCs w:val="20"/>
              </w:rPr>
            </w:pPr>
            <w:r w:rsidRPr="00D61E89">
              <w:rPr>
                <w:b/>
                <w:bCs/>
                <w:sz w:val="20"/>
                <w:szCs w:val="20"/>
              </w:rPr>
              <w:t>Infectious</w:t>
            </w:r>
          </w:p>
        </w:tc>
        <w:tc>
          <w:tcPr>
            <w:tcW w:w="3330" w:type="dxa"/>
            <w:tcBorders>
              <w:top w:val="single" w:sz="12" w:space="0" w:color="auto"/>
              <w:left w:val="nil"/>
              <w:bottom w:val="single" w:sz="12" w:space="0" w:color="auto"/>
              <w:right w:val="single" w:sz="12" w:space="0" w:color="auto"/>
            </w:tcBorders>
            <w:vAlign w:val="center"/>
          </w:tcPr>
          <w:p w14:paraId="1EAB63E3" w14:textId="77777777" w:rsidR="00AB5681" w:rsidRPr="00D61E89" w:rsidRDefault="00AB5681" w:rsidP="005D51B1">
            <w:pPr>
              <w:keepNext/>
              <w:spacing w:before="40"/>
              <w:jc w:val="center"/>
              <w:outlineLvl w:val="3"/>
              <w:rPr>
                <w:b/>
                <w:bCs/>
                <w:sz w:val="20"/>
                <w:szCs w:val="20"/>
              </w:rPr>
            </w:pPr>
            <w:r w:rsidRPr="00D61E89">
              <w:rPr>
                <w:b/>
                <w:bCs/>
                <w:sz w:val="20"/>
                <w:szCs w:val="20"/>
              </w:rPr>
              <w:t>Highly infectious</w:t>
            </w:r>
          </w:p>
        </w:tc>
        <w:tc>
          <w:tcPr>
            <w:tcW w:w="2880" w:type="dxa"/>
            <w:tcBorders>
              <w:top w:val="single" w:sz="12" w:space="0" w:color="auto"/>
              <w:left w:val="single" w:sz="12" w:space="0" w:color="auto"/>
              <w:bottom w:val="single" w:sz="12" w:space="0" w:color="auto"/>
              <w:right w:val="single" w:sz="12" w:space="0" w:color="auto"/>
            </w:tcBorders>
          </w:tcPr>
          <w:p w14:paraId="3023B396" w14:textId="77777777" w:rsidR="00AB5681" w:rsidRPr="00D61E89" w:rsidRDefault="00AB5681" w:rsidP="00DA5592">
            <w:pPr>
              <w:keepNext/>
              <w:spacing w:before="40"/>
              <w:jc w:val="center"/>
              <w:outlineLvl w:val="7"/>
              <w:rPr>
                <w:b/>
                <w:bCs/>
                <w:sz w:val="20"/>
                <w:szCs w:val="20"/>
              </w:rPr>
            </w:pPr>
            <w:r w:rsidRPr="00D61E89">
              <w:rPr>
                <w:b/>
                <w:bCs/>
                <w:sz w:val="20"/>
                <w:szCs w:val="20"/>
              </w:rPr>
              <w:t>&lt; 50 lesions, one-third as infectious as wild type</w:t>
            </w:r>
          </w:p>
          <w:p w14:paraId="64AD5D34" w14:textId="77777777" w:rsidR="00AB5681" w:rsidRPr="004F2DEA" w:rsidRDefault="00AB5681" w:rsidP="00DA5592">
            <w:pPr>
              <w:keepNext/>
              <w:spacing w:before="40"/>
              <w:jc w:val="center"/>
              <w:outlineLvl w:val="7"/>
              <w:rPr>
                <w:b/>
                <w:bCs/>
                <w:sz w:val="12"/>
                <w:szCs w:val="12"/>
              </w:rPr>
            </w:pPr>
          </w:p>
          <w:p w14:paraId="69DD7A51" w14:textId="77777777" w:rsidR="00AB5681" w:rsidRPr="00D61E89" w:rsidRDefault="00AB5681" w:rsidP="00DA5592">
            <w:pPr>
              <w:keepNext/>
              <w:spacing w:before="40"/>
              <w:jc w:val="center"/>
              <w:outlineLvl w:val="7"/>
              <w:rPr>
                <w:rFonts w:ascii="Arial" w:hAnsi="Arial"/>
                <w:b/>
                <w:sz w:val="20"/>
                <w:szCs w:val="20"/>
              </w:rPr>
            </w:pPr>
            <w:r w:rsidRPr="00D61E89">
              <w:rPr>
                <w:b/>
                <w:bCs/>
                <w:sz w:val="20"/>
                <w:szCs w:val="20"/>
              </w:rPr>
              <w:t>&gt;50 lesions, as highly infectious as wild type</w:t>
            </w:r>
          </w:p>
        </w:tc>
        <w:tc>
          <w:tcPr>
            <w:tcW w:w="3960" w:type="dxa"/>
            <w:tcBorders>
              <w:top w:val="single" w:sz="12" w:space="0" w:color="auto"/>
              <w:left w:val="single" w:sz="12" w:space="0" w:color="auto"/>
              <w:bottom w:val="single" w:sz="12" w:space="0" w:color="auto"/>
              <w:right w:val="single" w:sz="12" w:space="0" w:color="auto"/>
            </w:tcBorders>
          </w:tcPr>
          <w:p w14:paraId="70AA5AE0" w14:textId="77777777" w:rsidR="00AB5681" w:rsidRPr="00D61E89" w:rsidRDefault="00AB5681" w:rsidP="00DA5592">
            <w:pPr>
              <w:numPr>
                <w:ilvl w:val="0"/>
                <w:numId w:val="44"/>
              </w:numPr>
              <w:spacing w:before="40"/>
              <w:rPr>
                <w:bCs/>
                <w:sz w:val="20"/>
              </w:rPr>
            </w:pPr>
            <w:r w:rsidRPr="00D61E89">
              <w:rPr>
                <w:bCs/>
                <w:i/>
                <w:sz w:val="20"/>
              </w:rPr>
              <w:t>Much less</w:t>
            </w:r>
            <w:r w:rsidRPr="00D61E89">
              <w:rPr>
                <w:bCs/>
                <w:sz w:val="20"/>
              </w:rPr>
              <w:t xml:space="preserve"> infectious than non-vaccine modified wild-type disease </w:t>
            </w:r>
          </w:p>
          <w:p w14:paraId="526D4154" w14:textId="77777777" w:rsidR="00AB5681" w:rsidRPr="00D61E89" w:rsidRDefault="00AB5681" w:rsidP="00DA5592">
            <w:pPr>
              <w:numPr>
                <w:ilvl w:val="0"/>
                <w:numId w:val="44"/>
              </w:numPr>
              <w:spacing w:before="40"/>
              <w:rPr>
                <w:bCs/>
                <w:sz w:val="20"/>
              </w:rPr>
            </w:pPr>
            <w:r w:rsidRPr="00D61E89">
              <w:rPr>
                <w:bCs/>
                <w:sz w:val="20"/>
              </w:rPr>
              <w:t>If transmission occurs, infection may be asymptomatic or attenuated</w:t>
            </w:r>
          </w:p>
          <w:p w14:paraId="44701A64" w14:textId="77777777" w:rsidR="00AB5681" w:rsidRPr="00D61E89" w:rsidRDefault="00AB5681" w:rsidP="00DA5592">
            <w:pPr>
              <w:spacing w:before="40"/>
              <w:ind w:left="42"/>
              <w:rPr>
                <w:bCs/>
                <w:sz w:val="20"/>
              </w:rPr>
            </w:pPr>
          </w:p>
        </w:tc>
      </w:tr>
      <w:tr w:rsidR="00AB5681" w:rsidRPr="00D61E89" w14:paraId="5E8CB4F0" w14:textId="77777777" w:rsidTr="005E0BF8">
        <w:tblPrEx>
          <w:tblCellMar>
            <w:top w:w="0" w:type="dxa"/>
            <w:bottom w:w="0" w:type="dxa"/>
          </w:tblCellMar>
        </w:tblPrEx>
        <w:tc>
          <w:tcPr>
            <w:tcW w:w="1350" w:type="dxa"/>
            <w:tcBorders>
              <w:top w:val="single" w:sz="12" w:space="0" w:color="auto"/>
              <w:bottom w:val="single" w:sz="12" w:space="0" w:color="auto"/>
            </w:tcBorders>
            <w:shd w:val="clear" w:color="auto" w:fill="auto"/>
            <w:vAlign w:val="center"/>
          </w:tcPr>
          <w:p w14:paraId="7D6C314C" w14:textId="77777777" w:rsidR="00AB5681" w:rsidRPr="00D61E89" w:rsidRDefault="00AB5681" w:rsidP="00AB5681">
            <w:pPr>
              <w:jc w:val="center"/>
              <w:rPr>
                <w:b/>
                <w:bCs/>
                <w:sz w:val="20"/>
                <w:szCs w:val="20"/>
              </w:rPr>
            </w:pPr>
          </w:p>
        </w:tc>
        <w:tc>
          <w:tcPr>
            <w:tcW w:w="3330" w:type="dxa"/>
            <w:tcBorders>
              <w:top w:val="single" w:sz="12" w:space="0" w:color="auto"/>
            </w:tcBorders>
          </w:tcPr>
          <w:p w14:paraId="3AAC19A9" w14:textId="77777777" w:rsidR="00AB5681" w:rsidRPr="00D61E89" w:rsidRDefault="00AB5681" w:rsidP="00AB5681">
            <w:pPr>
              <w:jc w:val="center"/>
              <w:rPr>
                <w:bCs/>
                <w:i/>
                <w:sz w:val="20"/>
              </w:rPr>
            </w:pPr>
            <w:r w:rsidRPr="00D61E89">
              <w:rPr>
                <w:bCs/>
                <w:sz w:val="20"/>
                <w:szCs w:val="20"/>
              </w:rPr>
              <w:sym w:font="Symbol" w:char="F0DF"/>
            </w:r>
          </w:p>
        </w:tc>
        <w:tc>
          <w:tcPr>
            <w:tcW w:w="2880" w:type="dxa"/>
            <w:tcBorders>
              <w:top w:val="single" w:sz="12" w:space="0" w:color="auto"/>
            </w:tcBorders>
          </w:tcPr>
          <w:p w14:paraId="77613558" w14:textId="77777777" w:rsidR="00AB5681" w:rsidRPr="00D61E89" w:rsidRDefault="00AB5681" w:rsidP="00AB5681">
            <w:pPr>
              <w:jc w:val="center"/>
              <w:rPr>
                <w:bCs/>
                <w:i/>
                <w:sz w:val="20"/>
              </w:rPr>
            </w:pPr>
            <w:r w:rsidRPr="00D61E89">
              <w:rPr>
                <w:bCs/>
                <w:sz w:val="20"/>
                <w:szCs w:val="20"/>
              </w:rPr>
              <w:sym w:font="Symbol" w:char="F0DF"/>
            </w:r>
          </w:p>
        </w:tc>
        <w:tc>
          <w:tcPr>
            <w:tcW w:w="3960" w:type="dxa"/>
            <w:tcBorders>
              <w:top w:val="single" w:sz="12" w:space="0" w:color="auto"/>
            </w:tcBorders>
          </w:tcPr>
          <w:p w14:paraId="67485FB6" w14:textId="77777777" w:rsidR="00AB5681" w:rsidRPr="00D61E89" w:rsidRDefault="00AB5681" w:rsidP="00AB5681">
            <w:pPr>
              <w:jc w:val="center"/>
              <w:rPr>
                <w:bCs/>
                <w:i/>
                <w:sz w:val="20"/>
              </w:rPr>
            </w:pPr>
            <w:r w:rsidRPr="00D61E89">
              <w:rPr>
                <w:bCs/>
                <w:sz w:val="20"/>
                <w:szCs w:val="20"/>
              </w:rPr>
              <w:sym w:font="Symbol" w:char="F0DF"/>
            </w:r>
          </w:p>
        </w:tc>
      </w:tr>
      <w:tr w:rsidR="00AB5681" w:rsidRPr="00D61E89" w14:paraId="063E8DD0" w14:textId="77777777" w:rsidTr="005E0BF8">
        <w:tblPrEx>
          <w:tblCellMar>
            <w:top w:w="0" w:type="dxa"/>
            <w:bottom w:w="0" w:type="dxa"/>
          </w:tblCellMar>
        </w:tblPrEx>
        <w:tc>
          <w:tcPr>
            <w:tcW w:w="1350" w:type="dxa"/>
            <w:tcBorders>
              <w:top w:val="single" w:sz="12" w:space="0" w:color="auto"/>
              <w:left w:val="single" w:sz="12" w:space="0" w:color="auto"/>
              <w:bottom w:val="single" w:sz="12" w:space="0" w:color="auto"/>
            </w:tcBorders>
            <w:shd w:val="clear" w:color="auto" w:fill="D9D9D9"/>
            <w:vAlign w:val="center"/>
          </w:tcPr>
          <w:p w14:paraId="570643A3" w14:textId="77777777" w:rsidR="00AB5681" w:rsidRPr="00D61E89" w:rsidRDefault="00AB5681" w:rsidP="00AB5681">
            <w:pPr>
              <w:keepNext/>
              <w:jc w:val="center"/>
              <w:outlineLvl w:val="0"/>
              <w:rPr>
                <w:b/>
                <w:bCs/>
                <w:sz w:val="20"/>
                <w:szCs w:val="20"/>
              </w:rPr>
            </w:pPr>
            <w:r w:rsidRPr="00D61E89">
              <w:rPr>
                <w:b/>
                <w:bCs/>
                <w:sz w:val="20"/>
                <w:szCs w:val="20"/>
              </w:rPr>
              <w:t>Exclude</w:t>
            </w:r>
          </w:p>
          <w:p w14:paraId="265DA600" w14:textId="77777777" w:rsidR="00AB5681" w:rsidRPr="00D61E89" w:rsidRDefault="00AB5681" w:rsidP="00AB5681">
            <w:pPr>
              <w:jc w:val="center"/>
              <w:rPr>
                <w:b/>
                <w:bCs/>
                <w:sz w:val="20"/>
                <w:szCs w:val="20"/>
              </w:rPr>
            </w:pPr>
          </w:p>
        </w:tc>
        <w:tc>
          <w:tcPr>
            <w:tcW w:w="3330" w:type="dxa"/>
            <w:tcBorders>
              <w:top w:val="single" w:sz="12" w:space="0" w:color="auto"/>
              <w:left w:val="nil"/>
              <w:bottom w:val="single" w:sz="12" w:space="0" w:color="auto"/>
              <w:right w:val="single" w:sz="12" w:space="0" w:color="auto"/>
            </w:tcBorders>
          </w:tcPr>
          <w:p w14:paraId="71B6030C" w14:textId="77777777" w:rsidR="00AB5681" w:rsidRPr="00D61E89" w:rsidRDefault="00AB5681" w:rsidP="00DA5592">
            <w:pPr>
              <w:spacing w:before="40"/>
              <w:rPr>
                <w:bCs/>
                <w:sz w:val="20"/>
              </w:rPr>
            </w:pPr>
            <w:r w:rsidRPr="00D61E89">
              <w:rPr>
                <w:bCs/>
                <w:sz w:val="20"/>
              </w:rPr>
              <w:t>Exclude from school until all lesions have dried and crusted over, or until no new lesions appear, usually by the 5</w:t>
            </w:r>
            <w:r w:rsidRPr="00D61E89">
              <w:rPr>
                <w:bCs/>
                <w:sz w:val="20"/>
                <w:vertAlign w:val="superscript"/>
              </w:rPr>
              <w:t>th</w:t>
            </w:r>
            <w:r w:rsidRPr="00D61E89">
              <w:rPr>
                <w:bCs/>
                <w:sz w:val="20"/>
              </w:rPr>
              <w:t xml:space="preserve"> day after rash onset.</w:t>
            </w:r>
          </w:p>
        </w:tc>
        <w:tc>
          <w:tcPr>
            <w:tcW w:w="2880" w:type="dxa"/>
            <w:tcBorders>
              <w:top w:val="single" w:sz="12" w:space="0" w:color="auto"/>
              <w:left w:val="single" w:sz="12" w:space="0" w:color="auto"/>
              <w:bottom w:val="single" w:sz="12" w:space="0" w:color="auto"/>
              <w:right w:val="single" w:sz="12" w:space="0" w:color="auto"/>
            </w:tcBorders>
          </w:tcPr>
          <w:p w14:paraId="6E9FD446" w14:textId="77777777" w:rsidR="00AB5681" w:rsidRPr="00D61E89" w:rsidRDefault="00AB5681" w:rsidP="004A06AC">
            <w:pPr>
              <w:spacing w:before="40" w:after="120"/>
              <w:rPr>
                <w:bCs/>
                <w:sz w:val="20"/>
                <w:szCs w:val="20"/>
              </w:rPr>
            </w:pPr>
            <w:r w:rsidRPr="00D61E89">
              <w:rPr>
                <w:bCs/>
                <w:sz w:val="20"/>
                <w:szCs w:val="20"/>
              </w:rPr>
              <w:t xml:space="preserve">If vesicles </w:t>
            </w:r>
            <w:r w:rsidR="00A50E46" w:rsidRPr="00D61E89">
              <w:rPr>
                <w:bCs/>
                <w:sz w:val="20"/>
                <w:szCs w:val="20"/>
              </w:rPr>
              <w:t>are present</w:t>
            </w:r>
            <w:r w:rsidRPr="00D61E89">
              <w:rPr>
                <w:bCs/>
                <w:sz w:val="20"/>
                <w:szCs w:val="20"/>
              </w:rPr>
              <w:t xml:space="preserve">, exclude as for wild-type chickenpox. If no vesicles </w:t>
            </w:r>
            <w:r w:rsidR="00A50E46" w:rsidRPr="00D61E89">
              <w:rPr>
                <w:bCs/>
                <w:sz w:val="20"/>
                <w:szCs w:val="20"/>
              </w:rPr>
              <w:t>are present</w:t>
            </w:r>
            <w:r w:rsidRPr="00D61E89">
              <w:rPr>
                <w:bCs/>
                <w:sz w:val="20"/>
                <w:szCs w:val="20"/>
              </w:rPr>
              <w:t>, until lesions have faded (i.e., the lesions are in the process of resolving; lesions do not need to be completely resolved) or no new lesions appear</w:t>
            </w:r>
            <w:r w:rsidR="00F70CEE" w:rsidRPr="00D61E89">
              <w:rPr>
                <w:bCs/>
                <w:sz w:val="20"/>
                <w:szCs w:val="20"/>
              </w:rPr>
              <w:t xml:space="preserve"> </w:t>
            </w:r>
            <w:r w:rsidRPr="00D61E89">
              <w:rPr>
                <w:bCs/>
                <w:sz w:val="20"/>
                <w:szCs w:val="20"/>
              </w:rPr>
              <w:t xml:space="preserve">within a </w:t>
            </w:r>
            <w:r w:rsidR="00A50E46" w:rsidRPr="00D61E89">
              <w:rPr>
                <w:bCs/>
                <w:sz w:val="20"/>
                <w:szCs w:val="20"/>
              </w:rPr>
              <w:t>24-hour</w:t>
            </w:r>
            <w:r w:rsidRPr="00D61E89">
              <w:rPr>
                <w:bCs/>
                <w:sz w:val="20"/>
                <w:szCs w:val="20"/>
              </w:rPr>
              <w:t xml:space="preserve"> period, whichever is later. </w:t>
            </w:r>
          </w:p>
        </w:tc>
        <w:tc>
          <w:tcPr>
            <w:tcW w:w="3960" w:type="dxa"/>
            <w:tcBorders>
              <w:top w:val="single" w:sz="12" w:space="0" w:color="auto"/>
              <w:left w:val="single" w:sz="12" w:space="0" w:color="auto"/>
              <w:bottom w:val="single" w:sz="12" w:space="0" w:color="auto"/>
              <w:right w:val="single" w:sz="12" w:space="0" w:color="auto"/>
            </w:tcBorders>
          </w:tcPr>
          <w:p w14:paraId="049F7772" w14:textId="77777777" w:rsidR="00AB5681" w:rsidRPr="00D61E89" w:rsidRDefault="00AB5681" w:rsidP="00DA5592">
            <w:pPr>
              <w:spacing w:before="40"/>
              <w:rPr>
                <w:bCs/>
                <w:iCs/>
                <w:sz w:val="20"/>
                <w:szCs w:val="20"/>
              </w:rPr>
            </w:pPr>
            <w:r w:rsidRPr="00D61E89">
              <w:rPr>
                <w:bCs/>
                <w:iCs/>
                <w:sz w:val="20"/>
                <w:szCs w:val="20"/>
              </w:rPr>
              <w:t>If no high-risk susceptible contacts are identified and local policy permits, the child may attend school.</w:t>
            </w:r>
          </w:p>
          <w:p w14:paraId="74B6072F" w14:textId="77777777" w:rsidR="00AB5681" w:rsidRPr="00D61E89" w:rsidRDefault="00AB5681" w:rsidP="00DA5592">
            <w:pPr>
              <w:spacing w:before="40"/>
              <w:rPr>
                <w:bCs/>
                <w:sz w:val="20"/>
              </w:rPr>
            </w:pPr>
          </w:p>
        </w:tc>
      </w:tr>
    </w:tbl>
    <w:p w14:paraId="28D3223B" w14:textId="77777777" w:rsidR="00AB5681" w:rsidRPr="00D61E89" w:rsidRDefault="00AB5681" w:rsidP="00AB5681">
      <w:pPr>
        <w:ind w:left="90" w:hanging="90"/>
        <w:jc w:val="center"/>
        <w:rPr>
          <w:rFonts w:ascii="Arial" w:hAnsi="Arial"/>
          <w:sz w:val="20"/>
          <w:szCs w:val="20"/>
        </w:rPr>
      </w:pPr>
      <w:r w:rsidRPr="00D61E89">
        <w:rPr>
          <w:rFonts w:ascii="Arial" w:hAnsi="Arial"/>
          <w:sz w:val="20"/>
          <w:szCs w:val="20"/>
        </w:rPr>
        <w:t>*Rashes occurring days 7-42 post vaccination may be due to either wild-type or vaccine-type virus.</w:t>
      </w:r>
      <w:r w:rsidR="00F70CEE" w:rsidRPr="00D61E89">
        <w:rPr>
          <w:rFonts w:ascii="Arial" w:hAnsi="Arial"/>
          <w:sz w:val="20"/>
          <w:szCs w:val="20"/>
        </w:rPr>
        <w:t xml:space="preserve"> </w:t>
      </w:r>
      <w:r w:rsidRPr="00D61E89">
        <w:rPr>
          <w:rFonts w:ascii="Arial" w:hAnsi="Arial"/>
          <w:sz w:val="20"/>
          <w:szCs w:val="20"/>
        </w:rPr>
        <w:t xml:space="preserve">PCR </w:t>
      </w:r>
      <w:r w:rsidR="00AB4BAF">
        <w:rPr>
          <w:rFonts w:ascii="Arial" w:hAnsi="Arial"/>
          <w:sz w:val="20"/>
          <w:szCs w:val="20"/>
        </w:rPr>
        <w:t xml:space="preserve">testing </w:t>
      </w:r>
      <w:r w:rsidRPr="00D61E89">
        <w:rPr>
          <w:rFonts w:ascii="Arial" w:hAnsi="Arial"/>
          <w:sz w:val="20"/>
          <w:szCs w:val="20"/>
        </w:rPr>
        <w:t>may be used to differentiate.</w:t>
      </w:r>
    </w:p>
    <w:p w14:paraId="46D4F7B7" w14:textId="77777777" w:rsidR="00AB5681" w:rsidRPr="00EA2F42" w:rsidRDefault="00AB5681" w:rsidP="00AB5681">
      <w:pPr>
        <w:jc w:val="center"/>
        <w:rPr>
          <w:rFonts w:ascii="Cambria" w:hAnsi="Cambria"/>
          <w:bCs/>
          <w:sz w:val="20"/>
          <w:szCs w:val="20"/>
        </w:rPr>
      </w:pPr>
      <w:r w:rsidRPr="00EA2F42">
        <w:rPr>
          <w:rFonts w:ascii="Cambria" w:hAnsi="Cambria"/>
          <w:bCs/>
          <w:sz w:val="20"/>
          <w:szCs w:val="20"/>
        </w:rPr>
        <w:t>[Please see the accompanying page for more details.]</w:t>
      </w:r>
    </w:p>
    <w:p w14:paraId="73300FDA" w14:textId="77777777" w:rsidR="00AB5681" w:rsidRPr="00912C4D" w:rsidRDefault="00AB5681" w:rsidP="00AB5681">
      <w:pPr>
        <w:keepNext/>
        <w:ind w:right="-1260" w:hanging="720"/>
        <w:jc w:val="center"/>
        <w:outlineLvl w:val="4"/>
        <w:rPr>
          <w:rFonts w:ascii="Arial" w:hAnsi="Arial" w:cs="Arial"/>
          <w:b/>
          <w:bCs/>
        </w:rPr>
      </w:pPr>
      <w:r w:rsidRPr="00D61E89">
        <w:rPr>
          <w:bCs/>
          <w:sz w:val="20"/>
          <w:szCs w:val="20"/>
        </w:rPr>
        <w:br w:type="page"/>
      </w:r>
      <w:r w:rsidRPr="00912C4D">
        <w:rPr>
          <w:rFonts w:ascii="Arial" w:hAnsi="Arial" w:cs="Arial"/>
          <w:b/>
          <w:bCs/>
        </w:rPr>
        <w:t>Guidelines for Evaluating Chickenpox-like Rash, cont.</w:t>
      </w:r>
    </w:p>
    <w:tbl>
      <w:tblPr>
        <w:tblW w:w="10800" w:type="dxa"/>
        <w:tblInd w:w="-3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800"/>
      </w:tblGrid>
      <w:tr w:rsidR="00AB5681" w:rsidRPr="00D61E89" w14:paraId="67EE9DF1" w14:textId="77777777" w:rsidTr="006D13BD">
        <w:tblPrEx>
          <w:tblCellMar>
            <w:top w:w="0" w:type="dxa"/>
            <w:bottom w:w="0" w:type="dxa"/>
          </w:tblCellMar>
        </w:tblPrEx>
        <w:tc>
          <w:tcPr>
            <w:tcW w:w="10800" w:type="dxa"/>
          </w:tcPr>
          <w:p w14:paraId="15DD1F60" w14:textId="77777777" w:rsidR="00AB5681" w:rsidRPr="00D61E89" w:rsidRDefault="00AB5681" w:rsidP="00EC15E2">
            <w:pPr>
              <w:spacing w:before="40"/>
              <w:jc w:val="both"/>
              <w:rPr>
                <w:rFonts w:ascii="Cambria" w:hAnsi="Cambria"/>
                <w:bCs/>
                <w:sz w:val="20"/>
              </w:rPr>
            </w:pPr>
            <w:r w:rsidRPr="00D61E89">
              <w:rPr>
                <w:rFonts w:ascii="Cambria" w:hAnsi="Cambria"/>
                <w:bCs/>
                <w:sz w:val="20"/>
              </w:rPr>
              <w:t xml:space="preserve">Distinguishing rash induced by varicella vaccine virus from rash caused by wild-type virus in a vaccine recipient is critical in making appropriate infection control decisions and patient management decisions, particularly regarding individuals at risk for serious complications of varicella. </w:t>
            </w:r>
          </w:p>
          <w:p w14:paraId="5F095F0B" w14:textId="77777777" w:rsidR="00AB5681" w:rsidRPr="00D61E89" w:rsidRDefault="00AB5681" w:rsidP="00AB5681">
            <w:pPr>
              <w:jc w:val="both"/>
              <w:rPr>
                <w:rFonts w:ascii="Cambria" w:hAnsi="Cambria"/>
                <w:bCs/>
                <w:sz w:val="12"/>
                <w:szCs w:val="12"/>
              </w:rPr>
            </w:pPr>
          </w:p>
          <w:p w14:paraId="0590198B" w14:textId="77777777" w:rsidR="00AB5681" w:rsidRPr="00D61E89" w:rsidRDefault="00AB5681" w:rsidP="00AB5681">
            <w:pPr>
              <w:ind w:left="720"/>
              <w:jc w:val="both"/>
              <w:rPr>
                <w:rFonts w:ascii="Cambria" w:hAnsi="Cambria"/>
                <w:bCs/>
                <w:sz w:val="20"/>
              </w:rPr>
            </w:pPr>
            <w:r w:rsidRPr="00D61E89">
              <w:rPr>
                <w:rFonts w:ascii="Cambria" w:hAnsi="Cambria"/>
                <w:bCs/>
                <w:sz w:val="20"/>
              </w:rPr>
              <w:t>The three most important features to consider in making these determinations are:</w:t>
            </w:r>
          </w:p>
          <w:p w14:paraId="0430963B" w14:textId="77777777" w:rsidR="00AB5681" w:rsidRPr="00D61E89" w:rsidRDefault="00AB5681" w:rsidP="00AB5681">
            <w:pPr>
              <w:ind w:left="720"/>
              <w:jc w:val="both"/>
              <w:rPr>
                <w:rFonts w:ascii="Cambria" w:hAnsi="Cambria"/>
                <w:bCs/>
                <w:sz w:val="20"/>
              </w:rPr>
            </w:pPr>
            <w:r w:rsidRPr="00D61E89">
              <w:rPr>
                <w:rFonts w:ascii="Cambria" w:hAnsi="Cambria"/>
                <w:bCs/>
                <w:sz w:val="20"/>
              </w:rPr>
              <w:t xml:space="preserve">1) the severity of the chickenpox-like illness, </w:t>
            </w:r>
          </w:p>
          <w:p w14:paraId="570019C4" w14:textId="77777777" w:rsidR="00AB5681" w:rsidRPr="00D61E89" w:rsidRDefault="00AB5681" w:rsidP="00AB5681">
            <w:pPr>
              <w:ind w:left="720"/>
              <w:jc w:val="both"/>
              <w:rPr>
                <w:rFonts w:ascii="Cambria" w:hAnsi="Cambria"/>
                <w:bCs/>
                <w:sz w:val="20"/>
              </w:rPr>
            </w:pPr>
            <w:r w:rsidRPr="00D61E89">
              <w:rPr>
                <w:rFonts w:ascii="Cambria" w:hAnsi="Cambria"/>
                <w:bCs/>
                <w:sz w:val="20"/>
              </w:rPr>
              <w:t xml:space="preserve">2) any known exposure to chickenpox, and </w:t>
            </w:r>
          </w:p>
          <w:p w14:paraId="39E96738" w14:textId="77777777" w:rsidR="00AB5681" w:rsidRPr="00D61E89" w:rsidRDefault="00AB5681" w:rsidP="00AB5681">
            <w:pPr>
              <w:ind w:left="720"/>
              <w:jc w:val="both"/>
              <w:rPr>
                <w:rFonts w:ascii="Cambria" w:hAnsi="Cambria"/>
                <w:bCs/>
                <w:sz w:val="20"/>
              </w:rPr>
            </w:pPr>
            <w:r w:rsidRPr="00D61E89">
              <w:rPr>
                <w:rFonts w:ascii="Cambria" w:hAnsi="Cambria"/>
                <w:bCs/>
                <w:sz w:val="20"/>
              </w:rPr>
              <w:t>3) the time interval since receipt of varicella vaccine.</w:t>
            </w:r>
            <w:r w:rsidR="00F70CEE" w:rsidRPr="00D61E89">
              <w:rPr>
                <w:rFonts w:ascii="Cambria" w:hAnsi="Cambria"/>
                <w:bCs/>
                <w:sz w:val="20"/>
              </w:rPr>
              <w:t xml:space="preserve"> </w:t>
            </w:r>
          </w:p>
          <w:p w14:paraId="4A29A237" w14:textId="77777777" w:rsidR="00AB5681" w:rsidRPr="00D61E89" w:rsidRDefault="00AB5681" w:rsidP="00AB5681">
            <w:pPr>
              <w:jc w:val="both"/>
              <w:rPr>
                <w:rFonts w:ascii="Cambria" w:hAnsi="Cambria"/>
                <w:bCs/>
                <w:sz w:val="12"/>
                <w:szCs w:val="12"/>
              </w:rPr>
            </w:pPr>
          </w:p>
          <w:p w14:paraId="3A40EDC6" w14:textId="77777777" w:rsidR="00AB5681" w:rsidRPr="00D61E89" w:rsidRDefault="00AB5681" w:rsidP="00EC15E2">
            <w:pPr>
              <w:spacing w:after="40"/>
              <w:jc w:val="both"/>
              <w:rPr>
                <w:rFonts w:ascii="Cambria" w:hAnsi="Cambria"/>
                <w:bCs/>
                <w:sz w:val="20"/>
              </w:rPr>
            </w:pPr>
            <w:r w:rsidRPr="00D61E89">
              <w:rPr>
                <w:rFonts w:ascii="Cambria" w:hAnsi="Cambria"/>
                <w:bCs/>
                <w:sz w:val="20"/>
              </w:rPr>
              <w:t xml:space="preserve">The guidance outlined below is provided to assist in making this determination. </w:t>
            </w:r>
          </w:p>
        </w:tc>
      </w:tr>
    </w:tbl>
    <w:p w14:paraId="482E1EA9" w14:textId="77777777" w:rsidR="00AB5681" w:rsidRPr="00D61E89" w:rsidRDefault="00AB5681" w:rsidP="00AB5681">
      <w:pPr>
        <w:jc w:val="both"/>
        <w:rPr>
          <w:bCs/>
          <w:sz w:val="12"/>
          <w:szCs w:val="12"/>
        </w:rPr>
      </w:pPr>
    </w:p>
    <w:p w14:paraId="2C5B19C1" w14:textId="77777777" w:rsidR="00AB5681" w:rsidRPr="00D61E89" w:rsidRDefault="00AB5681" w:rsidP="00AB5681">
      <w:pPr>
        <w:ind w:right="-1260" w:hanging="360"/>
        <w:rPr>
          <w:rFonts w:ascii="Cambria" w:hAnsi="Cambria"/>
          <w:bCs/>
          <w:sz w:val="19"/>
          <w:szCs w:val="19"/>
        </w:rPr>
      </w:pPr>
      <w:r w:rsidRPr="00D61E89">
        <w:rPr>
          <w:rFonts w:ascii="Cambria" w:hAnsi="Cambria"/>
          <w:bCs/>
          <w:sz w:val="19"/>
          <w:szCs w:val="19"/>
        </w:rPr>
        <w:t>There are three possible categories of chickenpox-like rash in vaccine recipients:</w:t>
      </w:r>
    </w:p>
    <w:p w14:paraId="3DF7CB38" w14:textId="77777777" w:rsidR="00AB5681" w:rsidRPr="00D61E89" w:rsidRDefault="00AB5681" w:rsidP="00AB5681">
      <w:pPr>
        <w:ind w:right="-1260" w:hanging="360"/>
        <w:rPr>
          <w:rFonts w:ascii="Cambria" w:hAnsi="Cambria"/>
          <w:bCs/>
          <w:sz w:val="12"/>
          <w:szCs w:val="12"/>
        </w:rPr>
      </w:pPr>
    </w:p>
    <w:p w14:paraId="663BEF78" w14:textId="77777777" w:rsidR="00AB5681" w:rsidRPr="00D61E89" w:rsidRDefault="00AB5681" w:rsidP="00AB5681">
      <w:pPr>
        <w:numPr>
          <w:ilvl w:val="0"/>
          <w:numId w:val="32"/>
        </w:numPr>
        <w:tabs>
          <w:tab w:val="clear" w:pos="360"/>
          <w:tab w:val="num" w:pos="0"/>
        </w:tabs>
        <w:ind w:left="0" w:right="-1260"/>
        <w:rPr>
          <w:rFonts w:ascii="Cambria" w:hAnsi="Cambria"/>
          <w:bCs/>
          <w:sz w:val="19"/>
          <w:szCs w:val="19"/>
        </w:rPr>
      </w:pPr>
      <w:r w:rsidRPr="00D61E89">
        <w:rPr>
          <w:rFonts w:ascii="Cambria" w:hAnsi="Cambria"/>
          <w:b/>
          <w:bCs/>
          <w:sz w:val="19"/>
          <w:szCs w:val="19"/>
        </w:rPr>
        <w:t>Wild-type chickenpox</w:t>
      </w:r>
      <w:r w:rsidRPr="00D61E89">
        <w:rPr>
          <w:rFonts w:ascii="Cambria" w:hAnsi="Cambria"/>
          <w:bCs/>
          <w:sz w:val="19"/>
          <w:szCs w:val="19"/>
        </w:rPr>
        <w:t xml:space="preserve"> (can occur at </w:t>
      </w:r>
      <w:r w:rsidR="00A308D9" w:rsidRPr="00D61E89">
        <w:rPr>
          <w:rFonts w:ascii="Cambria" w:hAnsi="Cambria"/>
          <w:bCs/>
          <w:sz w:val="19"/>
          <w:szCs w:val="19"/>
        </w:rPr>
        <w:t>any time</w:t>
      </w:r>
      <w:r w:rsidRPr="00D61E89">
        <w:rPr>
          <w:rFonts w:ascii="Cambria" w:hAnsi="Cambria"/>
          <w:bCs/>
          <w:sz w:val="19"/>
          <w:szCs w:val="19"/>
        </w:rPr>
        <w:t xml:space="preserve"> post-vaccination, but rashes occurring &lt; 7 and &gt; 42 days should be considered wild type):</w:t>
      </w:r>
    </w:p>
    <w:p w14:paraId="245EBD6A" w14:textId="77777777" w:rsidR="00AB5681" w:rsidRPr="00D61E89" w:rsidRDefault="00AB5681" w:rsidP="00AB5681">
      <w:pPr>
        <w:numPr>
          <w:ilvl w:val="0"/>
          <w:numId w:val="33"/>
        </w:numPr>
        <w:ind w:right="-1260"/>
        <w:rPr>
          <w:rFonts w:ascii="Cambria" w:hAnsi="Cambria"/>
          <w:bCs/>
          <w:sz w:val="19"/>
          <w:szCs w:val="19"/>
        </w:rPr>
      </w:pPr>
      <w:r w:rsidRPr="00D61E89">
        <w:rPr>
          <w:rFonts w:ascii="Cambria" w:hAnsi="Cambria"/>
          <w:bCs/>
          <w:i/>
          <w:sz w:val="19"/>
          <w:szCs w:val="19"/>
        </w:rPr>
        <w:t xml:space="preserve">&lt; </w:t>
      </w:r>
      <w:r w:rsidRPr="00D61E89">
        <w:rPr>
          <w:rFonts w:ascii="Cambria" w:hAnsi="Cambria"/>
          <w:bCs/>
          <w:sz w:val="19"/>
          <w:szCs w:val="19"/>
        </w:rPr>
        <w:t>7 days post-vaccination – In this case, exposure to wild-type virus happens prior to or immediately following vaccination.</w:t>
      </w:r>
      <w:r w:rsidR="00F70CEE" w:rsidRPr="00D61E89">
        <w:rPr>
          <w:rFonts w:ascii="Cambria" w:hAnsi="Cambria"/>
          <w:bCs/>
          <w:sz w:val="19"/>
          <w:szCs w:val="19"/>
        </w:rPr>
        <w:t xml:space="preserve"> </w:t>
      </w:r>
      <w:r w:rsidRPr="00D61E89">
        <w:rPr>
          <w:rFonts w:ascii="Cambria" w:hAnsi="Cambria"/>
          <w:bCs/>
          <w:sz w:val="19"/>
          <w:szCs w:val="19"/>
        </w:rPr>
        <w:t xml:space="preserve">Wild-type chickenpox can occur in this scenario because there has been insufficient time for immunity to develop prior to exposure. </w:t>
      </w:r>
    </w:p>
    <w:p w14:paraId="619557C8" w14:textId="77777777" w:rsidR="00AB5681" w:rsidRPr="00D61E89" w:rsidRDefault="00AB5681" w:rsidP="00AB5681">
      <w:pPr>
        <w:numPr>
          <w:ilvl w:val="0"/>
          <w:numId w:val="33"/>
        </w:numPr>
        <w:ind w:right="-1260"/>
        <w:rPr>
          <w:rFonts w:ascii="Cambria" w:hAnsi="Cambria"/>
          <w:bCs/>
          <w:sz w:val="19"/>
          <w:szCs w:val="19"/>
        </w:rPr>
      </w:pPr>
      <w:r w:rsidRPr="00D61E89">
        <w:rPr>
          <w:rFonts w:ascii="Cambria" w:hAnsi="Cambria"/>
          <w:bCs/>
          <w:iCs/>
          <w:sz w:val="19"/>
          <w:szCs w:val="19"/>
        </w:rPr>
        <w:t>7 - 42 days post-vaccination</w:t>
      </w:r>
      <w:r w:rsidRPr="00D61E89">
        <w:rPr>
          <w:rFonts w:ascii="Cambria" w:hAnsi="Cambria"/>
          <w:bCs/>
          <w:sz w:val="19"/>
          <w:szCs w:val="19"/>
        </w:rPr>
        <w:t xml:space="preserve"> – In this case, it is difficult to determine if the rash is due to wild-type or vaccine-type virus.</w:t>
      </w:r>
      <w:r w:rsidR="00F70CEE" w:rsidRPr="00D61E89">
        <w:rPr>
          <w:rFonts w:ascii="Cambria" w:hAnsi="Cambria"/>
          <w:bCs/>
          <w:sz w:val="19"/>
          <w:szCs w:val="19"/>
        </w:rPr>
        <w:t xml:space="preserve"> </w:t>
      </w:r>
      <w:r w:rsidRPr="00D61E89">
        <w:rPr>
          <w:rFonts w:ascii="Cambria" w:hAnsi="Cambria"/>
          <w:bCs/>
          <w:sz w:val="19"/>
          <w:szCs w:val="19"/>
        </w:rPr>
        <w:t xml:space="preserve">PCR testing is available </w:t>
      </w:r>
      <w:r w:rsidR="005D51B1" w:rsidRPr="00D61E89">
        <w:rPr>
          <w:rFonts w:ascii="Cambria" w:hAnsi="Cambria"/>
          <w:bCs/>
          <w:sz w:val="19"/>
          <w:szCs w:val="19"/>
        </w:rPr>
        <w:t xml:space="preserve">at CDC </w:t>
      </w:r>
      <w:r w:rsidRPr="00D61E89">
        <w:rPr>
          <w:rFonts w:ascii="Cambria" w:hAnsi="Cambria"/>
          <w:bCs/>
          <w:sz w:val="19"/>
          <w:szCs w:val="19"/>
        </w:rPr>
        <w:t>to make this determination.</w:t>
      </w:r>
      <w:r w:rsidR="00F70CEE" w:rsidRPr="00D61E89">
        <w:rPr>
          <w:rFonts w:ascii="Cambria" w:hAnsi="Cambria"/>
          <w:bCs/>
          <w:sz w:val="19"/>
          <w:szCs w:val="19"/>
        </w:rPr>
        <w:t xml:space="preserve"> </w:t>
      </w:r>
      <w:r w:rsidRPr="00D61E89">
        <w:rPr>
          <w:rFonts w:ascii="Cambria" w:hAnsi="Cambria"/>
          <w:bCs/>
          <w:sz w:val="19"/>
          <w:szCs w:val="19"/>
        </w:rPr>
        <w:t>This test is not done routinely and results are not usually available quickly.</w:t>
      </w:r>
      <w:r w:rsidR="00F70CEE" w:rsidRPr="00D61E89">
        <w:rPr>
          <w:rFonts w:ascii="Cambria" w:hAnsi="Cambria"/>
          <w:bCs/>
          <w:sz w:val="19"/>
          <w:szCs w:val="19"/>
        </w:rPr>
        <w:t xml:space="preserve"> </w:t>
      </w:r>
      <w:r w:rsidRPr="00D61E89">
        <w:rPr>
          <w:rFonts w:ascii="Cambria" w:hAnsi="Cambria"/>
          <w:bCs/>
          <w:sz w:val="19"/>
          <w:szCs w:val="19"/>
        </w:rPr>
        <w:t>Therefore, if the rash does not appear to be a “side effect” of the vaccine (as described in #3 below), it should be considered wild-type with regard to infectiousness and susceptible contacts should be excluded</w:t>
      </w:r>
      <w:r w:rsidR="005D51B1">
        <w:rPr>
          <w:rFonts w:ascii="Cambria" w:hAnsi="Cambria"/>
          <w:bCs/>
          <w:sz w:val="19"/>
          <w:szCs w:val="19"/>
        </w:rPr>
        <w:t>,</w:t>
      </w:r>
      <w:r w:rsidRPr="00D61E89">
        <w:rPr>
          <w:rFonts w:ascii="Cambria" w:hAnsi="Cambria"/>
          <w:bCs/>
          <w:sz w:val="19"/>
          <w:szCs w:val="19"/>
        </w:rPr>
        <w:t xml:space="preserve"> as indicated. </w:t>
      </w:r>
    </w:p>
    <w:p w14:paraId="3955906A" w14:textId="77777777" w:rsidR="00AB5681" w:rsidRPr="005E0BF8" w:rsidRDefault="00AB5681" w:rsidP="005E0BF8">
      <w:pPr>
        <w:numPr>
          <w:ilvl w:val="0"/>
          <w:numId w:val="33"/>
        </w:numPr>
        <w:ind w:right="-1260"/>
        <w:rPr>
          <w:rFonts w:ascii="Cambria" w:hAnsi="Cambria"/>
          <w:bCs/>
          <w:sz w:val="19"/>
          <w:szCs w:val="19"/>
        </w:rPr>
      </w:pPr>
      <w:r w:rsidRPr="007365F0">
        <w:rPr>
          <w:rFonts w:ascii="Cambria" w:hAnsi="Cambria"/>
          <w:bCs/>
          <w:sz w:val="19"/>
          <w:szCs w:val="19"/>
        </w:rPr>
        <w:t>&gt; 42 days post-vaccina</w:t>
      </w:r>
      <w:r w:rsidRPr="005E0BF8">
        <w:rPr>
          <w:rFonts w:ascii="Cambria" w:hAnsi="Cambria"/>
          <w:bCs/>
          <w:sz w:val="19"/>
          <w:szCs w:val="19"/>
        </w:rPr>
        <w:t>tion – In this case, the vaccine recipient has not responded sufficiently to the vaccine prior to exposure. The lack of vaccine-induced protection may also reflect insufficient time post-vaccination for immunity to develop, or it may be due to host- or vaccine-specific issues impairing response to vaccine (“vaccine failure”).</w:t>
      </w:r>
      <w:r w:rsidR="00F70CEE" w:rsidRPr="005E0BF8">
        <w:rPr>
          <w:rFonts w:ascii="Cambria" w:hAnsi="Cambria"/>
          <w:bCs/>
          <w:sz w:val="19"/>
          <w:szCs w:val="19"/>
        </w:rPr>
        <w:t xml:space="preserve"> </w:t>
      </w:r>
      <w:r w:rsidRPr="007365F0">
        <w:rPr>
          <w:rFonts w:ascii="Cambria" w:hAnsi="Cambria"/>
          <w:bCs/>
          <w:sz w:val="19"/>
          <w:szCs w:val="19"/>
        </w:rPr>
        <w:t xml:space="preserve">In these instances, the illness usually presents as typical chickenpox with a generalized rash with 200 </w:t>
      </w:r>
      <w:r w:rsidR="005D51B1">
        <w:rPr>
          <w:rFonts w:ascii="Cambria" w:hAnsi="Cambria"/>
          <w:bCs/>
          <w:sz w:val="19"/>
          <w:szCs w:val="19"/>
        </w:rPr>
        <w:t>to</w:t>
      </w:r>
      <w:r w:rsidR="005D51B1" w:rsidRPr="007365F0">
        <w:rPr>
          <w:rFonts w:ascii="Cambria" w:hAnsi="Cambria"/>
          <w:bCs/>
          <w:sz w:val="19"/>
          <w:szCs w:val="19"/>
        </w:rPr>
        <w:t xml:space="preserve"> </w:t>
      </w:r>
      <w:r w:rsidRPr="005E0BF8">
        <w:rPr>
          <w:rFonts w:ascii="Cambria" w:hAnsi="Cambria"/>
          <w:bCs/>
          <w:sz w:val="19"/>
          <w:szCs w:val="19"/>
        </w:rPr>
        <w:t>&gt; 500 lesions with many vesicles, fever, and cough.</w:t>
      </w:r>
      <w:r w:rsidR="00F70CEE" w:rsidRPr="005E0BF8">
        <w:rPr>
          <w:rFonts w:ascii="Cambria" w:hAnsi="Cambria"/>
          <w:bCs/>
          <w:sz w:val="19"/>
          <w:szCs w:val="19"/>
        </w:rPr>
        <w:t xml:space="preserve"> </w:t>
      </w:r>
      <w:r w:rsidRPr="005E0BF8">
        <w:rPr>
          <w:rFonts w:ascii="Cambria" w:hAnsi="Cambria"/>
          <w:bCs/>
          <w:sz w:val="19"/>
          <w:szCs w:val="19"/>
        </w:rPr>
        <w:t>There is often a known or possible exposure to chickenpox.</w:t>
      </w:r>
      <w:r w:rsidR="00F70CEE" w:rsidRPr="005E0BF8">
        <w:rPr>
          <w:rFonts w:ascii="Cambria" w:hAnsi="Cambria"/>
          <w:bCs/>
          <w:sz w:val="19"/>
          <w:szCs w:val="19"/>
        </w:rPr>
        <w:t xml:space="preserve"> </w:t>
      </w:r>
      <w:r w:rsidRPr="005E0BF8">
        <w:rPr>
          <w:rFonts w:ascii="Cambria" w:hAnsi="Cambria"/>
          <w:bCs/>
          <w:sz w:val="19"/>
          <w:szCs w:val="19"/>
        </w:rPr>
        <w:t>The patient should be considered infectious and excluded until the lesions dry and crust over, usually 5 days after rash onset.</w:t>
      </w:r>
    </w:p>
    <w:p w14:paraId="2291F68B" w14:textId="77777777" w:rsidR="00AB5681" w:rsidRPr="00D61E89" w:rsidRDefault="00AB5681" w:rsidP="00AB5681">
      <w:pPr>
        <w:ind w:right="-1260" w:hanging="360"/>
        <w:rPr>
          <w:rFonts w:ascii="Cambria" w:hAnsi="Cambria"/>
          <w:bCs/>
          <w:sz w:val="12"/>
          <w:szCs w:val="12"/>
        </w:rPr>
      </w:pPr>
    </w:p>
    <w:p w14:paraId="54AC09A3" w14:textId="77777777" w:rsidR="00AB5681" w:rsidRPr="00D61E89" w:rsidRDefault="00AB5681" w:rsidP="00AB5681">
      <w:pPr>
        <w:numPr>
          <w:ilvl w:val="0"/>
          <w:numId w:val="32"/>
        </w:numPr>
        <w:tabs>
          <w:tab w:val="clear" w:pos="360"/>
          <w:tab w:val="num" w:pos="0"/>
        </w:tabs>
        <w:ind w:left="0" w:right="-1260"/>
        <w:rPr>
          <w:rFonts w:ascii="Cambria" w:hAnsi="Cambria"/>
          <w:bCs/>
          <w:i/>
          <w:iCs/>
          <w:sz w:val="19"/>
          <w:szCs w:val="19"/>
        </w:rPr>
      </w:pPr>
      <w:r w:rsidRPr="00D61E89">
        <w:rPr>
          <w:rFonts w:ascii="Cambria" w:hAnsi="Cambria"/>
          <w:b/>
          <w:bCs/>
          <w:sz w:val="19"/>
          <w:szCs w:val="19"/>
        </w:rPr>
        <w:t>Breakthrough chickenpox</w:t>
      </w:r>
      <w:r w:rsidRPr="00D61E89">
        <w:rPr>
          <w:rFonts w:ascii="Cambria" w:hAnsi="Cambria"/>
          <w:bCs/>
          <w:sz w:val="19"/>
          <w:szCs w:val="19"/>
        </w:rPr>
        <w:t xml:space="preserve"> or vaccine-modified varicella syndrome (VMVS) is a form of wild-type chickenpox that is less severe due to the development of “partial immunity” that was not sufficient to prevent disease but was able to attenuate symptoms. It usually occurs &gt; 42 days post-vaccination but can also occur between 7–42 days.</w:t>
      </w:r>
      <w:r w:rsidR="00F70CEE" w:rsidRPr="00D61E89">
        <w:rPr>
          <w:rFonts w:ascii="Cambria" w:hAnsi="Cambria"/>
          <w:bCs/>
          <w:sz w:val="19"/>
          <w:szCs w:val="19"/>
        </w:rPr>
        <w:t xml:space="preserve"> </w:t>
      </w:r>
      <w:r w:rsidRPr="00D61E89">
        <w:rPr>
          <w:rFonts w:ascii="Cambria" w:hAnsi="Cambria"/>
          <w:bCs/>
          <w:sz w:val="19"/>
          <w:szCs w:val="19"/>
        </w:rPr>
        <w:t xml:space="preserve">VMVS can occur in up to 10% </w:t>
      </w:r>
      <w:r w:rsidR="005D51B1">
        <w:rPr>
          <w:rFonts w:ascii="Cambria" w:hAnsi="Cambria"/>
          <w:bCs/>
          <w:sz w:val="19"/>
          <w:szCs w:val="19"/>
        </w:rPr>
        <w:t>of</w:t>
      </w:r>
      <w:r w:rsidR="005D51B1" w:rsidRPr="00D61E89">
        <w:rPr>
          <w:rFonts w:ascii="Cambria" w:hAnsi="Cambria"/>
          <w:bCs/>
          <w:sz w:val="19"/>
          <w:szCs w:val="19"/>
        </w:rPr>
        <w:t xml:space="preserve"> </w:t>
      </w:r>
      <w:r w:rsidRPr="00D61E89">
        <w:rPr>
          <w:rFonts w:ascii="Cambria" w:hAnsi="Cambria"/>
          <w:bCs/>
          <w:sz w:val="19"/>
          <w:szCs w:val="19"/>
        </w:rPr>
        <w:t xml:space="preserve">vaccinated children and </w:t>
      </w:r>
      <w:r w:rsidR="005D51B1" w:rsidRPr="00D61E89">
        <w:rPr>
          <w:rFonts w:ascii="Cambria" w:hAnsi="Cambria"/>
          <w:bCs/>
          <w:sz w:val="19"/>
          <w:szCs w:val="19"/>
        </w:rPr>
        <w:t xml:space="preserve">30% of </w:t>
      </w:r>
      <w:r w:rsidRPr="00D61E89">
        <w:rPr>
          <w:rFonts w:ascii="Cambria" w:hAnsi="Cambria"/>
          <w:bCs/>
          <w:sz w:val="19"/>
          <w:szCs w:val="19"/>
        </w:rPr>
        <w:t>adults. VMVS usually presents as a generalized rash consisting of &lt; 50 lesions, usually more maculopapular, with a few vesicles.</w:t>
      </w:r>
      <w:r w:rsidR="00F70CEE" w:rsidRPr="00D61E89">
        <w:rPr>
          <w:rFonts w:ascii="Cambria" w:hAnsi="Cambria"/>
          <w:bCs/>
          <w:sz w:val="19"/>
          <w:szCs w:val="19"/>
        </w:rPr>
        <w:t xml:space="preserve"> </w:t>
      </w:r>
      <w:r w:rsidRPr="00D61E89">
        <w:rPr>
          <w:rFonts w:ascii="Cambria" w:hAnsi="Cambria"/>
          <w:bCs/>
          <w:sz w:val="19"/>
          <w:szCs w:val="19"/>
        </w:rPr>
        <w:t>Breakthrough cases with fewer than 50 lesions have been found to be one third as contagious as varicella in unvaccinated persons with 50 or more lesions, but breakthrough cases with 50 or more lesions can be just as contagious as cases in unvaccinated persons.</w:t>
      </w:r>
      <w:r w:rsidR="00F70CEE" w:rsidRPr="00D61E89">
        <w:rPr>
          <w:rFonts w:ascii="Cambria" w:hAnsi="Cambria"/>
          <w:bCs/>
          <w:sz w:val="19"/>
          <w:szCs w:val="19"/>
        </w:rPr>
        <w:t xml:space="preserve"> </w:t>
      </w:r>
      <w:r w:rsidRPr="00D61E89">
        <w:rPr>
          <w:rFonts w:ascii="Cambria" w:hAnsi="Cambria"/>
          <w:bCs/>
          <w:sz w:val="19"/>
          <w:szCs w:val="19"/>
        </w:rPr>
        <w:t>Patients are often afebrile and minimally symptomatic.</w:t>
      </w:r>
      <w:r w:rsidR="00F70CEE" w:rsidRPr="00D61E89">
        <w:rPr>
          <w:rFonts w:ascii="Cambria" w:hAnsi="Cambria"/>
          <w:bCs/>
          <w:sz w:val="19"/>
          <w:szCs w:val="19"/>
        </w:rPr>
        <w:t xml:space="preserve"> </w:t>
      </w:r>
      <w:r w:rsidRPr="00D61E89">
        <w:rPr>
          <w:rFonts w:ascii="Cambria" w:hAnsi="Cambria"/>
          <w:bCs/>
          <w:sz w:val="19"/>
          <w:szCs w:val="19"/>
        </w:rPr>
        <w:t>If vesicles are present, exclusion is the same as for a wild-type case of varicella.</w:t>
      </w:r>
      <w:r w:rsidR="00F70CEE" w:rsidRPr="00D61E89">
        <w:rPr>
          <w:rFonts w:ascii="Cambria" w:hAnsi="Cambria"/>
          <w:bCs/>
          <w:sz w:val="19"/>
          <w:szCs w:val="19"/>
        </w:rPr>
        <w:t xml:space="preserve"> </w:t>
      </w:r>
      <w:r w:rsidRPr="00D61E89">
        <w:rPr>
          <w:rFonts w:ascii="Cambria" w:hAnsi="Cambria"/>
          <w:bCs/>
          <w:sz w:val="19"/>
          <w:szCs w:val="19"/>
        </w:rPr>
        <w:t xml:space="preserve">If no vesicles are present, exclude until the lesions have faded (i.e., the skin lesions are in the process of resolving; lesions do not need to be completely resolved) or no new lesions appear within a </w:t>
      </w:r>
      <w:r w:rsidR="00C62C7B" w:rsidRPr="00D61E89">
        <w:rPr>
          <w:rFonts w:ascii="Cambria" w:hAnsi="Cambria"/>
          <w:bCs/>
          <w:sz w:val="19"/>
          <w:szCs w:val="19"/>
        </w:rPr>
        <w:t>24-hour</w:t>
      </w:r>
      <w:r w:rsidRPr="00D61E89">
        <w:rPr>
          <w:rFonts w:ascii="Cambria" w:hAnsi="Cambria"/>
          <w:bCs/>
          <w:sz w:val="19"/>
          <w:szCs w:val="19"/>
        </w:rPr>
        <w:t xml:space="preserve"> period, whichever is later. If the incidence of breakthrough disease is greater than 30% in any particular setting, MDPH should be notified for further investigation of the cases and a vaccine ‘cold chain’ evaluation should be performed.</w:t>
      </w:r>
    </w:p>
    <w:p w14:paraId="66FA9591" w14:textId="77777777" w:rsidR="00AB5681" w:rsidRPr="00D61E89" w:rsidRDefault="00AB5681" w:rsidP="00AB5681">
      <w:pPr>
        <w:ind w:right="-1260" w:hanging="360"/>
        <w:jc w:val="both"/>
        <w:rPr>
          <w:rFonts w:ascii="Cambria" w:hAnsi="Cambria"/>
          <w:bCs/>
          <w:sz w:val="12"/>
          <w:szCs w:val="12"/>
        </w:rPr>
      </w:pPr>
    </w:p>
    <w:p w14:paraId="3648D656" w14:textId="77777777" w:rsidR="00AB5681" w:rsidRPr="00D61E89" w:rsidRDefault="00AB5681" w:rsidP="00AB5681">
      <w:pPr>
        <w:numPr>
          <w:ilvl w:val="0"/>
          <w:numId w:val="32"/>
        </w:numPr>
        <w:tabs>
          <w:tab w:val="clear" w:pos="360"/>
          <w:tab w:val="num" w:pos="0"/>
        </w:tabs>
        <w:ind w:left="0" w:right="-1260"/>
        <w:rPr>
          <w:sz w:val="20"/>
        </w:rPr>
      </w:pPr>
      <w:r w:rsidRPr="00D61E89">
        <w:rPr>
          <w:rFonts w:ascii="Cambria" w:hAnsi="Cambria"/>
          <w:b/>
          <w:bCs/>
          <w:sz w:val="19"/>
          <w:szCs w:val="19"/>
        </w:rPr>
        <w:t>Vaccine-associated rash</w:t>
      </w:r>
      <w:r w:rsidRPr="00D61E89">
        <w:rPr>
          <w:rFonts w:ascii="Cambria" w:hAnsi="Cambria"/>
          <w:bCs/>
          <w:sz w:val="19"/>
          <w:szCs w:val="19"/>
        </w:rPr>
        <w:t xml:space="preserve"> (“side effect” from vaccine) – This is reported in 4% of vaccine recipients, although in trials</w:t>
      </w:r>
      <w:r w:rsidR="005D51B1">
        <w:rPr>
          <w:rFonts w:ascii="Cambria" w:hAnsi="Cambria"/>
          <w:bCs/>
          <w:sz w:val="19"/>
          <w:szCs w:val="19"/>
        </w:rPr>
        <w:t>,</w:t>
      </w:r>
      <w:r w:rsidRPr="00D61E89">
        <w:rPr>
          <w:rFonts w:ascii="Cambria" w:hAnsi="Cambria"/>
          <w:bCs/>
          <w:sz w:val="19"/>
          <w:szCs w:val="19"/>
        </w:rPr>
        <w:t xml:space="preserve"> 2% of placebo recipients also developed varicella-like rashes.</w:t>
      </w:r>
      <w:r w:rsidR="007A4C70" w:rsidRPr="00D61E89">
        <w:rPr>
          <w:rFonts w:ascii="Cambria" w:hAnsi="Cambria"/>
          <w:bCs/>
          <w:sz w:val="19"/>
          <w:szCs w:val="19"/>
        </w:rPr>
        <w:t xml:space="preserve"> </w:t>
      </w:r>
      <w:r w:rsidRPr="00D61E89">
        <w:rPr>
          <w:rFonts w:ascii="Cambria" w:hAnsi="Cambria"/>
          <w:bCs/>
          <w:sz w:val="19"/>
          <w:szCs w:val="19"/>
        </w:rPr>
        <w:t>Approximately 4% of children receiving varicella vaccine (compared to 2% of placebo recipients) develop a generalized rash with a median of five lesions 5-26 days postvaccination, and 4% develop a localized rash with a median of two lesions 8-19 days postvaccination.</w:t>
      </w:r>
      <w:r w:rsidR="00F70CEE" w:rsidRPr="00D61E89">
        <w:rPr>
          <w:rFonts w:ascii="Cambria" w:hAnsi="Cambria"/>
          <w:bCs/>
          <w:sz w:val="19"/>
          <w:szCs w:val="19"/>
        </w:rPr>
        <w:t xml:space="preserve"> </w:t>
      </w:r>
      <w:r w:rsidRPr="00D61E89">
        <w:rPr>
          <w:rFonts w:ascii="Cambria" w:hAnsi="Cambria"/>
          <w:bCs/>
          <w:sz w:val="19"/>
          <w:szCs w:val="19"/>
        </w:rPr>
        <w:t xml:space="preserve">This rash typically occurs at 7–21 </w:t>
      </w:r>
      <w:r w:rsidR="00C62C7B" w:rsidRPr="00D61E89">
        <w:rPr>
          <w:rFonts w:ascii="Cambria" w:hAnsi="Cambria"/>
          <w:bCs/>
          <w:sz w:val="19"/>
          <w:szCs w:val="19"/>
        </w:rPr>
        <w:t>days but</w:t>
      </w:r>
      <w:r w:rsidRPr="00D61E89">
        <w:rPr>
          <w:rFonts w:ascii="Cambria" w:hAnsi="Cambria"/>
          <w:bCs/>
          <w:sz w:val="19"/>
          <w:szCs w:val="19"/>
        </w:rPr>
        <w:t xml:space="preserve"> is possible up to 42 days post-vaccination.</w:t>
      </w:r>
      <w:r w:rsidR="00F70CEE" w:rsidRPr="00D61E89">
        <w:rPr>
          <w:rFonts w:ascii="Cambria" w:hAnsi="Cambria"/>
          <w:bCs/>
          <w:sz w:val="19"/>
          <w:szCs w:val="19"/>
        </w:rPr>
        <w:t xml:space="preserve"> </w:t>
      </w:r>
      <w:r w:rsidRPr="00D61E89">
        <w:rPr>
          <w:rFonts w:ascii="Cambria" w:hAnsi="Cambria"/>
          <w:bCs/>
          <w:sz w:val="19"/>
          <w:szCs w:val="19"/>
        </w:rPr>
        <w:t>It usually presents as a generalized rash, more maculopapular than vesicular, consisting of &lt; 20 lesions and/or a few vesicles at the site of injection (median = 2).</w:t>
      </w:r>
      <w:r w:rsidR="00F70CEE" w:rsidRPr="00D61E89">
        <w:rPr>
          <w:rFonts w:ascii="Cambria" w:hAnsi="Cambria"/>
          <w:bCs/>
          <w:sz w:val="19"/>
          <w:szCs w:val="19"/>
        </w:rPr>
        <w:t xml:space="preserve"> </w:t>
      </w:r>
      <w:r w:rsidRPr="00D61E89">
        <w:rPr>
          <w:rFonts w:ascii="Cambria" w:hAnsi="Cambria"/>
          <w:bCs/>
          <w:sz w:val="19"/>
          <w:szCs w:val="19"/>
        </w:rPr>
        <w:t>If there are more than 20 lesions, the rash is unlikely to be a vaccine-associated rash.</w:t>
      </w:r>
      <w:r w:rsidR="00F70CEE" w:rsidRPr="00D61E89">
        <w:rPr>
          <w:rFonts w:ascii="Cambria" w:hAnsi="Cambria"/>
          <w:bCs/>
          <w:sz w:val="19"/>
          <w:szCs w:val="19"/>
        </w:rPr>
        <w:t xml:space="preserve"> </w:t>
      </w:r>
      <w:r w:rsidRPr="00D61E89">
        <w:rPr>
          <w:rFonts w:ascii="Cambria" w:hAnsi="Cambria"/>
          <w:bCs/>
          <w:sz w:val="19"/>
          <w:szCs w:val="19"/>
        </w:rPr>
        <w:t>Patients are afebrile and otherwise asymptomatic.</w:t>
      </w:r>
      <w:r w:rsidR="00F70CEE" w:rsidRPr="00D61E89">
        <w:rPr>
          <w:rFonts w:ascii="Cambria" w:hAnsi="Cambria"/>
          <w:bCs/>
          <w:sz w:val="19"/>
          <w:szCs w:val="19"/>
        </w:rPr>
        <w:t xml:space="preserve"> </w:t>
      </w:r>
      <w:r w:rsidRPr="00D61E89">
        <w:rPr>
          <w:rFonts w:ascii="Cambria" w:hAnsi="Cambria"/>
          <w:bCs/>
          <w:sz w:val="19"/>
          <w:szCs w:val="19"/>
        </w:rPr>
        <w:t>If the clinical presentation fits these criteria</w:t>
      </w:r>
      <w:r w:rsidR="005D51B1">
        <w:rPr>
          <w:rFonts w:ascii="Cambria" w:hAnsi="Cambria"/>
          <w:bCs/>
          <w:sz w:val="19"/>
          <w:szCs w:val="19"/>
        </w:rPr>
        <w:t>,</w:t>
      </w:r>
      <w:r w:rsidRPr="00D61E89">
        <w:rPr>
          <w:rFonts w:ascii="Cambria" w:hAnsi="Cambria"/>
          <w:bCs/>
          <w:sz w:val="19"/>
          <w:szCs w:val="19"/>
        </w:rPr>
        <w:t xml:space="preserve"> and there is no known exposure to chickenpox, this rash may be </w:t>
      </w:r>
      <w:r w:rsidR="005D51B1">
        <w:rPr>
          <w:rFonts w:ascii="Cambria" w:hAnsi="Cambria"/>
          <w:bCs/>
          <w:sz w:val="19"/>
          <w:szCs w:val="19"/>
        </w:rPr>
        <w:t>attributed</w:t>
      </w:r>
      <w:r w:rsidR="005D51B1" w:rsidRPr="00D61E89">
        <w:rPr>
          <w:rFonts w:ascii="Cambria" w:hAnsi="Cambria"/>
          <w:bCs/>
          <w:sz w:val="19"/>
          <w:szCs w:val="19"/>
        </w:rPr>
        <w:t xml:space="preserve"> </w:t>
      </w:r>
      <w:r w:rsidRPr="00D61E89">
        <w:rPr>
          <w:rFonts w:ascii="Cambria" w:hAnsi="Cambria"/>
          <w:bCs/>
          <w:sz w:val="19"/>
          <w:szCs w:val="19"/>
        </w:rPr>
        <w:t>to varicella vaccin</w:t>
      </w:r>
      <w:r w:rsidR="005D51B1">
        <w:rPr>
          <w:rFonts w:ascii="Cambria" w:hAnsi="Cambria"/>
          <w:bCs/>
          <w:sz w:val="19"/>
          <w:szCs w:val="19"/>
        </w:rPr>
        <w:t>e</w:t>
      </w:r>
      <w:r w:rsidRPr="00D61E89">
        <w:rPr>
          <w:rFonts w:ascii="Cambria" w:hAnsi="Cambria"/>
          <w:bCs/>
          <w:sz w:val="19"/>
          <w:szCs w:val="19"/>
        </w:rPr>
        <w:t>.</w:t>
      </w:r>
      <w:r w:rsidR="00F70CEE" w:rsidRPr="00D61E89">
        <w:rPr>
          <w:rFonts w:ascii="Cambria" w:hAnsi="Cambria"/>
          <w:bCs/>
          <w:sz w:val="19"/>
          <w:szCs w:val="19"/>
        </w:rPr>
        <w:t xml:space="preserve"> </w:t>
      </w:r>
      <w:r w:rsidRPr="00D61E89">
        <w:rPr>
          <w:rFonts w:ascii="Cambria" w:hAnsi="Cambria"/>
          <w:bCs/>
          <w:sz w:val="19"/>
          <w:szCs w:val="19"/>
        </w:rPr>
        <w:t xml:space="preserve">Rash occurring within 2 weeks of or more than 42 days after vaccination </w:t>
      </w:r>
      <w:r w:rsidR="00705AC7">
        <w:rPr>
          <w:rFonts w:ascii="Cambria" w:hAnsi="Cambria"/>
          <w:bCs/>
          <w:sz w:val="19"/>
          <w:szCs w:val="19"/>
        </w:rPr>
        <w:t>is</w:t>
      </w:r>
      <w:r w:rsidR="00705AC7" w:rsidRPr="00D61E89">
        <w:rPr>
          <w:rFonts w:ascii="Cambria" w:hAnsi="Cambria"/>
          <w:bCs/>
          <w:sz w:val="19"/>
          <w:szCs w:val="19"/>
        </w:rPr>
        <w:t xml:space="preserve"> </w:t>
      </w:r>
      <w:r w:rsidRPr="00D61E89">
        <w:rPr>
          <w:rFonts w:ascii="Cambria" w:hAnsi="Cambria"/>
          <w:bCs/>
          <w:sz w:val="19"/>
          <w:szCs w:val="19"/>
        </w:rPr>
        <w:t xml:space="preserve">more likely to be wild-type virus, and rash occurring 15-42 days postvaccination </w:t>
      </w:r>
      <w:r w:rsidR="00705AC7">
        <w:rPr>
          <w:rFonts w:ascii="Cambria" w:hAnsi="Cambria"/>
          <w:bCs/>
          <w:sz w:val="19"/>
          <w:szCs w:val="19"/>
        </w:rPr>
        <w:t>is</w:t>
      </w:r>
      <w:r w:rsidR="00705AC7" w:rsidRPr="00D61E89">
        <w:rPr>
          <w:rFonts w:ascii="Cambria" w:hAnsi="Cambria"/>
          <w:bCs/>
          <w:sz w:val="19"/>
          <w:szCs w:val="19"/>
        </w:rPr>
        <w:t xml:space="preserve"> </w:t>
      </w:r>
      <w:r w:rsidRPr="00D61E89">
        <w:rPr>
          <w:rFonts w:ascii="Cambria" w:hAnsi="Cambria"/>
          <w:bCs/>
          <w:sz w:val="19"/>
          <w:szCs w:val="19"/>
        </w:rPr>
        <w:t>more likely to be vaccine-type virus.</w:t>
      </w:r>
      <w:r w:rsidR="00F70CEE" w:rsidRPr="00D61E89">
        <w:rPr>
          <w:rFonts w:ascii="Cambria" w:hAnsi="Cambria"/>
          <w:bCs/>
          <w:sz w:val="19"/>
          <w:szCs w:val="19"/>
        </w:rPr>
        <w:t xml:space="preserve"> </w:t>
      </w:r>
      <w:r w:rsidRPr="00D61E89">
        <w:rPr>
          <w:rFonts w:ascii="Cambria" w:hAnsi="Cambria"/>
          <w:bCs/>
          <w:sz w:val="19"/>
          <w:szCs w:val="19"/>
        </w:rPr>
        <w:t xml:space="preserve">Although there are no official guidelines, </w:t>
      </w:r>
      <w:r w:rsidR="00705AC7">
        <w:rPr>
          <w:rFonts w:ascii="Cambria" w:hAnsi="Cambria"/>
          <w:bCs/>
          <w:sz w:val="19"/>
          <w:szCs w:val="19"/>
        </w:rPr>
        <w:t>the</w:t>
      </w:r>
      <w:r w:rsidRPr="00D61E89">
        <w:rPr>
          <w:rFonts w:ascii="Cambria" w:hAnsi="Cambria"/>
          <w:bCs/>
          <w:sz w:val="19"/>
          <w:szCs w:val="19"/>
        </w:rPr>
        <w:t xml:space="preserve"> rash is caused by attenuated vaccine virus, and for this reason, many experts believe that it is much less infectious than disease caused by wild-type virus. When transmission of vaccine virus has occurred, infection has been found to be mild or asymptomatic.</w:t>
      </w:r>
      <w:r w:rsidR="00F70CEE" w:rsidRPr="00D61E89">
        <w:rPr>
          <w:rFonts w:ascii="Cambria" w:hAnsi="Cambria"/>
          <w:bCs/>
          <w:sz w:val="19"/>
          <w:szCs w:val="19"/>
        </w:rPr>
        <w:t xml:space="preserve"> </w:t>
      </w:r>
      <w:r w:rsidR="00705AC7">
        <w:rPr>
          <w:rFonts w:ascii="Cambria" w:hAnsi="Cambria"/>
          <w:bCs/>
          <w:sz w:val="19"/>
          <w:szCs w:val="19"/>
        </w:rPr>
        <w:t>Cases of vaccine associated rash</w:t>
      </w:r>
      <w:r w:rsidRPr="00D61E89">
        <w:rPr>
          <w:rFonts w:ascii="Cambria" w:hAnsi="Cambria"/>
          <w:bCs/>
          <w:sz w:val="19"/>
          <w:szCs w:val="19"/>
        </w:rPr>
        <w:t xml:space="preserve"> may be considered</w:t>
      </w:r>
      <w:r w:rsidR="00705AC7">
        <w:rPr>
          <w:rFonts w:ascii="Cambria" w:hAnsi="Cambria"/>
          <w:bCs/>
          <w:sz w:val="19"/>
          <w:szCs w:val="19"/>
        </w:rPr>
        <w:t xml:space="preserve"> to be</w:t>
      </w:r>
      <w:r w:rsidRPr="00D61E89">
        <w:rPr>
          <w:rFonts w:ascii="Cambria" w:hAnsi="Cambria"/>
          <w:bCs/>
          <w:sz w:val="19"/>
          <w:szCs w:val="19"/>
        </w:rPr>
        <w:t xml:space="preserve"> NOT infectious</w:t>
      </w:r>
      <w:r w:rsidR="00705AC7">
        <w:rPr>
          <w:rFonts w:ascii="Cambria" w:hAnsi="Cambria"/>
          <w:bCs/>
          <w:sz w:val="19"/>
          <w:szCs w:val="19"/>
        </w:rPr>
        <w:t>,</w:t>
      </w:r>
      <w:r w:rsidRPr="00D61E89">
        <w:rPr>
          <w:rFonts w:ascii="Cambria" w:hAnsi="Cambria"/>
          <w:bCs/>
          <w:sz w:val="19"/>
          <w:szCs w:val="19"/>
        </w:rPr>
        <w:t xml:space="preserve"> if there are no susceptible contacts at high-risk for complications of varicella. If local </w:t>
      </w:r>
      <w:r w:rsidR="00C62C7B" w:rsidRPr="00D61E89">
        <w:rPr>
          <w:rFonts w:ascii="Cambria" w:hAnsi="Cambria"/>
          <w:bCs/>
          <w:sz w:val="19"/>
          <w:szCs w:val="19"/>
        </w:rPr>
        <w:t>childcare</w:t>
      </w:r>
      <w:r w:rsidRPr="00D61E89">
        <w:rPr>
          <w:rFonts w:ascii="Cambria" w:hAnsi="Cambria"/>
          <w:bCs/>
          <w:sz w:val="19"/>
          <w:szCs w:val="19"/>
        </w:rPr>
        <w:t>/school policy permits, the vaccinee does NOT need to be excluded.</w:t>
      </w:r>
      <w:r w:rsidR="00F70CEE" w:rsidRPr="00D61E89">
        <w:rPr>
          <w:rFonts w:ascii="Cambria" w:hAnsi="Cambria"/>
          <w:bCs/>
          <w:sz w:val="19"/>
          <w:szCs w:val="19"/>
        </w:rPr>
        <w:t xml:space="preserve"> </w:t>
      </w:r>
      <w:r w:rsidRPr="00D61E89">
        <w:rPr>
          <w:rFonts w:ascii="Cambria" w:hAnsi="Cambria"/>
          <w:bCs/>
          <w:sz w:val="19"/>
          <w:szCs w:val="19"/>
        </w:rPr>
        <w:t xml:space="preserve">However, they should be advised to avoid close contact with high-risk individuals until the rash has resolved. </w:t>
      </w:r>
      <w:r w:rsidR="00C62C7B" w:rsidRPr="00D61E89">
        <w:rPr>
          <w:rFonts w:ascii="Cambria" w:hAnsi="Cambria"/>
          <w:bCs/>
          <w:sz w:val="19"/>
          <w:szCs w:val="19"/>
        </w:rPr>
        <w:t>Childcare</w:t>
      </w:r>
      <w:r w:rsidRPr="00D61E89">
        <w:rPr>
          <w:rFonts w:ascii="Cambria" w:hAnsi="Cambria"/>
          <w:bCs/>
          <w:sz w:val="19"/>
          <w:szCs w:val="19"/>
        </w:rPr>
        <w:t xml:space="preserve"> and school programs will need to develop their own policies.</w:t>
      </w:r>
      <w:r w:rsidR="00F70CEE" w:rsidRPr="00D61E89">
        <w:rPr>
          <w:rFonts w:ascii="Cambria" w:hAnsi="Cambria"/>
          <w:bCs/>
          <w:sz w:val="19"/>
          <w:szCs w:val="19"/>
        </w:rPr>
        <w:t xml:space="preserve"> </w:t>
      </w:r>
      <w:r w:rsidRPr="00D61E89">
        <w:rPr>
          <w:rFonts w:ascii="Cambria" w:hAnsi="Cambria"/>
          <w:bCs/>
          <w:i/>
          <w:iCs/>
          <w:sz w:val="19"/>
          <w:szCs w:val="19"/>
          <w:u w:val="single"/>
        </w:rPr>
        <w:t>Note</w:t>
      </w:r>
      <w:r w:rsidRPr="00D61E89">
        <w:rPr>
          <w:rFonts w:ascii="Cambria" w:hAnsi="Cambria"/>
          <w:bCs/>
          <w:sz w:val="19"/>
          <w:szCs w:val="19"/>
        </w:rPr>
        <w:t>: Chickenpox-like rashes occurring during this time period may be caused by wild-type virus, particularly if there is a known or possible exposure to chickenpox. (See wild-type above.)</w:t>
      </w:r>
      <w:r w:rsidRPr="00D61E89">
        <w:rPr>
          <w:rFonts w:ascii="Garamond-BookCondensed" w:hAnsi="Garamond-BookCondensed" w:cs="Garamond-BookCondensed"/>
          <w:b/>
          <w:sz w:val="20"/>
        </w:rPr>
        <w:br w:type="page"/>
      </w:r>
    </w:p>
    <w:p w14:paraId="235361FB" w14:textId="77777777" w:rsidR="00AB5681" w:rsidRDefault="00AB5681" w:rsidP="00AB5681">
      <w:pPr>
        <w:autoSpaceDE w:val="0"/>
        <w:autoSpaceDN w:val="0"/>
        <w:adjustRightInd w:val="0"/>
        <w:jc w:val="center"/>
        <w:rPr>
          <w:rFonts w:ascii="Arial" w:hAnsi="Arial" w:cs="Arial"/>
          <w:b/>
          <w:bCs/>
        </w:rPr>
      </w:pPr>
      <w:r w:rsidRPr="00D61E89">
        <w:rPr>
          <w:rFonts w:ascii="Arial" w:hAnsi="Arial" w:cs="Arial"/>
          <w:b/>
          <w:bCs/>
        </w:rPr>
        <w:t xml:space="preserve">Attachment </w:t>
      </w:r>
      <w:r w:rsidR="00AF6C88">
        <w:rPr>
          <w:rFonts w:ascii="Arial" w:hAnsi="Arial" w:cs="Arial"/>
          <w:b/>
          <w:bCs/>
        </w:rPr>
        <w:t>C</w:t>
      </w:r>
    </w:p>
    <w:p w14:paraId="50E2B1A0" w14:textId="77777777" w:rsidR="00CA791F" w:rsidRPr="00D61E89" w:rsidRDefault="00CA791F" w:rsidP="00AB5681">
      <w:pPr>
        <w:autoSpaceDE w:val="0"/>
        <w:autoSpaceDN w:val="0"/>
        <w:adjustRightInd w:val="0"/>
        <w:jc w:val="center"/>
        <w:rPr>
          <w:rFonts w:ascii="Garamond-BookCondensed" w:hAnsi="Garamond-BookCondensed" w:cs="Garamond-BookCondensed"/>
          <w:sz w:val="20"/>
          <w:szCs w:val="20"/>
        </w:rPr>
      </w:pPr>
    </w:p>
    <w:p w14:paraId="23C51FFE" w14:textId="77777777" w:rsidR="00AB5681" w:rsidRPr="00912C4D" w:rsidRDefault="00AB5681" w:rsidP="00AB5681">
      <w:pPr>
        <w:jc w:val="center"/>
        <w:rPr>
          <w:rFonts w:ascii="Arial" w:hAnsi="Arial" w:cs="Arial"/>
          <w:b/>
          <w:bCs/>
        </w:rPr>
      </w:pPr>
      <w:r w:rsidRPr="00912C4D">
        <w:rPr>
          <w:rFonts w:ascii="Arial" w:hAnsi="Arial" w:cs="Arial"/>
          <w:b/>
          <w:bCs/>
        </w:rPr>
        <w:t>Guidance for Interpreting a Past History of Chickenpox</w:t>
      </w:r>
    </w:p>
    <w:p w14:paraId="5C691715" w14:textId="77777777" w:rsidR="00AB5681" w:rsidRPr="00D61E89" w:rsidRDefault="00AB5681" w:rsidP="00AB5681">
      <w:pPr>
        <w:autoSpaceDE w:val="0"/>
        <w:autoSpaceDN w:val="0"/>
        <w:adjustRightInd w:val="0"/>
        <w:rPr>
          <w:rFonts w:ascii="Cambria" w:eastAsia="MS Mincho" w:hAnsi="Cambria" w:cs="MS Mincho"/>
          <w:sz w:val="20"/>
          <w:szCs w:val="20"/>
        </w:rPr>
      </w:pPr>
    </w:p>
    <w:p w14:paraId="46A7693B" w14:textId="77777777" w:rsidR="00AB5681" w:rsidRPr="004F2DEA" w:rsidRDefault="00382C04" w:rsidP="00AB5681">
      <w:pPr>
        <w:autoSpaceDE w:val="0"/>
        <w:autoSpaceDN w:val="0"/>
        <w:adjustRightInd w:val="0"/>
        <w:rPr>
          <w:rFonts w:ascii="Cambria" w:eastAsia="MS Mincho" w:hAnsi="Cambria" w:cs="MS Mincho"/>
          <w:sz w:val="22"/>
          <w:szCs w:val="22"/>
        </w:rPr>
      </w:pPr>
      <w:r w:rsidRPr="004F2DEA">
        <w:rPr>
          <w:rFonts w:ascii="Cambria" w:eastAsia="MS Mincho" w:hAnsi="Cambria" w:cs="MS Mincho"/>
          <w:sz w:val="22"/>
          <w:szCs w:val="22"/>
        </w:rPr>
        <w:t>History of</w:t>
      </w:r>
      <w:r w:rsidR="00AB5681" w:rsidRPr="004F2DEA">
        <w:rPr>
          <w:rFonts w:ascii="Cambria" w:eastAsia="MS Mincho" w:hAnsi="Cambria" w:cs="MS Mincho"/>
          <w:sz w:val="22"/>
          <w:szCs w:val="22"/>
        </w:rPr>
        <w:t xml:space="preserve"> chickenpox should be carefully evaluated in order to determine the likelihood that the patient has actually had chickenpox in the past, and is therefore no longer susceptible:</w:t>
      </w:r>
    </w:p>
    <w:p w14:paraId="1F7CC5CA" w14:textId="77777777" w:rsidR="00AB5681" w:rsidRPr="004F2DEA" w:rsidRDefault="00AB5681" w:rsidP="00AB5681">
      <w:pPr>
        <w:autoSpaceDE w:val="0"/>
        <w:autoSpaceDN w:val="0"/>
        <w:adjustRightInd w:val="0"/>
        <w:rPr>
          <w:rFonts w:ascii="Cambria" w:eastAsia="MS Mincho" w:hAnsi="Cambria" w:cs="MS Mincho"/>
          <w:sz w:val="22"/>
          <w:szCs w:val="22"/>
        </w:rPr>
      </w:pPr>
    </w:p>
    <w:p w14:paraId="10BCA98E" w14:textId="77777777" w:rsidR="00AB5681" w:rsidRPr="004F2DEA" w:rsidRDefault="00AB5681" w:rsidP="00AB5681">
      <w:pPr>
        <w:numPr>
          <w:ilvl w:val="0"/>
          <w:numId w:val="40"/>
        </w:num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In the pre-vaccine era (before 1995), the rash of chickenpox was distinct and subclinical cases were rare.</w:t>
      </w:r>
    </w:p>
    <w:p w14:paraId="30C177E4" w14:textId="77777777" w:rsidR="00AB5681" w:rsidRPr="004F2DEA" w:rsidRDefault="00AB5681" w:rsidP="00AB5681">
      <w:pPr>
        <w:autoSpaceDE w:val="0"/>
        <w:autoSpaceDN w:val="0"/>
        <w:adjustRightInd w:val="0"/>
        <w:ind w:left="360"/>
        <w:rPr>
          <w:rFonts w:ascii="Cambria" w:hAnsi="Cambria" w:cs="Garamond-BookCondensed"/>
          <w:sz w:val="22"/>
          <w:szCs w:val="22"/>
        </w:rPr>
      </w:pPr>
    </w:p>
    <w:p w14:paraId="09212E5D" w14:textId="77777777" w:rsidR="00AB5681" w:rsidRPr="004F2DEA" w:rsidRDefault="00AB5681" w:rsidP="00AB5681">
      <w:pPr>
        <w:numPr>
          <w:ilvl w:val="0"/>
          <w:numId w:val="40"/>
        </w:numPr>
        <w:autoSpaceDE w:val="0"/>
        <w:autoSpaceDN w:val="0"/>
        <w:adjustRightInd w:val="0"/>
        <w:rPr>
          <w:rFonts w:ascii="Cambria" w:hAnsi="Cambria" w:cs="Garamond-BookCondensed"/>
          <w:b/>
          <w:sz w:val="22"/>
          <w:szCs w:val="22"/>
        </w:rPr>
      </w:pPr>
      <w:r w:rsidRPr="004F2DEA">
        <w:rPr>
          <w:rFonts w:ascii="Cambria" w:hAnsi="Cambria" w:cs="Garamond-BookCondensed"/>
          <w:sz w:val="22"/>
          <w:szCs w:val="22"/>
        </w:rPr>
        <w:t xml:space="preserve">Since chickenpox has been endemic in the U.S., epidemiologic and serologic studies indicate that &gt;95% of U.S. </w:t>
      </w:r>
      <w:r w:rsidR="00382C04" w:rsidRPr="004F2DEA">
        <w:rPr>
          <w:rFonts w:ascii="Cambria" w:hAnsi="Cambria" w:cs="Garamond-BookCondensed"/>
          <w:sz w:val="22"/>
          <w:szCs w:val="22"/>
        </w:rPr>
        <w:t xml:space="preserve">adults </w:t>
      </w:r>
      <w:r w:rsidRPr="004F2DEA">
        <w:rPr>
          <w:rFonts w:ascii="Cambria" w:hAnsi="Cambria" w:cs="Garamond-BookCondensed"/>
          <w:sz w:val="22"/>
          <w:szCs w:val="22"/>
        </w:rPr>
        <w:t xml:space="preserve">born </w:t>
      </w:r>
      <w:r w:rsidR="00382C04" w:rsidRPr="004F2DEA">
        <w:rPr>
          <w:rFonts w:ascii="Cambria" w:hAnsi="Cambria" w:cs="Garamond-BookCondensed"/>
          <w:sz w:val="22"/>
          <w:szCs w:val="22"/>
        </w:rPr>
        <w:t xml:space="preserve">after 1980 </w:t>
      </w:r>
      <w:r w:rsidRPr="004F2DEA">
        <w:rPr>
          <w:rFonts w:ascii="Cambria" w:hAnsi="Cambria" w:cs="Garamond-BookCondensed"/>
          <w:sz w:val="22"/>
          <w:szCs w:val="22"/>
        </w:rPr>
        <w:t xml:space="preserve">are immune to chickenpox, and </w:t>
      </w:r>
      <w:r w:rsidR="00382C04" w:rsidRPr="004F2DEA">
        <w:rPr>
          <w:rFonts w:ascii="Cambria" w:hAnsi="Cambria" w:cs="Garamond-BookCondensed"/>
          <w:sz w:val="22"/>
          <w:szCs w:val="22"/>
        </w:rPr>
        <w:t xml:space="preserve">such </w:t>
      </w:r>
      <w:r w:rsidRPr="004F2DEA">
        <w:rPr>
          <w:rFonts w:ascii="Cambria" w:hAnsi="Cambria" w:cs="Garamond-BookCondensed"/>
          <w:sz w:val="22"/>
          <w:szCs w:val="22"/>
        </w:rPr>
        <w:t xml:space="preserve">adults with a negative or uncertain history are actually 71–93% likely to have VZV antibodies when tested. </w:t>
      </w:r>
      <w:r w:rsidRPr="004F2DEA">
        <w:rPr>
          <w:rFonts w:ascii="Cambria" w:hAnsi="Cambria" w:cs="Garamond-BookCondensed"/>
          <w:b/>
          <w:sz w:val="22"/>
          <w:szCs w:val="22"/>
        </w:rPr>
        <w:t>Those individuals born in the U.S. before 1980 are considered immune (Note:</w:t>
      </w:r>
      <w:r w:rsidR="00F70CEE" w:rsidRPr="004F2DEA">
        <w:rPr>
          <w:rFonts w:ascii="Cambria" w:hAnsi="Cambria" w:cs="Garamond-BookCondensed"/>
          <w:b/>
          <w:sz w:val="22"/>
          <w:szCs w:val="22"/>
        </w:rPr>
        <w:t xml:space="preserve"> </w:t>
      </w:r>
      <w:r w:rsidRPr="004F2DEA">
        <w:rPr>
          <w:rFonts w:ascii="Cambria" w:hAnsi="Cambria" w:cs="Garamond-BookCondensed"/>
          <w:b/>
          <w:sz w:val="22"/>
          <w:szCs w:val="22"/>
        </w:rPr>
        <w:t>does not apply to healthcare providers).</w:t>
      </w:r>
    </w:p>
    <w:p w14:paraId="58FC52AA" w14:textId="77777777" w:rsidR="00AB5681" w:rsidRPr="004F2DEA" w:rsidRDefault="00AB5681" w:rsidP="00AB5681">
      <w:pPr>
        <w:autoSpaceDE w:val="0"/>
        <w:autoSpaceDN w:val="0"/>
        <w:adjustRightInd w:val="0"/>
        <w:ind w:left="360"/>
        <w:rPr>
          <w:rFonts w:ascii="Cambria" w:hAnsi="Cambria" w:cs="Garamond-BookCondensed"/>
          <w:sz w:val="22"/>
          <w:szCs w:val="22"/>
        </w:rPr>
      </w:pPr>
    </w:p>
    <w:p w14:paraId="62FC3C64" w14:textId="77777777" w:rsidR="00AB5681" w:rsidRPr="004F2DEA" w:rsidRDefault="00AB5681" w:rsidP="00AB5681">
      <w:pPr>
        <w:numPr>
          <w:ilvl w:val="0"/>
          <w:numId w:val="40"/>
        </w:num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 xml:space="preserve">In foreign-born adult populations, particularly those from tropical countries, the proportion immune to chickenpox is likely to be much lower as chickenpox may be less common in these countries. </w:t>
      </w:r>
      <w:r w:rsidRPr="004F2DEA">
        <w:rPr>
          <w:rFonts w:ascii="Cambria" w:hAnsi="Cambria" w:cs="Garamond-BookCondensed"/>
          <w:b/>
          <w:sz w:val="22"/>
          <w:szCs w:val="22"/>
        </w:rPr>
        <w:t>Therefore, those born outside the U.S. before 1980 should be considered immune only if they have a reliable history of disease.</w:t>
      </w:r>
    </w:p>
    <w:p w14:paraId="01A5B31B" w14:textId="77777777" w:rsidR="00AB5681" w:rsidRPr="004F2DEA" w:rsidRDefault="00AB5681" w:rsidP="00AB5681">
      <w:pPr>
        <w:autoSpaceDE w:val="0"/>
        <w:autoSpaceDN w:val="0"/>
        <w:adjustRightInd w:val="0"/>
        <w:ind w:left="360"/>
        <w:rPr>
          <w:rFonts w:ascii="Cambria" w:hAnsi="Cambria" w:cs="Garamond-BookCondensed"/>
          <w:sz w:val="22"/>
          <w:szCs w:val="22"/>
        </w:rPr>
      </w:pPr>
    </w:p>
    <w:p w14:paraId="4CD4C011" w14:textId="77777777" w:rsidR="00AB5681" w:rsidRPr="004F2DEA" w:rsidRDefault="00AB5681" w:rsidP="00AB5681">
      <w:pPr>
        <w:numPr>
          <w:ilvl w:val="0"/>
          <w:numId w:val="40"/>
        </w:num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History of disease is likely to vary in different populations, and every effort should be made to obtain accurate histories of disease. These efforts should include the use of interpreters, as available, and verification of history with family members.</w:t>
      </w:r>
    </w:p>
    <w:p w14:paraId="18D91AEE" w14:textId="77777777" w:rsidR="00AB5681" w:rsidRPr="004F2DEA" w:rsidRDefault="00AB5681" w:rsidP="00AB5681">
      <w:pPr>
        <w:autoSpaceDE w:val="0"/>
        <w:autoSpaceDN w:val="0"/>
        <w:adjustRightInd w:val="0"/>
        <w:ind w:left="360"/>
        <w:rPr>
          <w:rFonts w:ascii="Cambria" w:hAnsi="Cambria" w:cs="Garamond-BookCondensed"/>
          <w:sz w:val="22"/>
          <w:szCs w:val="22"/>
        </w:rPr>
      </w:pPr>
    </w:p>
    <w:p w14:paraId="5BEAD7BA" w14:textId="77777777" w:rsidR="00AB5681" w:rsidRPr="004F2DEA" w:rsidRDefault="00AB5681" w:rsidP="00AB5681">
      <w:pPr>
        <w:numPr>
          <w:ilvl w:val="0"/>
          <w:numId w:val="40"/>
        </w:num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For those individuals reporting atypical or mild cases of chickenpox, it is important to help establish the likelihood of disease by asking if household members or other close contacts (e.g., contacts in childcare, school, or other outbreak settings) had chickenpox within three weeks of the individual’s illness (or if there was laboratory confirmation at time of acute illness). If such documentation is lacking, persons should not be considered as having a valid history of disease because other diseases may mimic mild atypical chickenpox.</w:t>
      </w:r>
    </w:p>
    <w:p w14:paraId="5B62EE68" w14:textId="77777777" w:rsidR="00AB5681" w:rsidRPr="004F2DEA" w:rsidRDefault="00AB5681" w:rsidP="00AB5681">
      <w:pPr>
        <w:autoSpaceDE w:val="0"/>
        <w:autoSpaceDN w:val="0"/>
        <w:adjustRightInd w:val="0"/>
        <w:ind w:left="360"/>
        <w:rPr>
          <w:rFonts w:ascii="Cambria" w:hAnsi="Cambria" w:cs="Garamond-BookCondensed"/>
          <w:sz w:val="22"/>
          <w:szCs w:val="22"/>
        </w:rPr>
      </w:pPr>
    </w:p>
    <w:p w14:paraId="7D6104F0" w14:textId="77777777" w:rsidR="00AB5681" w:rsidRPr="004F2DEA" w:rsidRDefault="00AB5681" w:rsidP="00AB5681">
      <w:pPr>
        <w:numPr>
          <w:ilvl w:val="0"/>
          <w:numId w:val="40"/>
        </w:numPr>
        <w:autoSpaceDE w:val="0"/>
        <w:autoSpaceDN w:val="0"/>
        <w:adjustRightInd w:val="0"/>
        <w:rPr>
          <w:rFonts w:ascii="Cambria" w:hAnsi="Cambria" w:cs="Garamond-BookCondensed"/>
          <w:b/>
          <w:sz w:val="22"/>
          <w:szCs w:val="22"/>
        </w:rPr>
      </w:pPr>
      <w:r w:rsidRPr="004F2DEA">
        <w:rPr>
          <w:rFonts w:ascii="Cambria" w:hAnsi="Cambria" w:cs="Garamond-BookCondensed"/>
          <w:b/>
          <w:sz w:val="22"/>
          <w:szCs w:val="22"/>
        </w:rPr>
        <w:t xml:space="preserve">If there is any question about the ‘reliability’ of the past history of chickenpox, the individual should be considered susceptible, unless serologic evidence of immunity is obtained. </w:t>
      </w:r>
    </w:p>
    <w:p w14:paraId="0E076061" w14:textId="77777777" w:rsidR="00AB5681" w:rsidRPr="004F2DEA" w:rsidRDefault="00AB5681" w:rsidP="00AB5681">
      <w:pPr>
        <w:autoSpaceDE w:val="0"/>
        <w:autoSpaceDN w:val="0"/>
        <w:adjustRightInd w:val="0"/>
        <w:ind w:left="360"/>
        <w:rPr>
          <w:rFonts w:ascii="Cambria" w:hAnsi="Cambria" w:cs="Garamond-BookCondensed"/>
          <w:sz w:val="22"/>
          <w:szCs w:val="22"/>
        </w:rPr>
      </w:pPr>
    </w:p>
    <w:p w14:paraId="4C092003" w14:textId="77777777" w:rsidR="00AB5681" w:rsidRPr="004F2DEA" w:rsidRDefault="00AB5681" w:rsidP="00AB5681">
      <w:pPr>
        <w:numPr>
          <w:ilvl w:val="0"/>
          <w:numId w:val="40"/>
        </w:numPr>
        <w:autoSpaceDE w:val="0"/>
        <w:autoSpaceDN w:val="0"/>
        <w:adjustRightInd w:val="0"/>
        <w:rPr>
          <w:rFonts w:ascii="Cambria" w:hAnsi="Cambria" w:cs="Garamond-BookCondensed"/>
          <w:sz w:val="22"/>
          <w:szCs w:val="22"/>
        </w:rPr>
      </w:pPr>
      <w:r w:rsidRPr="004F2DEA">
        <w:rPr>
          <w:rFonts w:ascii="Cambria" w:hAnsi="Cambria" w:cs="Garamond-BookCondensed"/>
          <w:sz w:val="22"/>
          <w:szCs w:val="22"/>
        </w:rPr>
        <w:t>Serologic testing for immunity is an option for individuals with a negative or uncertain history of disease.</w:t>
      </w:r>
      <w:r w:rsidR="00F70CEE" w:rsidRPr="004F2DEA">
        <w:rPr>
          <w:rFonts w:ascii="Cambria" w:hAnsi="Cambria" w:cs="Garamond-BookCondensed"/>
          <w:sz w:val="22"/>
          <w:szCs w:val="22"/>
        </w:rPr>
        <w:t xml:space="preserve"> </w:t>
      </w:r>
      <w:r w:rsidRPr="004F2DEA">
        <w:rPr>
          <w:rFonts w:ascii="Cambria" w:hAnsi="Cambria" w:cs="Garamond-BookCondensed"/>
          <w:sz w:val="22"/>
          <w:szCs w:val="22"/>
        </w:rPr>
        <w:t>If the person believes that they have had chickenpox, but they have a negative titer, they should be considered susceptible.</w:t>
      </w:r>
      <w:r w:rsidR="00F70CEE" w:rsidRPr="004F2DEA">
        <w:rPr>
          <w:rFonts w:ascii="Cambria" w:hAnsi="Cambria" w:cs="Garamond-BookCondensed"/>
          <w:sz w:val="22"/>
          <w:szCs w:val="22"/>
        </w:rPr>
        <w:t xml:space="preserve"> </w:t>
      </w:r>
    </w:p>
    <w:p w14:paraId="151DE477" w14:textId="77777777" w:rsidR="00AB5681" w:rsidRPr="00D61E89" w:rsidRDefault="00AB5681" w:rsidP="00AB5681">
      <w:pPr>
        <w:autoSpaceDE w:val="0"/>
        <w:autoSpaceDN w:val="0"/>
        <w:adjustRightInd w:val="0"/>
        <w:ind w:left="360"/>
        <w:rPr>
          <w:rFonts w:ascii="Cambria" w:hAnsi="Cambria" w:cs="Garamond-BookCondensedItalic"/>
          <w:i/>
          <w:iCs/>
          <w:sz w:val="20"/>
          <w:szCs w:val="20"/>
        </w:rPr>
      </w:pPr>
    </w:p>
    <w:p w14:paraId="36D266BF" w14:textId="77777777" w:rsidR="00AB5681" w:rsidRPr="00D61E89" w:rsidRDefault="00AB5681" w:rsidP="00AB5681">
      <w:pPr>
        <w:autoSpaceDE w:val="0"/>
        <w:autoSpaceDN w:val="0"/>
        <w:adjustRightInd w:val="0"/>
        <w:ind w:left="360"/>
        <w:rPr>
          <w:rFonts w:ascii="Garamond-BookCondensed" w:hAnsi="Garamond-BookCondensed" w:cs="Garamond-BookCondensed"/>
          <w:sz w:val="20"/>
          <w:szCs w:val="20"/>
        </w:rPr>
      </w:pPr>
    </w:p>
    <w:p w14:paraId="40BC8C19" w14:textId="77777777" w:rsidR="00AB5681" w:rsidRPr="00D61E89" w:rsidRDefault="00AB5681" w:rsidP="00AB5681">
      <w:pPr>
        <w:autoSpaceDE w:val="0"/>
        <w:autoSpaceDN w:val="0"/>
        <w:adjustRightInd w:val="0"/>
        <w:jc w:val="center"/>
      </w:pPr>
    </w:p>
    <w:p w14:paraId="1C576557" w14:textId="77777777" w:rsidR="00AB5681" w:rsidRPr="00E51E5D" w:rsidRDefault="00AB5681" w:rsidP="00E51E5D">
      <w:pPr>
        <w:autoSpaceDE w:val="0"/>
        <w:autoSpaceDN w:val="0"/>
        <w:adjustRightInd w:val="0"/>
        <w:jc w:val="center"/>
        <w:rPr>
          <w:rFonts w:ascii="Arial" w:hAnsi="Arial" w:cs="Arial"/>
          <w:b/>
          <w:bCs/>
          <w:color w:val="FF0000"/>
          <w:spacing w:val="15"/>
          <w:sz w:val="28"/>
          <w:szCs w:val="28"/>
          <w:lang w:val="en"/>
        </w:rPr>
      </w:pPr>
    </w:p>
    <w:p w14:paraId="5FD76E4E" w14:textId="77777777" w:rsidR="00314113" w:rsidRDefault="00314113" w:rsidP="00314113">
      <w:pPr>
        <w:autoSpaceDE w:val="0"/>
        <w:autoSpaceDN w:val="0"/>
        <w:adjustRightInd w:val="0"/>
        <w:jc w:val="center"/>
        <w:rPr>
          <w:rFonts w:ascii="Arial" w:hAnsi="Arial" w:cs="Arial"/>
          <w:b/>
          <w:bCs/>
        </w:rPr>
      </w:pPr>
      <w:bookmarkStart w:id="10" w:name="t1"/>
      <w:bookmarkEnd w:id="10"/>
      <w:r>
        <w:rPr>
          <w:rFonts w:ascii="Cambria" w:hAnsi="Cambria" w:cs="Garamond-BookCondensed"/>
          <w:sz w:val="20"/>
          <w:szCs w:val="20"/>
        </w:rPr>
        <w:br w:type="page"/>
      </w:r>
      <w:r w:rsidRPr="00D61E89">
        <w:rPr>
          <w:rFonts w:ascii="Arial" w:hAnsi="Arial" w:cs="Arial"/>
          <w:b/>
          <w:bCs/>
        </w:rPr>
        <w:t xml:space="preserve">Attachment </w:t>
      </w:r>
      <w:r>
        <w:rPr>
          <w:rFonts w:ascii="Arial" w:hAnsi="Arial" w:cs="Arial"/>
          <w:b/>
          <w:bCs/>
        </w:rPr>
        <w:t>D</w:t>
      </w:r>
    </w:p>
    <w:p w14:paraId="66AF8CE9" w14:textId="77777777" w:rsidR="004D1A83" w:rsidRDefault="004D1A83" w:rsidP="00314113">
      <w:pPr>
        <w:autoSpaceDE w:val="0"/>
        <w:autoSpaceDN w:val="0"/>
        <w:adjustRightInd w:val="0"/>
        <w:jc w:val="center"/>
        <w:rPr>
          <w:rFonts w:ascii="Arial" w:hAnsi="Arial" w:cs="Arial"/>
          <w:b/>
          <w:bCs/>
        </w:rPr>
      </w:pPr>
    </w:p>
    <w:p w14:paraId="77BDBA08" w14:textId="77777777" w:rsidR="00314113" w:rsidRPr="00D61E89" w:rsidRDefault="00314113" w:rsidP="00314113">
      <w:pPr>
        <w:autoSpaceDE w:val="0"/>
        <w:autoSpaceDN w:val="0"/>
        <w:adjustRightInd w:val="0"/>
        <w:jc w:val="center"/>
        <w:rPr>
          <w:rFonts w:ascii="Garamond-BookCondensed" w:hAnsi="Garamond-BookCondensed" w:cs="Garamond-BookCondensed"/>
          <w:sz w:val="20"/>
          <w:szCs w:val="20"/>
        </w:rPr>
      </w:pPr>
      <w:r>
        <w:rPr>
          <w:rFonts w:ascii="Arial" w:hAnsi="Arial" w:cs="Arial"/>
          <w:b/>
          <w:bCs/>
        </w:rPr>
        <w:t>Notes about VariZIG and IVIG Following an Exposure</w:t>
      </w:r>
    </w:p>
    <w:p w14:paraId="4496BA9E" w14:textId="77777777" w:rsidR="007A4C70" w:rsidRDefault="007A4C70" w:rsidP="00125C22">
      <w:pPr>
        <w:rPr>
          <w:rFonts w:ascii="Cambria" w:hAnsi="Cambria" w:cs="Garamond-BookCondensed"/>
          <w:sz w:val="20"/>
          <w:szCs w:val="20"/>
        </w:rPr>
      </w:pPr>
    </w:p>
    <w:p w14:paraId="65822706" w14:textId="77777777" w:rsidR="00314113" w:rsidRPr="00D61E89" w:rsidRDefault="00314113" w:rsidP="004F2DEA">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For people exposed to varicella who cannot receive </w:t>
      </w:r>
      <w:r>
        <w:rPr>
          <w:rFonts w:ascii="Cambria" w:hAnsi="Cambria" w:cs="Garamond-BookCondensed"/>
          <w:sz w:val="22"/>
          <w:szCs w:val="22"/>
        </w:rPr>
        <w:t xml:space="preserve">live </w:t>
      </w:r>
      <w:r w:rsidRPr="00D61E89">
        <w:rPr>
          <w:rFonts w:ascii="Cambria" w:hAnsi="Cambria" w:cs="Garamond-BookCondensed"/>
          <w:sz w:val="22"/>
          <w:szCs w:val="22"/>
        </w:rPr>
        <w:t xml:space="preserve">varicella vaccine, varicella zoster immune globulin can prevent varicella from developing or lesson the severity of the disease. Once these individuals are identified they should be referred for </w:t>
      </w:r>
      <w:r>
        <w:rPr>
          <w:rFonts w:ascii="Cambria" w:hAnsi="Cambria" w:cs="Garamond-BookCondensed"/>
          <w:sz w:val="22"/>
          <w:szCs w:val="22"/>
        </w:rPr>
        <w:t>medical evaluation</w:t>
      </w:r>
      <w:r w:rsidRPr="00D61E89">
        <w:rPr>
          <w:rFonts w:ascii="Cambria" w:hAnsi="Cambria" w:cs="Garamond-BookCondensed"/>
          <w:sz w:val="22"/>
          <w:szCs w:val="22"/>
        </w:rPr>
        <w:t>.</w:t>
      </w:r>
      <w:r w:rsidRPr="00D61E89">
        <w:rPr>
          <w:rFonts w:ascii="Cambria" w:hAnsi="Cambria" w:cs="Garamond-BookCondensed"/>
          <w:i/>
          <w:sz w:val="22"/>
          <w:szCs w:val="22"/>
        </w:rPr>
        <w:t xml:space="preserve"> </w:t>
      </w:r>
      <w:r w:rsidRPr="00D61E89">
        <w:rPr>
          <w:rFonts w:ascii="Cambria" w:hAnsi="Cambria" w:cs="Garamond-BookCondensed"/>
          <w:sz w:val="22"/>
          <w:szCs w:val="22"/>
        </w:rPr>
        <w:t>Varicella-zoster immune globulin (</w:t>
      </w:r>
      <w:r>
        <w:rPr>
          <w:rFonts w:ascii="Cambria" w:hAnsi="Cambria" w:cs="Garamond-BookCondensed"/>
          <w:sz w:val="22"/>
          <w:szCs w:val="22"/>
        </w:rPr>
        <w:t>VariZIG</w:t>
      </w:r>
      <w:r w:rsidRPr="00D61E89">
        <w:rPr>
          <w:rFonts w:ascii="Cambria" w:hAnsi="Cambria"/>
          <w:sz w:val="22"/>
          <w:szCs w:val="22"/>
          <w:vertAlign w:val="superscript"/>
        </w:rPr>
        <w:t>®</w:t>
      </w:r>
      <w:r w:rsidRPr="00D61E89">
        <w:rPr>
          <w:rFonts w:ascii="Cambria" w:hAnsi="Cambria" w:cs="Garamond-BookCondensed"/>
          <w:sz w:val="22"/>
          <w:szCs w:val="22"/>
        </w:rPr>
        <w:t xml:space="preserve">) prophylaxis (or </w:t>
      </w:r>
      <w:r w:rsidRPr="002A4C10">
        <w:rPr>
          <w:rFonts w:ascii="Cambria" w:hAnsi="Cambria" w:cs="Garamond-BookCondensed"/>
          <w:sz w:val="22"/>
          <w:szCs w:val="22"/>
        </w:rPr>
        <w:t>immune globulin, intravenous</w:t>
      </w:r>
      <w:r>
        <w:rPr>
          <w:rFonts w:ascii="Cambria" w:hAnsi="Cambria" w:cs="Garamond-BookCondensed"/>
          <w:sz w:val="22"/>
          <w:szCs w:val="22"/>
        </w:rPr>
        <w:t>,</w:t>
      </w:r>
      <w:r w:rsidRPr="002A4C10" w:rsidDel="002A4C10">
        <w:rPr>
          <w:rFonts w:ascii="Cambria" w:hAnsi="Cambria" w:cs="Garamond-BookCondensed"/>
          <w:sz w:val="22"/>
          <w:szCs w:val="22"/>
        </w:rPr>
        <w:t xml:space="preserve"> </w:t>
      </w:r>
      <w:r w:rsidRPr="00D61E89">
        <w:rPr>
          <w:rStyle w:val="NormalGaramond-BookCondensedChar"/>
          <w:rFonts w:ascii="Cambria" w:hAnsi="Cambria"/>
          <w:sz w:val="22"/>
          <w:szCs w:val="22"/>
        </w:rPr>
        <w:t>if varicella-zoster immune globulin is not available) is</w:t>
      </w:r>
      <w:r w:rsidRPr="00D61E89">
        <w:rPr>
          <w:rFonts w:ascii="Cambria" w:hAnsi="Cambria" w:cs="Garamond-BookCondensed"/>
          <w:sz w:val="22"/>
          <w:szCs w:val="22"/>
        </w:rPr>
        <w:t xml:space="preserve"> recommended for all high-risk individuals including:</w:t>
      </w:r>
    </w:p>
    <w:p w14:paraId="4D1FF309" w14:textId="77777777" w:rsidR="00314113" w:rsidRPr="008932DE" w:rsidRDefault="00314113" w:rsidP="00125C22">
      <w:pPr>
        <w:autoSpaceDE w:val="0"/>
        <w:autoSpaceDN w:val="0"/>
        <w:adjustRightInd w:val="0"/>
        <w:ind w:left="360"/>
        <w:rPr>
          <w:rFonts w:ascii="Cambria" w:hAnsi="Cambria" w:cs="Garamond-BookCondensed"/>
          <w:sz w:val="18"/>
          <w:szCs w:val="18"/>
        </w:rPr>
      </w:pPr>
    </w:p>
    <w:p w14:paraId="5DBB82A6" w14:textId="77777777" w:rsidR="00314113" w:rsidRPr="00D61E89" w:rsidRDefault="00314113" w:rsidP="00125C22">
      <w:pPr>
        <w:numPr>
          <w:ilvl w:val="0"/>
          <w:numId w:val="21"/>
        </w:numPr>
        <w:tabs>
          <w:tab w:val="num" w:pos="720"/>
        </w:tabs>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immunocompromised individuals without evidence of immunity to varicella, </w:t>
      </w:r>
    </w:p>
    <w:p w14:paraId="7D900719" w14:textId="77777777" w:rsidR="00314113" w:rsidRPr="00D61E89" w:rsidRDefault="00314113" w:rsidP="00125C22">
      <w:pPr>
        <w:numPr>
          <w:ilvl w:val="0"/>
          <w:numId w:val="21"/>
        </w:numPr>
        <w:tabs>
          <w:tab w:val="num" w:pos="720"/>
        </w:tabs>
        <w:autoSpaceDE w:val="0"/>
        <w:autoSpaceDN w:val="0"/>
        <w:adjustRightInd w:val="0"/>
        <w:rPr>
          <w:rFonts w:ascii="Cambria" w:hAnsi="Cambria" w:cs="Garamond-BookCondensed"/>
          <w:sz w:val="22"/>
          <w:szCs w:val="22"/>
        </w:rPr>
      </w:pPr>
      <w:r w:rsidRPr="00D61E89">
        <w:rPr>
          <w:rFonts w:ascii="Cambria" w:hAnsi="Cambria" w:cs="Garamond-BookCondensed"/>
          <w:sz w:val="22"/>
          <w:szCs w:val="22"/>
        </w:rPr>
        <w:t>pregnant women without evidence of immunity to varicella</w:t>
      </w:r>
    </w:p>
    <w:p w14:paraId="196D4066" w14:textId="77777777" w:rsidR="00314113" w:rsidRPr="00D61E89" w:rsidRDefault="00314113" w:rsidP="00125C22">
      <w:pPr>
        <w:numPr>
          <w:ilvl w:val="0"/>
          <w:numId w:val="21"/>
        </w:numPr>
        <w:tabs>
          <w:tab w:val="num" w:pos="720"/>
        </w:tabs>
        <w:autoSpaceDE w:val="0"/>
        <w:autoSpaceDN w:val="0"/>
        <w:adjustRightInd w:val="0"/>
        <w:rPr>
          <w:rFonts w:ascii="Cambria" w:hAnsi="Cambria" w:cs="Garamond-BookCondensed"/>
          <w:sz w:val="22"/>
          <w:szCs w:val="22"/>
        </w:rPr>
      </w:pPr>
      <w:r w:rsidRPr="00D61E89">
        <w:rPr>
          <w:rFonts w:ascii="Cambria" w:hAnsi="Cambria" w:cs="Garamond-BookCondensed"/>
          <w:sz w:val="22"/>
          <w:szCs w:val="22"/>
        </w:rPr>
        <w:t>and certain newborns (see below)</w:t>
      </w:r>
      <w:r w:rsidRPr="00D61E89">
        <w:rPr>
          <w:rFonts w:ascii="Cambria" w:hAnsi="Cambria" w:cs="Garamond-BookCondensed"/>
          <w:i/>
          <w:sz w:val="22"/>
          <w:szCs w:val="22"/>
        </w:rPr>
        <w:t xml:space="preserve">. </w:t>
      </w:r>
    </w:p>
    <w:p w14:paraId="0F4C3557" w14:textId="77777777" w:rsidR="00314113" w:rsidRPr="00931013" w:rsidRDefault="00314113" w:rsidP="004F2DEA">
      <w:pPr>
        <w:pStyle w:val="NormalGaramond-BookCondensed"/>
        <w:rPr>
          <w:rFonts w:ascii="Cambria" w:hAnsi="Cambria"/>
        </w:rPr>
      </w:pPr>
      <w:r>
        <w:rPr>
          <w:rFonts w:ascii="Cambria" w:hAnsi="Cambria"/>
          <w:sz w:val="22"/>
          <w:szCs w:val="22"/>
        </w:rPr>
        <w:t>VariZIG</w:t>
      </w:r>
      <w:r w:rsidRPr="00D61E89">
        <w:rPr>
          <w:rFonts w:ascii="Cambria" w:hAnsi="Cambria"/>
          <w:sz w:val="22"/>
          <w:szCs w:val="22"/>
          <w:vertAlign w:val="superscript"/>
        </w:rPr>
        <w:t>®</w:t>
      </w:r>
      <w:r w:rsidRPr="00D61E89">
        <w:rPr>
          <w:rFonts w:ascii="Cambria" w:hAnsi="Cambria"/>
          <w:sz w:val="22"/>
          <w:szCs w:val="22"/>
        </w:rPr>
        <w:t xml:space="preserve"> is approved for administration as soon as possible following varicella-zoster virus exposure, ideally within 96 hours (4 days) for greatest effectiveness, and within 10 days. After 10 days th</w:t>
      </w:r>
      <w:r>
        <w:rPr>
          <w:rFonts w:ascii="Cambria" w:hAnsi="Cambria"/>
          <w:sz w:val="22"/>
          <w:szCs w:val="22"/>
        </w:rPr>
        <w:t>is</w:t>
      </w:r>
      <w:r w:rsidRPr="00D61E89">
        <w:rPr>
          <w:rFonts w:ascii="Cambria" w:hAnsi="Cambria"/>
          <w:sz w:val="22"/>
          <w:szCs w:val="22"/>
        </w:rPr>
        <w:t xml:space="preserve"> treatment </w:t>
      </w:r>
      <w:r>
        <w:rPr>
          <w:rFonts w:ascii="Cambria" w:hAnsi="Cambria"/>
          <w:sz w:val="22"/>
          <w:szCs w:val="22"/>
        </w:rPr>
        <w:t>is</w:t>
      </w:r>
      <w:r w:rsidRPr="00D61E89">
        <w:rPr>
          <w:rFonts w:ascii="Cambria" w:hAnsi="Cambria"/>
          <w:sz w:val="22"/>
          <w:szCs w:val="22"/>
        </w:rPr>
        <w:t xml:space="preserve"> not likely to be helpful. Patients receiving monthly high-dose (≥400 mg/kg) immune globulin</w:t>
      </w:r>
      <w:r>
        <w:rPr>
          <w:rFonts w:ascii="Cambria" w:hAnsi="Cambria"/>
          <w:sz w:val="22"/>
          <w:szCs w:val="22"/>
        </w:rPr>
        <w:t>,</w:t>
      </w:r>
      <w:r w:rsidRPr="00D61E89">
        <w:rPr>
          <w:rFonts w:ascii="Cambria" w:hAnsi="Cambria"/>
          <w:sz w:val="22"/>
          <w:szCs w:val="22"/>
        </w:rPr>
        <w:t xml:space="preserve"> intravenous (IGIV) are likely to be protected and probably do no</w:t>
      </w:r>
      <w:r>
        <w:rPr>
          <w:rFonts w:ascii="Cambria" w:hAnsi="Cambria"/>
          <w:sz w:val="22"/>
          <w:szCs w:val="22"/>
        </w:rPr>
        <w:t xml:space="preserve">t </w:t>
      </w:r>
      <w:r w:rsidRPr="00D61E89">
        <w:rPr>
          <w:rFonts w:ascii="Cambria" w:hAnsi="Cambria"/>
          <w:sz w:val="22"/>
          <w:szCs w:val="22"/>
        </w:rPr>
        <w:t xml:space="preserve">require </w:t>
      </w:r>
      <w:r>
        <w:rPr>
          <w:rFonts w:ascii="Cambria" w:hAnsi="Cambria"/>
          <w:sz w:val="22"/>
          <w:szCs w:val="22"/>
        </w:rPr>
        <w:t>VariZIG</w:t>
      </w:r>
      <w:r w:rsidR="00C62C7B" w:rsidRPr="00D61E89">
        <w:rPr>
          <w:rFonts w:ascii="Cambria" w:hAnsi="Cambria"/>
          <w:sz w:val="22"/>
          <w:szCs w:val="22"/>
          <w:vertAlign w:val="superscript"/>
        </w:rPr>
        <w:t>®,</w:t>
      </w:r>
      <w:r>
        <w:rPr>
          <w:rFonts w:ascii="Cambria" w:hAnsi="Cambria"/>
          <w:sz w:val="22"/>
          <w:szCs w:val="22"/>
        </w:rPr>
        <w:t xml:space="preserve"> </w:t>
      </w:r>
      <w:r w:rsidRPr="00D61E89">
        <w:rPr>
          <w:rFonts w:ascii="Cambria" w:hAnsi="Cambria"/>
          <w:sz w:val="22"/>
          <w:szCs w:val="22"/>
        </w:rPr>
        <w:t xml:space="preserve">if the most recent dose of IGIV was administered ≤ 3 weeks before exposure. Post-exposure prophylaxis with acyclovir should also be considered if </w:t>
      </w:r>
      <w:r>
        <w:rPr>
          <w:rFonts w:ascii="Cambria" w:hAnsi="Cambria"/>
          <w:sz w:val="22"/>
          <w:szCs w:val="22"/>
        </w:rPr>
        <w:t>VariZIG</w:t>
      </w:r>
      <w:r w:rsidRPr="00D61E89">
        <w:rPr>
          <w:rFonts w:ascii="Cambria" w:hAnsi="Cambria"/>
          <w:sz w:val="22"/>
          <w:szCs w:val="22"/>
          <w:vertAlign w:val="superscript"/>
        </w:rPr>
        <w:t>®</w:t>
      </w:r>
      <w:r w:rsidRPr="00D61E89">
        <w:rPr>
          <w:rFonts w:ascii="Cambria" w:hAnsi="Cambria"/>
          <w:sz w:val="22"/>
          <w:szCs w:val="22"/>
        </w:rPr>
        <w:t xml:space="preserve"> and IGIV within 10 days are not an option. Please see the Guidelines on </w:t>
      </w:r>
      <w:r>
        <w:rPr>
          <w:rFonts w:ascii="Cambria" w:hAnsi="Cambria"/>
          <w:sz w:val="22"/>
          <w:szCs w:val="22"/>
        </w:rPr>
        <w:t>VariZIG</w:t>
      </w:r>
      <w:r w:rsidRPr="00D61E89">
        <w:rPr>
          <w:rFonts w:ascii="Cambria" w:hAnsi="Cambria"/>
          <w:sz w:val="22"/>
          <w:szCs w:val="22"/>
          <w:vertAlign w:val="superscript"/>
        </w:rPr>
        <w:t>®</w:t>
      </w:r>
      <w:r w:rsidRPr="00D61E89">
        <w:rPr>
          <w:rFonts w:ascii="Cambria" w:hAnsi="Cambria"/>
          <w:sz w:val="22"/>
          <w:szCs w:val="22"/>
        </w:rPr>
        <w:t xml:space="preserve"> or IGIV </w:t>
      </w:r>
      <w:r>
        <w:rPr>
          <w:rFonts w:ascii="Cambria" w:hAnsi="Cambria"/>
          <w:sz w:val="22"/>
          <w:szCs w:val="22"/>
        </w:rPr>
        <w:t>p</w:t>
      </w:r>
      <w:r w:rsidRPr="00D61E89">
        <w:rPr>
          <w:rFonts w:ascii="Cambria" w:hAnsi="Cambria"/>
          <w:sz w:val="22"/>
          <w:szCs w:val="22"/>
        </w:rPr>
        <w:t>rophylaxis</w:t>
      </w:r>
      <w:r>
        <w:rPr>
          <w:rFonts w:ascii="Cambria" w:hAnsi="Cambria"/>
          <w:sz w:val="22"/>
          <w:szCs w:val="22"/>
        </w:rPr>
        <w:t xml:space="preserve"> at </w:t>
      </w:r>
      <w:r w:rsidRPr="00D61E89">
        <w:rPr>
          <w:rFonts w:ascii="Cambria" w:hAnsi="Cambria" w:cs="Garamond-BookCondensedItalic"/>
          <w:iCs/>
          <w:sz w:val="22"/>
          <w:szCs w:val="22"/>
        </w:rPr>
        <w:t xml:space="preserve"> </w:t>
      </w:r>
      <w:hyperlink r:id="rId39" w:history="1">
        <w:r w:rsidRPr="00E51E5D">
          <w:rPr>
            <w:rStyle w:val="Hyperlink"/>
            <w:rFonts w:ascii="Cambria" w:hAnsi="Cambria" w:cs="Garamond-BookCondensed"/>
            <w:sz w:val="22"/>
            <w:szCs w:val="22"/>
          </w:rPr>
          <w:t>http://www.cdc.gov/vaccines/hcp/acip-recs/vacc-specific/varicella.html</w:t>
        </w:r>
      </w:hyperlink>
      <w:r w:rsidRPr="0067639E">
        <w:rPr>
          <w:rFonts w:ascii="Cambria" w:hAnsi="Cambria"/>
          <w:sz w:val="22"/>
          <w:szCs w:val="22"/>
        </w:rPr>
        <w:t>.</w:t>
      </w:r>
      <w:r>
        <w:rPr>
          <w:rFonts w:ascii="Cambria" w:hAnsi="Cambria"/>
          <w:sz w:val="22"/>
          <w:szCs w:val="22"/>
        </w:rPr>
        <w:t xml:space="preserve"> </w:t>
      </w:r>
      <w:r w:rsidRPr="00931013">
        <w:rPr>
          <w:rFonts w:ascii="Cambria" w:hAnsi="Cambria" w:cs="Arial"/>
          <w:sz w:val="22"/>
          <w:szCs w:val="22"/>
        </w:rPr>
        <w:t xml:space="preserve">For intervals between Administration of Immunoglobulin Preparations and Live Virus Vaccines, including Measles-Containing and Varicella Vaccines, please go to </w:t>
      </w:r>
      <w:r w:rsidRPr="00931013">
        <w:rPr>
          <w:rFonts w:ascii="Cambria" w:hAnsi="Cambria"/>
          <w:sz w:val="22"/>
          <w:szCs w:val="22"/>
        </w:rPr>
        <w:t xml:space="preserve">the CDC web site, the CDC Pink Book, the Red Book of the American Academy of Pediatrics, and other resources for clinicians. </w:t>
      </w:r>
    </w:p>
    <w:p w14:paraId="79A70B7D" w14:textId="77777777" w:rsidR="00314113" w:rsidRPr="00D61E89" w:rsidRDefault="00314113" w:rsidP="00314113">
      <w:pPr>
        <w:autoSpaceDE w:val="0"/>
        <w:autoSpaceDN w:val="0"/>
        <w:adjustRightInd w:val="0"/>
        <w:rPr>
          <w:rFonts w:ascii="Cambria" w:hAnsi="Cambria" w:cs="Garamond-BoldCondensed"/>
          <w:bCs/>
          <w:i/>
          <w:sz w:val="22"/>
          <w:szCs w:val="22"/>
        </w:rPr>
      </w:pPr>
      <w:r w:rsidRPr="00D61E89">
        <w:rPr>
          <w:rFonts w:ascii="Cambria" w:hAnsi="Cambria" w:cs="Garamond-BoldCondensed"/>
          <w:bCs/>
          <w:i/>
          <w:sz w:val="22"/>
          <w:szCs w:val="22"/>
        </w:rPr>
        <w:t>Immunocompromised individuals without evidence of immunity to varicella</w:t>
      </w:r>
    </w:p>
    <w:p w14:paraId="1870C627" w14:textId="77777777" w:rsidR="00314113" w:rsidRPr="00D61E89" w:rsidRDefault="00314113" w:rsidP="00314113">
      <w:pPr>
        <w:autoSpaceDE w:val="0"/>
        <w:autoSpaceDN w:val="0"/>
        <w:adjustRightInd w:val="0"/>
        <w:rPr>
          <w:rFonts w:ascii="Cambria" w:hAnsi="Cambria" w:cs="Garamond-BookCondensed"/>
          <w:sz w:val="22"/>
          <w:szCs w:val="22"/>
        </w:rPr>
      </w:pPr>
      <w:r w:rsidRPr="00D61E89">
        <w:rPr>
          <w:rFonts w:ascii="Cambria" w:hAnsi="Cambria" w:cs="Garamond-BoldCondensed"/>
          <w:bCs/>
          <w:sz w:val="22"/>
          <w:szCs w:val="22"/>
        </w:rPr>
        <w:t>An</w:t>
      </w:r>
      <w:r w:rsidRPr="00D61E89">
        <w:rPr>
          <w:rFonts w:ascii="Cambria" w:hAnsi="Cambria" w:cs="Garamond-BookCondensed"/>
          <w:sz w:val="22"/>
          <w:szCs w:val="22"/>
        </w:rPr>
        <w:t xml:space="preserve"> immunocompromised individual should be referred to their healthcare providers. Examples include children with leukemia or lymphoma who have not been vaccinated; people on medications that suppress the immune system, such as high-dose systemic steroids or chemotherapeutic agents, and people with cellular immune-deficiencies or other immune system problems. These individuals have a higher risk </w:t>
      </w:r>
      <w:r>
        <w:rPr>
          <w:rFonts w:ascii="Cambria" w:hAnsi="Cambria" w:cs="Garamond-BookCondensed"/>
          <w:sz w:val="22"/>
          <w:szCs w:val="22"/>
        </w:rPr>
        <w:t>for</w:t>
      </w:r>
      <w:r w:rsidRPr="00D61E89">
        <w:rPr>
          <w:rFonts w:ascii="Cambria" w:hAnsi="Cambria" w:cs="Garamond-BookCondensed"/>
          <w:sz w:val="22"/>
          <w:szCs w:val="22"/>
        </w:rPr>
        <w:t xml:space="preserve"> serious complications with chickenpox infection, including disseminated disease resulting in multiple organ system involvement. Complications include pneumonia and encephalitis. </w:t>
      </w:r>
    </w:p>
    <w:p w14:paraId="396E96DE" w14:textId="77777777" w:rsidR="00314113" w:rsidRPr="00D61E89" w:rsidRDefault="00314113" w:rsidP="00314113">
      <w:pPr>
        <w:autoSpaceDE w:val="0"/>
        <w:autoSpaceDN w:val="0"/>
        <w:adjustRightInd w:val="0"/>
        <w:ind w:left="360"/>
        <w:rPr>
          <w:rFonts w:ascii="Cambria" w:hAnsi="Cambria" w:cs="Garamond-BookCondensedItalic"/>
          <w:sz w:val="22"/>
          <w:szCs w:val="22"/>
        </w:rPr>
      </w:pPr>
    </w:p>
    <w:p w14:paraId="629E8E2D" w14:textId="77777777" w:rsidR="00314113" w:rsidRPr="00D61E89" w:rsidRDefault="00314113" w:rsidP="00314113">
      <w:pPr>
        <w:autoSpaceDE w:val="0"/>
        <w:autoSpaceDN w:val="0"/>
        <w:adjustRightInd w:val="0"/>
        <w:rPr>
          <w:rFonts w:ascii="Cambria" w:hAnsi="Cambria" w:cs="Garamond-BoldCondensed"/>
          <w:bCs/>
          <w:i/>
          <w:sz w:val="22"/>
          <w:szCs w:val="22"/>
        </w:rPr>
      </w:pPr>
      <w:r w:rsidRPr="00D61E89">
        <w:rPr>
          <w:rFonts w:ascii="Cambria" w:hAnsi="Cambria" w:cs="Garamond-BoldCondensed"/>
          <w:bCs/>
          <w:i/>
          <w:sz w:val="22"/>
          <w:szCs w:val="22"/>
        </w:rPr>
        <w:t>Pregnant women without evidence of immunity to varicella</w:t>
      </w:r>
    </w:p>
    <w:p w14:paraId="77C131C8" w14:textId="77777777" w:rsidR="00314113" w:rsidRPr="00D61E89" w:rsidRDefault="00314113" w:rsidP="00314113">
      <w:pPr>
        <w:autoSpaceDE w:val="0"/>
        <w:autoSpaceDN w:val="0"/>
        <w:adjustRightInd w:val="0"/>
        <w:rPr>
          <w:rFonts w:ascii="Cambria" w:hAnsi="Cambria" w:cs="Garamond-BookCondensedItalic"/>
          <w:sz w:val="22"/>
          <w:szCs w:val="22"/>
        </w:rPr>
      </w:pPr>
      <w:r w:rsidRPr="00D61E89">
        <w:rPr>
          <w:rStyle w:val="NormalGaramond-BookCondensedChar"/>
          <w:rFonts w:ascii="Cambria" w:hAnsi="Cambria"/>
          <w:sz w:val="22"/>
          <w:szCs w:val="22"/>
        </w:rPr>
        <w:t>A pregnant woman should be referred to her obstetri</w:t>
      </w:r>
      <w:r w:rsidRPr="00D61E89">
        <w:rPr>
          <w:rFonts w:ascii="Cambria" w:hAnsi="Cambria" w:cs="Garamond-BookCondensed"/>
          <w:sz w:val="22"/>
          <w:szCs w:val="22"/>
        </w:rPr>
        <w:t xml:space="preserve">cian. Susceptible pregnant women who contract varicella may be at higher risk for serious complications than adults in general, and their fetuses are at risk for congenital varicella syndrome. </w:t>
      </w:r>
    </w:p>
    <w:p w14:paraId="499FB2E7" w14:textId="77777777" w:rsidR="00314113" w:rsidRPr="00D61E89" w:rsidRDefault="00314113" w:rsidP="00314113">
      <w:pPr>
        <w:numPr>
          <w:ilvl w:val="0"/>
          <w:numId w:val="14"/>
        </w:numPr>
        <w:autoSpaceDE w:val="0"/>
        <w:autoSpaceDN w:val="0"/>
        <w:adjustRightInd w:val="0"/>
        <w:rPr>
          <w:rFonts w:ascii="Cambria" w:hAnsi="Cambria"/>
          <w:sz w:val="22"/>
          <w:szCs w:val="22"/>
        </w:rPr>
      </w:pPr>
      <w:r w:rsidRPr="00D61E89">
        <w:rPr>
          <w:rFonts w:ascii="Cambria" w:hAnsi="Cambria"/>
          <w:sz w:val="22"/>
          <w:szCs w:val="22"/>
        </w:rPr>
        <w:t>Prenatal assessment of women for evidence of varicella immunity is recommended. Birth before 1980 is not considered evidence of immunity for pregnant women exposed to varicella.</w:t>
      </w:r>
    </w:p>
    <w:p w14:paraId="0E9F1B77" w14:textId="77777777" w:rsidR="00314113" w:rsidRPr="00D61E89" w:rsidRDefault="00314113" w:rsidP="00314113">
      <w:pPr>
        <w:numPr>
          <w:ilvl w:val="0"/>
          <w:numId w:val="14"/>
        </w:numPr>
        <w:autoSpaceDE w:val="0"/>
        <w:autoSpaceDN w:val="0"/>
        <w:adjustRightInd w:val="0"/>
        <w:rPr>
          <w:rFonts w:ascii="Cambria" w:hAnsi="Cambria" w:cs="Garamond-BookCondensedItalic"/>
          <w:sz w:val="22"/>
          <w:szCs w:val="22"/>
        </w:rPr>
      </w:pPr>
      <w:r w:rsidRPr="00D61E89">
        <w:rPr>
          <w:rFonts w:ascii="Cambria" w:hAnsi="Cambria"/>
          <w:sz w:val="22"/>
          <w:szCs w:val="22"/>
        </w:rPr>
        <w:t xml:space="preserve">Women who do not have evidence of varicella immunity should receive the first dose of vaccine before discharge from the health-care facility after delivery. The second dose should be administered </w:t>
      </w:r>
      <w:r w:rsidR="00C62C7B" w:rsidRPr="00D61E89">
        <w:rPr>
          <w:rFonts w:ascii="Cambria" w:hAnsi="Cambria"/>
          <w:sz w:val="22"/>
          <w:szCs w:val="22"/>
        </w:rPr>
        <w:t>4-8</w:t>
      </w:r>
      <w:r w:rsidRPr="00D61E89">
        <w:rPr>
          <w:rFonts w:ascii="Cambria" w:hAnsi="Cambria"/>
          <w:sz w:val="22"/>
          <w:szCs w:val="22"/>
        </w:rPr>
        <w:t xml:space="preserve"> weeks later which may coincide with </w:t>
      </w:r>
      <w:r>
        <w:rPr>
          <w:rFonts w:ascii="Cambria" w:hAnsi="Cambria"/>
          <w:sz w:val="22"/>
          <w:szCs w:val="22"/>
        </w:rPr>
        <w:t>a</w:t>
      </w:r>
      <w:r w:rsidRPr="00D61E89">
        <w:rPr>
          <w:rFonts w:ascii="Cambria" w:hAnsi="Cambria"/>
          <w:sz w:val="22"/>
          <w:szCs w:val="22"/>
        </w:rPr>
        <w:t xml:space="preserve"> postpartum visit. Women should be counseled to avoid conception for 1 month after each dose of varicella vaccine.</w:t>
      </w:r>
    </w:p>
    <w:p w14:paraId="08ED6C04" w14:textId="77777777" w:rsidR="00314113" w:rsidRPr="00D61E89" w:rsidRDefault="00314113" w:rsidP="00314113">
      <w:pPr>
        <w:numPr>
          <w:ilvl w:val="0"/>
          <w:numId w:val="14"/>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Susceptible pregnant women who cannot receive </w:t>
      </w:r>
      <w:r>
        <w:rPr>
          <w:rFonts w:ascii="Cambria" w:hAnsi="Cambria" w:cs="Garamond-BookCondensed"/>
          <w:sz w:val="22"/>
          <w:szCs w:val="22"/>
        </w:rPr>
        <w:t>VariZIG</w:t>
      </w:r>
      <w:r w:rsidRPr="00D61E89">
        <w:rPr>
          <w:rFonts w:ascii="Cambria" w:hAnsi="Cambria"/>
          <w:sz w:val="22"/>
          <w:szCs w:val="22"/>
          <w:vertAlign w:val="superscript"/>
        </w:rPr>
        <w:t>®</w:t>
      </w:r>
      <w:r w:rsidRPr="00D61E89">
        <w:rPr>
          <w:rFonts w:ascii="Cambria" w:hAnsi="Cambria" w:cs="Garamond-BookCondensed"/>
          <w:sz w:val="22"/>
          <w:szCs w:val="22"/>
        </w:rPr>
        <w:t xml:space="preserve"> (or IGIV if varicella-zoster immune globulin is not available) as soon as possible following exposure, and within 10 days of exposure, should be closely monitored by their clinicians for signs and symptoms of varicella. Institute treatment with acyclovir</w:t>
      </w:r>
      <w:r>
        <w:rPr>
          <w:rFonts w:ascii="Cambria" w:hAnsi="Cambria" w:cs="Garamond-BookCondensed"/>
          <w:sz w:val="22"/>
          <w:szCs w:val="22"/>
        </w:rPr>
        <w:t>,</w:t>
      </w:r>
      <w:r w:rsidRPr="00D61E89">
        <w:rPr>
          <w:rFonts w:ascii="Cambria" w:hAnsi="Cambria" w:cs="Garamond-BookCondensed"/>
          <w:sz w:val="22"/>
          <w:szCs w:val="22"/>
        </w:rPr>
        <w:t xml:space="preserve"> if illness occurs. </w:t>
      </w:r>
    </w:p>
    <w:p w14:paraId="17558962" w14:textId="77777777" w:rsidR="00314113" w:rsidRDefault="00314113" w:rsidP="00314113">
      <w:pPr>
        <w:autoSpaceDE w:val="0"/>
        <w:autoSpaceDN w:val="0"/>
        <w:adjustRightInd w:val="0"/>
        <w:ind w:left="360"/>
        <w:rPr>
          <w:rFonts w:ascii="Cambria" w:hAnsi="Cambria" w:cs="Garamond-BoldCondensed"/>
          <w:bCs/>
          <w:i/>
          <w:sz w:val="22"/>
          <w:szCs w:val="22"/>
        </w:rPr>
      </w:pPr>
    </w:p>
    <w:p w14:paraId="4784235B" w14:textId="77777777" w:rsidR="00314113" w:rsidRPr="00D61E89" w:rsidRDefault="00314113" w:rsidP="00314113">
      <w:pPr>
        <w:autoSpaceDE w:val="0"/>
        <w:autoSpaceDN w:val="0"/>
        <w:adjustRightInd w:val="0"/>
        <w:rPr>
          <w:rFonts w:ascii="Cambria" w:hAnsi="Cambria" w:cs="Garamond-BookCondensed"/>
          <w:sz w:val="22"/>
          <w:szCs w:val="22"/>
        </w:rPr>
      </w:pPr>
      <w:r w:rsidRPr="00D61E89">
        <w:rPr>
          <w:rFonts w:ascii="Cambria" w:hAnsi="Cambria" w:cs="Garamond-BoldCondensed"/>
          <w:bCs/>
          <w:i/>
          <w:sz w:val="22"/>
          <w:szCs w:val="22"/>
        </w:rPr>
        <w:t>Certain newborns</w:t>
      </w:r>
      <w:r w:rsidRPr="00D61E89">
        <w:rPr>
          <w:rFonts w:ascii="Cambria" w:hAnsi="Cambria" w:cs="Garamond-BoldCondensed"/>
          <w:b/>
          <w:bCs/>
          <w:sz w:val="22"/>
          <w:szCs w:val="22"/>
        </w:rPr>
        <w:t xml:space="preserve"> </w:t>
      </w:r>
    </w:p>
    <w:p w14:paraId="334D4116" w14:textId="77777777" w:rsidR="00314113" w:rsidRPr="00D61E89" w:rsidRDefault="00314113" w:rsidP="00314113">
      <w:p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Some newborns (e.g., immunocompromised, hospitalized or underweight pre-term, or born to a mother with chickenpox) are also at increased risk </w:t>
      </w:r>
      <w:r>
        <w:rPr>
          <w:rFonts w:ascii="Cambria" w:hAnsi="Cambria" w:cs="Garamond-BookCondensed"/>
          <w:sz w:val="22"/>
          <w:szCs w:val="22"/>
        </w:rPr>
        <w:t>for</w:t>
      </w:r>
      <w:r w:rsidRPr="00D61E89">
        <w:rPr>
          <w:rFonts w:ascii="Cambria" w:hAnsi="Cambria" w:cs="Garamond-BookCondensed"/>
          <w:sz w:val="22"/>
          <w:szCs w:val="22"/>
        </w:rPr>
        <w:t xml:space="preserve"> complications and should receive treatment:</w:t>
      </w:r>
    </w:p>
    <w:p w14:paraId="35C6B977" w14:textId="77777777" w:rsidR="00314113" w:rsidRPr="00D61E89" w:rsidRDefault="00314113" w:rsidP="00314113">
      <w:pPr>
        <w:autoSpaceDE w:val="0"/>
        <w:autoSpaceDN w:val="0"/>
        <w:adjustRightInd w:val="0"/>
        <w:ind w:left="360"/>
        <w:rPr>
          <w:rFonts w:ascii="Cambria" w:hAnsi="Cambria" w:cs="Garamond-BookCondensed"/>
          <w:sz w:val="22"/>
          <w:szCs w:val="22"/>
        </w:rPr>
      </w:pPr>
    </w:p>
    <w:p w14:paraId="23C5E738" w14:textId="77777777" w:rsidR="00314113" w:rsidRPr="00D61E89" w:rsidRDefault="00314113" w:rsidP="00314113">
      <w:pPr>
        <w:numPr>
          <w:ilvl w:val="0"/>
          <w:numId w:val="49"/>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Newborns whose mothers have varicella from five days before to 2 days after delivery</w:t>
      </w:r>
    </w:p>
    <w:p w14:paraId="7A4412C7" w14:textId="77777777" w:rsidR="00314113" w:rsidRPr="00D61E89" w:rsidRDefault="00314113" w:rsidP="00314113">
      <w:pPr>
        <w:numPr>
          <w:ilvl w:val="0"/>
          <w:numId w:val="49"/>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Premature babies exposed to varicella </w:t>
      </w:r>
      <w:r>
        <w:rPr>
          <w:rFonts w:ascii="Cambria" w:hAnsi="Cambria" w:cs="Garamond-BookCondensed"/>
          <w:sz w:val="22"/>
          <w:szCs w:val="22"/>
        </w:rPr>
        <w:t>(</w:t>
      </w:r>
      <w:r w:rsidRPr="00D61E89">
        <w:rPr>
          <w:rFonts w:ascii="Cambria" w:hAnsi="Cambria" w:cs="Garamond-BookCondensed"/>
          <w:sz w:val="22"/>
          <w:szCs w:val="22"/>
        </w:rPr>
        <w:t>or herpes zoster</w:t>
      </w:r>
      <w:r>
        <w:rPr>
          <w:rFonts w:ascii="Cambria" w:hAnsi="Cambria" w:cs="Garamond-BookCondensed"/>
          <w:sz w:val="22"/>
          <w:szCs w:val="22"/>
        </w:rPr>
        <w:t>)</w:t>
      </w:r>
      <w:r w:rsidRPr="00D61E89">
        <w:rPr>
          <w:rFonts w:ascii="Cambria" w:hAnsi="Cambria" w:cs="Garamond-BookCondensed"/>
          <w:sz w:val="22"/>
          <w:szCs w:val="22"/>
        </w:rPr>
        <w:t xml:space="preserve"> during the period for which they require hospital care for their prematurity, specifically:</w:t>
      </w:r>
    </w:p>
    <w:p w14:paraId="2091486B" w14:textId="77777777" w:rsidR="00314113" w:rsidRPr="00D61E89" w:rsidRDefault="00314113" w:rsidP="00314113">
      <w:pPr>
        <w:numPr>
          <w:ilvl w:val="1"/>
          <w:numId w:val="49"/>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Hospitalized premature infants born at </w:t>
      </w:r>
      <w:r w:rsidRPr="00D61E89">
        <w:rPr>
          <w:rFonts w:ascii="Cambria" w:hAnsi="Cambria"/>
          <w:sz w:val="22"/>
          <w:szCs w:val="22"/>
        </w:rPr>
        <w:t>≥</w:t>
      </w:r>
      <w:r w:rsidRPr="00D61E89">
        <w:rPr>
          <w:rFonts w:ascii="Cambria" w:hAnsi="Cambria" w:cs="Garamond-BookCondensed"/>
          <w:sz w:val="22"/>
          <w:szCs w:val="22"/>
        </w:rPr>
        <w:t>28 weeks of gestation who</w:t>
      </w:r>
      <w:r>
        <w:rPr>
          <w:rFonts w:ascii="Cambria" w:hAnsi="Cambria" w:cs="Garamond-BookCondensed"/>
          <w:sz w:val="22"/>
          <w:szCs w:val="22"/>
        </w:rPr>
        <w:t>se</w:t>
      </w:r>
      <w:r w:rsidRPr="00D61E89">
        <w:rPr>
          <w:rFonts w:ascii="Cambria" w:hAnsi="Cambria" w:cs="Garamond-BookCondensed"/>
          <w:sz w:val="22"/>
          <w:szCs w:val="22"/>
        </w:rPr>
        <w:t xml:space="preserve"> mothers do not have evidence of immunity</w:t>
      </w:r>
    </w:p>
    <w:p w14:paraId="0093E88C" w14:textId="77777777" w:rsidR="00314113" w:rsidRPr="00D61E89" w:rsidRDefault="00314113" w:rsidP="00314113">
      <w:pPr>
        <w:numPr>
          <w:ilvl w:val="1"/>
          <w:numId w:val="49"/>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 xml:space="preserve">Hospitalized premature infants born at &lt;28 weeks of gestation or who weigh </w:t>
      </w:r>
      <w:r w:rsidRPr="00D61E89">
        <w:rPr>
          <w:rFonts w:ascii="Cambria" w:hAnsi="Cambria"/>
          <w:sz w:val="22"/>
          <w:szCs w:val="22"/>
        </w:rPr>
        <w:t>≤</w:t>
      </w:r>
      <w:r w:rsidRPr="00D61E89">
        <w:rPr>
          <w:rFonts w:ascii="Cambria" w:hAnsi="Cambria" w:cs="Garamond-BookCondensed"/>
          <w:sz w:val="22"/>
          <w:szCs w:val="22"/>
        </w:rPr>
        <w:t xml:space="preserve">1000 grams at birth </w:t>
      </w:r>
      <w:r w:rsidRPr="00D61E89">
        <w:rPr>
          <w:rFonts w:ascii="Cambria" w:hAnsi="Cambria" w:cs="Garamond-BookCondensed"/>
          <w:b/>
          <w:sz w:val="22"/>
          <w:szCs w:val="22"/>
        </w:rPr>
        <w:t>regardless</w:t>
      </w:r>
      <w:r w:rsidRPr="00D61E89">
        <w:rPr>
          <w:rFonts w:ascii="Cambria" w:hAnsi="Cambria" w:cs="Garamond-BookCondensed"/>
          <w:sz w:val="22"/>
          <w:szCs w:val="22"/>
        </w:rPr>
        <w:t xml:space="preserve"> of their mother</w:t>
      </w:r>
      <w:r>
        <w:rPr>
          <w:rFonts w:ascii="Cambria" w:hAnsi="Cambria" w:cs="Garamond-BookCondensed"/>
          <w:sz w:val="22"/>
          <w:szCs w:val="22"/>
        </w:rPr>
        <w:t>’</w:t>
      </w:r>
      <w:r w:rsidRPr="00D61E89">
        <w:rPr>
          <w:rFonts w:ascii="Cambria" w:hAnsi="Cambria" w:cs="Garamond-BookCondensed"/>
          <w:sz w:val="22"/>
          <w:szCs w:val="22"/>
        </w:rPr>
        <w:t>s varicella immun</w:t>
      </w:r>
      <w:r>
        <w:rPr>
          <w:rFonts w:ascii="Cambria" w:hAnsi="Cambria" w:cs="Garamond-BookCondensed"/>
          <w:sz w:val="22"/>
          <w:szCs w:val="22"/>
        </w:rPr>
        <w:t>e</w:t>
      </w:r>
      <w:r w:rsidRPr="00D61E89">
        <w:rPr>
          <w:rFonts w:ascii="Cambria" w:hAnsi="Cambria" w:cs="Garamond-BookCondensed"/>
          <w:sz w:val="22"/>
          <w:szCs w:val="22"/>
        </w:rPr>
        <w:t xml:space="preserve"> status</w:t>
      </w:r>
    </w:p>
    <w:p w14:paraId="454CF4C3" w14:textId="77777777" w:rsidR="00314113" w:rsidRDefault="00314113" w:rsidP="00314113">
      <w:pPr>
        <w:numPr>
          <w:ilvl w:val="0"/>
          <w:numId w:val="49"/>
        </w:numPr>
        <w:autoSpaceDE w:val="0"/>
        <w:autoSpaceDN w:val="0"/>
        <w:adjustRightInd w:val="0"/>
        <w:rPr>
          <w:rFonts w:ascii="Cambria" w:hAnsi="Cambria" w:cs="Garamond-BookCondensed"/>
          <w:sz w:val="22"/>
          <w:szCs w:val="22"/>
        </w:rPr>
      </w:pPr>
      <w:r w:rsidRPr="00D61E89">
        <w:rPr>
          <w:rFonts w:ascii="Cambria" w:hAnsi="Cambria" w:cs="Garamond-BookCondensed"/>
          <w:sz w:val="22"/>
          <w:szCs w:val="22"/>
        </w:rPr>
        <w:t>According to the American Academy of Pediatrics (</w:t>
      </w:r>
      <w:r w:rsidRPr="004F2DEA">
        <w:rPr>
          <w:rFonts w:ascii="Cambria" w:hAnsi="Cambria" w:cs="Garamond-BookCondensed"/>
          <w:sz w:val="22"/>
          <w:szCs w:val="22"/>
        </w:rPr>
        <w:t>201</w:t>
      </w:r>
      <w:r w:rsidR="00C4374D" w:rsidRPr="00C4374D">
        <w:rPr>
          <w:rFonts w:ascii="Cambria" w:hAnsi="Cambria" w:cs="Garamond-BookCondensed"/>
          <w:sz w:val="22"/>
          <w:szCs w:val="22"/>
        </w:rPr>
        <w:t>8</w:t>
      </w:r>
      <w:r w:rsidR="00C4374D">
        <w:rPr>
          <w:rFonts w:ascii="Cambria" w:hAnsi="Cambria" w:cs="Garamond-BookCondensed"/>
          <w:sz w:val="22"/>
          <w:szCs w:val="22"/>
        </w:rPr>
        <w:t>-2021</w:t>
      </w:r>
      <w:r w:rsidRPr="00D61E89">
        <w:rPr>
          <w:rFonts w:ascii="Cambria" w:hAnsi="Cambria" w:cs="Garamond-BookCondensed"/>
          <w:sz w:val="22"/>
          <w:szCs w:val="22"/>
        </w:rPr>
        <w:t>), mothers who develop varicella 5 days before through 2 days after delivery should be separated from their infants, but their expressed milk can be used for feeding.</w:t>
      </w:r>
    </w:p>
    <w:p w14:paraId="3456B5A2" w14:textId="77777777" w:rsidR="00314113" w:rsidRDefault="00314113" w:rsidP="00314113">
      <w:pPr>
        <w:autoSpaceDE w:val="0"/>
        <w:autoSpaceDN w:val="0"/>
        <w:adjustRightInd w:val="0"/>
        <w:rPr>
          <w:rFonts w:ascii="Cambria" w:hAnsi="Cambria" w:cs="Garamond-BookCondensed"/>
          <w:sz w:val="22"/>
          <w:szCs w:val="22"/>
        </w:rPr>
      </w:pPr>
    </w:p>
    <w:p w14:paraId="7D82D027" w14:textId="77777777" w:rsidR="00314113" w:rsidRPr="0084793D" w:rsidRDefault="00314113" w:rsidP="00314113">
      <w:pPr>
        <w:autoSpaceDE w:val="0"/>
        <w:autoSpaceDN w:val="0"/>
        <w:adjustRightInd w:val="0"/>
        <w:rPr>
          <w:rFonts w:ascii="Cambria" w:hAnsi="Cambria" w:cs="Garamond-BookCondensed"/>
          <w:sz w:val="22"/>
          <w:szCs w:val="22"/>
        </w:rPr>
      </w:pPr>
      <w:r w:rsidRPr="0084793D">
        <w:rPr>
          <w:rFonts w:ascii="Cambria" w:hAnsi="Cambria" w:cs="Garamond-BookCondensed"/>
          <w:sz w:val="22"/>
          <w:szCs w:val="22"/>
        </w:rPr>
        <w:t>When deciding whether or not V</w:t>
      </w:r>
      <w:r>
        <w:rPr>
          <w:rFonts w:ascii="Cambria" w:hAnsi="Cambria" w:cs="Garamond-BookCondensed"/>
          <w:sz w:val="22"/>
          <w:szCs w:val="22"/>
        </w:rPr>
        <w:t>ari</w:t>
      </w:r>
      <w:r w:rsidRPr="0084793D">
        <w:rPr>
          <w:rFonts w:ascii="Cambria" w:hAnsi="Cambria" w:cs="Garamond-BookCondensed"/>
          <w:sz w:val="22"/>
          <w:szCs w:val="22"/>
        </w:rPr>
        <w:t>ZIG</w:t>
      </w:r>
      <w:r w:rsidRPr="0084793D">
        <w:rPr>
          <w:rFonts w:ascii="Cambria" w:hAnsi="Cambria"/>
          <w:sz w:val="22"/>
          <w:szCs w:val="22"/>
          <w:vertAlign w:val="superscript"/>
        </w:rPr>
        <w:t>®</w:t>
      </w:r>
      <w:r w:rsidRPr="0084793D">
        <w:rPr>
          <w:rFonts w:ascii="Cambria" w:hAnsi="Cambria" w:cs="Garamond-BookCondensed"/>
          <w:sz w:val="22"/>
          <w:szCs w:val="22"/>
        </w:rPr>
        <w:t xml:space="preserve"> or IGIV is indicated, three factors should be considered carefully:</w:t>
      </w:r>
    </w:p>
    <w:p w14:paraId="1E78733D" w14:textId="77777777" w:rsidR="00314113" w:rsidRPr="0084793D" w:rsidRDefault="00314113" w:rsidP="00314113">
      <w:pPr>
        <w:autoSpaceDE w:val="0"/>
        <w:autoSpaceDN w:val="0"/>
        <w:adjustRightInd w:val="0"/>
        <w:ind w:left="360"/>
        <w:rPr>
          <w:rFonts w:ascii="Cambria" w:hAnsi="Cambria" w:cs="Garamond-BookCondensed"/>
          <w:sz w:val="12"/>
          <w:szCs w:val="12"/>
        </w:rPr>
      </w:pPr>
    </w:p>
    <w:p w14:paraId="0DE9A36F" w14:textId="77777777" w:rsidR="00314113" w:rsidRPr="0084793D" w:rsidRDefault="00314113" w:rsidP="00314113">
      <w:pPr>
        <w:numPr>
          <w:ilvl w:val="0"/>
          <w:numId w:val="19"/>
        </w:numPr>
        <w:tabs>
          <w:tab w:val="num" w:pos="720"/>
        </w:tabs>
        <w:autoSpaceDE w:val="0"/>
        <w:autoSpaceDN w:val="0"/>
        <w:adjustRightInd w:val="0"/>
        <w:ind w:left="720"/>
        <w:rPr>
          <w:rFonts w:ascii="Cambria" w:hAnsi="Cambria" w:cs="Garamond-BookCondensed"/>
          <w:sz w:val="22"/>
          <w:szCs w:val="22"/>
        </w:rPr>
      </w:pPr>
      <w:r w:rsidRPr="0084793D">
        <w:rPr>
          <w:rFonts w:ascii="Cambria" w:hAnsi="Cambria" w:cs="Garamond-BookCondensed"/>
          <w:sz w:val="22"/>
          <w:szCs w:val="22"/>
        </w:rPr>
        <w:t>The likelihood the exposed person is susceptible to varicella;</w:t>
      </w:r>
    </w:p>
    <w:p w14:paraId="572F9C9C" w14:textId="77777777" w:rsidR="00314113" w:rsidRPr="0084793D" w:rsidRDefault="00314113" w:rsidP="00314113">
      <w:pPr>
        <w:autoSpaceDE w:val="0"/>
        <w:autoSpaceDN w:val="0"/>
        <w:adjustRightInd w:val="0"/>
        <w:ind w:left="360"/>
        <w:rPr>
          <w:rFonts w:ascii="Cambria" w:hAnsi="Cambria" w:cs="Garamond-BookCondensed"/>
          <w:sz w:val="12"/>
          <w:szCs w:val="12"/>
        </w:rPr>
      </w:pPr>
    </w:p>
    <w:p w14:paraId="5897EADB" w14:textId="77777777" w:rsidR="00314113" w:rsidRPr="0084793D" w:rsidRDefault="00314113" w:rsidP="00314113">
      <w:pPr>
        <w:numPr>
          <w:ilvl w:val="0"/>
          <w:numId w:val="19"/>
        </w:numPr>
        <w:tabs>
          <w:tab w:val="num" w:pos="720"/>
        </w:tabs>
        <w:autoSpaceDE w:val="0"/>
        <w:autoSpaceDN w:val="0"/>
        <w:adjustRightInd w:val="0"/>
        <w:ind w:left="720"/>
        <w:rPr>
          <w:rFonts w:ascii="Cambria" w:hAnsi="Cambria" w:cs="Garamond-BookCondensed"/>
          <w:sz w:val="22"/>
          <w:szCs w:val="22"/>
        </w:rPr>
      </w:pPr>
      <w:r w:rsidRPr="0084793D">
        <w:rPr>
          <w:rFonts w:ascii="Cambria" w:hAnsi="Cambria" w:cs="Garamond-BookCondensed"/>
          <w:sz w:val="22"/>
          <w:szCs w:val="22"/>
        </w:rPr>
        <w:t>The probability that a given exposure to varicella or zoster will result in infection; and</w:t>
      </w:r>
    </w:p>
    <w:p w14:paraId="5719B9C2" w14:textId="77777777" w:rsidR="00314113" w:rsidRPr="0084793D" w:rsidRDefault="00314113" w:rsidP="00314113">
      <w:pPr>
        <w:autoSpaceDE w:val="0"/>
        <w:autoSpaceDN w:val="0"/>
        <w:adjustRightInd w:val="0"/>
        <w:ind w:left="360"/>
        <w:rPr>
          <w:rFonts w:ascii="Cambria" w:hAnsi="Cambria" w:cs="Garamond-BookCondensed"/>
          <w:sz w:val="12"/>
          <w:szCs w:val="12"/>
        </w:rPr>
      </w:pPr>
    </w:p>
    <w:p w14:paraId="10F83E64" w14:textId="77777777" w:rsidR="00314113" w:rsidRPr="0084793D" w:rsidRDefault="00314113" w:rsidP="00314113">
      <w:pPr>
        <w:numPr>
          <w:ilvl w:val="0"/>
          <w:numId w:val="19"/>
        </w:numPr>
        <w:tabs>
          <w:tab w:val="num" w:pos="720"/>
        </w:tabs>
        <w:ind w:left="720"/>
        <w:rPr>
          <w:rFonts w:ascii="Cambria" w:hAnsi="Cambria"/>
          <w:sz w:val="22"/>
          <w:szCs w:val="22"/>
        </w:rPr>
      </w:pPr>
      <w:r w:rsidRPr="008932DE">
        <w:rPr>
          <w:rFonts w:ascii="Cambria" w:hAnsi="Cambria" w:cs="Garamond-BookCondensed"/>
          <w:sz w:val="22"/>
          <w:szCs w:val="22"/>
        </w:rPr>
        <w:t>The likelihood that complications will develop if the person is infected.</w:t>
      </w:r>
    </w:p>
    <w:p w14:paraId="1E7E3FEC" w14:textId="77777777" w:rsidR="00314113" w:rsidRDefault="00314113" w:rsidP="0067639E">
      <w:pPr>
        <w:rPr>
          <w:rFonts w:ascii="Cambria" w:hAnsi="Cambria" w:cs="Garamond-BookCondensed"/>
          <w:sz w:val="20"/>
          <w:szCs w:val="20"/>
        </w:rPr>
      </w:pPr>
    </w:p>
    <w:p w14:paraId="6C67000C" w14:textId="77777777" w:rsidR="00D15294" w:rsidRPr="004F2DEA" w:rsidRDefault="00D15294" w:rsidP="0067639E">
      <w:pPr>
        <w:rPr>
          <w:rFonts w:ascii="Cambria" w:hAnsi="Cambria" w:cs="Garamond-BookCondensed"/>
          <w:sz w:val="22"/>
          <w:szCs w:val="22"/>
        </w:rPr>
      </w:pPr>
      <w:r w:rsidRPr="004F2DEA">
        <w:rPr>
          <w:rFonts w:ascii="Cambria" w:hAnsi="Cambria" w:cs="Garamond-BookCondensed"/>
          <w:sz w:val="22"/>
          <w:szCs w:val="22"/>
        </w:rPr>
        <w:t>In the absence of both VariZIG and IVIG, some experts recommend prophylaxis with acyclovir for people without evidence of immunity who have contraindications to varicella vaccination</w:t>
      </w:r>
      <w:r>
        <w:rPr>
          <w:rFonts w:ascii="Cambria" w:hAnsi="Cambria" w:cs="Garamond-BookCondensed"/>
          <w:sz w:val="22"/>
          <w:szCs w:val="22"/>
        </w:rPr>
        <w:t>.</w:t>
      </w:r>
      <w:r w:rsidRPr="004F2DEA">
        <w:rPr>
          <w:rFonts w:ascii="Cambria" w:hAnsi="Cambria" w:cs="Garamond-BookCondensed"/>
          <w:sz w:val="22"/>
          <w:szCs w:val="22"/>
        </w:rPr>
        <w:t xml:space="preserve"> Published data on the benefit of acyclovir as postexposure prophylaxis among immunocompromised people are limited.</w:t>
      </w:r>
    </w:p>
    <w:sectPr w:rsidR="00D15294" w:rsidRPr="004F2DEA" w:rsidSect="004F2DEA">
      <w:headerReference w:type="default" r:id="rId40"/>
      <w:pgSz w:w="12240" w:h="15840"/>
      <w:pgMar w:top="1267" w:right="18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56DB" w14:textId="77777777" w:rsidR="00C7374A" w:rsidRDefault="00C7374A">
      <w:r>
        <w:separator/>
      </w:r>
    </w:p>
  </w:endnote>
  <w:endnote w:type="continuationSeparator" w:id="0">
    <w:p w14:paraId="684FDB9A" w14:textId="77777777" w:rsidR="00C7374A" w:rsidRDefault="00C7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BookCondensed">
    <w:altName w:val="Garamon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CondEighteen">
    <w:panose1 w:val="00000000000000000000"/>
    <w:charset w:val="00"/>
    <w:family w:val="auto"/>
    <w:notTrueType/>
    <w:pitch w:val="default"/>
    <w:sig w:usb0="00000003" w:usb1="00000000" w:usb2="00000000" w:usb3="00000000" w:csb0="00000001" w:csb1="00000000"/>
  </w:font>
  <w:font w:name="TradeGothic-BoldCondTwenty">
    <w:altName w:val="Calibri"/>
    <w:panose1 w:val="00000000000000000000"/>
    <w:charset w:val="00"/>
    <w:family w:val="auto"/>
    <w:notTrueType/>
    <w:pitch w:val="default"/>
    <w:sig w:usb0="00000003" w:usb1="00000000" w:usb2="00000000" w:usb3="00000000" w:csb0="00000001" w:csb1="00000000"/>
  </w:font>
  <w:font w:name="TradeGothic-CondEighteenObl">
    <w:panose1 w:val="00000000000000000000"/>
    <w:charset w:val="00"/>
    <w:family w:val="auto"/>
    <w:notTrueType/>
    <w:pitch w:val="default"/>
    <w:sig w:usb0="00000003" w:usb1="00000000" w:usb2="00000000" w:usb3="00000000" w:csb0="00000001" w:csb1="00000000"/>
  </w:font>
  <w:font w:name="Garamond-BookCondensed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ZapfDingbats">
    <w:altName w:val="MS Mincho"/>
    <w:panose1 w:val="00000000000000000000"/>
    <w:charset w:val="00"/>
    <w:family w:val="auto"/>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BoldCondensed">
    <w:altName w:val="Garam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5379" w14:textId="77777777" w:rsidR="002C0F9D" w:rsidRDefault="002C0F9D" w:rsidP="002C0F9D">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 and Laboratory Sciences</w:t>
    </w:r>
  </w:p>
  <w:p w14:paraId="5D9E17B5" w14:textId="77777777" w:rsidR="002C0F9D" w:rsidRDefault="002C0F9D" w:rsidP="002C0F9D">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 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49B0" w14:textId="77777777" w:rsidR="00C7374A" w:rsidRDefault="00C7374A">
      <w:r>
        <w:separator/>
      </w:r>
    </w:p>
  </w:footnote>
  <w:footnote w:type="continuationSeparator" w:id="0">
    <w:p w14:paraId="705FB872" w14:textId="77777777" w:rsidR="00C7374A" w:rsidRDefault="00C7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C9B9" w14:textId="77777777" w:rsidR="002C0F9D" w:rsidRPr="002C0F9D" w:rsidRDefault="00845C65" w:rsidP="002C0F9D">
    <w:pPr>
      <w:tabs>
        <w:tab w:val="center" w:pos="4320"/>
        <w:tab w:val="right" w:pos="8640"/>
      </w:tabs>
      <w:jc w:val="right"/>
      <w:rPr>
        <w:rFonts w:ascii="Calibri" w:eastAsia="MS Mincho" w:hAnsi="Calibri"/>
        <w:color w:val="152355"/>
        <w:sz w:val="20"/>
        <w:szCs w:val="20"/>
      </w:rPr>
    </w:pPr>
    <w:r>
      <w:rPr>
        <w:rFonts w:ascii="Calibri" w:eastAsia="MS Mincho" w:hAnsi="Calibri"/>
        <w:color w:val="152355"/>
        <w:sz w:val="20"/>
        <w:szCs w:val="20"/>
      </w:rPr>
      <w:t>November</w:t>
    </w:r>
    <w:r w:rsidR="00421D31">
      <w:rPr>
        <w:rFonts w:ascii="Calibri" w:eastAsia="MS Mincho" w:hAnsi="Calibri"/>
        <w:color w:val="152355"/>
        <w:sz w:val="20"/>
        <w:szCs w:val="20"/>
      </w:rPr>
      <w:t xml:space="preserve"> </w:t>
    </w:r>
    <w:r w:rsidR="003B66D6" w:rsidRPr="00B165FF">
      <w:rPr>
        <w:rFonts w:ascii="Calibri" w:eastAsia="MS Mincho" w:hAnsi="Calibri"/>
        <w:color w:val="152355"/>
        <w:sz w:val="20"/>
        <w:szCs w:val="20"/>
      </w:rPr>
      <w:t>202</w:t>
    </w:r>
    <w:r w:rsidR="00252B92">
      <w:rPr>
        <w:rFonts w:ascii="Calibri" w:eastAsia="MS Mincho" w:hAnsi="Calibri"/>
        <w:color w:val="152355"/>
        <w:sz w:val="20"/>
        <w:szCs w:val="20"/>
      </w:rPr>
      <w:t>3</w:t>
    </w:r>
    <w:r w:rsidR="002C0F9D" w:rsidRPr="002C0F9D">
      <w:rPr>
        <w:rFonts w:ascii="Calibri" w:eastAsia="MS Mincho" w:hAnsi="Calibri"/>
        <w:color w:val="152355"/>
        <w:sz w:val="20"/>
        <w:szCs w:val="20"/>
      </w:rPr>
      <w:t xml:space="preserve"> | Page </w:t>
    </w:r>
    <w:r w:rsidR="002C0F9D" w:rsidRPr="002C0F9D">
      <w:rPr>
        <w:rFonts w:ascii="Calibri" w:eastAsia="MS Mincho" w:hAnsi="Calibri"/>
        <w:color w:val="152355"/>
        <w:sz w:val="20"/>
        <w:szCs w:val="20"/>
      </w:rPr>
      <w:fldChar w:fldCharType="begin"/>
    </w:r>
    <w:r w:rsidR="002C0F9D" w:rsidRPr="002C0F9D">
      <w:rPr>
        <w:rFonts w:ascii="Calibri" w:eastAsia="MS Mincho" w:hAnsi="Calibri"/>
        <w:color w:val="152355"/>
        <w:sz w:val="20"/>
        <w:szCs w:val="20"/>
      </w:rPr>
      <w:instrText xml:space="preserve"> PAGE   \* MERGEFORMAT </w:instrText>
    </w:r>
    <w:r w:rsidR="002C0F9D" w:rsidRPr="002C0F9D">
      <w:rPr>
        <w:rFonts w:ascii="Calibri" w:eastAsia="MS Mincho" w:hAnsi="Calibri"/>
        <w:color w:val="152355"/>
        <w:sz w:val="20"/>
        <w:szCs w:val="20"/>
      </w:rPr>
      <w:fldChar w:fldCharType="separate"/>
    </w:r>
    <w:r w:rsidR="00B60AF7">
      <w:rPr>
        <w:rFonts w:ascii="Calibri" w:eastAsia="MS Mincho" w:hAnsi="Calibri"/>
        <w:noProof/>
        <w:color w:val="152355"/>
        <w:sz w:val="20"/>
        <w:szCs w:val="20"/>
      </w:rPr>
      <w:t>2</w:t>
    </w:r>
    <w:r w:rsidR="002C0F9D" w:rsidRPr="002C0F9D">
      <w:rPr>
        <w:rFonts w:ascii="Calibri" w:eastAsia="MS Mincho" w:hAnsi="Calibri"/>
        <w:color w:val="152355"/>
        <w:sz w:val="20"/>
        <w:szCs w:val="20"/>
      </w:rPr>
      <w:fldChar w:fldCharType="end"/>
    </w:r>
    <w:r w:rsidR="002C0F9D" w:rsidRPr="002C0F9D">
      <w:rPr>
        <w:rFonts w:ascii="Calibri" w:eastAsia="MS Mincho" w:hAnsi="Calibri"/>
        <w:color w:val="152355"/>
        <w:sz w:val="20"/>
        <w:szCs w:val="20"/>
      </w:rPr>
      <w:t xml:space="preserve"> of </w:t>
    </w:r>
    <w:r w:rsidR="002C0F9D" w:rsidRPr="002C0F9D">
      <w:rPr>
        <w:rFonts w:ascii="Calibri" w:eastAsia="MS Mincho" w:hAnsi="Calibri"/>
        <w:color w:val="152355"/>
        <w:sz w:val="20"/>
        <w:szCs w:val="20"/>
      </w:rPr>
      <w:fldChar w:fldCharType="begin"/>
    </w:r>
    <w:r w:rsidR="002C0F9D" w:rsidRPr="002C0F9D">
      <w:rPr>
        <w:rFonts w:ascii="Calibri" w:eastAsia="MS Mincho" w:hAnsi="Calibri"/>
        <w:color w:val="152355"/>
        <w:sz w:val="20"/>
        <w:szCs w:val="20"/>
      </w:rPr>
      <w:instrText xml:space="preserve"> NUMPAGES   \* MERGEFORMAT </w:instrText>
    </w:r>
    <w:r w:rsidR="002C0F9D" w:rsidRPr="002C0F9D">
      <w:rPr>
        <w:rFonts w:ascii="Calibri" w:eastAsia="MS Mincho" w:hAnsi="Calibri"/>
        <w:color w:val="152355"/>
        <w:sz w:val="20"/>
        <w:szCs w:val="20"/>
      </w:rPr>
      <w:fldChar w:fldCharType="separate"/>
    </w:r>
    <w:r w:rsidR="00B60AF7">
      <w:rPr>
        <w:rFonts w:ascii="Calibri" w:eastAsia="MS Mincho" w:hAnsi="Calibri"/>
        <w:noProof/>
        <w:color w:val="152355"/>
        <w:sz w:val="20"/>
        <w:szCs w:val="20"/>
      </w:rPr>
      <w:t>6</w:t>
    </w:r>
    <w:r w:rsidR="002C0F9D" w:rsidRPr="002C0F9D">
      <w:rPr>
        <w:rFonts w:ascii="Calibri" w:eastAsia="MS Mincho" w:hAnsi="Calibri"/>
        <w:color w:val="152355"/>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433A" w14:textId="77777777" w:rsidR="007A166E" w:rsidRPr="002C0F9D" w:rsidRDefault="007A166E" w:rsidP="007A166E">
    <w:pPr>
      <w:tabs>
        <w:tab w:val="center" w:pos="4320"/>
        <w:tab w:val="right" w:pos="8640"/>
      </w:tabs>
      <w:jc w:val="right"/>
      <w:rPr>
        <w:rFonts w:ascii="Calibri" w:eastAsia="MS Mincho" w:hAnsi="Calibri"/>
        <w:color w:val="152355"/>
        <w:sz w:val="20"/>
        <w:szCs w:val="20"/>
      </w:rPr>
    </w:pPr>
    <w:r>
      <w:rPr>
        <w:rFonts w:ascii="Calibri" w:eastAsia="MS Mincho" w:hAnsi="Calibri"/>
        <w:color w:val="152355"/>
        <w:sz w:val="20"/>
        <w:szCs w:val="20"/>
      </w:rPr>
      <w:t xml:space="preserve">June </w:t>
    </w:r>
    <w:r w:rsidRPr="00B165FF">
      <w:rPr>
        <w:rFonts w:ascii="Calibri" w:eastAsia="MS Mincho" w:hAnsi="Calibri"/>
        <w:color w:val="152355"/>
        <w:sz w:val="20"/>
        <w:szCs w:val="20"/>
      </w:rPr>
      <w:t>202</w:t>
    </w:r>
    <w:r>
      <w:rPr>
        <w:rFonts w:ascii="Calibri" w:eastAsia="MS Mincho" w:hAnsi="Calibri"/>
        <w:color w:val="152355"/>
        <w:sz w:val="20"/>
        <w:szCs w:val="20"/>
      </w:rPr>
      <w:t>3</w:t>
    </w:r>
    <w:r w:rsidRPr="002C0F9D">
      <w:rPr>
        <w:rFonts w:ascii="Calibri" w:eastAsia="MS Mincho" w:hAnsi="Calibri"/>
        <w:color w:val="152355"/>
        <w:sz w:val="20"/>
        <w:szCs w:val="20"/>
      </w:rPr>
      <w:t xml:space="preserve"> | Page </w:t>
    </w:r>
    <w:r w:rsidRPr="002C0F9D">
      <w:rPr>
        <w:rFonts w:ascii="Calibri" w:eastAsia="MS Mincho" w:hAnsi="Calibri"/>
        <w:color w:val="152355"/>
        <w:sz w:val="20"/>
        <w:szCs w:val="20"/>
      </w:rPr>
      <w:fldChar w:fldCharType="begin"/>
    </w:r>
    <w:r w:rsidRPr="002C0F9D">
      <w:rPr>
        <w:rFonts w:ascii="Calibri" w:eastAsia="MS Mincho" w:hAnsi="Calibri"/>
        <w:color w:val="152355"/>
        <w:sz w:val="20"/>
        <w:szCs w:val="20"/>
      </w:rPr>
      <w:instrText xml:space="preserve"> PAGE   \* MERGEFORMAT </w:instrText>
    </w:r>
    <w:r w:rsidRPr="002C0F9D">
      <w:rPr>
        <w:rFonts w:ascii="Calibri" w:eastAsia="MS Mincho" w:hAnsi="Calibri"/>
        <w:color w:val="152355"/>
        <w:sz w:val="20"/>
        <w:szCs w:val="20"/>
      </w:rPr>
      <w:fldChar w:fldCharType="separate"/>
    </w:r>
    <w:r>
      <w:rPr>
        <w:rFonts w:ascii="Calibri" w:eastAsia="MS Mincho" w:hAnsi="Calibri"/>
        <w:color w:val="152355"/>
        <w:sz w:val="20"/>
        <w:szCs w:val="20"/>
      </w:rPr>
      <w:t>20</w:t>
    </w:r>
    <w:r w:rsidRPr="002C0F9D">
      <w:rPr>
        <w:rFonts w:ascii="Calibri" w:eastAsia="MS Mincho" w:hAnsi="Calibri"/>
        <w:color w:val="152355"/>
        <w:sz w:val="20"/>
        <w:szCs w:val="20"/>
      </w:rPr>
      <w:fldChar w:fldCharType="end"/>
    </w:r>
    <w:r w:rsidRPr="002C0F9D">
      <w:rPr>
        <w:rFonts w:ascii="Calibri" w:eastAsia="MS Mincho" w:hAnsi="Calibri"/>
        <w:color w:val="152355"/>
        <w:sz w:val="20"/>
        <w:szCs w:val="20"/>
      </w:rPr>
      <w:t xml:space="preserve"> of </w:t>
    </w:r>
    <w:r w:rsidRPr="002C0F9D">
      <w:rPr>
        <w:rFonts w:ascii="Calibri" w:eastAsia="MS Mincho" w:hAnsi="Calibri"/>
        <w:color w:val="152355"/>
        <w:sz w:val="20"/>
        <w:szCs w:val="20"/>
      </w:rPr>
      <w:fldChar w:fldCharType="begin"/>
    </w:r>
    <w:r w:rsidRPr="002C0F9D">
      <w:rPr>
        <w:rFonts w:ascii="Calibri" w:eastAsia="MS Mincho" w:hAnsi="Calibri"/>
        <w:color w:val="152355"/>
        <w:sz w:val="20"/>
        <w:szCs w:val="20"/>
      </w:rPr>
      <w:instrText xml:space="preserve"> NUMPAGES   \* MERGEFORMAT </w:instrText>
    </w:r>
    <w:r w:rsidRPr="002C0F9D">
      <w:rPr>
        <w:rFonts w:ascii="Calibri" w:eastAsia="MS Mincho" w:hAnsi="Calibri"/>
        <w:color w:val="152355"/>
        <w:sz w:val="20"/>
        <w:szCs w:val="20"/>
      </w:rPr>
      <w:fldChar w:fldCharType="separate"/>
    </w:r>
    <w:r>
      <w:rPr>
        <w:rFonts w:ascii="Calibri" w:eastAsia="MS Mincho" w:hAnsi="Calibri"/>
        <w:color w:val="152355"/>
        <w:sz w:val="20"/>
        <w:szCs w:val="20"/>
      </w:rPr>
      <w:t>26</w:t>
    </w:r>
    <w:r w:rsidRPr="002C0F9D">
      <w:rPr>
        <w:rFonts w:ascii="Calibri" w:eastAsia="MS Mincho" w:hAnsi="Calibri"/>
        <w:color w:val="152355"/>
        <w:sz w:val="20"/>
        <w:szCs w:val="20"/>
      </w:rPr>
      <w:fldChar w:fldCharType="end"/>
    </w:r>
  </w:p>
  <w:p w14:paraId="0B78EB94" w14:textId="77777777" w:rsidR="0081157D" w:rsidRPr="0067639E" w:rsidRDefault="0081157D" w:rsidP="004F2D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8AE"/>
    <w:multiLevelType w:val="hybridMultilevel"/>
    <w:tmpl w:val="AAD06098"/>
    <w:lvl w:ilvl="0" w:tplc="A386E076">
      <w:start w:val="1"/>
      <w:numFmt w:val="bullet"/>
      <w:lvlText w:val=""/>
      <w:lvlJc w:val="left"/>
      <w:pPr>
        <w:tabs>
          <w:tab w:val="num" w:pos="0"/>
        </w:tabs>
        <w:ind w:left="360" w:hanging="360"/>
      </w:pPr>
      <w:rPr>
        <w:rFonts w:ascii="Symbol" w:hAnsi="Symbol" w:hint="default"/>
        <w:b w:val="0"/>
        <w:i w:val="0"/>
        <w:color w:val="auto"/>
        <w:sz w:val="24"/>
        <w:vertAlign w:val="baseline"/>
      </w:rPr>
    </w:lvl>
    <w:lvl w:ilvl="1" w:tplc="04090003">
      <w:start w:val="1"/>
      <w:numFmt w:val="bullet"/>
      <w:lvlText w:val="o"/>
      <w:lvlJc w:val="left"/>
      <w:pPr>
        <w:ind w:left="1440" w:hanging="360"/>
      </w:pPr>
      <w:rPr>
        <w:rFonts w:ascii="Courier New" w:hAnsi="Courier New" w:hint="default"/>
        <w:b w:val="0"/>
        <w:i w:val="0"/>
        <w:color w:val="auto"/>
        <w:sz w:val="24"/>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46D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787913"/>
    <w:multiLevelType w:val="hybridMultilevel"/>
    <w:tmpl w:val="3D287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5A14CC"/>
    <w:multiLevelType w:val="hybridMultilevel"/>
    <w:tmpl w:val="1D68A416"/>
    <w:lvl w:ilvl="0" w:tplc="AA0C16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00568C"/>
    <w:multiLevelType w:val="hybridMultilevel"/>
    <w:tmpl w:val="0FEE9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CA1899"/>
    <w:multiLevelType w:val="hybridMultilevel"/>
    <w:tmpl w:val="A246F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A1A8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1DB96BAD"/>
    <w:multiLevelType w:val="hybridMultilevel"/>
    <w:tmpl w:val="47AE687E"/>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301FE"/>
    <w:multiLevelType w:val="hybridMultilevel"/>
    <w:tmpl w:val="5DC26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E017E"/>
    <w:multiLevelType w:val="hybridMultilevel"/>
    <w:tmpl w:val="4AD0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F11C6"/>
    <w:multiLevelType w:val="hybridMultilevel"/>
    <w:tmpl w:val="E56E5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E23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BE00A4"/>
    <w:multiLevelType w:val="hybridMultilevel"/>
    <w:tmpl w:val="74A0A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9097F"/>
    <w:multiLevelType w:val="hybridMultilevel"/>
    <w:tmpl w:val="14C08A4A"/>
    <w:lvl w:ilvl="0" w:tplc="0409000F">
      <w:start w:val="1"/>
      <w:numFmt w:val="decimal"/>
      <w:lvlText w:val="%1."/>
      <w:lvlJc w:val="left"/>
      <w:pPr>
        <w:tabs>
          <w:tab w:val="num" w:pos="360"/>
        </w:tabs>
        <w:ind w:left="360" w:hanging="360"/>
      </w:pPr>
      <w:rPr>
        <w:rFonts w:hint="default"/>
        <w:b w:val="0"/>
      </w:rPr>
    </w:lvl>
    <w:lvl w:ilvl="1" w:tplc="CBD6562A">
      <w:numFmt w:val="bullet"/>
      <w:lvlText w:val=""/>
      <w:lvlJc w:val="left"/>
      <w:pPr>
        <w:tabs>
          <w:tab w:val="num" w:pos="1080"/>
        </w:tabs>
        <w:ind w:left="1080" w:hanging="360"/>
      </w:pPr>
      <w:rPr>
        <w:rFonts w:ascii="Symbol" w:eastAsia="Courier New" w:hAnsi="Symbol" w:cs="Courier New" w:hint="default"/>
        <w:b w:val="0"/>
        <w:color w:val="auto"/>
      </w:rPr>
    </w:lvl>
    <w:lvl w:ilvl="2" w:tplc="04090003">
      <w:start w:val="1"/>
      <w:numFmt w:val="bullet"/>
      <w:lvlText w:val="o"/>
      <w:lvlJc w:val="left"/>
      <w:pPr>
        <w:ind w:left="1980" w:hanging="360"/>
      </w:pPr>
      <w:rPr>
        <w:rFonts w:ascii="Courier New" w:hAnsi="Courier New"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597DB7"/>
    <w:multiLevelType w:val="hybridMultilevel"/>
    <w:tmpl w:val="6B9487BC"/>
    <w:lvl w:ilvl="0" w:tplc="A386E076">
      <w:start w:val="1"/>
      <w:numFmt w:val="bullet"/>
      <w:lvlText w:val=""/>
      <w:lvlJc w:val="left"/>
      <w:pPr>
        <w:tabs>
          <w:tab w:val="num" w:pos="-180"/>
        </w:tabs>
        <w:ind w:left="180" w:hanging="360"/>
      </w:pPr>
      <w:rPr>
        <w:rFonts w:ascii="Symbol" w:hAnsi="Symbol" w:hint="default"/>
        <w:b w:val="0"/>
        <w:i w:val="0"/>
        <w:color w:val="auto"/>
        <w:sz w:val="24"/>
        <w:vertAlign w:val="baseline"/>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321F07E3"/>
    <w:multiLevelType w:val="hybridMultilevel"/>
    <w:tmpl w:val="3830F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BE5303"/>
    <w:multiLevelType w:val="hybridMultilevel"/>
    <w:tmpl w:val="38EE75AE"/>
    <w:lvl w:ilvl="0" w:tplc="8710FC58">
      <w:numFmt w:val="bullet"/>
      <w:lvlText w:val=""/>
      <w:lvlJc w:val="left"/>
      <w:pPr>
        <w:tabs>
          <w:tab w:val="num" w:pos="402"/>
        </w:tabs>
        <w:ind w:left="402" w:hanging="360"/>
      </w:pPr>
      <w:rPr>
        <w:rFonts w:ascii="Symbol" w:eastAsia="Courier New" w:hAnsi="Symbol" w:cs="Courier New"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17" w15:restartNumberingAfterBreak="0">
    <w:nsid w:val="34D506E5"/>
    <w:multiLevelType w:val="hybridMultilevel"/>
    <w:tmpl w:val="79C84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316478"/>
    <w:multiLevelType w:val="hybridMultilevel"/>
    <w:tmpl w:val="46C698B2"/>
    <w:lvl w:ilvl="0" w:tplc="A386E076">
      <w:start w:val="1"/>
      <w:numFmt w:val="bullet"/>
      <w:lvlText w:val=""/>
      <w:lvlJc w:val="left"/>
      <w:pPr>
        <w:tabs>
          <w:tab w:val="num" w:pos="-2160"/>
        </w:tabs>
        <w:ind w:left="-1800" w:hanging="360"/>
      </w:pPr>
      <w:rPr>
        <w:rFonts w:ascii="Symbol" w:hAnsi="Symbol" w:hint="default"/>
        <w:b w:val="0"/>
        <w:i w:val="0"/>
        <w:color w:val="auto"/>
        <w:sz w:val="24"/>
        <w:vertAlign w:val="baseli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9" w15:restartNumberingAfterBreak="0">
    <w:nsid w:val="354607C1"/>
    <w:multiLevelType w:val="hybridMultilevel"/>
    <w:tmpl w:val="44A290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56EBB"/>
    <w:multiLevelType w:val="hybridMultilevel"/>
    <w:tmpl w:val="D9F2A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B2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1B047E"/>
    <w:multiLevelType w:val="hybridMultilevel"/>
    <w:tmpl w:val="EAC078F6"/>
    <w:lvl w:ilvl="0" w:tplc="A386E076">
      <w:start w:val="1"/>
      <w:numFmt w:val="bullet"/>
      <w:lvlText w:val=""/>
      <w:lvlJc w:val="left"/>
      <w:pPr>
        <w:tabs>
          <w:tab w:val="num" w:pos="360"/>
        </w:tabs>
        <w:ind w:left="720" w:hanging="360"/>
      </w:pPr>
      <w:rPr>
        <w:rFonts w:ascii="Symbol" w:hAnsi="Symbol" w:hint="default"/>
        <w:b w:val="0"/>
        <w:i w:val="0"/>
        <w:color w:val="auto"/>
        <w:sz w:val="24"/>
        <w:vertAlign w:val="base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1C27D9"/>
    <w:multiLevelType w:val="hybridMultilevel"/>
    <w:tmpl w:val="CA3CD3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3626B"/>
    <w:multiLevelType w:val="hybridMultilevel"/>
    <w:tmpl w:val="F150454A"/>
    <w:lvl w:ilvl="0" w:tplc="A386E076">
      <w:start w:val="1"/>
      <w:numFmt w:val="bullet"/>
      <w:lvlText w:val=""/>
      <w:lvlJc w:val="left"/>
      <w:pPr>
        <w:tabs>
          <w:tab w:val="num" w:pos="0"/>
        </w:tabs>
        <w:ind w:left="360" w:hanging="360"/>
      </w:pPr>
      <w:rPr>
        <w:rFonts w:ascii="Symbol" w:hAnsi="Symbol" w:hint="default"/>
        <w:b w:val="0"/>
        <w:i w:val="0"/>
        <w:color w:val="auto"/>
        <w:sz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1C7669"/>
    <w:multiLevelType w:val="hybridMultilevel"/>
    <w:tmpl w:val="72AE1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B6083"/>
    <w:multiLevelType w:val="hybridMultilevel"/>
    <w:tmpl w:val="D05E549A"/>
    <w:lvl w:ilvl="0" w:tplc="A386E076">
      <w:start w:val="1"/>
      <w:numFmt w:val="bullet"/>
      <w:lvlText w:val=""/>
      <w:lvlJc w:val="left"/>
      <w:pPr>
        <w:tabs>
          <w:tab w:val="num" w:pos="0"/>
        </w:tabs>
        <w:ind w:left="360" w:hanging="360"/>
      </w:pPr>
      <w:rPr>
        <w:rFonts w:ascii="Symbol" w:hAnsi="Symbol" w:hint="default"/>
        <w:b w:val="0"/>
        <w:i w:val="0"/>
        <w:color w:val="auto"/>
        <w:sz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4C77AA"/>
    <w:multiLevelType w:val="hybridMultilevel"/>
    <w:tmpl w:val="28747630"/>
    <w:lvl w:ilvl="0" w:tplc="AA0C16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F25345"/>
    <w:multiLevelType w:val="hybridMultilevel"/>
    <w:tmpl w:val="7BD03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734BE"/>
    <w:multiLevelType w:val="hybridMultilevel"/>
    <w:tmpl w:val="0820F3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CCF6DE5"/>
    <w:multiLevelType w:val="hybridMultilevel"/>
    <w:tmpl w:val="59E881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900381"/>
    <w:multiLevelType w:val="hybridMultilevel"/>
    <w:tmpl w:val="5C5CB8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03124F8"/>
    <w:multiLevelType w:val="hybridMultilevel"/>
    <w:tmpl w:val="1F88F732"/>
    <w:lvl w:ilvl="0" w:tplc="36C81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759C2"/>
    <w:multiLevelType w:val="hybridMultilevel"/>
    <w:tmpl w:val="CBC4D7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46DC0"/>
    <w:multiLevelType w:val="hybridMultilevel"/>
    <w:tmpl w:val="48AEBBFE"/>
    <w:lvl w:ilvl="0" w:tplc="7F14B8BE">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05018"/>
    <w:multiLevelType w:val="hybridMultilevel"/>
    <w:tmpl w:val="DAF4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DC1DBE"/>
    <w:multiLevelType w:val="hybridMultilevel"/>
    <w:tmpl w:val="6C7EA374"/>
    <w:lvl w:ilvl="0" w:tplc="04090001">
      <w:start w:val="1"/>
      <w:numFmt w:val="bullet"/>
      <w:lvlText w:val=""/>
      <w:lvlJc w:val="left"/>
      <w:pPr>
        <w:tabs>
          <w:tab w:val="num" w:pos="702"/>
        </w:tabs>
        <w:ind w:left="702" w:hanging="360"/>
      </w:pPr>
      <w:rPr>
        <w:rFonts w:ascii="Symbol" w:hAnsi="Symbol" w:hint="default"/>
      </w:rPr>
    </w:lvl>
    <w:lvl w:ilvl="1" w:tplc="04090003">
      <w:start w:val="1"/>
      <w:numFmt w:val="bullet"/>
      <w:lvlText w:val="o"/>
      <w:lvlJc w:val="left"/>
      <w:pPr>
        <w:tabs>
          <w:tab w:val="num" w:pos="1422"/>
        </w:tabs>
        <w:ind w:left="1422" w:hanging="360"/>
      </w:pPr>
      <w:rPr>
        <w:rFonts w:ascii="Courier New" w:hAnsi="Courier New" w:hint="default"/>
      </w:rPr>
    </w:lvl>
    <w:lvl w:ilvl="2" w:tplc="04090005">
      <w:start w:val="1"/>
      <w:numFmt w:val="bullet"/>
      <w:lvlText w:val=""/>
      <w:lvlJc w:val="left"/>
      <w:pPr>
        <w:tabs>
          <w:tab w:val="num" w:pos="2142"/>
        </w:tabs>
        <w:ind w:left="2142" w:hanging="360"/>
      </w:pPr>
      <w:rPr>
        <w:rFonts w:ascii="Wingdings" w:hAnsi="Wingdings" w:hint="default"/>
      </w:rPr>
    </w:lvl>
    <w:lvl w:ilvl="3" w:tplc="04090001">
      <w:start w:val="1"/>
      <w:numFmt w:val="bullet"/>
      <w:lvlText w:val=""/>
      <w:lvlJc w:val="left"/>
      <w:pPr>
        <w:tabs>
          <w:tab w:val="num" w:pos="2862"/>
        </w:tabs>
        <w:ind w:left="2862" w:hanging="360"/>
      </w:pPr>
      <w:rPr>
        <w:rFonts w:ascii="Symbol" w:hAnsi="Symbol" w:hint="default"/>
      </w:rPr>
    </w:lvl>
    <w:lvl w:ilvl="4" w:tplc="04090003">
      <w:start w:val="1"/>
      <w:numFmt w:val="bullet"/>
      <w:lvlText w:val="o"/>
      <w:lvlJc w:val="left"/>
      <w:pPr>
        <w:tabs>
          <w:tab w:val="num" w:pos="3582"/>
        </w:tabs>
        <w:ind w:left="3582" w:hanging="360"/>
      </w:pPr>
      <w:rPr>
        <w:rFonts w:ascii="Courier New" w:hAnsi="Courier New" w:hint="default"/>
      </w:rPr>
    </w:lvl>
    <w:lvl w:ilvl="5" w:tplc="04090005">
      <w:start w:val="1"/>
      <w:numFmt w:val="bullet"/>
      <w:lvlText w:val=""/>
      <w:lvlJc w:val="left"/>
      <w:pPr>
        <w:tabs>
          <w:tab w:val="num" w:pos="4302"/>
        </w:tabs>
        <w:ind w:left="4302" w:hanging="360"/>
      </w:pPr>
      <w:rPr>
        <w:rFonts w:ascii="Wingdings" w:hAnsi="Wingdings" w:hint="default"/>
      </w:rPr>
    </w:lvl>
    <w:lvl w:ilvl="6" w:tplc="04090001">
      <w:start w:val="1"/>
      <w:numFmt w:val="bullet"/>
      <w:lvlText w:val=""/>
      <w:lvlJc w:val="left"/>
      <w:pPr>
        <w:tabs>
          <w:tab w:val="num" w:pos="5022"/>
        </w:tabs>
        <w:ind w:left="5022" w:hanging="360"/>
      </w:pPr>
      <w:rPr>
        <w:rFonts w:ascii="Symbol" w:hAnsi="Symbol" w:hint="default"/>
      </w:rPr>
    </w:lvl>
    <w:lvl w:ilvl="7" w:tplc="04090003">
      <w:start w:val="1"/>
      <w:numFmt w:val="bullet"/>
      <w:lvlText w:val="o"/>
      <w:lvlJc w:val="left"/>
      <w:pPr>
        <w:tabs>
          <w:tab w:val="num" w:pos="5742"/>
        </w:tabs>
        <w:ind w:left="5742" w:hanging="360"/>
      </w:pPr>
      <w:rPr>
        <w:rFonts w:ascii="Courier New" w:hAnsi="Courier New" w:hint="default"/>
      </w:rPr>
    </w:lvl>
    <w:lvl w:ilvl="8" w:tplc="04090005">
      <w:start w:val="1"/>
      <w:numFmt w:val="bullet"/>
      <w:lvlText w:val=""/>
      <w:lvlJc w:val="left"/>
      <w:pPr>
        <w:tabs>
          <w:tab w:val="num" w:pos="6462"/>
        </w:tabs>
        <w:ind w:left="6462" w:hanging="360"/>
      </w:pPr>
      <w:rPr>
        <w:rFonts w:ascii="Wingdings" w:hAnsi="Wingdings" w:hint="default"/>
      </w:rPr>
    </w:lvl>
  </w:abstractNum>
  <w:abstractNum w:abstractNumId="37" w15:restartNumberingAfterBreak="0">
    <w:nsid w:val="594A2A43"/>
    <w:multiLevelType w:val="hybridMultilevel"/>
    <w:tmpl w:val="0B3C57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0E7A4C"/>
    <w:multiLevelType w:val="hybridMultilevel"/>
    <w:tmpl w:val="E4A678AC"/>
    <w:lvl w:ilvl="0" w:tplc="3BD278D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9" w15:restartNumberingAfterBreak="0">
    <w:nsid w:val="68293185"/>
    <w:multiLevelType w:val="hybridMultilevel"/>
    <w:tmpl w:val="2A36CFC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B7B1E10"/>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41" w15:restartNumberingAfterBreak="0">
    <w:nsid w:val="6E83754B"/>
    <w:multiLevelType w:val="hybridMultilevel"/>
    <w:tmpl w:val="98EC02D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4524A58"/>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43" w15:restartNumberingAfterBreak="0">
    <w:nsid w:val="74CC7483"/>
    <w:multiLevelType w:val="hybridMultilevel"/>
    <w:tmpl w:val="23A60852"/>
    <w:lvl w:ilvl="0" w:tplc="7F14B8BE">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C5D3D6B"/>
    <w:multiLevelType w:val="hybridMultilevel"/>
    <w:tmpl w:val="F1C00D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411F7"/>
    <w:multiLevelType w:val="hybridMultilevel"/>
    <w:tmpl w:val="75A0E7AC"/>
    <w:lvl w:ilvl="0" w:tplc="8710FC58">
      <w:numFmt w:val="bullet"/>
      <w:lvlText w:val=""/>
      <w:lvlJc w:val="left"/>
      <w:pPr>
        <w:tabs>
          <w:tab w:val="num" w:pos="360"/>
        </w:tabs>
        <w:ind w:left="360" w:hanging="360"/>
      </w:pPr>
      <w:rPr>
        <w:rFonts w:ascii="Symbol" w:eastAsia="Courier New"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4152F2"/>
    <w:multiLevelType w:val="hybridMultilevel"/>
    <w:tmpl w:val="E4A678AC"/>
    <w:lvl w:ilvl="0" w:tplc="3BD278D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47" w15:restartNumberingAfterBreak="0">
    <w:nsid w:val="7F7B610A"/>
    <w:multiLevelType w:val="hybridMultilevel"/>
    <w:tmpl w:val="D5F81C5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FA77370"/>
    <w:multiLevelType w:val="hybridMultilevel"/>
    <w:tmpl w:val="BE7E6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78565269">
    <w:abstractNumId w:val="48"/>
  </w:num>
  <w:num w:numId="2" w16cid:durableId="1689404165">
    <w:abstractNumId w:val="9"/>
  </w:num>
  <w:num w:numId="3" w16cid:durableId="1307320869">
    <w:abstractNumId w:val="41"/>
  </w:num>
  <w:num w:numId="4" w16cid:durableId="226232572">
    <w:abstractNumId w:val="38"/>
  </w:num>
  <w:num w:numId="5" w16cid:durableId="1356734138">
    <w:abstractNumId w:val="45"/>
  </w:num>
  <w:num w:numId="6" w16cid:durableId="1849706894">
    <w:abstractNumId w:val="8"/>
  </w:num>
  <w:num w:numId="7" w16cid:durableId="472257727">
    <w:abstractNumId w:val="20"/>
  </w:num>
  <w:num w:numId="8" w16cid:durableId="490557856">
    <w:abstractNumId w:val="33"/>
  </w:num>
  <w:num w:numId="9" w16cid:durableId="980037270">
    <w:abstractNumId w:val="15"/>
  </w:num>
  <w:num w:numId="10" w16cid:durableId="1629239230">
    <w:abstractNumId w:val="25"/>
  </w:num>
  <w:num w:numId="11" w16cid:durableId="635642193">
    <w:abstractNumId w:val="19"/>
  </w:num>
  <w:num w:numId="12" w16cid:durableId="1669863200">
    <w:abstractNumId w:val="5"/>
  </w:num>
  <w:num w:numId="13" w16cid:durableId="1360623190">
    <w:abstractNumId w:val="17"/>
  </w:num>
  <w:num w:numId="14" w16cid:durableId="533273281">
    <w:abstractNumId w:val="4"/>
  </w:num>
  <w:num w:numId="15" w16cid:durableId="387582121">
    <w:abstractNumId w:val="13"/>
  </w:num>
  <w:num w:numId="16" w16cid:durableId="2047292724">
    <w:abstractNumId w:val="31"/>
  </w:num>
  <w:num w:numId="17" w16cid:durableId="1274022697">
    <w:abstractNumId w:val="47"/>
  </w:num>
  <w:num w:numId="18" w16cid:durableId="1606382896">
    <w:abstractNumId w:val="30"/>
  </w:num>
  <w:num w:numId="19" w16cid:durableId="67583310">
    <w:abstractNumId w:val="7"/>
  </w:num>
  <w:num w:numId="20" w16cid:durableId="448621345">
    <w:abstractNumId w:val="43"/>
  </w:num>
  <w:num w:numId="21" w16cid:durableId="728268031">
    <w:abstractNumId w:val="34"/>
  </w:num>
  <w:num w:numId="22" w16cid:durableId="460657703">
    <w:abstractNumId w:val="39"/>
  </w:num>
  <w:num w:numId="23" w16cid:durableId="1288658194">
    <w:abstractNumId w:val="22"/>
  </w:num>
  <w:num w:numId="24" w16cid:durableId="1463381138">
    <w:abstractNumId w:val="18"/>
  </w:num>
  <w:num w:numId="25" w16cid:durableId="1712001893">
    <w:abstractNumId w:val="44"/>
  </w:num>
  <w:num w:numId="26" w16cid:durableId="973221911">
    <w:abstractNumId w:val="46"/>
  </w:num>
  <w:num w:numId="27" w16cid:durableId="584385662">
    <w:abstractNumId w:val="10"/>
  </w:num>
  <w:num w:numId="28" w16cid:durableId="1959944036">
    <w:abstractNumId w:val="32"/>
  </w:num>
  <w:num w:numId="29" w16cid:durableId="1563953817">
    <w:abstractNumId w:val="24"/>
  </w:num>
  <w:num w:numId="30" w16cid:durableId="958798696">
    <w:abstractNumId w:val="28"/>
  </w:num>
  <w:num w:numId="31" w16cid:durableId="424956978">
    <w:abstractNumId w:val="23"/>
  </w:num>
  <w:num w:numId="32" w16cid:durableId="1248343945">
    <w:abstractNumId w:val="6"/>
  </w:num>
  <w:num w:numId="33" w16cid:durableId="1415199661">
    <w:abstractNumId w:val="40"/>
  </w:num>
  <w:num w:numId="34" w16cid:durableId="189489717">
    <w:abstractNumId w:val="36"/>
  </w:num>
  <w:num w:numId="35" w16cid:durableId="1736857612">
    <w:abstractNumId w:val="37"/>
  </w:num>
  <w:num w:numId="36" w16cid:durableId="345403995">
    <w:abstractNumId w:val="11"/>
  </w:num>
  <w:num w:numId="37" w16cid:durableId="1330719016">
    <w:abstractNumId w:val="21"/>
  </w:num>
  <w:num w:numId="38" w16cid:durableId="325674994">
    <w:abstractNumId w:val="1"/>
  </w:num>
  <w:num w:numId="39" w16cid:durableId="1950315501">
    <w:abstractNumId w:val="42"/>
  </w:num>
  <w:num w:numId="40" w16cid:durableId="535234585">
    <w:abstractNumId w:val="29"/>
  </w:num>
  <w:num w:numId="41" w16cid:durableId="1738043946">
    <w:abstractNumId w:val="12"/>
  </w:num>
  <w:num w:numId="42" w16cid:durableId="186262432">
    <w:abstractNumId w:val="27"/>
  </w:num>
  <w:num w:numId="43" w16cid:durableId="1701083196">
    <w:abstractNumId w:val="3"/>
  </w:num>
  <w:num w:numId="44" w16cid:durableId="1646396941">
    <w:abstractNumId w:val="16"/>
  </w:num>
  <w:num w:numId="45" w16cid:durableId="1039014380">
    <w:abstractNumId w:val="14"/>
  </w:num>
  <w:num w:numId="46" w16cid:durableId="575819831">
    <w:abstractNumId w:val="0"/>
  </w:num>
  <w:num w:numId="47" w16cid:durableId="32122482">
    <w:abstractNumId w:val="26"/>
  </w:num>
  <w:num w:numId="48" w16cid:durableId="505483465">
    <w:abstractNumId w:val="35"/>
  </w:num>
  <w:num w:numId="49" w16cid:durableId="375810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F0"/>
    <w:rsid w:val="0001255C"/>
    <w:rsid w:val="000136BE"/>
    <w:rsid w:val="00014F79"/>
    <w:rsid w:val="0002302C"/>
    <w:rsid w:val="00040DA1"/>
    <w:rsid w:val="0004487B"/>
    <w:rsid w:val="0005175D"/>
    <w:rsid w:val="00055D5F"/>
    <w:rsid w:val="000706F4"/>
    <w:rsid w:val="00074B10"/>
    <w:rsid w:val="0007642D"/>
    <w:rsid w:val="000764E8"/>
    <w:rsid w:val="00081ACD"/>
    <w:rsid w:val="00082481"/>
    <w:rsid w:val="00087441"/>
    <w:rsid w:val="000942B0"/>
    <w:rsid w:val="00094F4F"/>
    <w:rsid w:val="000968B9"/>
    <w:rsid w:val="000A1DEF"/>
    <w:rsid w:val="000A363B"/>
    <w:rsid w:val="000C1BE4"/>
    <w:rsid w:val="000C4F68"/>
    <w:rsid w:val="000C79DC"/>
    <w:rsid w:val="000F2034"/>
    <w:rsid w:val="001053A2"/>
    <w:rsid w:val="00125C22"/>
    <w:rsid w:val="0013715D"/>
    <w:rsid w:val="001374FF"/>
    <w:rsid w:val="00147269"/>
    <w:rsid w:val="00155878"/>
    <w:rsid w:val="00165ADE"/>
    <w:rsid w:val="0016669B"/>
    <w:rsid w:val="00166E42"/>
    <w:rsid w:val="001774AF"/>
    <w:rsid w:val="00190053"/>
    <w:rsid w:val="00194EB0"/>
    <w:rsid w:val="00197088"/>
    <w:rsid w:val="001B01F2"/>
    <w:rsid w:val="001B0B8A"/>
    <w:rsid w:val="001B3232"/>
    <w:rsid w:val="001B40B1"/>
    <w:rsid w:val="001D1781"/>
    <w:rsid w:val="001F1C89"/>
    <w:rsid w:val="001F2592"/>
    <w:rsid w:val="002212E7"/>
    <w:rsid w:val="00226C3A"/>
    <w:rsid w:val="00234AE5"/>
    <w:rsid w:val="00243FF3"/>
    <w:rsid w:val="00244D82"/>
    <w:rsid w:val="00252823"/>
    <w:rsid w:val="00252B92"/>
    <w:rsid w:val="00256AA0"/>
    <w:rsid w:val="0027143F"/>
    <w:rsid w:val="002978B1"/>
    <w:rsid w:val="002A4C10"/>
    <w:rsid w:val="002A6FC9"/>
    <w:rsid w:val="002C0F9D"/>
    <w:rsid w:val="002C4296"/>
    <w:rsid w:val="002D3869"/>
    <w:rsid w:val="002D6900"/>
    <w:rsid w:val="002D6D8B"/>
    <w:rsid w:val="002D736B"/>
    <w:rsid w:val="002E4530"/>
    <w:rsid w:val="002F1D53"/>
    <w:rsid w:val="002F3881"/>
    <w:rsid w:val="0030482B"/>
    <w:rsid w:val="00304D2E"/>
    <w:rsid w:val="00304E83"/>
    <w:rsid w:val="00314113"/>
    <w:rsid w:val="00316F19"/>
    <w:rsid w:val="003303F5"/>
    <w:rsid w:val="0033208A"/>
    <w:rsid w:val="0033734E"/>
    <w:rsid w:val="00337574"/>
    <w:rsid w:val="003410CE"/>
    <w:rsid w:val="003458B4"/>
    <w:rsid w:val="00346920"/>
    <w:rsid w:val="00351977"/>
    <w:rsid w:val="003666A5"/>
    <w:rsid w:val="0037342C"/>
    <w:rsid w:val="00382C04"/>
    <w:rsid w:val="00384379"/>
    <w:rsid w:val="0039368C"/>
    <w:rsid w:val="0039534E"/>
    <w:rsid w:val="003A2A36"/>
    <w:rsid w:val="003A34ED"/>
    <w:rsid w:val="003A428C"/>
    <w:rsid w:val="003A50A1"/>
    <w:rsid w:val="003A50B2"/>
    <w:rsid w:val="003A5AB5"/>
    <w:rsid w:val="003A70FE"/>
    <w:rsid w:val="003B089A"/>
    <w:rsid w:val="003B66D6"/>
    <w:rsid w:val="003C7441"/>
    <w:rsid w:val="003D078E"/>
    <w:rsid w:val="003D2527"/>
    <w:rsid w:val="003E12E4"/>
    <w:rsid w:val="003E6490"/>
    <w:rsid w:val="003F4144"/>
    <w:rsid w:val="004039C2"/>
    <w:rsid w:val="004050FC"/>
    <w:rsid w:val="00421D31"/>
    <w:rsid w:val="00427782"/>
    <w:rsid w:val="00434DB7"/>
    <w:rsid w:val="00437D96"/>
    <w:rsid w:val="00457084"/>
    <w:rsid w:val="00461B45"/>
    <w:rsid w:val="00464528"/>
    <w:rsid w:val="00485958"/>
    <w:rsid w:val="00490ED6"/>
    <w:rsid w:val="0049735E"/>
    <w:rsid w:val="004A06AC"/>
    <w:rsid w:val="004B3B69"/>
    <w:rsid w:val="004B4BCF"/>
    <w:rsid w:val="004B62E4"/>
    <w:rsid w:val="004B7715"/>
    <w:rsid w:val="004C3ED8"/>
    <w:rsid w:val="004C6833"/>
    <w:rsid w:val="004D1A83"/>
    <w:rsid w:val="004D1B78"/>
    <w:rsid w:val="004D4118"/>
    <w:rsid w:val="004D689F"/>
    <w:rsid w:val="004E52E0"/>
    <w:rsid w:val="004F29F2"/>
    <w:rsid w:val="004F2DEA"/>
    <w:rsid w:val="004F669C"/>
    <w:rsid w:val="00500E9C"/>
    <w:rsid w:val="005320F9"/>
    <w:rsid w:val="00536831"/>
    <w:rsid w:val="00571E7E"/>
    <w:rsid w:val="005720BE"/>
    <w:rsid w:val="00595488"/>
    <w:rsid w:val="005A5328"/>
    <w:rsid w:val="005A7BF6"/>
    <w:rsid w:val="005B3DE8"/>
    <w:rsid w:val="005B7506"/>
    <w:rsid w:val="005C194D"/>
    <w:rsid w:val="005C689E"/>
    <w:rsid w:val="005D51B1"/>
    <w:rsid w:val="005E0BF8"/>
    <w:rsid w:val="005E37DC"/>
    <w:rsid w:val="005E551B"/>
    <w:rsid w:val="005F288D"/>
    <w:rsid w:val="005F3FE5"/>
    <w:rsid w:val="005F4DB8"/>
    <w:rsid w:val="00601D34"/>
    <w:rsid w:val="00607AA1"/>
    <w:rsid w:val="00612744"/>
    <w:rsid w:val="006155B5"/>
    <w:rsid w:val="00621B7C"/>
    <w:rsid w:val="00621ED0"/>
    <w:rsid w:val="00630653"/>
    <w:rsid w:val="00640CC3"/>
    <w:rsid w:val="006439AC"/>
    <w:rsid w:val="00646A00"/>
    <w:rsid w:val="00651FBF"/>
    <w:rsid w:val="0066358C"/>
    <w:rsid w:val="00670651"/>
    <w:rsid w:val="0067639E"/>
    <w:rsid w:val="00692A46"/>
    <w:rsid w:val="00695930"/>
    <w:rsid w:val="00696578"/>
    <w:rsid w:val="006A6D6D"/>
    <w:rsid w:val="006A72E6"/>
    <w:rsid w:val="006C0036"/>
    <w:rsid w:val="006C1563"/>
    <w:rsid w:val="006C1798"/>
    <w:rsid w:val="006C23F6"/>
    <w:rsid w:val="006D13BD"/>
    <w:rsid w:val="006D61F4"/>
    <w:rsid w:val="006D78F0"/>
    <w:rsid w:val="006D7C0F"/>
    <w:rsid w:val="006E5D3B"/>
    <w:rsid w:val="006E6858"/>
    <w:rsid w:val="006F60B0"/>
    <w:rsid w:val="006F7BCF"/>
    <w:rsid w:val="007007DE"/>
    <w:rsid w:val="00705AC7"/>
    <w:rsid w:val="00706FC1"/>
    <w:rsid w:val="00713739"/>
    <w:rsid w:val="0072581D"/>
    <w:rsid w:val="00733E77"/>
    <w:rsid w:val="007365F0"/>
    <w:rsid w:val="00741C09"/>
    <w:rsid w:val="0075617A"/>
    <w:rsid w:val="00766791"/>
    <w:rsid w:val="00777342"/>
    <w:rsid w:val="00791AA8"/>
    <w:rsid w:val="00796189"/>
    <w:rsid w:val="007A166E"/>
    <w:rsid w:val="007A1E43"/>
    <w:rsid w:val="007A4C70"/>
    <w:rsid w:val="007A6DA0"/>
    <w:rsid w:val="007C001D"/>
    <w:rsid w:val="007C57E6"/>
    <w:rsid w:val="007C59DF"/>
    <w:rsid w:val="007C60ED"/>
    <w:rsid w:val="007D04B8"/>
    <w:rsid w:val="007D5374"/>
    <w:rsid w:val="007D58C8"/>
    <w:rsid w:val="007D5DEC"/>
    <w:rsid w:val="007D6BE6"/>
    <w:rsid w:val="007E199A"/>
    <w:rsid w:val="007E3583"/>
    <w:rsid w:val="007E3CD3"/>
    <w:rsid w:val="007E4D4E"/>
    <w:rsid w:val="007F64C6"/>
    <w:rsid w:val="0081157D"/>
    <w:rsid w:val="00814BE3"/>
    <w:rsid w:val="00820495"/>
    <w:rsid w:val="00824E49"/>
    <w:rsid w:val="00840D56"/>
    <w:rsid w:val="008422C4"/>
    <w:rsid w:val="008430A6"/>
    <w:rsid w:val="00845C65"/>
    <w:rsid w:val="008473F5"/>
    <w:rsid w:val="0084793D"/>
    <w:rsid w:val="00860268"/>
    <w:rsid w:val="00862623"/>
    <w:rsid w:val="00863249"/>
    <w:rsid w:val="008646BD"/>
    <w:rsid w:val="008852A3"/>
    <w:rsid w:val="008929B0"/>
    <w:rsid w:val="008932DE"/>
    <w:rsid w:val="008A0946"/>
    <w:rsid w:val="008A0DC1"/>
    <w:rsid w:val="008A1C50"/>
    <w:rsid w:val="008A1D4B"/>
    <w:rsid w:val="008A3BFE"/>
    <w:rsid w:val="008A6195"/>
    <w:rsid w:val="008B66A8"/>
    <w:rsid w:val="008C14B2"/>
    <w:rsid w:val="008C182F"/>
    <w:rsid w:val="008C5419"/>
    <w:rsid w:val="008E4EB6"/>
    <w:rsid w:val="008E7E1D"/>
    <w:rsid w:val="008F13A4"/>
    <w:rsid w:val="008F6E2E"/>
    <w:rsid w:val="00906247"/>
    <w:rsid w:val="00907C94"/>
    <w:rsid w:val="00912C4D"/>
    <w:rsid w:val="00914030"/>
    <w:rsid w:val="009140C2"/>
    <w:rsid w:val="0092429B"/>
    <w:rsid w:val="009242EA"/>
    <w:rsid w:val="009361F4"/>
    <w:rsid w:val="00940F28"/>
    <w:rsid w:val="0094129A"/>
    <w:rsid w:val="009463DA"/>
    <w:rsid w:val="00951F79"/>
    <w:rsid w:val="00964988"/>
    <w:rsid w:val="00972082"/>
    <w:rsid w:val="0097327D"/>
    <w:rsid w:val="00995C96"/>
    <w:rsid w:val="00995CE4"/>
    <w:rsid w:val="00995FC3"/>
    <w:rsid w:val="009A3FC7"/>
    <w:rsid w:val="009A4E45"/>
    <w:rsid w:val="009B199C"/>
    <w:rsid w:val="009B1B95"/>
    <w:rsid w:val="009B5EAC"/>
    <w:rsid w:val="009B69E8"/>
    <w:rsid w:val="00A079DE"/>
    <w:rsid w:val="00A1611D"/>
    <w:rsid w:val="00A17A91"/>
    <w:rsid w:val="00A308D9"/>
    <w:rsid w:val="00A3133A"/>
    <w:rsid w:val="00A349C6"/>
    <w:rsid w:val="00A36D90"/>
    <w:rsid w:val="00A46C19"/>
    <w:rsid w:val="00A50E46"/>
    <w:rsid w:val="00A55C61"/>
    <w:rsid w:val="00A6060D"/>
    <w:rsid w:val="00A70F6B"/>
    <w:rsid w:val="00A83DF1"/>
    <w:rsid w:val="00A840C6"/>
    <w:rsid w:val="00A87D8F"/>
    <w:rsid w:val="00A9286C"/>
    <w:rsid w:val="00AA005C"/>
    <w:rsid w:val="00AA2A75"/>
    <w:rsid w:val="00AA57ED"/>
    <w:rsid w:val="00AB4BAF"/>
    <w:rsid w:val="00AB5681"/>
    <w:rsid w:val="00AB62F7"/>
    <w:rsid w:val="00AC3C46"/>
    <w:rsid w:val="00AC5A67"/>
    <w:rsid w:val="00AF1013"/>
    <w:rsid w:val="00AF6C88"/>
    <w:rsid w:val="00AF7ED2"/>
    <w:rsid w:val="00B0559B"/>
    <w:rsid w:val="00B07964"/>
    <w:rsid w:val="00B1234E"/>
    <w:rsid w:val="00B1354E"/>
    <w:rsid w:val="00B154D6"/>
    <w:rsid w:val="00B165FF"/>
    <w:rsid w:val="00B307E8"/>
    <w:rsid w:val="00B31856"/>
    <w:rsid w:val="00B31B58"/>
    <w:rsid w:val="00B34BEF"/>
    <w:rsid w:val="00B41185"/>
    <w:rsid w:val="00B44CDE"/>
    <w:rsid w:val="00B45B6A"/>
    <w:rsid w:val="00B501BE"/>
    <w:rsid w:val="00B5027A"/>
    <w:rsid w:val="00B5421C"/>
    <w:rsid w:val="00B60AF7"/>
    <w:rsid w:val="00B61606"/>
    <w:rsid w:val="00B6229B"/>
    <w:rsid w:val="00B65883"/>
    <w:rsid w:val="00B80B87"/>
    <w:rsid w:val="00B843F1"/>
    <w:rsid w:val="00B8529E"/>
    <w:rsid w:val="00B86E48"/>
    <w:rsid w:val="00B9167D"/>
    <w:rsid w:val="00BA1426"/>
    <w:rsid w:val="00BB56FE"/>
    <w:rsid w:val="00BD080A"/>
    <w:rsid w:val="00BD19E1"/>
    <w:rsid w:val="00BE3736"/>
    <w:rsid w:val="00BE4B72"/>
    <w:rsid w:val="00BF3E4F"/>
    <w:rsid w:val="00C0597B"/>
    <w:rsid w:val="00C12EAE"/>
    <w:rsid w:val="00C2124C"/>
    <w:rsid w:val="00C27DDB"/>
    <w:rsid w:val="00C27FC4"/>
    <w:rsid w:val="00C416E5"/>
    <w:rsid w:val="00C424AB"/>
    <w:rsid w:val="00C4374D"/>
    <w:rsid w:val="00C6068A"/>
    <w:rsid w:val="00C62C7B"/>
    <w:rsid w:val="00C7374A"/>
    <w:rsid w:val="00C83F64"/>
    <w:rsid w:val="00C868D3"/>
    <w:rsid w:val="00C87F2C"/>
    <w:rsid w:val="00C9597C"/>
    <w:rsid w:val="00CA203B"/>
    <w:rsid w:val="00CA218B"/>
    <w:rsid w:val="00CA57C2"/>
    <w:rsid w:val="00CA791F"/>
    <w:rsid w:val="00CB3147"/>
    <w:rsid w:val="00CC20AF"/>
    <w:rsid w:val="00CE7070"/>
    <w:rsid w:val="00CF2B31"/>
    <w:rsid w:val="00CF7F81"/>
    <w:rsid w:val="00D0233E"/>
    <w:rsid w:val="00D15294"/>
    <w:rsid w:val="00D167B9"/>
    <w:rsid w:val="00D20336"/>
    <w:rsid w:val="00D235CB"/>
    <w:rsid w:val="00D2497F"/>
    <w:rsid w:val="00D2652B"/>
    <w:rsid w:val="00D27897"/>
    <w:rsid w:val="00D30A0A"/>
    <w:rsid w:val="00D32E3B"/>
    <w:rsid w:val="00D36C21"/>
    <w:rsid w:val="00D36F28"/>
    <w:rsid w:val="00D416DB"/>
    <w:rsid w:val="00D44279"/>
    <w:rsid w:val="00D47D50"/>
    <w:rsid w:val="00D5777A"/>
    <w:rsid w:val="00D61E89"/>
    <w:rsid w:val="00D72A65"/>
    <w:rsid w:val="00D82DB2"/>
    <w:rsid w:val="00D8772D"/>
    <w:rsid w:val="00DA2BF3"/>
    <w:rsid w:val="00DA5592"/>
    <w:rsid w:val="00DB1FFE"/>
    <w:rsid w:val="00DC0C66"/>
    <w:rsid w:val="00DC46FC"/>
    <w:rsid w:val="00DD067B"/>
    <w:rsid w:val="00DD6C40"/>
    <w:rsid w:val="00DD7CDD"/>
    <w:rsid w:val="00DE6565"/>
    <w:rsid w:val="00DF2C9C"/>
    <w:rsid w:val="00DF69C2"/>
    <w:rsid w:val="00E0541F"/>
    <w:rsid w:val="00E20A02"/>
    <w:rsid w:val="00E21B67"/>
    <w:rsid w:val="00E27E5B"/>
    <w:rsid w:val="00E32104"/>
    <w:rsid w:val="00E44F52"/>
    <w:rsid w:val="00E4657A"/>
    <w:rsid w:val="00E51E5D"/>
    <w:rsid w:val="00E52E1C"/>
    <w:rsid w:val="00E53552"/>
    <w:rsid w:val="00E5555D"/>
    <w:rsid w:val="00E62DBC"/>
    <w:rsid w:val="00E706E9"/>
    <w:rsid w:val="00E7654F"/>
    <w:rsid w:val="00E9677F"/>
    <w:rsid w:val="00EA196B"/>
    <w:rsid w:val="00EA2F42"/>
    <w:rsid w:val="00EA41AB"/>
    <w:rsid w:val="00EB19D0"/>
    <w:rsid w:val="00EB780F"/>
    <w:rsid w:val="00EC15E2"/>
    <w:rsid w:val="00EC4FAF"/>
    <w:rsid w:val="00ED29E8"/>
    <w:rsid w:val="00EE0307"/>
    <w:rsid w:val="00EE2E9C"/>
    <w:rsid w:val="00EE6A44"/>
    <w:rsid w:val="00EF71B5"/>
    <w:rsid w:val="00F03C74"/>
    <w:rsid w:val="00F17777"/>
    <w:rsid w:val="00F23C04"/>
    <w:rsid w:val="00F278D5"/>
    <w:rsid w:val="00F30B1D"/>
    <w:rsid w:val="00F4036A"/>
    <w:rsid w:val="00F4239E"/>
    <w:rsid w:val="00F544B9"/>
    <w:rsid w:val="00F604B8"/>
    <w:rsid w:val="00F70CEE"/>
    <w:rsid w:val="00F8559B"/>
    <w:rsid w:val="00F91621"/>
    <w:rsid w:val="00F91871"/>
    <w:rsid w:val="00FA536B"/>
    <w:rsid w:val="00FB7320"/>
    <w:rsid w:val="00FC2724"/>
    <w:rsid w:val="00FC43C3"/>
    <w:rsid w:val="00FC7A64"/>
    <w:rsid w:val="00FD1653"/>
    <w:rsid w:val="00FD5C4C"/>
    <w:rsid w:val="00FE3E4D"/>
    <w:rsid w:val="00FF38BB"/>
    <w:rsid w:val="00FF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7B7EF"/>
  <w15:chartTrackingRefBased/>
  <w15:docId w15:val="{4064D562-C2B5-470E-BA1C-E3CCE723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878"/>
    <w:rPr>
      <w:sz w:val="24"/>
      <w:szCs w:val="24"/>
    </w:rPr>
  </w:style>
  <w:style w:type="paragraph" w:styleId="Heading1">
    <w:name w:val="heading 1"/>
    <w:basedOn w:val="Normal"/>
    <w:link w:val="Heading1Char"/>
    <w:uiPriority w:val="9"/>
    <w:qFormat/>
    <w:rsid w:val="008A0DC1"/>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D78F0"/>
    <w:rPr>
      <w:rFonts w:cs="Times New Roman"/>
      <w:color w:val="0000FF"/>
      <w:u w:val="single"/>
    </w:rPr>
  </w:style>
  <w:style w:type="paragraph" w:styleId="ListParagraph">
    <w:name w:val="List Paragraph"/>
    <w:basedOn w:val="Normal"/>
    <w:qFormat/>
    <w:rsid w:val="006D78F0"/>
    <w:pPr>
      <w:ind w:left="720"/>
    </w:pPr>
    <w:rPr>
      <w:rFonts w:eastAsia="MS Mincho"/>
    </w:rPr>
  </w:style>
  <w:style w:type="paragraph" w:styleId="CommentText">
    <w:name w:val="annotation text"/>
    <w:basedOn w:val="Normal"/>
    <w:link w:val="CommentTextChar"/>
    <w:rsid w:val="006D78F0"/>
    <w:rPr>
      <w:rFonts w:eastAsia="MS Mincho"/>
      <w:sz w:val="20"/>
      <w:szCs w:val="20"/>
    </w:rPr>
  </w:style>
  <w:style w:type="character" w:customStyle="1" w:styleId="CommentTextChar">
    <w:name w:val="Comment Text Char"/>
    <w:link w:val="CommentText"/>
    <w:locked/>
    <w:rsid w:val="006D78F0"/>
    <w:rPr>
      <w:rFonts w:eastAsia="MS Mincho"/>
      <w:lang w:val="en-US" w:eastAsia="en-US" w:bidi="ar-SA"/>
    </w:rPr>
  </w:style>
  <w:style w:type="paragraph" w:customStyle="1" w:styleId="BIDTitle">
    <w:name w:val="BID Title"/>
    <w:basedOn w:val="Normal"/>
    <w:rsid w:val="006D78F0"/>
    <w:pPr>
      <w:spacing w:line="560" w:lineRule="exact"/>
    </w:pPr>
    <w:rPr>
      <w:rFonts w:ascii="Calibri" w:eastAsia="MS Mincho" w:hAnsi="Calibri"/>
      <w:b/>
      <w:color w:val="FFFFFF"/>
      <w:sz w:val="56"/>
      <w:szCs w:val="56"/>
    </w:rPr>
  </w:style>
  <w:style w:type="paragraph" w:customStyle="1" w:styleId="BIDPUBHEALTHFACTSHEET">
    <w:name w:val="BID PUB HEALTH FACTSHEET"/>
    <w:basedOn w:val="Normal"/>
    <w:rsid w:val="006D78F0"/>
    <w:rPr>
      <w:rFonts w:ascii="Calibri" w:eastAsia="MS Mincho" w:hAnsi="Calibri"/>
      <w:color w:val="FFFFFF"/>
    </w:rPr>
  </w:style>
  <w:style w:type="paragraph" w:styleId="Header">
    <w:name w:val="header"/>
    <w:basedOn w:val="Normal"/>
    <w:link w:val="HeaderChar"/>
    <w:uiPriority w:val="99"/>
    <w:rsid w:val="00FB7320"/>
    <w:pPr>
      <w:tabs>
        <w:tab w:val="center" w:pos="4320"/>
        <w:tab w:val="right" w:pos="8640"/>
      </w:tabs>
    </w:pPr>
  </w:style>
  <w:style w:type="paragraph" w:styleId="Footer">
    <w:name w:val="footer"/>
    <w:basedOn w:val="Normal"/>
    <w:link w:val="FooterChar"/>
    <w:uiPriority w:val="99"/>
    <w:rsid w:val="00FB7320"/>
    <w:pPr>
      <w:tabs>
        <w:tab w:val="center" w:pos="4320"/>
        <w:tab w:val="right" w:pos="8640"/>
      </w:tabs>
    </w:pPr>
  </w:style>
  <w:style w:type="paragraph" w:customStyle="1" w:styleId="NormalGaramond-BookCondensed">
    <w:name w:val="Normal + Garamond-BookCondensed"/>
    <w:aliases w:val="10 pt,Left:  -9 pt,Right:  -36 pt + Left:  -9..."/>
    <w:basedOn w:val="NormalWeb"/>
    <w:link w:val="NormalGaramond-BookCondensedChar"/>
    <w:rsid w:val="004C3ED8"/>
    <w:pPr>
      <w:spacing w:before="100" w:beforeAutospacing="1" w:afterAutospacing="1"/>
    </w:pPr>
    <w:rPr>
      <w:rFonts w:ascii="Garamond-BookCondensed" w:hAnsi="Garamond-BookCondensed" w:cs="Garamond-BookCondensed"/>
      <w:sz w:val="20"/>
      <w:szCs w:val="20"/>
    </w:rPr>
  </w:style>
  <w:style w:type="character" w:customStyle="1" w:styleId="NormalGaramond-BookCondensedChar">
    <w:name w:val="Normal + Garamond-BookCondensed Char"/>
    <w:aliases w:val="10 pt Char,Left:  -9 pt Char,Right:  -36 pt + Left:  -9... Char Char"/>
    <w:link w:val="NormalGaramond-BookCondensed"/>
    <w:rsid w:val="004C3ED8"/>
    <w:rPr>
      <w:rFonts w:ascii="Garamond-BookCondensed" w:hAnsi="Garamond-BookCondensed" w:cs="Garamond-BookCondensed"/>
    </w:rPr>
  </w:style>
  <w:style w:type="paragraph" w:styleId="NormalWeb">
    <w:name w:val="Normal (Web)"/>
    <w:basedOn w:val="Normal"/>
    <w:uiPriority w:val="99"/>
    <w:rsid w:val="004C3ED8"/>
  </w:style>
  <w:style w:type="paragraph" w:styleId="Title">
    <w:name w:val="Title"/>
    <w:basedOn w:val="Normal"/>
    <w:link w:val="TitleChar"/>
    <w:qFormat/>
    <w:rsid w:val="00F30B1D"/>
    <w:pPr>
      <w:jc w:val="center"/>
    </w:pPr>
    <w:rPr>
      <w:b/>
      <w:sz w:val="28"/>
      <w:szCs w:val="20"/>
    </w:rPr>
  </w:style>
  <w:style w:type="character" w:customStyle="1" w:styleId="TitleChar">
    <w:name w:val="Title Char"/>
    <w:link w:val="Title"/>
    <w:rsid w:val="00F30B1D"/>
    <w:rPr>
      <w:b/>
      <w:sz w:val="28"/>
    </w:rPr>
  </w:style>
  <w:style w:type="paragraph" w:styleId="BalloonText">
    <w:name w:val="Balloon Text"/>
    <w:basedOn w:val="Normal"/>
    <w:link w:val="BalloonTextChar"/>
    <w:rsid w:val="00FC7A64"/>
    <w:rPr>
      <w:rFonts w:ascii="Tahoma" w:hAnsi="Tahoma" w:cs="Tahoma"/>
      <w:sz w:val="16"/>
      <w:szCs w:val="16"/>
    </w:rPr>
  </w:style>
  <w:style w:type="character" w:customStyle="1" w:styleId="BalloonTextChar">
    <w:name w:val="Balloon Text Char"/>
    <w:link w:val="BalloonText"/>
    <w:rsid w:val="00FC7A64"/>
    <w:rPr>
      <w:rFonts w:ascii="Tahoma" w:hAnsi="Tahoma" w:cs="Tahoma"/>
      <w:sz w:val="16"/>
      <w:szCs w:val="16"/>
    </w:rPr>
  </w:style>
  <w:style w:type="character" w:customStyle="1" w:styleId="FooterChar">
    <w:name w:val="Footer Char"/>
    <w:link w:val="Footer"/>
    <w:uiPriority w:val="99"/>
    <w:locked/>
    <w:rsid w:val="002C0F9D"/>
    <w:rPr>
      <w:sz w:val="24"/>
      <w:szCs w:val="24"/>
    </w:rPr>
  </w:style>
  <w:style w:type="paragraph" w:styleId="BodyText">
    <w:name w:val="Body Text"/>
    <w:basedOn w:val="Normal"/>
    <w:link w:val="BodyTextChar"/>
    <w:uiPriority w:val="1"/>
    <w:qFormat/>
    <w:rsid w:val="006D61F4"/>
    <w:pPr>
      <w:widowControl w:val="0"/>
      <w:ind w:left="771" w:hanging="171"/>
    </w:pPr>
    <w:rPr>
      <w:b/>
      <w:bCs/>
    </w:rPr>
  </w:style>
  <w:style w:type="character" w:customStyle="1" w:styleId="BodyTextChar">
    <w:name w:val="Body Text Char"/>
    <w:link w:val="BodyText"/>
    <w:uiPriority w:val="1"/>
    <w:rsid w:val="006D61F4"/>
    <w:rPr>
      <w:b/>
      <w:bCs/>
      <w:sz w:val="24"/>
      <w:szCs w:val="24"/>
    </w:rPr>
  </w:style>
  <w:style w:type="paragraph" w:customStyle="1" w:styleId="TableParagraph">
    <w:name w:val="Table Paragraph"/>
    <w:basedOn w:val="Normal"/>
    <w:uiPriority w:val="1"/>
    <w:qFormat/>
    <w:rsid w:val="006D61F4"/>
    <w:pPr>
      <w:widowControl w:val="0"/>
    </w:pPr>
    <w:rPr>
      <w:rFonts w:ascii="Calibri" w:eastAsia="Calibri" w:hAnsi="Calibri"/>
      <w:sz w:val="22"/>
      <w:szCs w:val="22"/>
    </w:rPr>
  </w:style>
  <w:style w:type="character" w:styleId="FollowedHyperlink">
    <w:name w:val="FollowedHyperlink"/>
    <w:rsid w:val="00D61E89"/>
    <w:rPr>
      <w:color w:val="800080"/>
      <w:u w:val="single"/>
    </w:rPr>
  </w:style>
  <w:style w:type="paragraph" w:styleId="Revision">
    <w:name w:val="Revision"/>
    <w:hidden/>
    <w:uiPriority w:val="99"/>
    <w:semiHidden/>
    <w:rsid w:val="003B66D6"/>
    <w:rPr>
      <w:sz w:val="24"/>
      <w:szCs w:val="24"/>
    </w:rPr>
  </w:style>
  <w:style w:type="character" w:styleId="CommentReference">
    <w:name w:val="annotation reference"/>
    <w:rsid w:val="00B154D6"/>
    <w:rPr>
      <w:sz w:val="16"/>
      <w:szCs w:val="16"/>
    </w:rPr>
  </w:style>
  <w:style w:type="paragraph" w:styleId="CommentSubject">
    <w:name w:val="annotation subject"/>
    <w:basedOn w:val="CommentText"/>
    <w:next w:val="CommentText"/>
    <w:link w:val="CommentSubjectChar"/>
    <w:rsid w:val="00B154D6"/>
    <w:rPr>
      <w:rFonts w:eastAsia="Times New Roman"/>
      <w:b/>
      <w:bCs/>
    </w:rPr>
  </w:style>
  <w:style w:type="character" w:customStyle="1" w:styleId="CommentSubjectChar">
    <w:name w:val="Comment Subject Char"/>
    <w:link w:val="CommentSubject"/>
    <w:rsid w:val="00B154D6"/>
    <w:rPr>
      <w:rFonts w:eastAsia="MS Mincho"/>
      <w:b/>
      <w:bCs/>
      <w:lang w:val="en-US" w:eastAsia="en-US" w:bidi="ar-SA"/>
    </w:rPr>
  </w:style>
  <w:style w:type="character" w:styleId="UnresolvedMention">
    <w:name w:val="Unresolved Mention"/>
    <w:uiPriority w:val="99"/>
    <w:semiHidden/>
    <w:unhideWhenUsed/>
    <w:rsid w:val="00EE6A44"/>
    <w:rPr>
      <w:color w:val="605E5C"/>
      <w:shd w:val="clear" w:color="auto" w:fill="E1DFDD"/>
    </w:rPr>
  </w:style>
  <w:style w:type="character" w:customStyle="1" w:styleId="markedcontent">
    <w:name w:val="markedcontent"/>
    <w:basedOn w:val="DefaultParagraphFont"/>
    <w:rsid w:val="00A1611D"/>
  </w:style>
  <w:style w:type="character" w:customStyle="1" w:styleId="Heading1Char">
    <w:name w:val="Heading 1 Char"/>
    <w:link w:val="Heading1"/>
    <w:uiPriority w:val="9"/>
    <w:rsid w:val="008A0DC1"/>
    <w:rPr>
      <w:b/>
      <w:bCs/>
      <w:kern w:val="36"/>
      <w:sz w:val="48"/>
      <w:szCs w:val="48"/>
    </w:rPr>
  </w:style>
  <w:style w:type="character" w:customStyle="1" w:styleId="HeaderChar">
    <w:name w:val="Header Char"/>
    <w:link w:val="Header"/>
    <w:uiPriority w:val="99"/>
    <w:rsid w:val="005C19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3181">
      <w:bodyDiv w:val="1"/>
      <w:marLeft w:val="0"/>
      <w:marRight w:val="0"/>
      <w:marTop w:val="0"/>
      <w:marBottom w:val="0"/>
      <w:divBdr>
        <w:top w:val="none" w:sz="0" w:space="0" w:color="auto"/>
        <w:left w:val="none" w:sz="0" w:space="0" w:color="auto"/>
        <w:bottom w:val="none" w:sz="0" w:space="0" w:color="auto"/>
        <w:right w:val="none" w:sz="0" w:space="0" w:color="auto"/>
      </w:divBdr>
    </w:div>
    <w:div w:id="410736710">
      <w:bodyDiv w:val="1"/>
      <w:marLeft w:val="0"/>
      <w:marRight w:val="0"/>
      <w:marTop w:val="0"/>
      <w:marBottom w:val="0"/>
      <w:divBdr>
        <w:top w:val="none" w:sz="0" w:space="0" w:color="auto"/>
        <w:left w:val="none" w:sz="0" w:space="0" w:color="auto"/>
        <w:bottom w:val="none" w:sz="0" w:space="0" w:color="auto"/>
        <w:right w:val="none" w:sz="0" w:space="0" w:color="auto"/>
      </w:divBdr>
    </w:div>
    <w:div w:id="1073548774">
      <w:bodyDiv w:val="1"/>
      <w:marLeft w:val="0"/>
      <w:marRight w:val="0"/>
      <w:marTop w:val="0"/>
      <w:marBottom w:val="0"/>
      <w:divBdr>
        <w:top w:val="none" w:sz="0" w:space="0" w:color="auto"/>
        <w:left w:val="none" w:sz="0" w:space="0" w:color="auto"/>
        <w:bottom w:val="none" w:sz="0" w:space="0" w:color="auto"/>
        <w:right w:val="none" w:sz="0" w:space="0" w:color="auto"/>
      </w:divBdr>
    </w:div>
    <w:div w:id="1290668209">
      <w:bodyDiv w:val="1"/>
      <w:marLeft w:val="0"/>
      <w:marRight w:val="0"/>
      <w:marTop w:val="0"/>
      <w:marBottom w:val="0"/>
      <w:divBdr>
        <w:top w:val="none" w:sz="0" w:space="0" w:color="auto"/>
        <w:left w:val="none" w:sz="0" w:space="0" w:color="auto"/>
        <w:bottom w:val="none" w:sz="0" w:space="0" w:color="auto"/>
        <w:right w:val="none" w:sz="0" w:space="0" w:color="auto"/>
      </w:divBdr>
    </w:div>
    <w:div w:id="1327126824">
      <w:bodyDiv w:val="1"/>
      <w:marLeft w:val="0"/>
      <w:marRight w:val="0"/>
      <w:marTop w:val="0"/>
      <w:marBottom w:val="0"/>
      <w:divBdr>
        <w:top w:val="none" w:sz="0" w:space="0" w:color="auto"/>
        <w:left w:val="none" w:sz="0" w:space="0" w:color="auto"/>
        <w:bottom w:val="none" w:sz="0" w:space="0" w:color="auto"/>
        <w:right w:val="none" w:sz="0" w:space="0" w:color="auto"/>
      </w:divBdr>
    </w:div>
    <w:div w:id="1458068616">
      <w:bodyDiv w:val="1"/>
      <w:marLeft w:val="0"/>
      <w:marRight w:val="0"/>
      <w:marTop w:val="0"/>
      <w:marBottom w:val="0"/>
      <w:divBdr>
        <w:top w:val="none" w:sz="0" w:space="0" w:color="auto"/>
        <w:left w:val="none" w:sz="0" w:space="0" w:color="auto"/>
        <w:bottom w:val="none" w:sz="0" w:space="0" w:color="auto"/>
        <w:right w:val="none" w:sz="0" w:space="0" w:color="auto"/>
      </w:divBdr>
    </w:div>
    <w:div w:id="1485006269">
      <w:bodyDiv w:val="1"/>
      <w:marLeft w:val="0"/>
      <w:marRight w:val="0"/>
      <w:marTop w:val="0"/>
      <w:marBottom w:val="0"/>
      <w:divBdr>
        <w:top w:val="none" w:sz="0" w:space="0" w:color="auto"/>
        <w:left w:val="none" w:sz="0" w:space="0" w:color="auto"/>
        <w:bottom w:val="none" w:sz="0" w:space="0" w:color="auto"/>
        <w:right w:val="none" w:sz="0" w:space="0" w:color="auto"/>
      </w:divBdr>
    </w:div>
    <w:div w:id="1593396452">
      <w:bodyDiv w:val="1"/>
      <w:marLeft w:val="0"/>
      <w:marRight w:val="0"/>
      <w:marTop w:val="0"/>
      <w:marBottom w:val="0"/>
      <w:divBdr>
        <w:top w:val="none" w:sz="0" w:space="0" w:color="auto"/>
        <w:left w:val="none" w:sz="0" w:space="0" w:color="auto"/>
        <w:bottom w:val="none" w:sz="0" w:space="0" w:color="auto"/>
        <w:right w:val="none" w:sz="0" w:space="0" w:color="auto"/>
      </w:divBdr>
    </w:div>
    <w:div w:id="1665623214">
      <w:bodyDiv w:val="1"/>
      <w:marLeft w:val="0"/>
      <w:marRight w:val="0"/>
      <w:marTop w:val="0"/>
      <w:marBottom w:val="0"/>
      <w:divBdr>
        <w:top w:val="none" w:sz="0" w:space="0" w:color="auto"/>
        <w:left w:val="none" w:sz="0" w:space="0" w:color="auto"/>
        <w:bottom w:val="none" w:sz="0" w:space="0" w:color="auto"/>
        <w:right w:val="none" w:sz="0" w:space="0" w:color="auto"/>
      </w:divBdr>
    </w:div>
    <w:div w:id="20079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tate-public-health-laboratory-services" TargetMode="External"/><Relationship Id="rId18" Type="http://schemas.openxmlformats.org/officeDocument/2006/relationships/hyperlink" Target="https://www.cdc.gov/vaccines/hcp/acip-recs/general-recs/index.html" TargetMode="External"/><Relationship Id="rId26" Type="http://schemas.openxmlformats.org/officeDocument/2006/relationships/hyperlink" Target="http://www.cdc.gov/vaccines/vac-gen/" TargetMode="External"/><Relationship Id="rId39" Type="http://schemas.openxmlformats.org/officeDocument/2006/relationships/hyperlink" Target="http://www.cdc.gov/vaccines/hcp/acip-recs/vacc-specific/varicella.html" TargetMode="External"/><Relationship Id="rId21" Type="http://schemas.openxmlformats.org/officeDocument/2006/relationships/hyperlink" Target="http://www.immunize.org/vis/index.htm" TargetMode="External"/><Relationship Id="rId34" Type="http://schemas.openxmlformats.org/officeDocument/2006/relationships/hyperlink" Target="https://www.cdc.gov/vaccines/vpd/varicella/hcp/index.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fectious-disease-reporting.dph.mass.gov/pages/CaseReportForms" TargetMode="External"/><Relationship Id="rId20" Type="http://schemas.openxmlformats.org/officeDocument/2006/relationships/hyperlink" Target="http://www.cdc.gov/vaccines/hcp/vis/vis-statements/varicella.html" TargetMode="External"/><Relationship Id="rId29" Type="http://schemas.openxmlformats.org/officeDocument/2006/relationships/hyperlink" Target="http://www.cdc.gov/shingles/hcp/clinical-overview.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vaccines/hcp/acip-recs/general-recs/contraindications.html" TargetMode="External"/><Relationship Id="rId24" Type="http://schemas.openxmlformats.org/officeDocument/2006/relationships/hyperlink" Target="http://www.mass.gov/eohhs/gov/departments/dph/programs/id/epidemiology/factsheets.html" TargetMode="External"/><Relationship Id="rId32" Type="http://schemas.openxmlformats.org/officeDocument/2006/relationships/hyperlink" Target="http://www.cdc.gov/shingles/hcp/HC-settings.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nfectious-disease-reporting.dph.mass.gov/pages/CaseReportForms" TargetMode="External"/><Relationship Id="rId23" Type="http://schemas.openxmlformats.org/officeDocument/2006/relationships/hyperlink" Target="https://infectious-disease-reporting.dph.mass.gov/pages/CaseReportForms" TargetMode="External"/><Relationship Id="rId28" Type="http://schemas.openxmlformats.org/officeDocument/2006/relationships/hyperlink" Target="http://www.cdc.gov/shingles/hcp/clinical-overview.html" TargetMode="External"/><Relationship Id="rId36" Type="http://schemas.openxmlformats.org/officeDocument/2006/relationships/hyperlink" Target="http://files.hria.org/files/SH3001.pdf" TargetMode="External"/><Relationship Id="rId10" Type="http://schemas.openxmlformats.org/officeDocument/2006/relationships/endnotes" Target="endnotes.xml"/><Relationship Id="rId19" Type="http://schemas.openxmlformats.org/officeDocument/2006/relationships/hyperlink" Target="http://www.mass.gov/eohhs/gov/departments/dph/programs/id/epidemiology/factsheets.html" TargetMode="External"/><Relationship Id="rId31" Type="http://schemas.openxmlformats.org/officeDocument/2006/relationships/hyperlink" Target="https://www.cdc.gov/mmwr/volumes/67/wr/pdfs/mm6740a4-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ectious-disease-reporting.dph.mass.gov/pages/CaseReportForms" TargetMode="External"/><Relationship Id="rId22" Type="http://schemas.openxmlformats.org/officeDocument/2006/relationships/hyperlink" Target="https://infectious-disease-reporting.dph.mass.gov/pages/CaseReportForms" TargetMode="External"/><Relationship Id="rId27" Type="http://schemas.openxmlformats.org/officeDocument/2006/relationships/hyperlink" Target="http://www.cdc.gov/mmwr/preview/mmwrhtml/00047449.htm" TargetMode="External"/><Relationship Id="rId30" Type="http://schemas.openxmlformats.org/officeDocument/2006/relationships/hyperlink" Target="http://www.cdc.gov/mmwr/preview/mmwrhtml/mm6112a4.htm?s_cid=mm6112a4_w" TargetMode="External"/><Relationship Id="rId35" Type="http://schemas.openxmlformats.org/officeDocument/2006/relationships/hyperlink" Target="https://www.cdc.gov/chickenpox/outbreaks.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dc.gov/vaccines/hcp/acip-recs/general-recs/index.html" TargetMode="External"/><Relationship Id="rId17" Type="http://schemas.openxmlformats.org/officeDocument/2006/relationships/hyperlink" Target="https://www.cdc.gov/vaccines/hcp/acip-recs/general-recs/contraindications.html" TargetMode="External"/><Relationship Id="rId25" Type="http://schemas.openxmlformats.org/officeDocument/2006/relationships/hyperlink" Target="https://ndc.services.cdc.gov/" TargetMode="External"/><Relationship Id="rId33" Type="http://schemas.openxmlformats.org/officeDocument/2006/relationships/hyperlink" Target="http://www.cdc.gov/mmwr/preview/mmwrhtml/rr5604a1.htm"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1" ma:contentTypeDescription="Create a new document." ma:contentTypeScope="" ma:versionID="a7a58ca491247cfaa66668d3a614395c">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05e9e58b1add7cd3c0f367581fb53a56"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2827B-07D2-49C0-A832-A84872B339AC}">
  <ds:schemaRefs>
    <ds:schemaRef ds:uri="http://schemas.microsoft.com/sharepoint/v3/contenttype/forms"/>
  </ds:schemaRefs>
</ds:datastoreItem>
</file>

<file path=customXml/itemProps2.xml><?xml version="1.0" encoding="utf-8"?>
<ds:datastoreItem xmlns:ds="http://schemas.openxmlformats.org/officeDocument/2006/customXml" ds:itemID="{543E7153-B547-4D04-A899-BE50FF88A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40E60-6948-4872-A82B-4596CEA11075}">
  <ds:schemaRefs>
    <ds:schemaRef ds:uri="http://schemas.openxmlformats.org/officeDocument/2006/bibliography"/>
  </ds:schemaRefs>
</ds:datastoreItem>
</file>

<file path=customXml/itemProps4.xml><?xml version="1.0" encoding="utf-8"?>
<ds:datastoreItem xmlns:ds="http://schemas.openxmlformats.org/officeDocument/2006/customXml" ds:itemID="{13A8497B-9540-4408-862E-5B544F60A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10707</Words>
  <Characters>61031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71595</CharactersWithSpaces>
  <SharedDoc>false</SharedDoc>
  <HLinks>
    <vt:vector size="162" baseType="variant">
      <vt:variant>
        <vt:i4>6357039</vt:i4>
      </vt:variant>
      <vt:variant>
        <vt:i4>81</vt:i4>
      </vt:variant>
      <vt:variant>
        <vt:i4>0</vt:i4>
      </vt:variant>
      <vt:variant>
        <vt:i4>5</vt:i4>
      </vt:variant>
      <vt:variant>
        <vt:lpwstr>http://www.cdc.gov/vaccines/hcp/acip-recs/vacc-specific/varicella.html</vt:lpwstr>
      </vt:variant>
      <vt:variant>
        <vt:lpwstr/>
      </vt:variant>
      <vt:variant>
        <vt:i4>8126579</vt:i4>
      </vt:variant>
      <vt:variant>
        <vt:i4>78</vt:i4>
      </vt:variant>
      <vt:variant>
        <vt:i4>0</vt:i4>
      </vt:variant>
      <vt:variant>
        <vt:i4>5</vt:i4>
      </vt:variant>
      <vt:variant>
        <vt:lpwstr>http://files.hria.org/files/SH3001.pdf</vt:lpwstr>
      </vt:variant>
      <vt:variant>
        <vt:lpwstr/>
      </vt:variant>
      <vt:variant>
        <vt:i4>5898333</vt:i4>
      </vt:variant>
      <vt:variant>
        <vt:i4>75</vt:i4>
      </vt:variant>
      <vt:variant>
        <vt:i4>0</vt:i4>
      </vt:variant>
      <vt:variant>
        <vt:i4>5</vt:i4>
      </vt:variant>
      <vt:variant>
        <vt:lpwstr>https://www.cdc.gov/chickenpox/outbreaks.html</vt:lpwstr>
      </vt:variant>
      <vt:variant>
        <vt:lpwstr/>
      </vt:variant>
      <vt:variant>
        <vt:i4>5046283</vt:i4>
      </vt:variant>
      <vt:variant>
        <vt:i4>72</vt:i4>
      </vt:variant>
      <vt:variant>
        <vt:i4>0</vt:i4>
      </vt:variant>
      <vt:variant>
        <vt:i4>5</vt:i4>
      </vt:variant>
      <vt:variant>
        <vt:lpwstr>https://www.cdc.gov/vaccines/vpd/varicella/hcp/index.html</vt:lpwstr>
      </vt:variant>
      <vt:variant>
        <vt:lpwstr/>
      </vt:variant>
      <vt:variant>
        <vt:i4>655447</vt:i4>
      </vt:variant>
      <vt:variant>
        <vt:i4>69</vt:i4>
      </vt:variant>
      <vt:variant>
        <vt:i4>0</vt:i4>
      </vt:variant>
      <vt:variant>
        <vt:i4>5</vt:i4>
      </vt:variant>
      <vt:variant>
        <vt:lpwstr>http://www.cdc.gov/mmwr/preview/mmwrhtml/rr5604a1.htm</vt:lpwstr>
      </vt:variant>
      <vt:variant>
        <vt:lpwstr/>
      </vt:variant>
      <vt:variant>
        <vt:i4>524290</vt:i4>
      </vt:variant>
      <vt:variant>
        <vt:i4>66</vt:i4>
      </vt:variant>
      <vt:variant>
        <vt:i4>0</vt:i4>
      </vt:variant>
      <vt:variant>
        <vt:i4>5</vt:i4>
      </vt:variant>
      <vt:variant>
        <vt:lpwstr>http://www.cdc.gov/shingles/hcp/HC-settings.html</vt:lpwstr>
      </vt:variant>
      <vt:variant>
        <vt:lpwstr>patients</vt:lpwstr>
      </vt:variant>
      <vt:variant>
        <vt:i4>2818085</vt:i4>
      </vt:variant>
      <vt:variant>
        <vt:i4>63</vt:i4>
      </vt:variant>
      <vt:variant>
        <vt:i4>0</vt:i4>
      </vt:variant>
      <vt:variant>
        <vt:i4>5</vt:i4>
      </vt:variant>
      <vt:variant>
        <vt:lpwstr>https://www.cdc.gov/mmwr/volumes/67/wr/pdfs/mm6740a4-H.pdf</vt:lpwstr>
      </vt:variant>
      <vt:variant>
        <vt:lpwstr/>
      </vt:variant>
      <vt:variant>
        <vt:i4>917505</vt:i4>
      </vt:variant>
      <vt:variant>
        <vt:i4>60</vt:i4>
      </vt:variant>
      <vt:variant>
        <vt:i4>0</vt:i4>
      </vt:variant>
      <vt:variant>
        <vt:i4>5</vt:i4>
      </vt:variant>
      <vt:variant>
        <vt:lpwstr>http://www.cdc.gov/mmwr/preview/mmwrhtml/mm6112a4.htm?s_cid=mm6112a4_w</vt:lpwstr>
      </vt:variant>
      <vt:variant>
        <vt:lpwstr/>
      </vt:variant>
      <vt:variant>
        <vt:i4>6488171</vt:i4>
      </vt:variant>
      <vt:variant>
        <vt:i4>57</vt:i4>
      </vt:variant>
      <vt:variant>
        <vt:i4>0</vt:i4>
      </vt:variant>
      <vt:variant>
        <vt:i4>5</vt:i4>
      </vt:variant>
      <vt:variant>
        <vt:lpwstr>http://www.cdc.gov/shingles/hcp/clinical-overview.html</vt:lpwstr>
      </vt:variant>
      <vt:variant>
        <vt:lpwstr/>
      </vt:variant>
      <vt:variant>
        <vt:i4>6488171</vt:i4>
      </vt:variant>
      <vt:variant>
        <vt:i4>54</vt:i4>
      </vt:variant>
      <vt:variant>
        <vt:i4>0</vt:i4>
      </vt:variant>
      <vt:variant>
        <vt:i4>5</vt:i4>
      </vt:variant>
      <vt:variant>
        <vt:lpwstr>http://www.cdc.gov/shingles/hcp/clinical-overview.html</vt:lpwstr>
      </vt:variant>
      <vt:variant>
        <vt:lpwstr/>
      </vt:variant>
      <vt:variant>
        <vt:i4>2031647</vt:i4>
      </vt:variant>
      <vt:variant>
        <vt:i4>51</vt:i4>
      </vt:variant>
      <vt:variant>
        <vt:i4>0</vt:i4>
      </vt:variant>
      <vt:variant>
        <vt:i4>5</vt:i4>
      </vt:variant>
      <vt:variant>
        <vt:lpwstr>http://www.cdc.gov/mmwr/preview/mmwrhtml/00047449.htm</vt:lpwstr>
      </vt:variant>
      <vt:variant>
        <vt:lpwstr/>
      </vt:variant>
      <vt:variant>
        <vt:i4>655449</vt:i4>
      </vt:variant>
      <vt:variant>
        <vt:i4>48</vt:i4>
      </vt:variant>
      <vt:variant>
        <vt:i4>0</vt:i4>
      </vt:variant>
      <vt:variant>
        <vt:i4>5</vt:i4>
      </vt:variant>
      <vt:variant>
        <vt:lpwstr>http://www.cdc.gov/vaccines/vac-gen/</vt:lpwstr>
      </vt:variant>
      <vt:variant>
        <vt:lpwstr/>
      </vt:variant>
      <vt:variant>
        <vt:i4>4784203</vt:i4>
      </vt:variant>
      <vt:variant>
        <vt:i4>45</vt:i4>
      </vt:variant>
      <vt:variant>
        <vt:i4>0</vt:i4>
      </vt:variant>
      <vt:variant>
        <vt:i4>5</vt:i4>
      </vt:variant>
      <vt:variant>
        <vt:lpwstr>https://ndc.services.cdc.gov/</vt:lpwstr>
      </vt:variant>
      <vt:variant>
        <vt:lpwstr/>
      </vt:variant>
      <vt:variant>
        <vt:i4>3276839</vt:i4>
      </vt:variant>
      <vt:variant>
        <vt:i4>39</vt:i4>
      </vt:variant>
      <vt:variant>
        <vt:i4>0</vt:i4>
      </vt:variant>
      <vt:variant>
        <vt:i4>5</vt:i4>
      </vt:variant>
      <vt:variant>
        <vt:lpwstr>http://www.mass.gov/eohhs/gov/departments/dph/programs/id/epidemiology/factsheets.html</vt:lpwstr>
      </vt:variant>
      <vt:variant>
        <vt:lpwstr/>
      </vt:variant>
      <vt:variant>
        <vt:i4>3145788</vt:i4>
      </vt:variant>
      <vt:variant>
        <vt:i4>36</vt:i4>
      </vt:variant>
      <vt:variant>
        <vt:i4>0</vt:i4>
      </vt:variant>
      <vt:variant>
        <vt:i4>5</vt:i4>
      </vt:variant>
      <vt:variant>
        <vt:lpwstr>https://infectious-disease-reporting.dph.mass.gov/pages/CaseReportForms</vt:lpwstr>
      </vt:variant>
      <vt:variant>
        <vt:lpwstr/>
      </vt:variant>
      <vt:variant>
        <vt:i4>3145788</vt:i4>
      </vt:variant>
      <vt:variant>
        <vt:i4>33</vt:i4>
      </vt:variant>
      <vt:variant>
        <vt:i4>0</vt:i4>
      </vt:variant>
      <vt:variant>
        <vt:i4>5</vt:i4>
      </vt:variant>
      <vt:variant>
        <vt:lpwstr>https://infectious-disease-reporting.dph.mass.gov/pages/CaseReportForms</vt:lpwstr>
      </vt:variant>
      <vt:variant>
        <vt:lpwstr/>
      </vt:variant>
      <vt:variant>
        <vt:i4>6226004</vt:i4>
      </vt:variant>
      <vt:variant>
        <vt:i4>30</vt:i4>
      </vt:variant>
      <vt:variant>
        <vt:i4>0</vt:i4>
      </vt:variant>
      <vt:variant>
        <vt:i4>5</vt:i4>
      </vt:variant>
      <vt:variant>
        <vt:lpwstr>http://www.immunize.org/vis/index.htm</vt:lpwstr>
      </vt:variant>
      <vt:variant>
        <vt:lpwstr/>
      </vt:variant>
      <vt:variant>
        <vt:i4>6094927</vt:i4>
      </vt:variant>
      <vt:variant>
        <vt:i4>27</vt:i4>
      </vt:variant>
      <vt:variant>
        <vt:i4>0</vt:i4>
      </vt:variant>
      <vt:variant>
        <vt:i4>5</vt:i4>
      </vt:variant>
      <vt:variant>
        <vt:lpwstr>http://www.cdc.gov/vaccines/hcp/vis/vis-statements/varicella.html</vt:lpwstr>
      </vt:variant>
      <vt:variant>
        <vt:lpwstr/>
      </vt:variant>
      <vt:variant>
        <vt:i4>3276839</vt:i4>
      </vt:variant>
      <vt:variant>
        <vt:i4>24</vt:i4>
      </vt:variant>
      <vt:variant>
        <vt:i4>0</vt:i4>
      </vt:variant>
      <vt:variant>
        <vt:i4>5</vt:i4>
      </vt:variant>
      <vt:variant>
        <vt:lpwstr>http://www.mass.gov/eohhs/gov/departments/dph/programs/id/epidemiology/factsheets.html</vt:lpwstr>
      </vt:variant>
      <vt:variant>
        <vt:lpwstr/>
      </vt:variant>
      <vt:variant>
        <vt:i4>6422572</vt:i4>
      </vt:variant>
      <vt:variant>
        <vt:i4>21</vt:i4>
      </vt:variant>
      <vt:variant>
        <vt:i4>0</vt:i4>
      </vt:variant>
      <vt:variant>
        <vt:i4>5</vt:i4>
      </vt:variant>
      <vt:variant>
        <vt:lpwstr>https://www.cdc.gov/vaccines/hcp/acip-recs/general-recs/index.html</vt:lpwstr>
      </vt:variant>
      <vt:variant>
        <vt:lpwstr/>
      </vt:variant>
      <vt:variant>
        <vt:i4>7471136</vt:i4>
      </vt:variant>
      <vt:variant>
        <vt:i4>18</vt:i4>
      </vt:variant>
      <vt:variant>
        <vt:i4>0</vt:i4>
      </vt:variant>
      <vt:variant>
        <vt:i4>5</vt:i4>
      </vt:variant>
      <vt:variant>
        <vt:lpwstr>https://www.cdc.gov/vaccines/hcp/acip-recs/general-recs/contraindications.html</vt:lpwstr>
      </vt:variant>
      <vt:variant>
        <vt:lpwstr/>
      </vt:variant>
      <vt:variant>
        <vt:i4>3145788</vt:i4>
      </vt:variant>
      <vt:variant>
        <vt:i4>15</vt:i4>
      </vt:variant>
      <vt:variant>
        <vt:i4>0</vt:i4>
      </vt:variant>
      <vt:variant>
        <vt:i4>5</vt:i4>
      </vt:variant>
      <vt:variant>
        <vt:lpwstr>https://infectious-disease-reporting.dph.mass.gov/pages/CaseReportForms</vt:lpwstr>
      </vt:variant>
      <vt:variant>
        <vt:lpwstr/>
      </vt:variant>
      <vt:variant>
        <vt:i4>3145788</vt:i4>
      </vt:variant>
      <vt:variant>
        <vt:i4>12</vt:i4>
      </vt:variant>
      <vt:variant>
        <vt:i4>0</vt:i4>
      </vt:variant>
      <vt:variant>
        <vt:i4>5</vt:i4>
      </vt:variant>
      <vt:variant>
        <vt:lpwstr>https://infectious-disease-reporting.dph.mass.gov/pages/CaseReportForms</vt:lpwstr>
      </vt:variant>
      <vt:variant>
        <vt:lpwstr/>
      </vt:variant>
      <vt:variant>
        <vt:i4>3145788</vt:i4>
      </vt:variant>
      <vt:variant>
        <vt:i4>9</vt:i4>
      </vt:variant>
      <vt:variant>
        <vt:i4>0</vt:i4>
      </vt:variant>
      <vt:variant>
        <vt:i4>5</vt:i4>
      </vt:variant>
      <vt:variant>
        <vt:lpwstr>https://infectious-disease-reporting.dph.mass.gov/pages/CaseReportForms</vt:lpwstr>
      </vt:variant>
      <vt:variant>
        <vt:lpwstr/>
      </vt:variant>
      <vt:variant>
        <vt:i4>6225987</vt:i4>
      </vt:variant>
      <vt:variant>
        <vt:i4>6</vt:i4>
      </vt:variant>
      <vt:variant>
        <vt:i4>0</vt:i4>
      </vt:variant>
      <vt:variant>
        <vt:i4>5</vt:i4>
      </vt:variant>
      <vt:variant>
        <vt:lpwstr>https://www.mass.gov/state-public-health-laboratory-services</vt:lpwstr>
      </vt:variant>
      <vt:variant>
        <vt:lpwstr/>
      </vt:variant>
      <vt:variant>
        <vt:i4>6422572</vt:i4>
      </vt:variant>
      <vt:variant>
        <vt:i4>3</vt:i4>
      </vt:variant>
      <vt:variant>
        <vt:i4>0</vt:i4>
      </vt:variant>
      <vt:variant>
        <vt:i4>5</vt:i4>
      </vt:variant>
      <vt:variant>
        <vt:lpwstr>https://www.cdc.gov/vaccines/hcp/acip-recs/general-recs/index.html</vt:lpwstr>
      </vt:variant>
      <vt:variant>
        <vt:lpwstr/>
      </vt:variant>
      <vt:variant>
        <vt:i4>7471136</vt:i4>
      </vt:variant>
      <vt:variant>
        <vt:i4>0</vt:i4>
      </vt:variant>
      <vt:variant>
        <vt:i4>0</vt:i4>
      </vt:variant>
      <vt:variant>
        <vt:i4>5</vt:i4>
      </vt:variant>
      <vt:variant>
        <vt:lpwstr>https://www.cdc.gov/vaccines/hcp/acip-recs/general-recs/contraindications.html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PKludt</dc:creator>
  <cp:keywords/>
  <cp:lastModifiedBy>Perez, Carley W. (DPH)</cp:lastModifiedBy>
  <cp:revision>2</cp:revision>
  <cp:lastPrinted>2016-08-01T16:46:00Z</cp:lastPrinted>
  <dcterms:created xsi:type="dcterms:W3CDTF">2023-12-08T16:12:00Z</dcterms:created>
  <dcterms:modified xsi:type="dcterms:W3CDTF">2023-12-08T16:12:00Z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