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ACF" w:rsidRDefault="00C855C0">
      <w:r>
        <w:t>Slide 1</w:t>
      </w:r>
    </w:p>
    <w:p w:rsidR="00C855C0" w:rsidRPr="00C855C0" w:rsidRDefault="00C855C0">
      <w:pPr>
        <w:rPr>
          <w:bCs/>
        </w:rPr>
      </w:pPr>
      <w:r w:rsidRPr="00C855C0">
        <w:rPr>
          <w:bCs/>
        </w:rPr>
        <w:t>CCFA Update</w:t>
      </w:r>
    </w:p>
    <w:p w:rsidR="00C855C0" w:rsidRPr="00C855C0" w:rsidRDefault="00C855C0" w:rsidP="00C855C0">
      <w:r w:rsidRPr="00C855C0">
        <w:rPr>
          <w:bCs/>
        </w:rPr>
        <w:t xml:space="preserve">EEC Board  </w:t>
      </w:r>
    </w:p>
    <w:p w:rsidR="00C855C0" w:rsidRPr="00C855C0" w:rsidRDefault="00C855C0" w:rsidP="00C855C0">
      <w:r w:rsidRPr="00C855C0">
        <w:rPr>
          <w:bCs/>
        </w:rPr>
        <w:t>September 13, 2016</w:t>
      </w:r>
    </w:p>
    <w:p w:rsidR="00C855C0" w:rsidRDefault="00C855C0">
      <w:r>
        <w:t>Slide 2</w:t>
      </w:r>
    </w:p>
    <w:p w:rsidR="00C855C0" w:rsidRPr="00C855C0" w:rsidRDefault="00C855C0" w:rsidP="00C855C0">
      <w:r w:rsidRPr="00C855C0">
        <w:rPr>
          <w:bCs/>
        </w:rPr>
        <w:t xml:space="preserve">CCFA Billing Successes </w:t>
      </w:r>
    </w:p>
    <w:p w:rsidR="00000000" w:rsidRPr="00C855C0" w:rsidRDefault="00C855C0" w:rsidP="00C855C0">
      <w:pPr>
        <w:numPr>
          <w:ilvl w:val="0"/>
          <w:numId w:val="1"/>
        </w:numPr>
      </w:pPr>
      <w:r w:rsidRPr="00C855C0">
        <w:rPr>
          <w:bCs/>
        </w:rPr>
        <w:t xml:space="preserve">After a year of intense work by the Contract Providers, the CCRRs, and EEC; the assistance and cooperation </w:t>
      </w:r>
      <w:r w:rsidRPr="00C855C0">
        <w:rPr>
          <w:bCs/>
        </w:rPr>
        <w:t xml:space="preserve">of MADCA, the Ys, MA Head Start, Family Child Care Systems, and the SEIU Local 509; and with the support of EOE IT and </w:t>
      </w:r>
      <w:proofErr w:type="spellStart"/>
      <w:r w:rsidRPr="00C855C0">
        <w:rPr>
          <w:bCs/>
        </w:rPr>
        <w:t>MassIT</w:t>
      </w:r>
      <w:proofErr w:type="spellEnd"/>
      <w:r w:rsidRPr="00C855C0">
        <w:rPr>
          <w:bCs/>
        </w:rPr>
        <w:t xml:space="preserve">, CCFA was fully functional for billing purposes on July 1, 2016. </w:t>
      </w:r>
    </w:p>
    <w:p w:rsidR="00000000" w:rsidRPr="00C855C0" w:rsidRDefault="00C855C0" w:rsidP="00C855C0">
      <w:pPr>
        <w:numPr>
          <w:ilvl w:val="0"/>
          <w:numId w:val="1"/>
        </w:numPr>
      </w:pPr>
      <w:r w:rsidRPr="00C855C0">
        <w:rPr>
          <w:bCs/>
        </w:rPr>
        <w:t xml:space="preserve">Alleluia. </w:t>
      </w:r>
    </w:p>
    <w:p w:rsidR="00C855C0" w:rsidRDefault="00C855C0">
      <w:r>
        <w:t>Slide 3</w:t>
      </w:r>
    </w:p>
    <w:p w:rsidR="00C855C0" w:rsidRPr="00C855C0" w:rsidRDefault="00C855C0" w:rsidP="00C855C0">
      <w:r w:rsidRPr="00C855C0">
        <w:rPr>
          <w:b/>
          <w:bCs/>
        </w:rPr>
        <w:t xml:space="preserve">CCFA Billing Successes </w:t>
      </w:r>
    </w:p>
    <w:p w:rsidR="00000000" w:rsidRPr="00C855C0" w:rsidRDefault="00C855C0" w:rsidP="00C855C0">
      <w:pPr>
        <w:numPr>
          <w:ilvl w:val="0"/>
          <w:numId w:val="2"/>
        </w:numPr>
      </w:pPr>
      <w:r w:rsidRPr="00C855C0">
        <w:t>Center Based Contract Provi</w:t>
      </w:r>
      <w:r w:rsidRPr="00C855C0">
        <w:t xml:space="preserve">ders, FCC Systems, and CCRRs successfully submitted billing through CCFA in August 2016 for July 2016 services.  </w:t>
      </w:r>
    </w:p>
    <w:p w:rsidR="00000000" w:rsidRPr="00C855C0" w:rsidRDefault="00C855C0" w:rsidP="00C855C0">
      <w:pPr>
        <w:numPr>
          <w:ilvl w:val="0"/>
          <w:numId w:val="2"/>
        </w:numPr>
      </w:pPr>
      <w:r w:rsidRPr="00C855C0">
        <w:t>The EEC Accounting Unit was able to download from CCFA in a successful and timely manner the payment report needed to enter payments into the</w:t>
      </w:r>
      <w:r w:rsidRPr="00C855C0">
        <w:t xml:space="preserve"> Commonwealth’s payment platform.</w:t>
      </w:r>
    </w:p>
    <w:p w:rsidR="00000000" w:rsidRPr="00C855C0" w:rsidRDefault="00C855C0" w:rsidP="00C855C0">
      <w:pPr>
        <w:numPr>
          <w:ilvl w:val="0"/>
          <w:numId w:val="2"/>
        </w:numPr>
      </w:pPr>
      <w:r w:rsidRPr="00C855C0">
        <w:t xml:space="preserve">In addition to processing the first payment for FY17, the majority of providers successfully processed ALL of FY16 billing. </w:t>
      </w:r>
    </w:p>
    <w:p w:rsidR="00000000" w:rsidRPr="00C855C0" w:rsidRDefault="00C855C0" w:rsidP="00C855C0">
      <w:pPr>
        <w:numPr>
          <w:ilvl w:val="0"/>
          <w:numId w:val="2"/>
        </w:numPr>
      </w:pPr>
      <w:r w:rsidRPr="00C855C0">
        <w:t xml:space="preserve">Consistent with the prior </w:t>
      </w:r>
      <w:r w:rsidRPr="00C855C0">
        <w:t>months, the Accounting Unit is processing payments within 10 to 15 days of receipt of payment voucher.</w:t>
      </w:r>
      <w:r w:rsidRPr="00C855C0">
        <w:rPr>
          <w:b/>
          <w:bCs/>
        </w:rPr>
        <w:t xml:space="preserve"> </w:t>
      </w:r>
    </w:p>
    <w:p w:rsidR="00C855C0" w:rsidRDefault="00C855C0">
      <w:r>
        <w:t>Slide 4</w:t>
      </w:r>
    </w:p>
    <w:p w:rsidR="00C855C0" w:rsidRPr="00C855C0" w:rsidRDefault="00C855C0" w:rsidP="00C855C0">
      <w:r w:rsidRPr="00C855C0">
        <w:rPr>
          <w:b/>
          <w:bCs/>
        </w:rPr>
        <w:t xml:space="preserve">CCFA Billing Challenges </w:t>
      </w:r>
    </w:p>
    <w:p w:rsidR="00000000" w:rsidRPr="00C855C0" w:rsidRDefault="00C855C0" w:rsidP="00C855C0">
      <w:pPr>
        <w:numPr>
          <w:ilvl w:val="0"/>
          <w:numId w:val="3"/>
        </w:numPr>
      </w:pPr>
      <w:r w:rsidRPr="00C855C0">
        <w:t>Learning Curve for Providers</w:t>
      </w:r>
    </w:p>
    <w:p w:rsidR="00000000" w:rsidRPr="00C855C0" w:rsidRDefault="00C855C0" w:rsidP="00C855C0">
      <w:pPr>
        <w:numPr>
          <w:ilvl w:val="1"/>
          <w:numId w:val="3"/>
        </w:numPr>
      </w:pPr>
      <w:r w:rsidRPr="00C855C0">
        <w:t>Although billing guidelines were provided for CCFA and the transition from APM to CCFA calculate</w:t>
      </w:r>
      <w:r w:rsidRPr="00C855C0">
        <w:t xml:space="preserve">d billing: </w:t>
      </w:r>
    </w:p>
    <w:p w:rsidR="00000000" w:rsidRPr="00C855C0" w:rsidRDefault="00C855C0" w:rsidP="00C855C0">
      <w:pPr>
        <w:numPr>
          <w:ilvl w:val="2"/>
          <w:numId w:val="3"/>
        </w:numPr>
      </w:pPr>
      <w:r w:rsidRPr="00C855C0">
        <w:t xml:space="preserve">Some providers continued to submit estimated billing or handwritten vouchers. </w:t>
      </w:r>
    </w:p>
    <w:p w:rsidR="00000000" w:rsidRPr="00C855C0" w:rsidRDefault="00C855C0" w:rsidP="00C855C0">
      <w:pPr>
        <w:numPr>
          <w:ilvl w:val="2"/>
          <w:numId w:val="3"/>
        </w:numPr>
      </w:pPr>
      <w:r w:rsidRPr="00C855C0">
        <w:t xml:space="preserve">A few providers did not understand how to complete the billing process in CCFA to generate a payment voucher. </w:t>
      </w:r>
    </w:p>
    <w:p w:rsidR="00000000" w:rsidRPr="00C855C0" w:rsidRDefault="00C855C0" w:rsidP="00C855C0">
      <w:pPr>
        <w:numPr>
          <w:ilvl w:val="1"/>
          <w:numId w:val="3"/>
        </w:numPr>
      </w:pPr>
      <w:r w:rsidRPr="00C855C0">
        <w:lastRenderedPageBreak/>
        <w:t>Approximately 13.4% or $4.9M of the Contract Prov</w:t>
      </w:r>
      <w:r w:rsidRPr="00C855C0">
        <w:t>iders/FCC Systems have not yet submitted hard copy Payment Vouchers for July 2016. (They billed in CCFA, but did not submit PVs.)</w:t>
      </w:r>
    </w:p>
    <w:p w:rsidR="00000000" w:rsidRPr="00C855C0" w:rsidRDefault="00C855C0" w:rsidP="00C855C0">
      <w:pPr>
        <w:numPr>
          <w:ilvl w:val="1"/>
          <w:numId w:val="3"/>
        </w:numPr>
      </w:pPr>
      <w:r w:rsidRPr="00C855C0">
        <w:t xml:space="preserve">All contract providers that did not provide the correct payment voucher or submit a payment voucher have been contacted and, </w:t>
      </w:r>
      <w:r w:rsidRPr="00C855C0">
        <w:t xml:space="preserve">once received, The PV will be processed for payment. </w:t>
      </w:r>
    </w:p>
    <w:p w:rsidR="00000000" w:rsidRPr="00C855C0" w:rsidRDefault="00C855C0" w:rsidP="00C855C0">
      <w:pPr>
        <w:numPr>
          <w:ilvl w:val="0"/>
          <w:numId w:val="3"/>
        </w:numPr>
      </w:pPr>
      <w:r w:rsidRPr="00C855C0">
        <w:t xml:space="preserve">As expected, we encountered some minor system glitches using CCFA for billing in its first month.  </w:t>
      </w:r>
    </w:p>
    <w:p w:rsidR="00000000" w:rsidRPr="00C855C0" w:rsidRDefault="00C855C0" w:rsidP="00C855C0">
      <w:pPr>
        <w:numPr>
          <w:ilvl w:val="1"/>
          <w:numId w:val="3"/>
        </w:numPr>
      </w:pPr>
      <w:r w:rsidRPr="00C855C0">
        <w:t xml:space="preserve">The CCFA development team worked quickly and efficiently to address any billing issues that arose.  </w:t>
      </w:r>
    </w:p>
    <w:p w:rsidR="00C855C0" w:rsidRDefault="00C855C0">
      <w:r>
        <w:t>Slide 5</w:t>
      </w:r>
    </w:p>
    <w:p w:rsidR="00C855C0" w:rsidRPr="00C855C0" w:rsidRDefault="00C855C0" w:rsidP="00C855C0">
      <w:r w:rsidRPr="00C855C0">
        <w:rPr>
          <w:b/>
          <w:bCs/>
        </w:rPr>
        <w:t xml:space="preserve">CCFA Update – Earned Sick Time </w:t>
      </w:r>
    </w:p>
    <w:p w:rsidR="00000000" w:rsidRPr="00C855C0" w:rsidRDefault="00C855C0" w:rsidP="00C855C0">
      <w:pPr>
        <w:numPr>
          <w:ilvl w:val="0"/>
          <w:numId w:val="4"/>
        </w:numPr>
      </w:pPr>
      <w:r w:rsidRPr="00C855C0">
        <w:rPr>
          <w:u w:val="single"/>
        </w:rPr>
        <w:t>Earned Sick Time (EST) Module</w:t>
      </w:r>
    </w:p>
    <w:p w:rsidR="00C855C0" w:rsidRPr="00C855C0" w:rsidRDefault="00C855C0" w:rsidP="00C855C0">
      <w:r w:rsidRPr="00C855C0">
        <w:tab/>
        <w:t>The CCFA EST module replaces the manual billing procedure implemented by EEC to support the statutory mandate imposed last year.</w:t>
      </w:r>
    </w:p>
    <w:p w:rsidR="00000000" w:rsidRPr="00C855C0" w:rsidRDefault="00C855C0" w:rsidP="00C855C0">
      <w:pPr>
        <w:numPr>
          <w:ilvl w:val="1"/>
          <w:numId w:val="5"/>
        </w:numPr>
      </w:pPr>
      <w:r w:rsidRPr="00C855C0">
        <w:t xml:space="preserve">EST functionality was deployed to </w:t>
      </w:r>
      <w:r w:rsidRPr="00C855C0">
        <w:t xml:space="preserve">CCFA on Thursday, August 25, 2016.  </w:t>
      </w:r>
    </w:p>
    <w:p w:rsidR="00000000" w:rsidRPr="00C855C0" w:rsidRDefault="00C855C0" w:rsidP="00C855C0">
      <w:pPr>
        <w:numPr>
          <w:ilvl w:val="1"/>
          <w:numId w:val="5"/>
        </w:numPr>
      </w:pPr>
      <w:r w:rsidRPr="00C855C0">
        <w:t xml:space="preserve">The EST module accrues earned sick time and records EST requests and the associated substitute care if accepted by the family. </w:t>
      </w:r>
    </w:p>
    <w:p w:rsidR="00C855C0" w:rsidRPr="00C855C0" w:rsidRDefault="00C855C0" w:rsidP="00C855C0">
      <w:r w:rsidRPr="00C855C0">
        <w:t xml:space="preserve"> </w:t>
      </w:r>
    </w:p>
    <w:p w:rsidR="00000000" w:rsidRPr="00C855C0" w:rsidRDefault="00C855C0" w:rsidP="00C855C0">
      <w:pPr>
        <w:numPr>
          <w:ilvl w:val="1"/>
          <w:numId w:val="6"/>
        </w:numPr>
      </w:pPr>
      <w:r w:rsidRPr="00C855C0">
        <w:t xml:space="preserve">Providers with access to CCFA can </w:t>
      </w:r>
      <w:r w:rsidRPr="00C855C0">
        <w:t>request an EST day in CCFA and view their EST balance.</w:t>
      </w:r>
    </w:p>
    <w:p w:rsidR="00000000" w:rsidRPr="00C855C0" w:rsidRDefault="00C855C0" w:rsidP="00C855C0">
      <w:pPr>
        <w:numPr>
          <w:ilvl w:val="1"/>
          <w:numId w:val="6"/>
        </w:numPr>
      </w:pPr>
      <w:r w:rsidRPr="00C855C0">
        <w:t>Providers will earn one EST day for each month they submit billing</w:t>
      </w:r>
    </w:p>
    <w:p w:rsidR="00000000" w:rsidRPr="00C855C0" w:rsidRDefault="00C855C0" w:rsidP="00C855C0">
      <w:pPr>
        <w:numPr>
          <w:ilvl w:val="1"/>
          <w:numId w:val="6"/>
        </w:numPr>
      </w:pPr>
      <w:r w:rsidRPr="00C855C0">
        <w:t>A Provider can earn up to 4 EST days per year.</w:t>
      </w:r>
    </w:p>
    <w:p w:rsidR="00000000" w:rsidRPr="00C855C0" w:rsidRDefault="00C855C0" w:rsidP="00C855C0">
      <w:pPr>
        <w:numPr>
          <w:ilvl w:val="1"/>
          <w:numId w:val="6"/>
        </w:numPr>
      </w:pPr>
      <w:r w:rsidRPr="00C855C0">
        <w:t>Training Webinars were conducted the week beginning August 29, 2016.</w:t>
      </w:r>
    </w:p>
    <w:p w:rsidR="00000000" w:rsidRPr="00C855C0" w:rsidRDefault="00C855C0" w:rsidP="00C855C0">
      <w:pPr>
        <w:numPr>
          <w:ilvl w:val="1"/>
          <w:numId w:val="6"/>
        </w:numPr>
      </w:pPr>
      <w:r w:rsidRPr="00C855C0">
        <w:t>Additional tra</w:t>
      </w:r>
      <w:r w:rsidRPr="00C855C0">
        <w:t xml:space="preserve">ining will be held during the month of September 2016. </w:t>
      </w:r>
    </w:p>
    <w:p w:rsidR="00000000" w:rsidRPr="00C855C0" w:rsidRDefault="00C855C0" w:rsidP="00C855C0">
      <w:pPr>
        <w:numPr>
          <w:ilvl w:val="1"/>
          <w:numId w:val="6"/>
        </w:numPr>
      </w:pPr>
      <w:r w:rsidRPr="00C855C0">
        <w:t>FY2016 unused EST is in the process of being collected and will be loaded into CCFA.</w:t>
      </w:r>
    </w:p>
    <w:p w:rsidR="00C855C0" w:rsidRDefault="00C855C0">
      <w:r>
        <w:t>Slide 6</w:t>
      </w:r>
    </w:p>
    <w:p w:rsidR="00C855C0" w:rsidRPr="00C855C0" w:rsidRDefault="00C855C0" w:rsidP="00C855C0">
      <w:r w:rsidRPr="00C855C0">
        <w:rPr>
          <w:b/>
          <w:bCs/>
        </w:rPr>
        <w:t xml:space="preserve">CCFA Update – Reconciliation </w:t>
      </w:r>
    </w:p>
    <w:p w:rsidR="00000000" w:rsidRPr="00C855C0" w:rsidRDefault="00C855C0" w:rsidP="00C855C0">
      <w:pPr>
        <w:numPr>
          <w:ilvl w:val="0"/>
          <w:numId w:val="7"/>
        </w:numPr>
      </w:pPr>
      <w:r w:rsidRPr="00C855C0">
        <w:lastRenderedPageBreak/>
        <w:t>Last month all CCR&amp;Rs and Family Child Care (FCC) systems were</w:t>
      </w:r>
      <w:r w:rsidRPr="00C855C0">
        <w:t xml:space="preserve"> </w:t>
      </w:r>
      <w:r w:rsidRPr="00C855C0">
        <w:t>asked to upload a da</w:t>
      </w:r>
      <w:r w:rsidRPr="00C855C0">
        <w:t xml:space="preserve">ta file ("Paid Amount workbook") in CCFA of their payments to providers in FY16.  </w:t>
      </w:r>
    </w:p>
    <w:p w:rsidR="00000000" w:rsidRPr="00C855C0" w:rsidRDefault="00C855C0" w:rsidP="00C855C0">
      <w:pPr>
        <w:numPr>
          <w:ilvl w:val="0"/>
          <w:numId w:val="7"/>
        </w:numPr>
      </w:pPr>
      <w:r w:rsidRPr="00C855C0">
        <w:t xml:space="preserve">The figures in these "Paid Amount workbooks" will be reconciled against CCFA data to determine if there is variance in payment calculations.  </w:t>
      </w:r>
    </w:p>
    <w:p w:rsidR="00000000" w:rsidRPr="00C855C0" w:rsidRDefault="00C855C0" w:rsidP="00C855C0">
      <w:pPr>
        <w:numPr>
          <w:ilvl w:val="0"/>
          <w:numId w:val="7"/>
        </w:numPr>
      </w:pPr>
      <w:r w:rsidRPr="00C855C0">
        <w:t>Any variance amounts will be</w:t>
      </w:r>
      <w:r w:rsidRPr="00C855C0">
        <w:t xml:space="preserve"> determined in September 2016.  </w:t>
      </w:r>
    </w:p>
    <w:p w:rsidR="00000000" w:rsidRPr="00C855C0" w:rsidRDefault="00C855C0" w:rsidP="00C855C0">
      <w:pPr>
        <w:numPr>
          <w:ilvl w:val="0"/>
          <w:numId w:val="7"/>
        </w:numPr>
      </w:pPr>
      <w:r w:rsidRPr="00C855C0">
        <w:t xml:space="preserve">If the variance shows that EEC </w:t>
      </w:r>
      <w:r w:rsidRPr="00C855C0">
        <w:rPr>
          <w:u w:val="single"/>
        </w:rPr>
        <w:t>underpaid</w:t>
      </w:r>
      <w:r w:rsidRPr="00C855C0">
        <w:t xml:space="preserve"> a provider, EEC will pay the provider the entire amount owed to them in October 2016.  </w:t>
      </w:r>
    </w:p>
    <w:p w:rsidR="00000000" w:rsidRPr="00C855C0" w:rsidRDefault="00C855C0" w:rsidP="00C855C0">
      <w:pPr>
        <w:numPr>
          <w:ilvl w:val="0"/>
          <w:numId w:val="7"/>
        </w:numPr>
      </w:pPr>
      <w:r w:rsidRPr="00C855C0">
        <w:t xml:space="preserve">If the variance shows that EEC </w:t>
      </w:r>
      <w:r w:rsidRPr="00C855C0">
        <w:rPr>
          <w:u w:val="single"/>
        </w:rPr>
        <w:t>overpaid</w:t>
      </w:r>
      <w:r w:rsidRPr="00C855C0">
        <w:t xml:space="preserve"> a provider, EEC will collect the overpayment amount </w:t>
      </w:r>
      <w:r w:rsidRPr="00C855C0">
        <w:t xml:space="preserve">in six (6) monthly installments.  </w:t>
      </w:r>
    </w:p>
    <w:p w:rsidR="00000000" w:rsidRPr="00C855C0" w:rsidRDefault="00C855C0" w:rsidP="00C855C0">
      <w:pPr>
        <w:numPr>
          <w:ilvl w:val="0"/>
          <w:numId w:val="7"/>
        </w:numPr>
      </w:pPr>
      <w:r w:rsidRPr="00C855C0">
        <w:t xml:space="preserve">EEC will take the amount of the overpayment, divide it by six (6), and collect this amount each month over a six month period from October 2016 through March 2017.  </w:t>
      </w:r>
    </w:p>
    <w:p w:rsidR="00C855C0" w:rsidRDefault="00C855C0">
      <w:r>
        <w:t>Slide 7</w:t>
      </w:r>
    </w:p>
    <w:p w:rsidR="00C855C0" w:rsidRDefault="00C855C0">
      <w:r w:rsidRPr="00C855C0">
        <w:rPr>
          <w:b/>
          <w:bCs/>
        </w:rPr>
        <w:t xml:space="preserve">CCFA Update – Reconciliation </w:t>
      </w:r>
    </w:p>
    <w:p w:rsidR="00000000" w:rsidRPr="00C855C0" w:rsidRDefault="00C855C0" w:rsidP="00C855C0">
      <w:pPr>
        <w:numPr>
          <w:ilvl w:val="0"/>
          <w:numId w:val="8"/>
        </w:numPr>
      </w:pPr>
      <w:r w:rsidRPr="00C855C0">
        <w:rPr>
          <w:u w:val="single"/>
        </w:rPr>
        <w:t>Preliminary</w:t>
      </w:r>
      <w:r w:rsidRPr="00C855C0">
        <w:t xml:space="preserve"> FY2016 APM </w:t>
      </w:r>
      <w:r w:rsidRPr="00C855C0">
        <w:t xml:space="preserve">vs. CCFA </w:t>
      </w:r>
    </w:p>
    <w:p w:rsidR="00000000" w:rsidRPr="00C855C0" w:rsidRDefault="00C855C0" w:rsidP="00C855C0">
      <w:pPr>
        <w:numPr>
          <w:ilvl w:val="1"/>
          <w:numId w:val="8"/>
        </w:numPr>
      </w:pPr>
      <w:r w:rsidRPr="00C855C0">
        <w:t xml:space="preserve">The FCC Systems and Contract Provider preliminary variance is </w:t>
      </w:r>
      <w:r w:rsidRPr="00C855C0">
        <w:t>$7.0M.</w:t>
      </w:r>
    </w:p>
    <w:p w:rsidR="00000000" w:rsidRPr="00C855C0" w:rsidRDefault="00C855C0" w:rsidP="00C855C0">
      <w:pPr>
        <w:numPr>
          <w:ilvl w:val="2"/>
          <w:numId w:val="8"/>
        </w:numPr>
      </w:pPr>
      <w:r w:rsidRPr="00C855C0">
        <w:t xml:space="preserve">The FCC Systems and CPs owe EEC </w:t>
      </w:r>
      <w:r w:rsidRPr="00C855C0">
        <w:t>$9.3M</w:t>
      </w:r>
      <w:r w:rsidRPr="00C855C0">
        <w:t xml:space="preserve">, but EEC owes them $2.3M, so the net is </w:t>
      </w:r>
      <w:r w:rsidRPr="00C855C0">
        <w:t>$7.0M</w:t>
      </w:r>
      <w:r w:rsidRPr="00C855C0">
        <w:t>.</w:t>
      </w:r>
    </w:p>
    <w:p w:rsidR="00000000" w:rsidRPr="00C855C0" w:rsidRDefault="00C855C0" w:rsidP="00C855C0">
      <w:pPr>
        <w:numPr>
          <w:ilvl w:val="1"/>
          <w:numId w:val="8"/>
        </w:numPr>
      </w:pPr>
      <w:r w:rsidRPr="00C855C0">
        <w:t xml:space="preserve">The CCRR preliminary variance is </w:t>
      </w:r>
      <w:r w:rsidRPr="00C855C0">
        <w:t>$5.1M.</w:t>
      </w:r>
    </w:p>
    <w:p w:rsidR="00000000" w:rsidRPr="00C855C0" w:rsidRDefault="00C855C0" w:rsidP="00C855C0">
      <w:pPr>
        <w:numPr>
          <w:ilvl w:val="1"/>
          <w:numId w:val="8"/>
        </w:numPr>
      </w:pPr>
      <w:r w:rsidRPr="00C855C0">
        <w:t xml:space="preserve">The total PRELIMINARY variance or recoupment is </w:t>
      </w:r>
      <w:r w:rsidRPr="00C855C0">
        <w:t>$12.1M.</w:t>
      </w:r>
    </w:p>
    <w:p w:rsidR="00000000" w:rsidRPr="00C855C0" w:rsidRDefault="00C855C0" w:rsidP="00C855C0">
      <w:pPr>
        <w:numPr>
          <w:ilvl w:val="0"/>
          <w:numId w:val="8"/>
        </w:numPr>
      </w:pPr>
      <w:r w:rsidRPr="00C855C0">
        <w:t>The figures are PRELIMINARY because all Providers have the opportunity over the next six months to make attendance and other corrections in CCFA that will offset some of the preliminary variance number.</w:t>
      </w:r>
    </w:p>
    <w:p w:rsidR="00000000" w:rsidRPr="00C855C0" w:rsidRDefault="00C855C0" w:rsidP="00C855C0">
      <w:pPr>
        <w:numPr>
          <w:ilvl w:val="0"/>
          <w:numId w:val="8"/>
        </w:numPr>
      </w:pPr>
      <w:r w:rsidRPr="00C855C0">
        <w:t>Final variance figures will not be availabl</w:t>
      </w:r>
      <w:r w:rsidRPr="00C855C0">
        <w:t>e until April 2017.</w:t>
      </w:r>
    </w:p>
    <w:p w:rsidR="00C855C0" w:rsidRDefault="00C855C0">
      <w:r>
        <w:t>Slide 8</w:t>
      </w:r>
    </w:p>
    <w:p w:rsidR="00C855C0" w:rsidRPr="00C855C0" w:rsidRDefault="00C855C0" w:rsidP="00C855C0">
      <w:r w:rsidRPr="00C855C0">
        <w:rPr>
          <w:b/>
          <w:bCs/>
        </w:rPr>
        <w:t xml:space="preserve">CCFA Update - Reconciliation </w:t>
      </w:r>
    </w:p>
    <w:p w:rsidR="00000000" w:rsidRPr="00C855C0" w:rsidRDefault="00C855C0" w:rsidP="00C855C0">
      <w:pPr>
        <w:numPr>
          <w:ilvl w:val="0"/>
          <w:numId w:val="9"/>
        </w:numPr>
      </w:pPr>
      <w:r w:rsidRPr="00C855C0">
        <w:t xml:space="preserve">This a change from EEC's original plan to use a </w:t>
      </w:r>
      <w:r w:rsidRPr="00C855C0">
        <w:rPr>
          <w:u w:val="single"/>
        </w:rPr>
        <w:t>four</w:t>
      </w:r>
      <w:r w:rsidRPr="00C855C0">
        <w:t xml:space="preserve"> month period for collecting any overpayments and to start the recoupment period in September 2016.  </w:t>
      </w:r>
    </w:p>
    <w:p w:rsidR="00000000" w:rsidRPr="00C855C0" w:rsidRDefault="00C855C0" w:rsidP="00C855C0">
      <w:pPr>
        <w:numPr>
          <w:ilvl w:val="0"/>
          <w:numId w:val="9"/>
        </w:numPr>
      </w:pPr>
      <w:r w:rsidRPr="00C855C0">
        <w:t>EEC decided to extend the recoupment period to six</w:t>
      </w:r>
      <w:r w:rsidRPr="00C855C0">
        <w:t xml:space="preserve"> months because the reconciliation module was not yet ready.  We also based this decision on a review of the FY2016 billing data submitted in CCFA.  </w:t>
      </w:r>
    </w:p>
    <w:p w:rsidR="00000000" w:rsidRPr="00C855C0" w:rsidRDefault="00C855C0" w:rsidP="00C855C0">
      <w:pPr>
        <w:numPr>
          <w:ilvl w:val="0"/>
          <w:numId w:val="9"/>
        </w:numPr>
      </w:pPr>
      <w:r w:rsidRPr="00C855C0">
        <w:lastRenderedPageBreak/>
        <w:t>The CCFA development team is currently testing, identifying “bugs” and applying corrections to the reconc</w:t>
      </w:r>
      <w:r w:rsidRPr="00C855C0">
        <w:t xml:space="preserve">iliation process. </w:t>
      </w:r>
    </w:p>
    <w:p w:rsidR="00000000" w:rsidRPr="00C855C0" w:rsidRDefault="00C855C0" w:rsidP="00C855C0">
      <w:pPr>
        <w:numPr>
          <w:ilvl w:val="0"/>
          <w:numId w:val="9"/>
        </w:numPr>
      </w:pPr>
      <w:r w:rsidRPr="00C855C0">
        <w:t>The reconciliation in CCFA will reconcile at the provider level for the CCRRs.</w:t>
      </w:r>
    </w:p>
    <w:p w:rsidR="00000000" w:rsidRPr="00C855C0" w:rsidRDefault="00C855C0" w:rsidP="00C855C0">
      <w:pPr>
        <w:numPr>
          <w:ilvl w:val="0"/>
          <w:numId w:val="9"/>
        </w:numPr>
      </w:pPr>
      <w:r w:rsidRPr="00C855C0">
        <w:t xml:space="preserve">The FCC Systems were given the option for CCFA to reconcile at the Family Child Care level.  </w:t>
      </w:r>
    </w:p>
    <w:p w:rsidR="00C855C0" w:rsidRDefault="00C855C0">
      <w:r>
        <w:t>Slide 9</w:t>
      </w:r>
    </w:p>
    <w:p w:rsidR="00C855C0" w:rsidRPr="00C855C0" w:rsidRDefault="00C855C0" w:rsidP="00C855C0">
      <w:r w:rsidRPr="00C855C0">
        <w:rPr>
          <w:b/>
          <w:bCs/>
        </w:rPr>
        <w:t xml:space="preserve">CCFA Update - Reconciliation </w:t>
      </w:r>
    </w:p>
    <w:p w:rsidR="00000000" w:rsidRPr="00C855C0" w:rsidRDefault="00C855C0" w:rsidP="00C855C0">
      <w:pPr>
        <w:numPr>
          <w:ilvl w:val="0"/>
          <w:numId w:val="10"/>
        </w:numPr>
      </w:pPr>
      <w:r w:rsidRPr="00C855C0">
        <w:t>Tools provided to CCRRs, Center</w:t>
      </w:r>
      <w:r w:rsidRPr="00C855C0">
        <w:t xml:space="preserve"> Based Contract Providers, and FCC Systems </w:t>
      </w:r>
    </w:p>
    <w:p w:rsidR="00000000" w:rsidRPr="00C855C0" w:rsidRDefault="00C855C0" w:rsidP="00C855C0">
      <w:pPr>
        <w:numPr>
          <w:ilvl w:val="1"/>
          <w:numId w:val="10"/>
        </w:numPr>
      </w:pPr>
      <w:r w:rsidRPr="00C855C0">
        <w:t>Payment Review Sessions</w:t>
      </w:r>
    </w:p>
    <w:p w:rsidR="00000000" w:rsidRPr="00C855C0" w:rsidRDefault="00C855C0" w:rsidP="00C855C0">
      <w:pPr>
        <w:numPr>
          <w:ilvl w:val="1"/>
          <w:numId w:val="10"/>
        </w:numPr>
      </w:pPr>
      <w:r w:rsidRPr="00C855C0">
        <w:t xml:space="preserve">Reconciliation files containing placement level detail by service month  </w:t>
      </w:r>
    </w:p>
    <w:p w:rsidR="00000000" w:rsidRPr="00C855C0" w:rsidRDefault="00C855C0" w:rsidP="00C855C0">
      <w:pPr>
        <w:numPr>
          <w:ilvl w:val="1"/>
          <w:numId w:val="10"/>
        </w:numPr>
      </w:pPr>
      <w:r w:rsidRPr="00C855C0">
        <w:t>Individual Assistance</w:t>
      </w:r>
    </w:p>
    <w:p w:rsidR="00000000" w:rsidRPr="00C855C0" w:rsidRDefault="00C855C0" w:rsidP="00C855C0">
      <w:pPr>
        <w:numPr>
          <w:ilvl w:val="0"/>
          <w:numId w:val="10"/>
        </w:numPr>
      </w:pPr>
      <w:r w:rsidRPr="00C855C0">
        <w:t>Collection of Family Child Care Provider (FCC) Payments</w:t>
      </w:r>
    </w:p>
    <w:p w:rsidR="00000000" w:rsidRPr="00C855C0" w:rsidRDefault="00C855C0" w:rsidP="00C855C0">
      <w:pPr>
        <w:numPr>
          <w:ilvl w:val="1"/>
          <w:numId w:val="10"/>
        </w:numPr>
      </w:pPr>
      <w:r w:rsidRPr="00C855C0">
        <w:t xml:space="preserve">CCRRs were required to provide </w:t>
      </w:r>
      <w:r w:rsidRPr="00C855C0">
        <w:t>the provider payments for reconciliation</w:t>
      </w:r>
    </w:p>
    <w:p w:rsidR="00000000" w:rsidRPr="00C855C0" w:rsidRDefault="00C855C0" w:rsidP="00C855C0">
      <w:pPr>
        <w:numPr>
          <w:ilvl w:val="1"/>
          <w:numId w:val="10"/>
        </w:numPr>
      </w:pPr>
      <w:r w:rsidRPr="00C855C0">
        <w:t>Only FCC Systems had the option to opt out of the provider payment reconciliation</w:t>
      </w:r>
    </w:p>
    <w:p w:rsidR="00000000" w:rsidRPr="00C855C0" w:rsidRDefault="00C855C0" w:rsidP="00C855C0">
      <w:pPr>
        <w:numPr>
          <w:ilvl w:val="1"/>
          <w:numId w:val="10"/>
        </w:numPr>
      </w:pPr>
      <w:r w:rsidRPr="00C855C0">
        <w:t>After the reconciliation is applied in CCFA, the next step will be to reconcile the union dues reported to FCC providers by FCC Sys</w:t>
      </w:r>
      <w:r w:rsidRPr="00C855C0">
        <w:t xml:space="preserve">tems and the CCRRs during APM. </w:t>
      </w:r>
    </w:p>
    <w:p w:rsidR="00C855C0" w:rsidRDefault="00C855C0">
      <w:r>
        <w:t>Slide 10</w:t>
      </w:r>
    </w:p>
    <w:p w:rsidR="00C855C0" w:rsidRPr="00C855C0" w:rsidRDefault="00C855C0" w:rsidP="00C855C0">
      <w:r w:rsidRPr="00C855C0">
        <w:rPr>
          <w:b/>
          <w:bCs/>
        </w:rPr>
        <w:t xml:space="preserve">CCFA Update - Reporting </w:t>
      </w:r>
    </w:p>
    <w:p w:rsidR="00000000" w:rsidRPr="00C855C0" w:rsidRDefault="00C855C0" w:rsidP="00C855C0">
      <w:pPr>
        <w:numPr>
          <w:ilvl w:val="0"/>
          <w:numId w:val="11"/>
        </w:numPr>
      </w:pPr>
      <w:r w:rsidRPr="00C855C0">
        <w:t xml:space="preserve">CCFA Reports </w:t>
      </w:r>
    </w:p>
    <w:p w:rsidR="00000000" w:rsidRPr="00C855C0" w:rsidRDefault="00C855C0" w:rsidP="00C855C0">
      <w:pPr>
        <w:numPr>
          <w:ilvl w:val="1"/>
          <w:numId w:val="11"/>
        </w:numPr>
      </w:pPr>
      <w:r w:rsidRPr="00C855C0">
        <w:t xml:space="preserve">The reports in CCFA were designed be as close as possible to the reports available in the legacy applications, </w:t>
      </w:r>
      <w:proofErr w:type="spellStart"/>
      <w:r w:rsidRPr="00C855C0">
        <w:t>eCCIMS</w:t>
      </w:r>
      <w:proofErr w:type="spellEnd"/>
      <w:r w:rsidRPr="00C855C0">
        <w:t xml:space="preserve"> and CCIMS. </w:t>
      </w:r>
    </w:p>
    <w:p w:rsidR="00000000" w:rsidRPr="00C855C0" w:rsidRDefault="00C855C0" w:rsidP="00C855C0">
      <w:pPr>
        <w:numPr>
          <w:ilvl w:val="2"/>
          <w:numId w:val="11"/>
        </w:numPr>
      </w:pPr>
      <w:r w:rsidRPr="00C855C0">
        <w:t>Except for the SEIU remittance reports all are avai</w:t>
      </w:r>
      <w:r w:rsidRPr="00C855C0">
        <w:t xml:space="preserve">lable to the end user. </w:t>
      </w:r>
    </w:p>
    <w:p w:rsidR="00000000" w:rsidRPr="00C855C0" w:rsidRDefault="00C855C0" w:rsidP="00C855C0">
      <w:pPr>
        <w:numPr>
          <w:ilvl w:val="2"/>
          <w:numId w:val="11"/>
        </w:numPr>
      </w:pPr>
      <w:r w:rsidRPr="00C855C0">
        <w:t>The process to replicate the reports in CCFA is on-going.</w:t>
      </w:r>
    </w:p>
    <w:p w:rsidR="00000000" w:rsidRPr="00C855C0" w:rsidRDefault="00C855C0" w:rsidP="00C855C0">
      <w:pPr>
        <w:numPr>
          <w:ilvl w:val="2"/>
          <w:numId w:val="11"/>
        </w:numPr>
      </w:pPr>
      <w:r w:rsidRPr="00C855C0">
        <w:t>Modifications are documented and implemented.</w:t>
      </w:r>
    </w:p>
    <w:p w:rsidR="00000000" w:rsidRPr="00C855C0" w:rsidRDefault="00C855C0" w:rsidP="00C855C0">
      <w:pPr>
        <w:numPr>
          <w:ilvl w:val="1"/>
          <w:numId w:val="11"/>
        </w:numPr>
      </w:pPr>
      <w:r w:rsidRPr="00C855C0">
        <w:t>ECIS Reports</w:t>
      </w:r>
    </w:p>
    <w:p w:rsidR="00000000" w:rsidRPr="00C855C0" w:rsidRDefault="00C855C0" w:rsidP="00C855C0">
      <w:pPr>
        <w:numPr>
          <w:ilvl w:val="2"/>
          <w:numId w:val="11"/>
        </w:numPr>
      </w:pPr>
      <w:r w:rsidRPr="00C855C0">
        <w:t xml:space="preserve">The ECIS reports are predominately used by the Fiscal team for forecasting, audit (internal and </w:t>
      </w:r>
      <w:r w:rsidRPr="00C855C0">
        <w:t xml:space="preserve">external), and ad hoc requests. </w:t>
      </w:r>
    </w:p>
    <w:p w:rsidR="00000000" w:rsidRPr="00C855C0" w:rsidRDefault="00C855C0" w:rsidP="00C855C0">
      <w:pPr>
        <w:numPr>
          <w:ilvl w:val="2"/>
          <w:numId w:val="11"/>
        </w:numPr>
      </w:pPr>
      <w:r w:rsidRPr="00C855C0">
        <w:lastRenderedPageBreak/>
        <w:t xml:space="preserve">Currently half of the ECIS reports are in review and will shortly be available for the fiscal team to use for forecasting and reporting. </w:t>
      </w:r>
    </w:p>
    <w:p w:rsidR="00000000" w:rsidRPr="00C855C0" w:rsidRDefault="00C855C0" w:rsidP="00C855C0">
      <w:pPr>
        <w:numPr>
          <w:ilvl w:val="3"/>
          <w:numId w:val="11"/>
        </w:numPr>
      </w:pPr>
      <w:r w:rsidRPr="00C855C0">
        <w:t>The prioritized ECIS reports are being modified by the CCFA development team to in</w:t>
      </w:r>
      <w:r w:rsidRPr="00C855C0">
        <w:t>corporate EST, substitute care relative to EST, and the reconciliation variance by the end of September 2016.</w:t>
      </w:r>
    </w:p>
    <w:p w:rsidR="00000000" w:rsidRPr="00C855C0" w:rsidRDefault="00C855C0" w:rsidP="00C855C0">
      <w:pPr>
        <w:numPr>
          <w:ilvl w:val="3"/>
          <w:numId w:val="11"/>
        </w:numPr>
      </w:pPr>
      <w:r w:rsidRPr="00C855C0">
        <w:t xml:space="preserve">The remaining ECIS reports are being reviewed by the CCFA development team to determine if they meet the </w:t>
      </w:r>
      <w:r w:rsidRPr="00C855C0">
        <w:t>business requirements and require additional changes for EST, substitute care, and reconciliation.</w:t>
      </w:r>
    </w:p>
    <w:p w:rsidR="00C855C0" w:rsidRDefault="00C855C0">
      <w:r>
        <w:t>Slide 11</w:t>
      </w:r>
    </w:p>
    <w:p w:rsidR="00C855C0" w:rsidRPr="00C855C0" w:rsidRDefault="00C855C0" w:rsidP="00C855C0">
      <w:r w:rsidRPr="00C855C0">
        <w:rPr>
          <w:b/>
          <w:bCs/>
        </w:rPr>
        <w:t xml:space="preserve">CCFA Update – Next Steps </w:t>
      </w:r>
    </w:p>
    <w:p w:rsidR="00000000" w:rsidRPr="00C855C0" w:rsidRDefault="00C855C0" w:rsidP="00C855C0">
      <w:pPr>
        <w:numPr>
          <w:ilvl w:val="0"/>
          <w:numId w:val="12"/>
        </w:numPr>
      </w:pPr>
      <w:r w:rsidRPr="00C855C0">
        <w:t>MMARS Interface for Payments</w:t>
      </w:r>
    </w:p>
    <w:p w:rsidR="00000000" w:rsidRPr="00C855C0" w:rsidRDefault="00C855C0" w:rsidP="00C855C0">
      <w:pPr>
        <w:numPr>
          <w:ilvl w:val="1"/>
          <w:numId w:val="12"/>
        </w:numPr>
      </w:pPr>
      <w:r w:rsidRPr="00C855C0">
        <w:t>The Comptroller’s Office has expressed interest in a direct interface between CCFA to MMARS.</w:t>
      </w:r>
    </w:p>
    <w:p w:rsidR="00000000" w:rsidRPr="00C855C0" w:rsidRDefault="00C855C0" w:rsidP="00C855C0">
      <w:pPr>
        <w:numPr>
          <w:ilvl w:val="0"/>
          <w:numId w:val="12"/>
        </w:numPr>
      </w:pPr>
      <w:r w:rsidRPr="00C855C0">
        <w:t>Implem</w:t>
      </w:r>
      <w:r w:rsidRPr="00C855C0">
        <w:t xml:space="preserve">entation of FY2017 Rate Reserve Increase </w:t>
      </w:r>
    </w:p>
    <w:p w:rsidR="00000000" w:rsidRPr="00C855C0" w:rsidRDefault="00C855C0" w:rsidP="00C855C0">
      <w:pPr>
        <w:numPr>
          <w:ilvl w:val="1"/>
          <w:numId w:val="12"/>
        </w:numPr>
      </w:pPr>
      <w:r w:rsidRPr="00C855C0">
        <w:t>The estimated 3.5% increase for CBC programs and the FCC System Admin requires change to the rates in CCFA and the nightly feed from Contract Manager.</w:t>
      </w:r>
    </w:p>
    <w:p w:rsidR="00000000" w:rsidRPr="00C855C0" w:rsidRDefault="00C855C0" w:rsidP="00C855C0">
      <w:pPr>
        <w:numPr>
          <w:ilvl w:val="0"/>
          <w:numId w:val="12"/>
        </w:numPr>
      </w:pPr>
      <w:r w:rsidRPr="00C855C0">
        <w:t xml:space="preserve">Union Dues Reconciliation </w:t>
      </w:r>
    </w:p>
    <w:p w:rsidR="00000000" w:rsidRPr="00C855C0" w:rsidRDefault="00C855C0" w:rsidP="00C855C0">
      <w:pPr>
        <w:numPr>
          <w:ilvl w:val="1"/>
          <w:numId w:val="12"/>
        </w:numPr>
      </w:pPr>
      <w:r w:rsidRPr="00C855C0">
        <w:t>The CCRRs and FCC Systems reporte</w:t>
      </w:r>
      <w:r w:rsidRPr="00C855C0">
        <w:t>d the CY2015 Union Dues to the Family Child Care (FCC) Providers.</w:t>
      </w:r>
    </w:p>
    <w:p w:rsidR="00000000" w:rsidRPr="00C855C0" w:rsidRDefault="00C855C0" w:rsidP="00C855C0">
      <w:pPr>
        <w:numPr>
          <w:ilvl w:val="1"/>
          <w:numId w:val="12"/>
        </w:numPr>
      </w:pPr>
      <w:r w:rsidRPr="00C855C0">
        <w:t xml:space="preserve">A separate reconciliation will be necessary to reconcile what was reported vs. CCFA calculations. </w:t>
      </w:r>
    </w:p>
    <w:p w:rsidR="00000000" w:rsidRPr="00C855C0" w:rsidRDefault="00C855C0" w:rsidP="00C855C0">
      <w:pPr>
        <w:numPr>
          <w:ilvl w:val="1"/>
          <w:numId w:val="12"/>
        </w:numPr>
      </w:pPr>
      <w:r w:rsidRPr="00C855C0">
        <w:t xml:space="preserve">DTA Parent Fees collected from July 2015 through January 14, 2016. </w:t>
      </w:r>
    </w:p>
    <w:p w:rsidR="00000000" w:rsidRPr="00C855C0" w:rsidRDefault="00C855C0" w:rsidP="00C855C0">
      <w:pPr>
        <w:numPr>
          <w:ilvl w:val="1"/>
          <w:numId w:val="12"/>
        </w:numPr>
      </w:pPr>
      <w:r w:rsidRPr="00C855C0">
        <w:t xml:space="preserve">Establish a process </w:t>
      </w:r>
      <w:r w:rsidRPr="00C855C0">
        <w:t xml:space="preserve">to reimburse families parent fees collected by providers. </w:t>
      </w:r>
    </w:p>
    <w:p w:rsidR="00000000" w:rsidRPr="00C855C0" w:rsidRDefault="00C855C0" w:rsidP="00C855C0">
      <w:pPr>
        <w:numPr>
          <w:ilvl w:val="1"/>
          <w:numId w:val="12"/>
        </w:numPr>
      </w:pPr>
      <w:r w:rsidRPr="00C855C0">
        <w:t>Implement the correction to the parent fees in CCFA.</w:t>
      </w:r>
    </w:p>
    <w:p w:rsidR="00000000" w:rsidRPr="00C855C0" w:rsidRDefault="00C855C0" w:rsidP="00C855C0">
      <w:pPr>
        <w:numPr>
          <w:ilvl w:val="1"/>
          <w:numId w:val="12"/>
        </w:numPr>
      </w:pPr>
      <w:r w:rsidRPr="00C855C0">
        <w:t>Review and prioritize outstanding changes to CCFA</w:t>
      </w:r>
    </w:p>
    <w:p w:rsidR="00000000" w:rsidRPr="00C855C0" w:rsidRDefault="00C855C0" w:rsidP="00C855C0">
      <w:pPr>
        <w:numPr>
          <w:ilvl w:val="1"/>
          <w:numId w:val="12"/>
        </w:numPr>
      </w:pPr>
      <w:r w:rsidRPr="00C855C0">
        <w:t xml:space="preserve">End User Enhancement Requests </w:t>
      </w:r>
    </w:p>
    <w:p w:rsidR="00000000" w:rsidRPr="00C855C0" w:rsidRDefault="00C855C0" w:rsidP="00C855C0">
      <w:pPr>
        <w:numPr>
          <w:ilvl w:val="1"/>
          <w:numId w:val="12"/>
        </w:numPr>
      </w:pPr>
      <w:r w:rsidRPr="00C855C0">
        <w:t>Changes for identified bugs and data fixes that have a work</w:t>
      </w:r>
      <w:r w:rsidRPr="00C855C0">
        <w:t xml:space="preserve"> around in CCFA.</w:t>
      </w:r>
    </w:p>
    <w:p w:rsidR="00C855C0" w:rsidRDefault="00C855C0" w:rsidP="00C855C0">
      <w:pPr>
        <w:numPr>
          <w:ilvl w:val="1"/>
          <w:numId w:val="12"/>
        </w:numPr>
      </w:pPr>
      <w:r w:rsidRPr="00C855C0">
        <w:t xml:space="preserve">CCDBG Regulation impact to CCFA. </w:t>
      </w:r>
    </w:p>
    <w:sectPr w:rsidR="00C855C0" w:rsidSect="00723A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B7791"/>
    <w:multiLevelType w:val="hybridMultilevel"/>
    <w:tmpl w:val="B424636A"/>
    <w:lvl w:ilvl="0" w:tplc="31BEBB6A">
      <w:start w:val="1"/>
      <w:numFmt w:val="bullet"/>
      <w:lvlText w:val="•"/>
      <w:lvlJc w:val="left"/>
      <w:pPr>
        <w:tabs>
          <w:tab w:val="num" w:pos="720"/>
        </w:tabs>
        <w:ind w:left="720" w:hanging="360"/>
      </w:pPr>
      <w:rPr>
        <w:rFonts w:ascii="Times New Roman" w:hAnsi="Times New Roman" w:hint="default"/>
      </w:rPr>
    </w:lvl>
    <w:lvl w:ilvl="1" w:tplc="761EE686">
      <w:start w:val="1700"/>
      <w:numFmt w:val="bullet"/>
      <w:lvlText w:val="–"/>
      <w:lvlJc w:val="left"/>
      <w:pPr>
        <w:tabs>
          <w:tab w:val="num" w:pos="1440"/>
        </w:tabs>
        <w:ind w:left="1440" w:hanging="360"/>
      </w:pPr>
      <w:rPr>
        <w:rFonts w:ascii="Arial" w:hAnsi="Arial" w:hint="default"/>
      </w:rPr>
    </w:lvl>
    <w:lvl w:ilvl="2" w:tplc="449443BE">
      <w:start w:val="1"/>
      <w:numFmt w:val="decimal"/>
      <w:lvlText w:val="%3."/>
      <w:lvlJc w:val="left"/>
      <w:pPr>
        <w:tabs>
          <w:tab w:val="num" w:pos="2160"/>
        </w:tabs>
        <w:ind w:left="2160" w:hanging="360"/>
      </w:pPr>
    </w:lvl>
    <w:lvl w:ilvl="3" w:tplc="506255CC">
      <w:start w:val="1700"/>
      <w:numFmt w:val="bullet"/>
      <w:lvlText w:val="o"/>
      <w:lvlJc w:val="left"/>
      <w:pPr>
        <w:tabs>
          <w:tab w:val="num" w:pos="2880"/>
        </w:tabs>
        <w:ind w:left="2880" w:hanging="360"/>
      </w:pPr>
      <w:rPr>
        <w:rFonts w:ascii="Courier New" w:hAnsi="Courier New" w:hint="default"/>
      </w:rPr>
    </w:lvl>
    <w:lvl w:ilvl="4" w:tplc="F5346E3A" w:tentative="1">
      <w:start w:val="1"/>
      <w:numFmt w:val="bullet"/>
      <w:lvlText w:val="•"/>
      <w:lvlJc w:val="left"/>
      <w:pPr>
        <w:tabs>
          <w:tab w:val="num" w:pos="3600"/>
        </w:tabs>
        <w:ind w:left="3600" w:hanging="360"/>
      </w:pPr>
      <w:rPr>
        <w:rFonts w:ascii="Times New Roman" w:hAnsi="Times New Roman" w:hint="default"/>
      </w:rPr>
    </w:lvl>
    <w:lvl w:ilvl="5" w:tplc="40A42B28" w:tentative="1">
      <w:start w:val="1"/>
      <w:numFmt w:val="bullet"/>
      <w:lvlText w:val="•"/>
      <w:lvlJc w:val="left"/>
      <w:pPr>
        <w:tabs>
          <w:tab w:val="num" w:pos="4320"/>
        </w:tabs>
        <w:ind w:left="4320" w:hanging="360"/>
      </w:pPr>
      <w:rPr>
        <w:rFonts w:ascii="Times New Roman" w:hAnsi="Times New Roman" w:hint="default"/>
      </w:rPr>
    </w:lvl>
    <w:lvl w:ilvl="6" w:tplc="1F6233BE" w:tentative="1">
      <w:start w:val="1"/>
      <w:numFmt w:val="bullet"/>
      <w:lvlText w:val="•"/>
      <w:lvlJc w:val="left"/>
      <w:pPr>
        <w:tabs>
          <w:tab w:val="num" w:pos="5040"/>
        </w:tabs>
        <w:ind w:left="5040" w:hanging="360"/>
      </w:pPr>
      <w:rPr>
        <w:rFonts w:ascii="Times New Roman" w:hAnsi="Times New Roman" w:hint="default"/>
      </w:rPr>
    </w:lvl>
    <w:lvl w:ilvl="7" w:tplc="520ACEA2" w:tentative="1">
      <w:start w:val="1"/>
      <w:numFmt w:val="bullet"/>
      <w:lvlText w:val="•"/>
      <w:lvlJc w:val="left"/>
      <w:pPr>
        <w:tabs>
          <w:tab w:val="num" w:pos="5760"/>
        </w:tabs>
        <w:ind w:left="5760" w:hanging="360"/>
      </w:pPr>
      <w:rPr>
        <w:rFonts w:ascii="Times New Roman" w:hAnsi="Times New Roman" w:hint="default"/>
      </w:rPr>
    </w:lvl>
    <w:lvl w:ilvl="8" w:tplc="94AC0824" w:tentative="1">
      <w:start w:val="1"/>
      <w:numFmt w:val="bullet"/>
      <w:lvlText w:val="•"/>
      <w:lvlJc w:val="left"/>
      <w:pPr>
        <w:tabs>
          <w:tab w:val="num" w:pos="6480"/>
        </w:tabs>
        <w:ind w:left="6480" w:hanging="360"/>
      </w:pPr>
      <w:rPr>
        <w:rFonts w:ascii="Times New Roman" w:hAnsi="Times New Roman" w:hint="default"/>
      </w:rPr>
    </w:lvl>
  </w:abstractNum>
  <w:abstractNum w:abstractNumId="1">
    <w:nsid w:val="120E4E1C"/>
    <w:multiLevelType w:val="hybridMultilevel"/>
    <w:tmpl w:val="8C921E86"/>
    <w:lvl w:ilvl="0" w:tplc="4BDC8DC2">
      <w:start w:val="1"/>
      <w:numFmt w:val="bullet"/>
      <w:lvlText w:val="•"/>
      <w:lvlJc w:val="left"/>
      <w:pPr>
        <w:tabs>
          <w:tab w:val="num" w:pos="720"/>
        </w:tabs>
        <w:ind w:left="720" w:hanging="360"/>
      </w:pPr>
      <w:rPr>
        <w:rFonts w:ascii="Times New Roman" w:hAnsi="Times New Roman" w:hint="default"/>
      </w:rPr>
    </w:lvl>
    <w:lvl w:ilvl="1" w:tplc="ADD0A01A">
      <w:start w:val="1679"/>
      <w:numFmt w:val="bullet"/>
      <w:lvlText w:val="–"/>
      <w:lvlJc w:val="left"/>
      <w:pPr>
        <w:tabs>
          <w:tab w:val="num" w:pos="1440"/>
        </w:tabs>
        <w:ind w:left="1440" w:hanging="360"/>
      </w:pPr>
      <w:rPr>
        <w:rFonts w:ascii="Arial" w:hAnsi="Arial" w:hint="default"/>
      </w:rPr>
    </w:lvl>
    <w:lvl w:ilvl="2" w:tplc="AE44EFF4" w:tentative="1">
      <w:start w:val="1"/>
      <w:numFmt w:val="bullet"/>
      <w:lvlText w:val="•"/>
      <w:lvlJc w:val="left"/>
      <w:pPr>
        <w:tabs>
          <w:tab w:val="num" w:pos="2160"/>
        </w:tabs>
        <w:ind w:left="2160" w:hanging="360"/>
      </w:pPr>
      <w:rPr>
        <w:rFonts w:ascii="Times New Roman" w:hAnsi="Times New Roman" w:hint="default"/>
      </w:rPr>
    </w:lvl>
    <w:lvl w:ilvl="3" w:tplc="1E3C65C8" w:tentative="1">
      <w:start w:val="1"/>
      <w:numFmt w:val="bullet"/>
      <w:lvlText w:val="•"/>
      <w:lvlJc w:val="left"/>
      <w:pPr>
        <w:tabs>
          <w:tab w:val="num" w:pos="2880"/>
        </w:tabs>
        <w:ind w:left="2880" w:hanging="360"/>
      </w:pPr>
      <w:rPr>
        <w:rFonts w:ascii="Times New Roman" w:hAnsi="Times New Roman" w:hint="default"/>
      </w:rPr>
    </w:lvl>
    <w:lvl w:ilvl="4" w:tplc="2C96FC86" w:tentative="1">
      <w:start w:val="1"/>
      <w:numFmt w:val="bullet"/>
      <w:lvlText w:val="•"/>
      <w:lvlJc w:val="left"/>
      <w:pPr>
        <w:tabs>
          <w:tab w:val="num" w:pos="3600"/>
        </w:tabs>
        <w:ind w:left="3600" w:hanging="360"/>
      </w:pPr>
      <w:rPr>
        <w:rFonts w:ascii="Times New Roman" w:hAnsi="Times New Roman" w:hint="default"/>
      </w:rPr>
    </w:lvl>
    <w:lvl w:ilvl="5" w:tplc="5D2CB830" w:tentative="1">
      <w:start w:val="1"/>
      <w:numFmt w:val="bullet"/>
      <w:lvlText w:val="•"/>
      <w:lvlJc w:val="left"/>
      <w:pPr>
        <w:tabs>
          <w:tab w:val="num" w:pos="4320"/>
        </w:tabs>
        <w:ind w:left="4320" w:hanging="360"/>
      </w:pPr>
      <w:rPr>
        <w:rFonts w:ascii="Times New Roman" w:hAnsi="Times New Roman" w:hint="default"/>
      </w:rPr>
    </w:lvl>
    <w:lvl w:ilvl="6" w:tplc="ACA6E808" w:tentative="1">
      <w:start w:val="1"/>
      <w:numFmt w:val="bullet"/>
      <w:lvlText w:val="•"/>
      <w:lvlJc w:val="left"/>
      <w:pPr>
        <w:tabs>
          <w:tab w:val="num" w:pos="5040"/>
        </w:tabs>
        <w:ind w:left="5040" w:hanging="360"/>
      </w:pPr>
      <w:rPr>
        <w:rFonts w:ascii="Times New Roman" w:hAnsi="Times New Roman" w:hint="default"/>
      </w:rPr>
    </w:lvl>
    <w:lvl w:ilvl="7" w:tplc="0268B5AE" w:tentative="1">
      <w:start w:val="1"/>
      <w:numFmt w:val="bullet"/>
      <w:lvlText w:val="•"/>
      <w:lvlJc w:val="left"/>
      <w:pPr>
        <w:tabs>
          <w:tab w:val="num" w:pos="5760"/>
        </w:tabs>
        <w:ind w:left="5760" w:hanging="360"/>
      </w:pPr>
      <w:rPr>
        <w:rFonts w:ascii="Times New Roman" w:hAnsi="Times New Roman" w:hint="default"/>
      </w:rPr>
    </w:lvl>
    <w:lvl w:ilvl="8" w:tplc="452E83F8" w:tentative="1">
      <w:start w:val="1"/>
      <w:numFmt w:val="bullet"/>
      <w:lvlText w:val="•"/>
      <w:lvlJc w:val="left"/>
      <w:pPr>
        <w:tabs>
          <w:tab w:val="num" w:pos="6480"/>
        </w:tabs>
        <w:ind w:left="6480" w:hanging="360"/>
      </w:pPr>
      <w:rPr>
        <w:rFonts w:ascii="Times New Roman" w:hAnsi="Times New Roman" w:hint="default"/>
      </w:rPr>
    </w:lvl>
  </w:abstractNum>
  <w:abstractNum w:abstractNumId="2">
    <w:nsid w:val="202E2E56"/>
    <w:multiLevelType w:val="hybridMultilevel"/>
    <w:tmpl w:val="BFBAD5CC"/>
    <w:lvl w:ilvl="0" w:tplc="A71C5994">
      <w:start w:val="1"/>
      <w:numFmt w:val="bullet"/>
      <w:lvlText w:val="•"/>
      <w:lvlJc w:val="left"/>
      <w:pPr>
        <w:tabs>
          <w:tab w:val="num" w:pos="720"/>
        </w:tabs>
        <w:ind w:left="720" w:hanging="360"/>
      </w:pPr>
      <w:rPr>
        <w:rFonts w:ascii="Times New Roman" w:hAnsi="Times New Roman" w:hint="default"/>
      </w:rPr>
    </w:lvl>
    <w:lvl w:ilvl="1" w:tplc="182CBEA0" w:tentative="1">
      <w:start w:val="1"/>
      <w:numFmt w:val="bullet"/>
      <w:lvlText w:val="•"/>
      <w:lvlJc w:val="left"/>
      <w:pPr>
        <w:tabs>
          <w:tab w:val="num" w:pos="1440"/>
        </w:tabs>
        <w:ind w:left="1440" w:hanging="360"/>
      </w:pPr>
      <w:rPr>
        <w:rFonts w:ascii="Times New Roman" w:hAnsi="Times New Roman" w:hint="default"/>
      </w:rPr>
    </w:lvl>
    <w:lvl w:ilvl="2" w:tplc="86B42C14" w:tentative="1">
      <w:start w:val="1"/>
      <w:numFmt w:val="bullet"/>
      <w:lvlText w:val="•"/>
      <w:lvlJc w:val="left"/>
      <w:pPr>
        <w:tabs>
          <w:tab w:val="num" w:pos="2160"/>
        </w:tabs>
        <w:ind w:left="2160" w:hanging="360"/>
      </w:pPr>
      <w:rPr>
        <w:rFonts w:ascii="Times New Roman" w:hAnsi="Times New Roman" w:hint="default"/>
      </w:rPr>
    </w:lvl>
    <w:lvl w:ilvl="3" w:tplc="43F43D08" w:tentative="1">
      <w:start w:val="1"/>
      <w:numFmt w:val="bullet"/>
      <w:lvlText w:val="•"/>
      <w:lvlJc w:val="left"/>
      <w:pPr>
        <w:tabs>
          <w:tab w:val="num" w:pos="2880"/>
        </w:tabs>
        <w:ind w:left="2880" w:hanging="360"/>
      </w:pPr>
      <w:rPr>
        <w:rFonts w:ascii="Times New Roman" w:hAnsi="Times New Roman" w:hint="default"/>
      </w:rPr>
    </w:lvl>
    <w:lvl w:ilvl="4" w:tplc="B002C56C" w:tentative="1">
      <w:start w:val="1"/>
      <w:numFmt w:val="bullet"/>
      <w:lvlText w:val="•"/>
      <w:lvlJc w:val="left"/>
      <w:pPr>
        <w:tabs>
          <w:tab w:val="num" w:pos="3600"/>
        </w:tabs>
        <w:ind w:left="3600" w:hanging="360"/>
      </w:pPr>
      <w:rPr>
        <w:rFonts w:ascii="Times New Roman" w:hAnsi="Times New Roman" w:hint="default"/>
      </w:rPr>
    </w:lvl>
    <w:lvl w:ilvl="5" w:tplc="5AAA9272" w:tentative="1">
      <w:start w:val="1"/>
      <w:numFmt w:val="bullet"/>
      <w:lvlText w:val="•"/>
      <w:lvlJc w:val="left"/>
      <w:pPr>
        <w:tabs>
          <w:tab w:val="num" w:pos="4320"/>
        </w:tabs>
        <w:ind w:left="4320" w:hanging="360"/>
      </w:pPr>
      <w:rPr>
        <w:rFonts w:ascii="Times New Roman" w:hAnsi="Times New Roman" w:hint="default"/>
      </w:rPr>
    </w:lvl>
    <w:lvl w:ilvl="6" w:tplc="C1E8875A" w:tentative="1">
      <w:start w:val="1"/>
      <w:numFmt w:val="bullet"/>
      <w:lvlText w:val="•"/>
      <w:lvlJc w:val="left"/>
      <w:pPr>
        <w:tabs>
          <w:tab w:val="num" w:pos="5040"/>
        </w:tabs>
        <w:ind w:left="5040" w:hanging="360"/>
      </w:pPr>
      <w:rPr>
        <w:rFonts w:ascii="Times New Roman" w:hAnsi="Times New Roman" w:hint="default"/>
      </w:rPr>
    </w:lvl>
    <w:lvl w:ilvl="7" w:tplc="31A299E6" w:tentative="1">
      <w:start w:val="1"/>
      <w:numFmt w:val="bullet"/>
      <w:lvlText w:val="•"/>
      <w:lvlJc w:val="left"/>
      <w:pPr>
        <w:tabs>
          <w:tab w:val="num" w:pos="5760"/>
        </w:tabs>
        <w:ind w:left="5760" w:hanging="360"/>
      </w:pPr>
      <w:rPr>
        <w:rFonts w:ascii="Times New Roman" w:hAnsi="Times New Roman" w:hint="default"/>
      </w:rPr>
    </w:lvl>
    <w:lvl w:ilvl="8" w:tplc="97900C6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24570A9"/>
    <w:multiLevelType w:val="hybridMultilevel"/>
    <w:tmpl w:val="8B666A5E"/>
    <w:lvl w:ilvl="0" w:tplc="F6A4BCBC">
      <w:start w:val="1"/>
      <w:numFmt w:val="bullet"/>
      <w:lvlText w:val="•"/>
      <w:lvlJc w:val="left"/>
      <w:pPr>
        <w:tabs>
          <w:tab w:val="num" w:pos="720"/>
        </w:tabs>
        <w:ind w:left="720" w:hanging="360"/>
      </w:pPr>
      <w:rPr>
        <w:rFonts w:ascii="Times New Roman" w:hAnsi="Times New Roman" w:hint="default"/>
      </w:rPr>
    </w:lvl>
    <w:lvl w:ilvl="1" w:tplc="20A0F8CC" w:tentative="1">
      <w:start w:val="1"/>
      <w:numFmt w:val="bullet"/>
      <w:lvlText w:val="•"/>
      <w:lvlJc w:val="left"/>
      <w:pPr>
        <w:tabs>
          <w:tab w:val="num" w:pos="1440"/>
        </w:tabs>
        <w:ind w:left="1440" w:hanging="360"/>
      </w:pPr>
      <w:rPr>
        <w:rFonts w:ascii="Times New Roman" w:hAnsi="Times New Roman" w:hint="default"/>
      </w:rPr>
    </w:lvl>
    <w:lvl w:ilvl="2" w:tplc="3A2CFC80" w:tentative="1">
      <w:start w:val="1"/>
      <w:numFmt w:val="bullet"/>
      <w:lvlText w:val="•"/>
      <w:lvlJc w:val="left"/>
      <w:pPr>
        <w:tabs>
          <w:tab w:val="num" w:pos="2160"/>
        </w:tabs>
        <w:ind w:left="2160" w:hanging="360"/>
      </w:pPr>
      <w:rPr>
        <w:rFonts w:ascii="Times New Roman" w:hAnsi="Times New Roman" w:hint="default"/>
      </w:rPr>
    </w:lvl>
    <w:lvl w:ilvl="3" w:tplc="47E461F4" w:tentative="1">
      <w:start w:val="1"/>
      <w:numFmt w:val="bullet"/>
      <w:lvlText w:val="•"/>
      <w:lvlJc w:val="left"/>
      <w:pPr>
        <w:tabs>
          <w:tab w:val="num" w:pos="2880"/>
        </w:tabs>
        <w:ind w:left="2880" w:hanging="360"/>
      </w:pPr>
      <w:rPr>
        <w:rFonts w:ascii="Times New Roman" w:hAnsi="Times New Roman" w:hint="default"/>
      </w:rPr>
    </w:lvl>
    <w:lvl w:ilvl="4" w:tplc="4EBA9EF2" w:tentative="1">
      <w:start w:val="1"/>
      <w:numFmt w:val="bullet"/>
      <w:lvlText w:val="•"/>
      <w:lvlJc w:val="left"/>
      <w:pPr>
        <w:tabs>
          <w:tab w:val="num" w:pos="3600"/>
        </w:tabs>
        <w:ind w:left="3600" w:hanging="360"/>
      </w:pPr>
      <w:rPr>
        <w:rFonts w:ascii="Times New Roman" w:hAnsi="Times New Roman" w:hint="default"/>
      </w:rPr>
    </w:lvl>
    <w:lvl w:ilvl="5" w:tplc="2B4C8284" w:tentative="1">
      <w:start w:val="1"/>
      <w:numFmt w:val="bullet"/>
      <w:lvlText w:val="•"/>
      <w:lvlJc w:val="left"/>
      <w:pPr>
        <w:tabs>
          <w:tab w:val="num" w:pos="4320"/>
        </w:tabs>
        <w:ind w:left="4320" w:hanging="360"/>
      </w:pPr>
      <w:rPr>
        <w:rFonts w:ascii="Times New Roman" w:hAnsi="Times New Roman" w:hint="default"/>
      </w:rPr>
    </w:lvl>
    <w:lvl w:ilvl="6" w:tplc="68E69ECC" w:tentative="1">
      <w:start w:val="1"/>
      <w:numFmt w:val="bullet"/>
      <w:lvlText w:val="•"/>
      <w:lvlJc w:val="left"/>
      <w:pPr>
        <w:tabs>
          <w:tab w:val="num" w:pos="5040"/>
        </w:tabs>
        <w:ind w:left="5040" w:hanging="360"/>
      </w:pPr>
      <w:rPr>
        <w:rFonts w:ascii="Times New Roman" w:hAnsi="Times New Roman" w:hint="default"/>
      </w:rPr>
    </w:lvl>
    <w:lvl w:ilvl="7" w:tplc="72746116" w:tentative="1">
      <w:start w:val="1"/>
      <w:numFmt w:val="bullet"/>
      <w:lvlText w:val="•"/>
      <w:lvlJc w:val="left"/>
      <w:pPr>
        <w:tabs>
          <w:tab w:val="num" w:pos="5760"/>
        </w:tabs>
        <w:ind w:left="5760" w:hanging="360"/>
      </w:pPr>
      <w:rPr>
        <w:rFonts w:ascii="Times New Roman" w:hAnsi="Times New Roman" w:hint="default"/>
      </w:rPr>
    </w:lvl>
    <w:lvl w:ilvl="8" w:tplc="FB522F60"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A30649"/>
    <w:multiLevelType w:val="hybridMultilevel"/>
    <w:tmpl w:val="86084BC6"/>
    <w:lvl w:ilvl="0" w:tplc="74F8B264">
      <w:start w:val="1"/>
      <w:numFmt w:val="bullet"/>
      <w:lvlText w:val="•"/>
      <w:lvlJc w:val="left"/>
      <w:pPr>
        <w:tabs>
          <w:tab w:val="num" w:pos="720"/>
        </w:tabs>
        <w:ind w:left="720" w:hanging="360"/>
      </w:pPr>
      <w:rPr>
        <w:rFonts w:ascii="Times New Roman" w:hAnsi="Times New Roman" w:hint="default"/>
      </w:rPr>
    </w:lvl>
    <w:lvl w:ilvl="1" w:tplc="44607096" w:tentative="1">
      <w:start w:val="1"/>
      <w:numFmt w:val="bullet"/>
      <w:lvlText w:val="•"/>
      <w:lvlJc w:val="left"/>
      <w:pPr>
        <w:tabs>
          <w:tab w:val="num" w:pos="1440"/>
        </w:tabs>
        <w:ind w:left="1440" w:hanging="360"/>
      </w:pPr>
      <w:rPr>
        <w:rFonts w:ascii="Times New Roman" w:hAnsi="Times New Roman" w:hint="default"/>
      </w:rPr>
    </w:lvl>
    <w:lvl w:ilvl="2" w:tplc="B29A61DA" w:tentative="1">
      <w:start w:val="1"/>
      <w:numFmt w:val="bullet"/>
      <w:lvlText w:val="•"/>
      <w:lvlJc w:val="left"/>
      <w:pPr>
        <w:tabs>
          <w:tab w:val="num" w:pos="2160"/>
        </w:tabs>
        <w:ind w:left="2160" w:hanging="360"/>
      </w:pPr>
      <w:rPr>
        <w:rFonts w:ascii="Times New Roman" w:hAnsi="Times New Roman" w:hint="default"/>
      </w:rPr>
    </w:lvl>
    <w:lvl w:ilvl="3" w:tplc="5770E3AE" w:tentative="1">
      <w:start w:val="1"/>
      <w:numFmt w:val="bullet"/>
      <w:lvlText w:val="•"/>
      <w:lvlJc w:val="left"/>
      <w:pPr>
        <w:tabs>
          <w:tab w:val="num" w:pos="2880"/>
        </w:tabs>
        <w:ind w:left="2880" w:hanging="360"/>
      </w:pPr>
      <w:rPr>
        <w:rFonts w:ascii="Times New Roman" w:hAnsi="Times New Roman" w:hint="default"/>
      </w:rPr>
    </w:lvl>
    <w:lvl w:ilvl="4" w:tplc="183872CA" w:tentative="1">
      <w:start w:val="1"/>
      <w:numFmt w:val="bullet"/>
      <w:lvlText w:val="•"/>
      <w:lvlJc w:val="left"/>
      <w:pPr>
        <w:tabs>
          <w:tab w:val="num" w:pos="3600"/>
        </w:tabs>
        <w:ind w:left="3600" w:hanging="360"/>
      </w:pPr>
      <w:rPr>
        <w:rFonts w:ascii="Times New Roman" w:hAnsi="Times New Roman" w:hint="default"/>
      </w:rPr>
    </w:lvl>
    <w:lvl w:ilvl="5" w:tplc="2788E95A" w:tentative="1">
      <w:start w:val="1"/>
      <w:numFmt w:val="bullet"/>
      <w:lvlText w:val="•"/>
      <w:lvlJc w:val="left"/>
      <w:pPr>
        <w:tabs>
          <w:tab w:val="num" w:pos="4320"/>
        </w:tabs>
        <w:ind w:left="4320" w:hanging="360"/>
      </w:pPr>
      <w:rPr>
        <w:rFonts w:ascii="Times New Roman" w:hAnsi="Times New Roman" w:hint="default"/>
      </w:rPr>
    </w:lvl>
    <w:lvl w:ilvl="6" w:tplc="E1D8CCFA" w:tentative="1">
      <w:start w:val="1"/>
      <w:numFmt w:val="bullet"/>
      <w:lvlText w:val="•"/>
      <w:lvlJc w:val="left"/>
      <w:pPr>
        <w:tabs>
          <w:tab w:val="num" w:pos="5040"/>
        </w:tabs>
        <w:ind w:left="5040" w:hanging="360"/>
      </w:pPr>
      <w:rPr>
        <w:rFonts w:ascii="Times New Roman" w:hAnsi="Times New Roman" w:hint="default"/>
      </w:rPr>
    </w:lvl>
    <w:lvl w:ilvl="7" w:tplc="0C021AD2" w:tentative="1">
      <w:start w:val="1"/>
      <w:numFmt w:val="bullet"/>
      <w:lvlText w:val="•"/>
      <w:lvlJc w:val="left"/>
      <w:pPr>
        <w:tabs>
          <w:tab w:val="num" w:pos="5760"/>
        </w:tabs>
        <w:ind w:left="5760" w:hanging="360"/>
      </w:pPr>
      <w:rPr>
        <w:rFonts w:ascii="Times New Roman" w:hAnsi="Times New Roman" w:hint="default"/>
      </w:rPr>
    </w:lvl>
    <w:lvl w:ilvl="8" w:tplc="2B3E7224" w:tentative="1">
      <w:start w:val="1"/>
      <w:numFmt w:val="bullet"/>
      <w:lvlText w:val="•"/>
      <w:lvlJc w:val="left"/>
      <w:pPr>
        <w:tabs>
          <w:tab w:val="num" w:pos="6480"/>
        </w:tabs>
        <w:ind w:left="6480" w:hanging="360"/>
      </w:pPr>
      <w:rPr>
        <w:rFonts w:ascii="Times New Roman" w:hAnsi="Times New Roman" w:hint="default"/>
      </w:rPr>
    </w:lvl>
  </w:abstractNum>
  <w:abstractNum w:abstractNumId="5">
    <w:nsid w:val="44EE0E84"/>
    <w:multiLevelType w:val="hybridMultilevel"/>
    <w:tmpl w:val="218EC6BC"/>
    <w:lvl w:ilvl="0" w:tplc="D63A22E6">
      <w:start w:val="1"/>
      <w:numFmt w:val="bullet"/>
      <w:lvlText w:val="•"/>
      <w:lvlJc w:val="left"/>
      <w:pPr>
        <w:tabs>
          <w:tab w:val="num" w:pos="720"/>
        </w:tabs>
        <w:ind w:left="720" w:hanging="360"/>
      </w:pPr>
      <w:rPr>
        <w:rFonts w:ascii="Times New Roman" w:hAnsi="Times New Roman" w:hint="default"/>
      </w:rPr>
    </w:lvl>
    <w:lvl w:ilvl="1" w:tplc="2CD8DA26" w:tentative="1">
      <w:start w:val="1"/>
      <w:numFmt w:val="bullet"/>
      <w:lvlText w:val="•"/>
      <w:lvlJc w:val="left"/>
      <w:pPr>
        <w:tabs>
          <w:tab w:val="num" w:pos="1440"/>
        </w:tabs>
        <w:ind w:left="1440" w:hanging="360"/>
      </w:pPr>
      <w:rPr>
        <w:rFonts w:ascii="Times New Roman" w:hAnsi="Times New Roman" w:hint="default"/>
      </w:rPr>
    </w:lvl>
    <w:lvl w:ilvl="2" w:tplc="9DD804D2" w:tentative="1">
      <w:start w:val="1"/>
      <w:numFmt w:val="bullet"/>
      <w:lvlText w:val="•"/>
      <w:lvlJc w:val="left"/>
      <w:pPr>
        <w:tabs>
          <w:tab w:val="num" w:pos="2160"/>
        </w:tabs>
        <w:ind w:left="2160" w:hanging="360"/>
      </w:pPr>
      <w:rPr>
        <w:rFonts w:ascii="Times New Roman" w:hAnsi="Times New Roman" w:hint="default"/>
      </w:rPr>
    </w:lvl>
    <w:lvl w:ilvl="3" w:tplc="69DA531A" w:tentative="1">
      <w:start w:val="1"/>
      <w:numFmt w:val="bullet"/>
      <w:lvlText w:val="•"/>
      <w:lvlJc w:val="left"/>
      <w:pPr>
        <w:tabs>
          <w:tab w:val="num" w:pos="2880"/>
        </w:tabs>
        <w:ind w:left="2880" w:hanging="360"/>
      </w:pPr>
      <w:rPr>
        <w:rFonts w:ascii="Times New Roman" w:hAnsi="Times New Roman" w:hint="default"/>
      </w:rPr>
    </w:lvl>
    <w:lvl w:ilvl="4" w:tplc="6F1C0368" w:tentative="1">
      <w:start w:val="1"/>
      <w:numFmt w:val="bullet"/>
      <w:lvlText w:val="•"/>
      <w:lvlJc w:val="left"/>
      <w:pPr>
        <w:tabs>
          <w:tab w:val="num" w:pos="3600"/>
        </w:tabs>
        <w:ind w:left="3600" w:hanging="360"/>
      </w:pPr>
      <w:rPr>
        <w:rFonts w:ascii="Times New Roman" w:hAnsi="Times New Roman" w:hint="default"/>
      </w:rPr>
    </w:lvl>
    <w:lvl w:ilvl="5" w:tplc="15BC3B56" w:tentative="1">
      <w:start w:val="1"/>
      <w:numFmt w:val="bullet"/>
      <w:lvlText w:val="•"/>
      <w:lvlJc w:val="left"/>
      <w:pPr>
        <w:tabs>
          <w:tab w:val="num" w:pos="4320"/>
        </w:tabs>
        <w:ind w:left="4320" w:hanging="360"/>
      </w:pPr>
      <w:rPr>
        <w:rFonts w:ascii="Times New Roman" w:hAnsi="Times New Roman" w:hint="default"/>
      </w:rPr>
    </w:lvl>
    <w:lvl w:ilvl="6" w:tplc="A344F1D8" w:tentative="1">
      <w:start w:val="1"/>
      <w:numFmt w:val="bullet"/>
      <w:lvlText w:val="•"/>
      <w:lvlJc w:val="left"/>
      <w:pPr>
        <w:tabs>
          <w:tab w:val="num" w:pos="5040"/>
        </w:tabs>
        <w:ind w:left="5040" w:hanging="360"/>
      </w:pPr>
      <w:rPr>
        <w:rFonts w:ascii="Times New Roman" w:hAnsi="Times New Roman" w:hint="default"/>
      </w:rPr>
    </w:lvl>
    <w:lvl w:ilvl="7" w:tplc="916C8596" w:tentative="1">
      <w:start w:val="1"/>
      <w:numFmt w:val="bullet"/>
      <w:lvlText w:val="•"/>
      <w:lvlJc w:val="left"/>
      <w:pPr>
        <w:tabs>
          <w:tab w:val="num" w:pos="5760"/>
        </w:tabs>
        <w:ind w:left="5760" w:hanging="360"/>
      </w:pPr>
      <w:rPr>
        <w:rFonts w:ascii="Times New Roman" w:hAnsi="Times New Roman" w:hint="default"/>
      </w:rPr>
    </w:lvl>
    <w:lvl w:ilvl="8" w:tplc="66E01E7A" w:tentative="1">
      <w:start w:val="1"/>
      <w:numFmt w:val="bullet"/>
      <w:lvlText w:val="•"/>
      <w:lvlJc w:val="left"/>
      <w:pPr>
        <w:tabs>
          <w:tab w:val="num" w:pos="6480"/>
        </w:tabs>
        <w:ind w:left="6480" w:hanging="360"/>
      </w:pPr>
      <w:rPr>
        <w:rFonts w:ascii="Times New Roman" w:hAnsi="Times New Roman" w:hint="default"/>
      </w:rPr>
    </w:lvl>
  </w:abstractNum>
  <w:abstractNum w:abstractNumId="6">
    <w:nsid w:val="4A4D4331"/>
    <w:multiLevelType w:val="hybridMultilevel"/>
    <w:tmpl w:val="E2022A66"/>
    <w:lvl w:ilvl="0" w:tplc="065C575A">
      <w:start w:val="1"/>
      <w:numFmt w:val="bullet"/>
      <w:lvlText w:val="•"/>
      <w:lvlJc w:val="left"/>
      <w:pPr>
        <w:tabs>
          <w:tab w:val="num" w:pos="720"/>
        </w:tabs>
        <w:ind w:left="720" w:hanging="360"/>
      </w:pPr>
      <w:rPr>
        <w:rFonts w:ascii="Times New Roman" w:hAnsi="Times New Roman" w:hint="default"/>
      </w:rPr>
    </w:lvl>
    <w:lvl w:ilvl="1" w:tplc="786667C0">
      <w:start w:val="1671"/>
      <w:numFmt w:val="bullet"/>
      <w:lvlText w:val="–"/>
      <w:lvlJc w:val="left"/>
      <w:pPr>
        <w:tabs>
          <w:tab w:val="num" w:pos="1440"/>
        </w:tabs>
        <w:ind w:left="1440" w:hanging="360"/>
      </w:pPr>
      <w:rPr>
        <w:rFonts w:ascii="Arial" w:hAnsi="Arial" w:hint="default"/>
      </w:rPr>
    </w:lvl>
    <w:lvl w:ilvl="2" w:tplc="90103DDA">
      <w:start w:val="1671"/>
      <w:numFmt w:val="bullet"/>
      <w:lvlText w:val="•"/>
      <w:lvlJc w:val="left"/>
      <w:pPr>
        <w:tabs>
          <w:tab w:val="num" w:pos="2160"/>
        </w:tabs>
        <w:ind w:left="2160" w:hanging="360"/>
      </w:pPr>
      <w:rPr>
        <w:rFonts w:ascii="Times New Roman" w:hAnsi="Times New Roman" w:hint="default"/>
      </w:rPr>
    </w:lvl>
    <w:lvl w:ilvl="3" w:tplc="3222C376" w:tentative="1">
      <w:start w:val="1"/>
      <w:numFmt w:val="bullet"/>
      <w:lvlText w:val="•"/>
      <w:lvlJc w:val="left"/>
      <w:pPr>
        <w:tabs>
          <w:tab w:val="num" w:pos="2880"/>
        </w:tabs>
        <w:ind w:left="2880" w:hanging="360"/>
      </w:pPr>
      <w:rPr>
        <w:rFonts w:ascii="Times New Roman" w:hAnsi="Times New Roman" w:hint="default"/>
      </w:rPr>
    </w:lvl>
    <w:lvl w:ilvl="4" w:tplc="180E2E56" w:tentative="1">
      <w:start w:val="1"/>
      <w:numFmt w:val="bullet"/>
      <w:lvlText w:val="•"/>
      <w:lvlJc w:val="left"/>
      <w:pPr>
        <w:tabs>
          <w:tab w:val="num" w:pos="3600"/>
        </w:tabs>
        <w:ind w:left="3600" w:hanging="360"/>
      </w:pPr>
      <w:rPr>
        <w:rFonts w:ascii="Times New Roman" w:hAnsi="Times New Roman" w:hint="default"/>
      </w:rPr>
    </w:lvl>
    <w:lvl w:ilvl="5" w:tplc="E662CA8A" w:tentative="1">
      <w:start w:val="1"/>
      <w:numFmt w:val="bullet"/>
      <w:lvlText w:val="•"/>
      <w:lvlJc w:val="left"/>
      <w:pPr>
        <w:tabs>
          <w:tab w:val="num" w:pos="4320"/>
        </w:tabs>
        <w:ind w:left="4320" w:hanging="360"/>
      </w:pPr>
      <w:rPr>
        <w:rFonts w:ascii="Times New Roman" w:hAnsi="Times New Roman" w:hint="default"/>
      </w:rPr>
    </w:lvl>
    <w:lvl w:ilvl="6" w:tplc="ABD0FE7A" w:tentative="1">
      <w:start w:val="1"/>
      <w:numFmt w:val="bullet"/>
      <w:lvlText w:val="•"/>
      <w:lvlJc w:val="left"/>
      <w:pPr>
        <w:tabs>
          <w:tab w:val="num" w:pos="5040"/>
        </w:tabs>
        <w:ind w:left="5040" w:hanging="360"/>
      </w:pPr>
      <w:rPr>
        <w:rFonts w:ascii="Times New Roman" w:hAnsi="Times New Roman" w:hint="default"/>
      </w:rPr>
    </w:lvl>
    <w:lvl w:ilvl="7" w:tplc="4258BE2A" w:tentative="1">
      <w:start w:val="1"/>
      <w:numFmt w:val="bullet"/>
      <w:lvlText w:val="•"/>
      <w:lvlJc w:val="left"/>
      <w:pPr>
        <w:tabs>
          <w:tab w:val="num" w:pos="5760"/>
        </w:tabs>
        <w:ind w:left="5760" w:hanging="360"/>
      </w:pPr>
      <w:rPr>
        <w:rFonts w:ascii="Times New Roman" w:hAnsi="Times New Roman" w:hint="default"/>
      </w:rPr>
    </w:lvl>
    <w:lvl w:ilvl="8" w:tplc="CCB27E88" w:tentative="1">
      <w:start w:val="1"/>
      <w:numFmt w:val="bullet"/>
      <w:lvlText w:val="•"/>
      <w:lvlJc w:val="left"/>
      <w:pPr>
        <w:tabs>
          <w:tab w:val="num" w:pos="6480"/>
        </w:tabs>
        <w:ind w:left="6480" w:hanging="360"/>
      </w:pPr>
      <w:rPr>
        <w:rFonts w:ascii="Times New Roman" w:hAnsi="Times New Roman" w:hint="default"/>
      </w:rPr>
    </w:lvl>
  </w:abstractNum>
  <w:abstractNum w:abstractNumId="7">
    <w:nsid w:val="4F8C0353"/>
    <w:multiLevelType w:val="hybridMultilevel"/>
    <w:tmpl w:val="60E6D59A"/>
    <w:lvl w:ilvl="0" w:tplc="178E17AA">
      <w:start w:val="1"/>
      <w:numFmt w:val="bullet"/>
      <w:lvlText w:val="•"/>
      <w:lvlJc w:val="left"/>
      <w:pPr>
        <w:tabs>
          <w:tab w:val="num" w:pos="720"/>
        </w:tabs>
        <w:ind w:left="720" w:hanging="360"/>
      </w:pPr>
      <w:rPr>
        <w:rFonts w:ascii="Times New Roman" w:hAnsi="Times New Roman" w:hint="default"/>
      </w:rPr>
    </w:lvl>
    <w:lvl w:ilvl="1" w:tplc="2584A9BC">
      <w:start w:val="1786"/>
      <w:numFmt w:val="bullet"/>
      <w:lvlText w:val="–"/>
      <w:lvlJc w:val="left"/>
      <w:pPr>
        <w:tabs>
          <w:tab w:val="num" w:pos="1440"/>
        </w:tabs>
        <w:ind w:left="1440" w:hanging="360"/>
      </w:pPr>
      <w:rPr>
        <w:rFonts w:ascii="Arial" w:hAnsi="Arial" w:hint="default"/>
      </w:rPr>
    </w:lvl>
    <w:lvl w:ilvl="2" w:tplc="06707908">
      <w:start w:val="1"/>
      <w:numFmt w:val="decimal"/>
      <w:lvlText w:val="%3."/>
      <w:lvlJc w:val="left"/>
      <w:pPr>
        <w:tabs>
          <w:tab w:val="num" w:pos="2160"/>
        </w:tabs>
        <w:ind w:left="2160" w:hanging="360"/>
      </w:pPr>
    </w:lvl>
    <w:lvl w:ilvl="3" w:tplc="BB540A46" w:tentative="1">
      <w:start w:val="1"/>
      <w:numFmt w:val="bullet"/>
      <w:lvlText w:val="•"/>
      <w:lvlJc w:val="left"/>
      <w:pPr>
        <w:tabs>
          <w:tab w:val="num" w:pos="2880"/>
        </w:tabs>
        <w:ind w:left="2880" w:hanging="360"/>
      </w:pPr>
      <w:rPr>
        <w:rFonts w:ascii="Times New Roman" w:hAnsi="Times New Roman" w:hint="default"/>
      </w:rPr>
    </w:lvl>
    <w:lvl w:ilvl="4" w:tplc="58ECDF80" w:tentative="1">
      <w:start w:val="1"/>
      <w:numFmt w:val="bullet"/>
      <w:lvlText w:val="•"/>
      <w:lvlJc w:val="left"/>
      <w:pPr>
        <w:tabs>
          <w:tab w:val="num" w:pos="3600"/>
        </w:tabs>
        <w:ind w:left="3600" w:hanging="360"/>
      </w:pPr>
      <w:rPr>
        <w:rFonts w:ascii="Times New Roman" w:hAnsi="Times New Roman" w:hint="default"/>
      </w:rPr>
    </w:lvl>
    <w:lvl w:ilvl="5" w:tplc="E6144676" w:tentative="1">
      <w:start w:val="1"/>
      <w:numFmt w:val="bullet"/>
      <w:lvlText w:val="•"/>
      <w:lvlJc w:val="left"/>
      <w:pPr>
        <w:tabs>
          <w:tab w:val="num" w:pos="4320"/>
        </w:tabs>
        <w:ind w:left="4320" w:hanging="360"/>
      </w:pPr>
      <w:rPr>
        <w:rFonts w:ascii="Times New Roman" w:hAnsi="Times New Roman" w:hint="default"/>
      </w:rPr>
    </w:lvl>
    <w:lvl w:ilvl="6" w:tplc="68227168" w:tentative="1">
      <w:start w:val="1"/>
      <w:numFmt w:val="bullet"/>
      <w:lvlText w:val="•"/>
      <w:lvlJc w:val="left"/>
      <w:pPr>
        <w:tabs>
          <w:tab w:val="num" w:pos="5040"/>
        </w:tabs>
        <w:ind w:left="5040" w:hanging="360"/>
      </w:pPr>
      <w:rPr>
        <w:rFonts w:ascii="Times New Roman" w:hAnsi="Times New Roman" w:hint="default"/>
      </w:rPr>
    </w:lvl>
    <w:lvl w:ilvl="7" w:tplc="06903F34" w:tentative="1">
      <w:start w:val="1"/>
      <w:numFmt w:val="bullet"/>
      <w:lvlText w:val="•"/>
      <w:lvlJc w:val="left"/>
      <w:pPr>
        <w:tabs>
          <w:tab w:val="num" w:pos="5760"/>
        </w:tabs>
        <w:ind w:left="5760" w:hanging="360"/>
      </w:pPr>
      <w:rPr>
        <w:rFonts w:ascii="Times New Roman" w:hAnsi="Times New Roman" w:hint="default"/>
      </w:rPr>
    </w:lvl>
    <w:lvl w:ilvl="8" w:tplc="140099E2" w:tentative="1">
      <w:start w:val="1"/>
      <w:numFmt w:val="bullet"/>
      <w:lvlText w:val="•"/>
      <w:lvlJc w:val="left"/>
      <w:pPr>
        <w:tabs>
          <w:tab w:val="num" w:pos="6480"/>
        </w:tabs>
        <w:ind w:left="6480" w:hanging="360"/>
      </w:pPr>
      <w:rPr>
        <w:rFonts w:ascii="Times New Roman" w:hAnsi="Times New Roman" w:hint="default"/>
      </w:rPr>
    </w:lvl>
  </w:abstractNum>
  <w:abstractNum w:abstractNumId="8">
    <w:nsid w:val="53692708"/>
    <w:multiLevelType w:val="hybridMultilevel"/>
    <w:tmpl w:val="38022FAC"/>
    <w:lvl w:ilvl="0" w:tplc="4ED0180C">
      <w:start w:val="1"/>
      <w:numFmt w:val="bullet"/>
      <w:lvlText w:val="•"/>
      <w:lvlJc w:val="left"/>
      <w:pPr>
        <w:tabs>
          <w:tab w:val="num" w:pos="720"/>
        </w:tabs>
        <w:ind w:left="720" w:hanging="360"/>
      </w:pPr>
      <w:rPr>
        <w:rFonts w:ascii="Times New Roman" w:hAnsi="Times New Roman" w:hint="default"/>
      </w:rPr>
    </w:lvl>
    <w:lvl w:ilvl="1" w:tplc="DE18DB00">
      <w:start w:val="1786"/>
      <w:numFmt w:val="bullet"/>
      <w:lvlText w:val="–"/>
      <w:lvlJc w:val="left"/>
      <w:pPr>
        <w:tabs>
          <w:tab w:val="num" w:pos="1440"/>
        </w:tabs>
        <w:ind w:left="1440" w:hanging="360"/>
      </w:pPr>
      <w:rPr>
        <w:rFonts w:ascii="Arial" w:hAnsi="Arial" w:hint="default"/>
      </w:rPr>
    </w:lvl>
    <w:lvl w:ilvl="2" w:tplc="28CC9944" w:tentative="1">
      <w:start w:val="1"/>
      <w:numFmt w:val="bullet"/>
      <w:lvlText w:val="•"/>
      <w:lvlJc w:val="left"/>
      <w:pPr>
        <w:tabs>
          <w:tab w:val="num" w:pos="2160"/>
        </w:tabs>
        <w:ind w:left="2160" w:hanging="360"/>
      </w:pPr>
      <w:rPr>
        <w:rFonts w:ascii="Times New Roman" w:hAnsi="Times New Roman" w:hint="default"/>
      </w:rPr>
    </w:lvl>
    <w:lvl w:ilvl="3" w:tplc="7236EAE2" w:tentative="1">
      <w:start w:val="1"/>
      <w:numFmt w:val="bullet"/>
      <w:lvlText w:val="•"/>
      <w:lvlJc w:val="left"/>
      <w:pPr>
        <w:tabs>
          <w:tab w:val="num" w:pos="2880"/>
        </w:tabs>
        <w:ind w:left="2880" w:hanging="360"/>
      </w:pPr>
      <w:rPr>
        <w:rFonts w:ascii="Times New Roman" w:hAnsi="Times New Roman" w:hint="default"/>
      </w:rPr>
    </w:lvl>
    <w:lvl w:ilvl="4" w:tplc="81BED130" w:tentative="1">
      <w:start w:val="1"/>
      <w:numFmt w:val="bullet"/>
      <w:lvlText w:val="•"/>
      <w:lvlJc w:val="left"/>
      <w:pPr>
        <w:tabs>
          <w:tab w:val="num" w:pos="3600"/>
        </w:tabs>
        <w:ind w:left="3600" w:hanging="360"/>
      </w:pPr>
      <w:rPr>
        <w:rFonts w:ascii="Times New Roman" w:hAnsi="Times New Roman" w:hint="default"/>
      </w:rPr>
    </w:lvl>
    <w:lvl w:ilvl="5" w:tplc="CFF2FCA6" w:tentative="1">
      <w:start w:val="1"/>
      <w:numFmt w:val="bullet"/>
      <w:lvlText w:val="•"/>
      <w:lvlJc w:val="left"/>
      <w:pPr>
        <w:tabs>
          <w:tab w:val="num" w:pos="4320"/>
        </w:tabs>
        <w:ind w:left="4320" w:hanging="360"/>
      </w:pPr>
      <w:rPr>
        <w:rFonts w:ascii="Times New Roman" w:hAnsi="Times New Roman" w:hint="default"/>
      </w:rPr>
    </w:lvl>
    <w:lvl w:ilvl="6" w:tplc="1F0684D0" w:tentative="1">
      <w:start w:val="1"/>
      <w:numFmt w:val="bullet"/>
      <w:lvlText w:val="•"/>
      <w:lvlJc w:val="left"/>
      <w:pPr>
        <w:tabs>
          <w:tab w:val="num" w:pos="5040"/>
        </w:tabs>
        <w:ind w:left="5040" w:hanging="360"/>
      </w:pPr>
      <w:rPr>
        <w:rFonts w:ascii="Times New Roman" w:hAnsi="Times New Roman" w:hint="default"/>
      </w:rPr>
    </w:lvl>
    <w:lvl w:ilvl="7" w:tplc="92705A6E" w:tentative="1">
      <w:start w:val="1"/>
      <w:numFmt w:val="bullet"/>
      <w:lvlText w:val="•"/>
      <w:lvlJc w:val="left"/>
      <w:pPr>
        <w:tabs>
          <w:tab w:val="num" w:pos="5760"/>
        </w:tabs>
        <w:ind w:left="5760" w:hanging="360"/>
      </w:pPr>
      <w:rPr>
        <w:rFonts w:ascii="Times New Roman" w:hAnsi="Times New Roman" w:hint="default"/>
      </w:rPr>
    </w:lvl>
    <w:lvl w:ilvl="8" w:tplc="81806BC2" w:tentative="1">
      <w:start w:val="1"/>
      <w:numFmt w:val="bullet"/>
      <w:lvlText w:val="•"/>
      <w:lvlJc w:val="left"/>
      <w:pPr>
        <w:tabs>
          <w:tab w:val="num" w:pos="6480"/>
        </w:tabs>
        <w:ind w:left="6480" w:hanging="360"/>
      </w:pPr>
      <w:rPr>
        <w:rFonts w:ascii="Times New Roman" w:hAnsi="Times New Roman" w:hint="default"/>
      </w:rPr>
    </w:lvl>
  </w:abstractNum>
  <w:abstractNum w:abstractNumId="9">
    <w:nsid w:val="70A11977"/>
    <w:multiLevelType w:val="hybridMultilevel"/>
    <w:tmpl w:val="46709252"/>
    <w:lvl w:ilvl="0" w:tplc="D5DE2FEC">
      <w:start w:val="1"/>
      <w:numFmt w:val="bullet"/>
      <w:lvlText w:val="–"/>
      <w:lvlJc w:val="left"/>
      <w:pPr>
        <w:tabs>
          <w:tab w:val="num" w:pos="720"/>
        </w:tabs>
        <w:ind w:left="720" w:hanging="360"/>
      </w:pPr>
      <w:rPr>
        <w:rFonts w:ascii="Arial" w:hAnsi="Arial" w:hint="default"/>
      </w:rPr>
    </w:lvl>
    <w:lvl w:ilvl="1" w:tplc="C6A8CFA2">
      <w:start w:val="1"/>
      <w:numFmt w:val="bullet"/>
      <w:lvlText w:val="–"/>
      <w:lvlJc w:val="left"/>
      <w:pPr>
        <w:tabs>
          <w:tab w:val="num" w:pos="1440"/>
        </w:tabs>
        <w:ind w:left="1440" w:hanging="360"/>
      </w:pPr>
      <w:rPr>
        <w:rFonts w:ascii="Arial" w:hAnsi="Arial" w:hint="default"/>
      </w:rPr>
    </w:lvl>
    <w:lvl w:ilvl="2" w:tplc="12C8C7FA" w:tentative="1">
      <w:start w:val="1"/>
      <w:numFmt w:val="bullet"/>
      <w:lvlText w:val="–"/>
      <w:lvlJc w:val="left"/>
      <w:pPr>
        <w:tabs>
          <w:tab w:val="num" w:pos="2160"/>
        </w:tabs>
        <w:ind w:left="2160" w:hanging="360"/>
      </w:pPr>
      <w:rPr>
        <w:rFonts w:ascii="Arial" w:hAnsi="Arial" w:hint="default"/>
      </w:rPr>
    </w:lvl>
    <w:lvl w:ilvl="3" w:tplc="78C6E19E" w:tentative="1">
      <w:start w:val="1"/>
      <w:numFmt w:val="bullet"/>
      <w:lvlText w:val="–"/>
      <w:lvlJc w:val="left"/>
      <w:pPr>
        <w:tabs>
          <w:tab w:val="num" w:pos="2880"/>
        </w:tabs>
        <w:ind w:left="2880" w:hanging="360"/>
      </w:pPr>
      <w:rPr>
        <w:rFonts w:ascii="Arial" w:hAnsi="Arial" w:hint="default"/>
      </w:rPr>
    </w:lvl>
    <w:lvl w:ilvl="4" w:tplc="0F1C16F0" w:tentative="1">
      <w:start w:val="1"/>
      <w:numFmt w:val="bullet"/>
      <w:lvlText w:val="–"/>
      <w:lvlJc w:val="left"/>
      <w:pPr>
        <w:tabs>
          <w:tab w:val="num" w:pos="3600"/>
        </w:tabs>
        <w:ind w:left="3600" w:hanging="360"/>
      </w:pPr>
      <w:rPr>
        <w:rFonts w:ascii="Arial" w:hAnsi="Arial" w:hint="default"/>
      </w:rPr>
    </w:lvl>
    <w:lvl w:ilvl="5" w:tplc="486249B4" w:tentative="1">
      <w:start w:val="1"/>
      <w:numFmt w:val="bullet"/>
      <w:lvlText w:val="–"/>
      <w:lvlJc w:val="left"/>
      <w:pPr>
        <w:tabs>
          <w:tab w:val="num" w:pos="4320"/>
        </w:tabs>
        <w:ind w:left="4320" w:hanging="360"/>
      </w:pPr>
      <w:rPr>
        <w:rFonts w:ascii="Arial" w:hAnsi="Arial" w:hint="default"/>
      </w:rPr>
    </w:lvl>
    <w:lvl w:ilvl="6" w:tplc="DD44007A" w:tentative="1">
      <w:start w:val="1"/>
      <w:numFmt w:val="bullet"/>
      <w:lvlText w:val="–"/>
      <w:lvlJc w:val="left"/>
      <w:pPr>
        <w:tabs>
          <w:tab w:val="num" w:pos="5040"/>
        </w:tabs>
        <w:ind w:left="5040" w:hanging="360"/>
      </w:pPr>
      <w:rPr>
        <w:rFonts w:ascii="Arial" w:hAnsi="Arial" w:hint="default"/>
      </w:rPr>
    </w:lvl>
    <w:lvl w:ilvl="7" w:tplc="A13613D2" w:tentative="1">
      <w:start w:val="1"/>
      <w:numFmt w:val="bullet"/>
      <w:lvlText w:val="–"/>
      <w:lvlJc w:val="left"/>
      <w:pPr>
        <w:tabs>
          <w:tab w:val="num" w:pos="5760"/>
        </w:tabs>
        <w:ind w:left="5760" w:hanging="360"/>
      </w:pPr>
      <w:rPr>
        <w:rFonts w:ascii="Arial" w:hAnsi="Arial" w:hint="default"/>
      </w:rPr>
    </w:lvl>
    <w:lvl w:ilvl="8" w:tplc="B11AA492" w:tentative="1">
      <w:start w:val="1"/>
      <w:numFmt w:val="bullet"/>
      <w:lvlText w:val="–"/>
      <w:lvlJc w:val="left"/>
      <w:pPr>
        <w:tabs>
          <w:tab w:val="num" w:pos="6480"/>
        </w:tabs>
        <w:ind w:left="6480" w:hanging="360"/>
      </w:pPr>
      <w:rPr>
        <w:rFonts w:ascii="Arial" w:hAnsi="Arial" w:hint="default"/>
      </w:rPr>
    </w:lvl>
  </w:abstractNum>
  <w:abstractNum w:abstractNumId="10">
    <w:nsid w:val="765D1E70"/>
    <w:multiLevelType w:val="hybridMultilevel"/>
    <w:tmpl w:val="D644AB46"/>
    <w:lvl w:ilvl="0" w:tplc="36908792">
      <w:start w:val="1"/>
      <w:numFmt w:val="bullet"/>
      <w:lvlText w:val="•"/>
      <w:lvlJc w:val="left"/>
      <w:pPr>
        <w:tabs>
          <w:tab w:val="num" w:pos="720"/>
        </w:tabs>
        <w:ind w:left="720" w:hanging="360"/>
      </w:pPr>
      <w:rPr>
        <w:rFonts w:ascii="Times New Roman" w:hAnsi="Times New Roman" w:hint="default"/>
      </w:rPr>
    </w:lvl>
    <w:lvl w:ilvl="1" w:tplc="83689EC0" w:tentative="1">
      <w:start w:val="1"/>
      <w:numFmt w:val="bullet"/>
      <w:lvlText w:val="•"/>
      <w:lvlJc w:val="left"/>
      <w:pPr>
        <w:tabs>
          <w:tab w:val="num" w:pos="1440"/>
        </w:tabs>
        <w:ind w:left="1440" w:hanging="360"/>
      </w:pPr>
      <w:rPr>
        <w:rFonts w:ascii="Times New Roman" w:hAnsi="Times New Roman" w:hint="default"/>
      </w:rPr>
    </w:lvl>
    <w:lvl w:ilvl="2" w:tplc="CB482410" w:tentative="1">
      <w:start w:val="1"/>
      <w:numFmt w:val="bullet"/>
      <w:lvlText w:val="•"/>
      <w:lvlJc w:val="left"/>
      <w:pPr>
        <w:tabs>
          <w:tab w:val="num" w:pos="2160"/>
        </w:tabs>
        <w:ind w:left="2160" w:hanging="360"/>
      </w:pPr>
      <w:rPr>
        <w:rFonts w:ascii="Times New Roman" w:hAnsi="Times New Roman" w:hint="default"/>
      </w:rPr>
    </w:lvl>
    <w:lvl w:ilvl="3" w:tplc="D93685C6" w:tentative="1">
      <w:start w:val="1"/>
      <w:numFmt w:val="bullet"/>
      <w:lvlText w:val="•"/>
      <w:lvlJc w:val="left"/>
      <w:pPr>
        <w:tabs>
          <w:tab w:val="num" w:pos="2880"/>
        </w:tabs>
        <w:ind w:left="2880" w:hanging="360"/>
      </w:pPr>
      <w:rPr>
        <w:rFonts w:ascii="Times New Roman" w:hAnsi="Times New Roman" w:hint="default"/>
      </w:rPr>
    </w:lvl>
    <w:lvl w:ilvl="4" w:tplc="8188B3F8" w:tentative="1">
      <w:start w:val="1"/>
      <w:numFmt w:val="bullet"/>
      <w:lvlText w:val="•"/>
      <w:lvlJc w:val="left"/>
      <w:pPr>
        <w:tabs>
          <w:tab w:val="num" w:pos="3600"/>
        </w:tabs>
        <w:ind w:left="3600" w:hanging="360"/>
      </w:pPr>
      <w:rPr>
        <w:rFonts w:ascii="Times New Roman" w:hAnsi="Times New Roman" w:hint="default"/>
      </w:rPr>
    </w:lvl>
    <w:lvl w:ilvl="5" w:tplc="D1624C9C" w:tentative="1">
      <w:start w:val="1"/>
      <w:numFmt w:val="bullet"/>
      <w:lvlText w:val="•"/>
      <w:lvlJc w:val="left"/>
      <w:pPr>
        <w:tabs>
          <w:tab w:val="num" w:pos="4320"/>
        </w:tabs>
        <w:ind w:left="4320" w:hanging="360"/>
      </w:pPr>
      <w:rPr>
        <w:rFonts w:ascii="Times New Roman" w:hAnsi="Times New Roman" w:hint="default"/>
      </w:rPr>
    </w:lvl>
    <w:lvl w:ilvl="6" w:tplc="7736D6C2" w:tentative="1">
      <w:start w:val="1"/>
      <w:numFmt w:val="bullet"/>
      <w:lvlText w:val="•"/>
      <w:lvlJc w:val="left"/>
      <w:pPr>
        <w:tabs>
          <w:tab w:val="num" w:pos="5040"/>
        </w:tabs>
        <w:ind w:left="5040" w:hanging="360"/>
      </w:pPr>
      <w:rPr>
        <w:rFonts w:ascii="Times New Roman" w:hAnsi="Times New Roman" w:hint="default"/>
      </w:rPr>
    </w:lvl>
    <w:lvl w:ilvl="7" w:tplc="84425672" w:tentative="1">
      <w:start w:val="1"/>
      <w:numFmt w:val="bullet"/>
      <w:lvlText w:val="•"/>
      <w:lvlJc w:val="left"/>
      <w:pPr>
        <w:tabs>
          <w:tab w:val="num" w:pos="5760"/>
        </w:tabs>
        <w:ind w:left="5760" w:hanging="360"/>
      </w:pPr>
      <w:rPr>
        <w:rFonts w:ascii="Times New Roman" w:hAnsi="Times New Roman" w:hint="default"/>
      </w:rPr>
    </w:lvl>
    <w:lvl w:ilvl="8" w:tplc="E19E128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6CC37E0"/>
    <w:multiLevelType w:val="hybridMultilevel"/>
    <w:tmpl w:val="80C2F0A0"/>
    <w:lvl w:ilvl="0" w:tplc="B1127FD6">
      <w:start w:val="1"/>
      <w:numFmt w:val="bullet"/>
      <w:lvlText w:val="–"/>
      <w:lvlJc w:val="left"/>
      <w:pPr>
        <w:tabs>
          <w:tab w:val="num" w:pos="720"/>
        </w:tabs>
        <w:ind w:left="720" w:hanging="360"/>
      </w:pPr>
      <w:rPr>
        <w:rFonts w:ascii="Arial" w:hAnsi="Arial" w:hint="default"/>
      </w:rPr>
    </w:lvl>
    <w:lvl w:ilvl="1" w:tplc="BECE76BA">
      <w:start w:val="1"/>
      <w:numFmt w:val="bullet"/>
      <w:lvlText w:val="–"/>
      <w:lvlJc w:val="left"/>
      <w:pPr>
        <w:tabs>
          <w:tab w:val="num" w:pos="1440"/>
        </w:tabs>
        <w:ind w:left="1440" w:hanging="360"/>
      </w:pPr>
      <w:rPr>
        <w:rFonts w:ascii="Arial" w:hAnsi="Arial" w:hint="default"/>
      </w:rPr>
    </w:lvl>
    <w:lvl w:ilvl="2" w:tplc="4BFECAF4" w:tentative="1">
      <w:start w:val="1"/>
      <w:numFmt w:val="bullet"/>
      <w:lvlText w:val="–"/>
      <w:lvlJc w:val="left"/>
      <w:pPr>
        <w:tabs>
          <w:tab w:val="num" w:pos="2160"/>
        </w:tabs>
        <w:ind w:left="2160" w:hanging="360"/>
      </w:pPr>
      <w:rPr>
        <w:rFonts w:ascii="Arial" w:hAnsi="Arial" w:hint="default"/>
      </w:rPr>
    </w:lvl>
    <w:lvl w:ilvl="3" w:tplc="8C204A1C" w:tentative="1">
      <w:start w:val="1"/>
      <w:numFmt w:val="bullet"/>
      <w:lvlText w:val="–"/>
      <w:lvlJc w:val="left"/>
      <w:pPr>
        <w:tabs>
          <w:tab w:val="num" w:pos="2880"/>
        </w:tabs>
        <w:ind w:left="2880" w:hanging="360"/>
      </w:pPr>
      <w:rPr>
        <w:rFonts w:ascii="Arial" w:hAnsi="Arial" w:hint="default"/>
      </w:rPr>
    </w:lvl>
    <w:lvl w:ilvl="4" w:tplc="A382519C" w:tentative="1">
      <w:start w:val="1"/>
      <w:numFmt w:val="bullet"/>
      <w:lvlText w:val="–"/>
      <w:lvlJc w:val="left"/>
      <w:pPr>
        <w:tabs>
          <w:tab w:val="num" w:pos="3600"/>
        </w:tabs>
        <w:ind w:left="3600" w:hanging="360"/>
      </w:pPr>
      <w:rPr>
        <w:rFonts w:ascii="Arial" w:hAnsi="Arial" w:hint="default"/>
      </w:rPr>
    </w:lvl>
    <w:lvl w:ilvl="5" w:tplc="54662C4C" w:tentative="1">
      <w:start w:val="1"/>
      <w:numFmt w:val="bullet"/>
      <w:lvlText w:val="–"/>
      <w:lvlJc w:val="left"/>
      <w:pPr>
        <w:tabs>
          <w:tab w:val="num" w:pos="4320"/>
        </w:tabs>
        <w:ind w:left="4320" w:hanging="360"/>
      </w:pPr>
      <w:rPr>
        <w:rFonts w:ascii="Arial" w:hAnsi="Arial" w:hint="default"/>
      </w:rPr>
    </w:lvl>
    <w:lvl w:ilvl="6" w:tplc="AC024D12" w:tentative="1">
      <w:start w:val="1"/>
      <w:numFmt w:val="bullet"/>
      <w:lvlText w:val="–"/>
      <w:lvlJc w:val="left"/>
      <w:pPr>
        <w:tabs>
          <w:tab w:val="num" w:pos="5040"/>
        </w:tabs>
        <w:ind w:left="5040" w:hanging="360"/>
      </w:pPr>
      <w:rPr>
        <w:rFonts w:ascii="Arial" w:hAnsi="Arial" w:hint="default"/>
      </w:rPr>
    </w:lvl>
    <w:lvl w:ilvl="7" w:tplc="070241EE" w:tentative="1">
      <w:start w:val="1"/>
      <w:numFmt w:val="bullet"/>
      <w:lvlText w:val="–"/>
      <w:lvlJc w:val="left"/>
      <w:pPr>
        <w:tabs>
          <w:tab w:val="num" w:pos="5760"/>
        </w:tabs>
        <w:ind w:left="5760" w:hanging="360"/>
      </w:pPr>
      <w:rPr>
        <w:rFonts w:ascii="Arial" w:hAnsi="Arial" w:hint="default"/>
      </w:rPr>
    </w:lvl>
    <w:lvl w:ilvl="8" w:tplc="9ABA4494"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2"/>
  </w:num>
  <w:num w:numId="3">
    <w:abstractNumId w:val="7"/>
  </w:num>
  <w:num w:numId="4">
    <w:abstractNumId w:val="5"/>
  </w:num>
  <w:num w:numId="5">
    <w:abstractNumId w:val="9"/>
  </w:num>
  <w:num w:numId="6">
    <w:abstractNumId w:val="11"/>
  </w:num>
  <w:num w:numId="7">
    <w:abstractNumId w:val="4"/>
  </w:num>
  <w:num w:numId="8">
    <w:abstractNumId w:val="6"/>
  </w:num>
  <w:num w:numId="9">
    <w:abstractNumId w:val="3"/>
  </w:num>
  <w:num w:numId="10">
    <w:abstractNumId w:val="8"/>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C855C0"/>
    <w:rsid w:val="00080A65"/>
    <w:rsid w:val="000B2570"/>
    <w:rsid w:val="001C1F9A"/>
    <w:rsid w:val="002270B5"/>
    <w:rsid w:val="0028171C"/>
    <w:rsid w:val="002F6D5F"/>
    <w:rsid w:val="00345B12"/>
    <w:rsid w:val="003610AD"/>
    <w:rsid w:val="003A6E78"/>
    <w:rsid w:val="004968EC"/>
    <w:rsid w:val="006805C2"/>
    <w:rsid w:val="00723ACF"/>
    <w:rsid w:val="00873B13"/>
    <w:rsid w:val="009F2810"/>
    <w:rsid w:val="00A01418"/>
    <w:rsid w:val="00A030DB"/>
    <w:rsid w:val="00AC5B8E"/>
    <w:rsid w:val="00C26C54"/>
    <w:rsid w:val="00C855C0"/>
    <w:rsid w:val="00CC444A"/>
    <w:rsid w:val="00CF0B1D"/>
    <w:rsid w:val="00DC6B7B"/>
    <w:rsid w:val="00E5414D"/>
    <w:rsid w:val="00E851D6"/>
    <w:rsid w:val="00E92A33"/>
    <w:rsid w:val="00FF10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AC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260003">
      <w:bodyDiv w:val="1"/>
      <w:marLeft w:val="0"/>
      <w:marRight w:val="0"/>
      <w:marTop w:val="0"/>
      <w:marBottom w:val="0"/>
      <w:divBdr>
        <w:top w:val="none" w:sz="0" w:space="0" w:color="auto"/>
        <w:left w:val="none" w:sz="0" w:space="0" w:color="auto"/>
        <w:bottom w:val="none" w:sz="0" w:space="0" w:color="auto"/>
        <w:right w:val="none" w:sz="0" w:space="0" w:color="auto"/>
      </w:divBdr>
      <w:divsChild>
        <w:div w:id="2060661698">
          <w:marLeft w:val="360"/>
          <w:marRight w:val="0"/>
          <w:marTop w:val="120"/>
          <w:marBottom w:val="0"/>
          <w:divBdr>
            <w:top w:val="none" w:sz="0" w:space="0" w:color="auto"/>
            <w:left w:val="none" w:sz="0" w:space="0" w:color="auto"/>
            <w:bottom w:val="none" w:sz="0" w:space="0" w:color="auto"/>
            <w:right w:val="none" w:sz="0" w:space="0" w:color="auto"/>
          </w:divBdr>
        </w:div>
        <w:div w:id="927277619">
          <w:marLeft w:val="907"/>
          <w:marRight w:val="0"/>
          <w:marTop w:val="120"/>
          <w:marBottom w:val="0"/>
          <w:divBdr>
            <w:top w:val="none" w:sz="0" w:space="0" w:color="auto"/>
            <w:left w:val="none" w:sz="0" w:space="0" w:color="auto"/>
            <w:bottom w:val="none" w:sz="0" w:space="0" w:color="auto"/>
            <w:right w:val="none" w:sz="0" w:space="0" w:color="auto"/>
          </w:divBdr>
        </w:div>
        <w:div w:id="2142768718">
          <w:marLeft w:val="1627"/>
          <w:marRight w:val="0"/>
          <w:marTop w:val="20"/>
          <w:marBottom w:val="0"/>
          <w:divBdr>
            <w:top w:val="none" w:sz="0" w:space="0" w:color="auto"/>
            <w:left w:val="none" w:sz="0" w:space="0" w:color="auto"/>
            <w:bottom w:val="none" w:sz="0" w:space="0" w:color="auto"/>
            <w:right w:val="none" w:sz="0" w:space="0" w:color="auto"/>
          </w:divBdr>
        </w:div>
        <w:div w:id="1272785798">
          <w:marLeft w:val="1627"/>
          <w:marRight w:val="0"/>
          <w:marTop w:val="20"/>
          <w:marBottom w:val="0"/>
          <w:divBdr>
            <w:top w:val="none" w:sz="0" w:space="0" w:color="auto"/>
            <w:left w:val="none" w:sz="0" w:space="0" w:color="auto"/>
            <w:bottom w:val="none" w:sz="0" w:space="0" w:color="auto"/>
            <w:right w:val="none" w:sz="0" w:space="0" w:color="auto"/>
          </w:divBdr>
        </w:div>
        <w:div w:id="1027482855">
          <w:marLeft w:val="907"/>
          <w:marRight w:val="0"/>
          <w:marTop w:val="20"/>
          <w:marBottom w:val="0"/>
          <w:divBdr>
            <w:top w:val="none" w:sz="0" w:space="0" w:color="auto"/>
            <w:left w:val="none" w:sz="0" w:space="0" w:color="auto"/>
            <w:bottom w:val="none" w:sz="0" w:space="0" w:color="auto"/>
            <w:right w:val="none" w:sz="0" w:space="0" w:color="auto"/>
          </w:divBdr>
        </w:div>
        <w:div w:id="1059206630">
          <w:marLeft w:val="907"/>
          <w:marRight w:val="0"/>
          <w:marTop w:val="20"/>
          <w:marBottom w:val="0"/>
          <w:divBdr>
            <w:top w:val="none" w:sz="0" w:space="0" w:color="auto"/>
            <w:left w:val="none" w:sz="0" w:space="0" w:color="auto"/>
            <w:bottom w:val="none" w:sz="0" w:space="0" w:color="auto"/>
            <w:right w:val="none" w:sz="0" w:space="0" w:color="auto"/>
          </w:divBdr>
        </w:div>
        <w:div w:id="1512833410">
          <w:marLeft w:val="360"/>
          <w:marRight w:val="0"/>
          <w:marTop w:val="20"/>
          <w:marBottom w:val="0"/>
          <w:divBdr>
            <w:top w:val="none" w:sz="0" w:space="0" w:color="auto"/>
            <w:left w:val="none" w:sz="0" w:space="0" w:color="auto"/>
            <w:bottom w:val="none" w:sz="0" w:space="0" w:color="auto"/>
            <w:right w:val="none" w:sz="0" w:space="0" w:color="auto"/>
          </w:divBdr>
        </w:div>
        <w:div w:id="1408725150">
          <w:marLeft w:val="907"/>
          <w:marRight w:val="0"/>
          <w:marTop w:val="20"/>
          <w:marBottom w:val="0"/>
          <w:divBdr>
            <w:top w:val="none" w:sz="0" w:space="0" w:color="auto"/>
            <w:left w:val="none" w:sz="0" w:space="0" w:color="auto"/>
            <w:bottom w:val="none" w:sz="0" w:space="0" w:color="auto"/>
            <w:right w:val="none" w:sz="0" w:space="0" w:color="auto"/>
          </w:divBdr>
        </w:div>
      </w:divsChild>
    </w:div>
    <w:div w:id="62606802">
      <w:bodyDiv w:val="1"/>
      <w:marLeft w:val="0"/>
      <w:marRight w:val="0"/>
      <w:marTop w:val="0"/>
      <w:marBottom w:val="0"/>
      <w:divBdr>
        <w:top w:val="none" w:sz="0" w:space="0" w:color="auto"/>
        <w:left w:val="none" w:sz="0" w:space="0" w:color="auto"/>
        <w:bottom w:val="none" w:sz="0" w:space="0" w:color="auto"/>
        <w:right w:val="none" w:sz="0" w:space="0" w:color="auto"/>
      </w:divBdr>
      <w:divsChild>
        <w:div w:id="1860659558">
          <w:marLeft w:val="360"/>
          <w:marRight w:val="0"/>
          <w:marTop w:val="384"/>
          <w:marBottom w:val="0"/>
          <w:divBdr>
            <w:top w:val="none" w:sz="0" w:space="0" w:color="auto"/>
            <w:left w:val="none" w:sz="0" w:space="0" w:color="auto"/>
            <w:bottom w:val="none" w:sz="0" w:space="0" w:color="auto"/>
            <w:right w:val="none" w:sz="0" w:space="0" w:color="auto"/>
          </w:divBdr>
        </w:div>
        <w:div w:id="47189348">
          <w:marLeft w:val="360"/>
          <w:marRight w:val="0"/>
          <w:marTop w:val="384"/>
          <w:marBottom w:val="0"/>
          <w:divBdr>
            <w:top w:val="none" w:sz="0" w:space="0" w:color="auto"/>
            <w:left w:val="none" w:sz="0" w:space="0" w:color="auto"/>
            <w:bottom w:val="none" w:sz="0" w:space="0" w:color="auto"/>
            <w:right w:val="none" w:sz="0" w:space="0" w:color="auto"/>
          </w:divBdr>
        </w:div>
        <w:div w:id="1101684392">
          <w:marLeft w:val="360"/>
          <w:marRight w:val="0"/>
          <w:marTop w:val="384"/>
          <w:marBottom w:val="0"/>
          <w:divBdr>
            <w:top w:val="none" w:sz="0" w:space="0" w:color="auto"/>
            <w:left w:val="none" w:sz="0" w:space="0" w:color="auto"/>
            <w:bottom w:val="none" w:sz="0" w:space="0" w:color="auto"/>
            <w:right w:val="none" w:sz="0" w:space="0" w:color="auto"/>
          </w:divBdr>
        </w:div>
        <w:div w:id="2013750901">
          <w:marLeft w:val="360"/>
          <w:marRight w:val="0"/>
          <w:marTop w:val="384"/>
          <w:marBottom w:val="0"/>
          <w:divBdr>
            <w:top w:val="none" w:sz="0" w:space="0" w:color="auto"/>
            <w:left w:val="none" w:sz="0" w:space="0" w:color="auto"/>
            <w:bottom w:val="none" w:sz="0" w:space="0" w:color="auto"/>
            <w:right w:val="none" w:sz="0" w:space="0" w:color="auto"/>
          </w:divBdr>
        </w:div>
        <w:div w:id="899099908">
          <w:marLeft w:val="360"/>
          <w:marRight w:val="0"/>
          <w:marTop w:val="384"/>
          <w:marBottom w:val="0"/>
          <w:divBdr>
            <w:top w:val="none" w:sz="0" w:space="0" w:color="auto"/>
            <w:left w:val="none" w:sz="0" w:space="0" w:color="auto"/>
            <w:bottom w:val="none" w:sz="0" w:space="0" w:color="auto"/>
            <w:right w:val="none" w:sz="0" w:space="0" w:color="auto"/>
          </w:divBdr>
        </w:div>
      </w:divsChild>
    </w:div>
    <w:div w:id="142818209">
      <w:bodyDiv w:val="1"/>
      <w:marLeft w:val="0"/>
      <w:marRight w:val="0"/>
      <w:marTop w:val="0"/>
      <w:marBottom w:val="0"/>
      <w:divBdr>
        <w:top w:val="none" w:sz="0" w:space="0" w:color="auto"/>
        <w:left w:val="none" w:sz="0" w:space="0" w:color="auto"/>
        <w:bottom w:val="none" w:sz="0" w:space="0" w:color="auto"/>
        <w:right w:val="none" w:sz="0" w:space="0" w:color="auto"/>
      </w:divBdr>
      <w:divsChild>
        <w:div w:id="1538352873">
          <w:marLeft w:val="360"/>
          <w:marRight w:val="0"/>
          <w:marTop w:val="20"/>
          <w:marBottom w:val="0"/>
          <w:divBdr>
            <w:top w:val="none" w:sz="0" w:space="0" w:color="auto"/>
            <w:left w:val="none" w:sz="0" w:space="0" w:color="auto"/>
            <w:bottom w:val="none" w:sz="0" w:space="0" w:color="auto"/>
            <w:right w:val="none" w:sz="0" w:space="0" w:color="auto"/>
          </w:divBdr>
        </w:div>
        <w:div w:id="689184250">
          <w:marLeft w:val="907"/>
          <w:marRight w:val="0"/>
          <w:marTop w:val="20"/>
          <w:marBottom w:val="0"/>
          <w:divBdr>
            <w:top w:val="none" w:sz="0" w:space="0" w:color="auto"/>
            <w:left w:val="none" w:sz="0" w:space="0" w:color="auto"/>
            <w:bottom w:val="none" w:sz="0" w:space="0" w:color="auto"/>
            <w:right w:val="none" w:sz="0" w:space="0" w:color="auto"/>
          </w:divBdr>
        </w:div>
        <w:div w:id="55126706">
          <w:marLeft w:val="1627"/>
          <w:marRight w:val="0"/>
          <w:marTop w:val="20"/>
          <w:marBottom w:val="0"/>
          <w:divBdr>
            <w:top w:val="none" w:sz="0" w:space="0" w:color="auto"/>
            <w:left w:val="none" w:sz="0" w:space="0" w:color="auto"/>
            <w:bottom w:val="none" w:sz="0" w:space="0" w:color="auto"/>
            <w:right w:val="none" w:sz="0" w:space="0" w:color="auto"/>
          </w:divBdr>
        </w:div>
        <w:div w:id="38823249">
          <w:marLeft w:val="1627"/>
          <w:marRight w:val="0"/>
          <w:marTop w:val="20"/>
          <w:marBottom w:val="0"/>
          <w:divBdr>
            <w:top w:val="none" w:sz="0" w:space="0" w:color="auto"/>
            <w:left w:val="none" w:sz="0" w:space="0" w:color="auto"/>
            <w:bottom w:val="none" w:sz="0" w:space="0" w:color="auto"/>
            <w:right w:val="none" w:sz="0" w:space="0" w:color="auto"/>
          </w:divBdr>
        </w:div>
        <w:div w:id="2095390521">
          <w:marLeft w:val="1627"/>
          <w:marRight w:val="0"/>
          <w:marTop w:val="20"/>
          <w:marBottom w:val="0"/>
          <w:divBdr>
            <w:top w:val="none" w:sz="0" w:space="0" w:color="auto"/>
            <w:left w:val="none" w:sz="0" w:space="0" w:color="auto"/>
            <w:bottom w:val="none" w:sz="0" w:space="0" w:color="auto"/>
            <w:right w:val="none" w:sz="0" w:space="0" w:color="auto"/>
          </w:divBdr>
        </w:div>
        <w:div w:id="1615945258">
          <w:marLeft w:val="360"/>
          <w:marRight w:val="0"/>
          <w:marTop w:val="20"/>
          <w:marBottom w:val="0"/>
          <w:divBdr>
            <w:top w:val="none" w:sz="0" w:space="0" w:color="auto"/>
            <w:left w:val="none" w:sz="0" w:space="0" w:color="auto"/>
            <w:bottom w:val="none" w:sz="0" w:space="0" w:color="auto"/>
            <w:right w:val="none" w:sz="0" w:space="0" w:color="auto"/>
          </w:divBdr>
        </w:div>
        <w:div w:id="285895195">
          <w:marLeft w:val="1627"/>
          <w:marRight w:val="0"/>
          <w:marTop w:val="20"/>
          <w:marBottom w:val="0"/>
          <w:divBdr>
            <w:top w:val="none" w:sz="0" w:space="0" w:color="auto"/>
            <w:left w:val="none" w:sz="0" w:space="0" w:color="auto"/>
            <w:bottom w:val="none" w:sz="0" w:space="0" w:color="auto"/>
            <w:right w:val="none" w:sz="0" w:space="0" w:color="auto"/>
          </w:divBdr>
        </w:div>
        <w:div w:id="771629692">
          <w:marLeft w:val="1627"/>
          <w:marRight w:val="0"/>
          <w:marTop w:val="20"/>
          <w:marBottom w:val="0"/>
          <w:divBdr>
            <w:top w:val="none" w:sz="0" w:space="0" w:color="auto"/>
            <w:left w:val="none" w:sz="0" w:space="0" w:color="auto"/>
            <w:bottom w:val="none" w:sz="0" w:space="0" w:color="auto"/>
            <w:right w:val="none" w:sz="0" w:space="0" w:color="auto"/>
          </w:divBdr>
        </w:div>
        <w:div w:id="1865166312">
          <w:marLeft w:val="2174"/>
          <w:marRight w:val="0"/>
          <w:marTop w:val="20"/>
          <w:marBottom w:val="0"/>
          <w:divBdr>
            <w:top w:val="none" w:sz="0" w:space="0" w:color="auto"/>
            <w:left w:val="none" w:sz="0" w:space="0" w:color="auto"/>
            <w:bottom w:val="none" w:sz="0" w:space="0" w:color="auto"/>
            <w:right w:val="none" w:sz="0" w:space="0" w:color="auto"/>
          </w:divBdr>
        </w:div>
        <w:div w:id="851607054">
          <w:marLeft w:val="2174"/>
          <w:marRight w:val="0"/>
          <w:marTop w:val="20"/>
          <w:marBottom w:val="0"/>
          <w:divBdr>
            <w:top w:val="none" w:sz="0" w:space="0" w:color="auto"/>
            <w:left w:val="none" w:sz="0" w:space="0" w:color="auto"/>
            <w:bottom w:val="none" w:sz="0" w:space="0" w:color="auto"/>
            <w:right w:val="none" w:sz="0" w:space="0" w:color="auto"/>
          </w:divBdr>
        </w:div>
      </w:divsChild>
    </w:div>
    <w:div w:id="155849722">
      <w:bodyDiv w:val="1"/>
      <w:marLeft w:val="0"/>
      <w:marRight w:val="0"/>
      <w:marTop w:val="0"/>
      <w:marBottom w:val="0"/>
      <w:divBdr>
        <w:top w:val="none" w:sz="0" w:space="0" w:color="auto"/>
        <w:left w:val="none" w:sz="0" w:space="0" w:color="auto"/>
        <w:bottom w:val="none" w:sz="0" w:space="0" w:color="auto"/>
        <w:right w:val="none" w:sz="0" w:space="0" w:color="auto"/>
      </w:divBdr>
      <w:divsChild>
        <w:div w:id="1206061410">
          <w:marLeft w:val="360"/>
          <w:marRight w:val="0"/>
          <w:marTop w:val="384"/>
          <w:marBottom w:val="0"/>
          <w:divBdr>
            <w:top w:val="none" w:sz="0" w:space="0" w:color="auto"/>
            <w:left w:val="none" w:sz="0" w:space="0" w:color="auto"/>
            <w:bottom w:val="none" w:sz="0" w:space="0" w:color="auto"/>
            <w:right w:val="none" w:sz="0" w:space="0" w:color="auto"/>
          </w:divBdr>
        </w:div>
        <w:div w:id="291715489">
          <w:marLeft w:val="907"/>
          <w:marRight w:val="0"/>
          <w:marTop w:val="20"/>
          <w:marBottom w:val="0"/>
          <w:divBdr>
            <w:top w:val="none" w:sz="0" w:space="0" w:color="auto"/>
            <w:left w:val="none" w:sz="0" w:space="0" w:color="auto"/>
            <w:bottom w:val="none" w:sz="0" w:space="0" w:color="auto"/>
            <w:right w:val="none" w:sz="0" w:space="0" w:color="auto"/>
          </w:divBdr>
        </w:div>
        <w:div w:id="1665158097">
          <w:marLeft w:val="1440"/>
          <w:marRight w:val="0"/>
          <w:marTop w:val="20"/>
          <w:marBottom w:val="0"/>
          <w:divBdr>
            <w:top w:val="none" w:sz="0" w:space="0" w:color="auto"/>
            <w:left w:val="none" w:sz="0" w:space="0" w:color="auto"/>
            <w:bottom w:val="none" w:sz="0" w:space="0" w:color="auto"/>
            <w:right w:val="none" w:sz="0" w:space="0" w:color="auto"/>
          </w:divBdr>
        </w:div>
        <w:div w:id="912200283">
          <w:marLeft w:val="907"/>
          <w:marRight w:val="0"/>
          <w:marTop w:val="20"/>
          <w:marBottom w:val="0"/>
          <w:divBdr>
            <w:top w:val="none" w:sz="0" w:space="0" w:color="auto"/>
            <w:left w:val="none" w:sz="0" w:space="0" w:color="auto"/>
            <w:bottom w:val="none" w:sz="0" w:space="0" w:color="auto"/>
            <w:right w:val="none" w:sz="0" w:space="0" w:color="auto"/>
          </w:divBdr>
        </w:div>
        <w:div w:id="932325576">
          <w:marLeft w:val="907"/>
          <w:marRight w:val="0"/>
          <w:marTop w:val="20"/>
          <w:marBottom w:val="0"/>
          <w:divBdr>
            <w:top w:val="none" w:sz="0" w:space="0" w:color="auto"/>
            <w:left w:val="none" w:sz="0" w:space="0" w:color="auto"/>
            <w:bottom w:val="none" w:sz="0" w:space="0" w:color="auto"/>
            <w:right w:val="none" w:sz="0" w:space="0" w:color="auto"/>
          </w:divBdr>
        </w:div>
        <w:div w:id="539710468">
          <w:marLeft w:val="360"/>
          <w:marRight w:val="0"/>
          <w:marTop w:val="384"/>
          <w:marBottom w:val="0"/>
          <w:divBdr>
            <w:top w:val="none" w:sz="0" w:space="0" w:color="auto"/>
            <w:left w:val="none" w:sz="0" w:space="0" w:color="auto"/>
            <w:bottom w:val="none" w:sz="0" w:space="0" w:color="auto"/>
            <w:right w:val="none" w:sz="0" w:space="0" w:color="auto"/>
          </w:divBdr>
        </w:div>
        <w:div w:id="1193156030">
          <w:marLeft w:val="360"/>
          <w:marRight w:val="0"/>
          <w:marTop w:val="384"/>
          <w:marBottom w:val="0"/>
          <w:divBdr>
            <w:top w:val="none" w:sz="0" w:space="0" w:color="auto"/>
            <w:left w:val="none" w:sz="0" w:space="0" w:color="auto"/>
            <w:bottom w:val="none" w:sz="0" w:space="0" w:color="auto"/>
            <w:right w:val="none" w:sz="0" w:space="0" w:color="auto"/>
          </w:divBdr>
        </w:div>
      </w:divsChild>
    </w:div>
    <w:div w:id="223491964">
      <w:bodyDiv w:val="1"/>
      <w:marLeft w:val="0"/>
      <w:marRight w:val="0"/>
      <w:marTop w:val="0"/>
      <w:marBottom w:val="0"/>
      <w:divBdr>
        <w:top w:val="none" w:sz="0" w:space="0" w:color="auto"/>
        <w:left w:val="none" w:sz="0" w:space="0" w:color="auto"/>
        <w:bottom w:val="none" w:sz="0" w:space="0" w:color="auto"/>
        <w:right w:val="none" w:sz="0" w:space="0" w:color="auto"/>
      </w:divBdr>
    </w:div>
    <w:div w:id="293144860">
      <w:bodyDiv w:val="1"/>
      <w:marLeft w:val="0"/>
      <w:marRight w:val="0"/>
      <w:marTop w:val="0"/>
      <w:marBottom w:val="0"/>
      <w:divBdr>
        <w:top w:val="none" w:sz="0" w:space="0" w:color="auto"/>
        <w:left w:val="none" w:sz="0" w:space="0" w:color="auto"/>
        <w:bottom w:val="none" w:sz="0" w:space="0" w:color="auto"/>
        <w:right w:val="none" w:sz="0" w:space="0" w:color="auto"/>
      </w:divBdr>
    </w:div>
    <w:div w:id="317223439">
      <w:bodyDiv w:val="1"/>
      <w:marLeft w:val="0"/>
      <w:marRight w:val="0"/>
      <w:marTop w:val="0"/>
      <w:marBottom w:val="0"/>
      <w:divBdr>
        <w:top w:val="none" w:sz="0" w:space="0" w:color="auto"/>
        <w:left w:val="none" w:sz="0" w:space="0" w:color="auto"/>
        <w:bottom w:val="none" w:sz="0" w:space="0" w:color="auto"/>
        <w:right w:val="none" w:sz="0" w:space="0" w:color="auto"/>
      </w:divBdr>
    </w:div>
    <w:div w:id="332496110">
      <w:bodyDiv w:val="1"/>
      <w:marLeft w:val="0"/>
      <w:marRight w:val="0"/>
      <w:marTop w:val="0"/>
      <w:marBottom w:val="0"/>
      <w:divBdr>
        <w:top w:val="none" w:sz="0" w:space="0" w:color="auto"/>
        <w:left w:val="none" w:sz="0" w:space="0" w:color="auto"/>
        <w:bottom w:val="none" w:sz="0" w:space="0" w:color="auto"/>
        <w:right w:val="none" w:sz="0" w:space="0" w:color="auto"/>
      </w:divBdr>
    </w:div>
    <w:div w:id="589313399">
      <w:bodyDiv w:val="1"/>
      <w:marLeft w:val="0"/>
      <w:marRight w:val="0"/>
      <w:marTop w:val="0"/>
      <w:marBottom w:val="0"/>
      <w:divBdr>
        <w:top w:val="none" w:sz="0" w:space="0" w:color="auto"/>
        <w:left w:val="none" w:sz="0" w:space="0" w:color="auto"/>
        <w:bottom w:val="none" w:sz="0" w:space="0" w:color="auto"/>
        <w:right w:val="none" w:sz="0" w:space="0" w:color="auto"/>
      </w:divBdr>
    </w:div>
    <w:div w:id="606623462">
      <w:bodyDiv w:val="1"/>
      <w:marLeft w:val="0"/>
      <w:marRight w:val="0"/>
      <w:marTop w:val="0"/>
      <w:marBottom w:val="0"/>
      <w:divBdr>
        <w:top w:val="none" w:sz="0" w:space="0" w:color="auto"/>
        <w:left w:val="none" w:sz="0" w:space="0" w:color="auto"/>
        <w:bottom w:val="none" w:sz="0" w:space="0" w:color="auto"/>
        <w:right w:val="none" w:sz="0" w:space="0" w:color="auto"/>
      </w:divBdr>
      <w:divsChild>
        <w:div w:id="843014649">
          <w:marLeft w:val="360"/>
          <w:marRight w:val="0"/>
          <w:marTop w:val="20"/>
          <w:marBottom w:val="0"/>
          <w:divBdr>
            <w:top w:val="none" w:sz="0" w:space="0" w:color="auto"/>
            <w:left w:val="none" w:sz="0" w:space="0" w:color="auto"/>
            <w:bottom w:val="none" w:sz="0" w:space="0" w:color="auto"/>
            <w:right w:val="none" w:sz="0" w:space="0" w:color="auto"/>
          </w:divBdr>
        </w:div>
        <w:div w:id="812913404">
          <w:marLeft w:val="907"/>
          <w:marRight w:val="0"/>
          <w:marTop w:val="20"/>
          <w:marBottom w:val="0"/>
          <w:divBdr>
            <w:top w:val="none" w:sz="0" w:space="0" w:color="auto"/>
            <w:left w:val="none" w:sz="0" w:space="0" w:color="auto"/>
            <w:bottom w:val="none" w:sz="0" w:space="0" w:color="auto"/>
            <w:right w:val="none" w:sz="0" w:space="0" w:color="auto"/>
          </w:divBdr>
        </w:div>
        <w:div w:id="1264462742">
          <w:marLeft w:val="360"/>
          <w:marRight w:val="0"/>
          <w:marTop w:val="20"/>
          <w:marBottom w:val="0"/>
          <w:divBdr>
            <w:top w:val="none" w:sz="0" w:space="0" w:color="auto"/>
            <w:left w:val="none" w:sz="0" w:space="0" w:color="auto"/>
            <w:bottom w:val="none" w:sz="0" w:space="0" w:color="auto"/>
            <w:right w:val="none" w:sz="0" w:space="0" w:color="auto"/>
          </w:divBdr>
        </w:div>
        <w:div w:id="1083529954">
          <w:marLeft w:val="907"/>
          <w:marRight w:val="0"/>
          <w:marTop w:val="20"/>
          <w:marBottom w:val="0"/>
          <w:divBdr>
            <w:top w:val="none" w:sz="0" w:space="0" w:color="auto"/>
            <w:left w:val="none" w:sz="0" w:space="0" w:color="auto"/>
            <w:bottom w:val="none" w:sz="0" w:space="0" w:color="auto"/>
            <w:right w:val="none" w:sz="0" w:space="0" w:color="auto"/>
          </w:divBdr>
        </w:div>
        <w:div w:id="1128744069">
          <w:marLeft w:val="360"/>
          <w:marRight w:val="0"/>
          <w:marTop w:val="20"/>
          <w:marBottom w:val="0"/>
          <w:divBdr>
            <w:top w:val="none" w:sz="0" w:space="0" w:color="auto"/>
            <w:left w:val="none" w:sz="0" w:space="0" w:color="auto"/>
            <w:bottom w:val="none" w:sz="0" w:space="0" w:color="auto"/>
            <w:right w:val="none" w:sz="0" w:space="0" w:color="auto"/>
          </w:divBdr>
        </w:div>
        <w:div w:id="1039739218">
          <w:marLeft w:val="907"/>
          <w:marRight w:val="0"/>
          <w:marTop w:val="20"/>
          <w:marBottom w:val="0"/>
          <w:divBdr>
            <w:top w:val="none" w:sz="0" w:space="0" w:color="auto"/>
            <w:left w:val="none" w:sz="0" w:space="0" w:color="auto"/>
            <w:bottom w:val="none" w:sz="0" w:space="0" w:color="auto"/>
            <w:right w:val="none" w:sz="0" w:space="0" w:color="auto"/>
          </w:divBdr>
        </w:div>
        <w:div w:id="1333527779">
          <w:marLeft w:val="907"/>
          <w:marRight w:val="0"/>
          <w:marTop w:val="20"/>
          <w:marBottom w:val="0"/>
          <w:divBdr>
            <w:top w:val="none" w:sz="0" w:space="0" w:color="auto"/>
            <w:left w:val="none" w:sz="0" w:space="0" w:color="auto"/>
            <w:bottom w:val="none" w:sz="0" w:space="0" w:color="auto"/>
            <w:right w:val="none" w:sz="0" w:space="0" w:color="auto"/>
          </w:divBdr>
        </w:div>
        <w:div w:id="185484970">
          <w:marLeft w:val="360"/>
          <w:marRight w:val="0"/>
          <w:marTop w:val="20"/>
          <w:marBottom w:val="0"/>
          <w:divBdr>
            <w:top w:val="none" w:sz="0" w:space="0" w:color="auto"/>
            <w:left w:val="none" w:sz="0" w:space="0" w:color="auto"/>
            <w:bottom w:val="none" w:sz="0" w:space="0" w:color="auto"/>
            <w:right w:val="none" w:sz="0" w:space="0" w:color="auto"/>
          </w:divBdr>
        </w:div>
        <w:div w:id="2027294477">
          <w:marLeft w:val="907"/>
          <w:marRight w:val="0"/>
          <w:marTop w:val="20"/>
          <w:marBottom w:val="0"/>
          <w:divBdr>
            <w:top w:val="none" w:sz="0" w:space="0" w:color="auto"/>
            <w:left w:val="none" w:sz="0" w:space="0" w:color="auto"/>
            <w:bottom w:val="none" w:sz="0" w:space="0" w:color="auto"/>
            <w:right w:val="none" w:sz="0" w:space="0" w:color="auto"/>
          </w:divBdr>
        </w:div>
        <w:div w:id="5252369">
          <w:marLeft w:val="907"/>
          <w:marRight w:val="0"/>
          <w:marTop w:val="20"/>
          <w:marBottom w:val="0"/>
          <w:divBdr>
            <w:top w:val="none" w:sz="0" w:space="0" w:color="auto"/>
            <w:left w:val="none" w:sz="0" w:space="0" w:color="auto"/>
            <w:bottom w:val="none" w:sz="0" w:space="0" w:color="auto"/>
            <w:right w:val="none" w:sz="0" w:space="0" w:color="auto"/>
          </w:divBdr>
        </w:div>
        <w:div w:id="211844854">
          <w:marLeft w:val="360"/>
          <w:marRight w:val="0"/>
          <w:marTop w:val="20"/>
          <w:marBottom w:val="0"/>
          <w:divBdr>
            <w:top w:val="none" w:sz="0" w:space="0" w:color="auto"/>
            <w:left w:val="none" w:sz="0" w:space="0" w:color="auto"/>
            <w:bottom w:val="none" w:sz="0" w:space="0" w:color="auto"/>
            <w:right w:val="none" w:sz="0" w:space="0" w:color="auto"/>
          </w:divBdr>
        </w:div>
        <w:div w:id="1050378109">
          <w:marLeft w:val="907"/>
          <w:marRight w:val="0"/>
          <w:marTop w:val="20"/>
          <w:marBottom w:val="0"/>
          <w:divBdr>
            <w:top w:val="none" w:sz="0" w:space="0" w:color="auto"/>
            <w:left w:val="none" w:sz="0" w:space="0" w:color="auto"/>
            <w:bottom w:val="none" w:sz="0" w:space="0" w:color="auto"/>
            <w:right w:val="none" w:sz="0" w:space="0" w:color="auto"/>
          </w:divBdr>
        </w:div>
        <w:div w:id="302082369">
          <w:marLeft w:val="907"/>
          <w:marRight w:val="0"/>
          <w:marTop w:val="20"/>
          <w:marBottom w:val="0"/>
          <w:divBdr>
            <w:top w:val="none" w:sz="0" w:space="0" w:color="auto"/>
            <w:left w:val="none" w:sz="0" w:space="0" w:color="auto"/>
            <w:bottom w:val="none" w:sz="0" w:space="0" w:color="auto"/>
            <w:right w:val="none" w:sz="0" w:space="0" w:color="auto"/>
          </w:divBdr>
        </w:div>
        <w:div w:id="261570388">
          <w:marLeft w:val="907"/>
          <w:marRight w:val="0"/>
          <w:marTop w:val="20"/>
          <w:marBottom w:val="0"/>
          <w:divBdr>
            <w:top w:val="none" w:sz="0" w:space="0" w:color="auto"/>
            <w:left w:val="none" w:sz="0" w:space="0" w:color="auto"/>
            <w:bottom w:val="none" w:sz="0" w:space="0" w:color="auto"/>
            <w:right w:val="none" w:sz="0" w:space="0" w:color="auto"/>
          </w:divBdr>
        </w:div>
      </w:divsChild>
    </w:div>
    <w:div w:id="796534428">
      <w:bodyDiv w:val="1"/>
      <w:marLeft w:val="0"/>
      <w:marRight w:val="0"/>
      <w:marTop w:val="0"/>
      <w:marBottom w:val="0"/>
      <w:divBdr>
        <w:top w:val="none" w:sz="0" w:space="0" w:color="auto"/>
        <w:left w:val="none" w:sz="0" w:space="0" w:color="auto"/>
        <w:bottom w:val="none" w:sz="0" w:space="0" w:color="auto"/>
        <w:right w:val="none" w:sz="0" w:space="0" w:color="auto"/>
      </w:divBdr>
    </w:div>
    <w:div w:id="857620347">
      <w:bodyDiv w:val="1"/>
      <w:marLeft w:val="0"/>
      <w:marRight w:val="0"/>
      <w:marTop w:val="0"/>
      <w:marBottom w:val="0"/>
      <w:divBdr>
        <w:top w:val="none" w:sz="0" w:space="0" w:color="auto"/>
        <w:left w:val="none" w:sz="0" w:space="0" w:color="auto"/>
        <w:bottom w:val="none" w:sz="0" w:space="0" w:color="auto"/>
        <w:right w:val="none" w:sz="0" w:space="0" w:color="auto"/>
      </w:divBdr>
    </w:div>
    <w:div w:id="987980060">
      <w:bodyDiv w:val="1"/>
      <w:marLeft w:val="0"/>
      <w:marRight w:val="0"/>
      <w:marTop w:val="0"/>
      <w:marBottom w:val="0"/>
      <w:divBdr>
        <w:top w:val="none" w:sz="0" w:space="0" w:color="auto"/>
        <w:left w:val="none" w:sz="0" w:space="0" w:color="auto"/>
        <w:bottom w:val="none" w:sz="0" w:space="0" w:color="auto"/>
        <w:right w:val="none" w:sz="0" w:space="0" w:color="auto"/>
      </w:divBdr>
    </w:div>
    <w:div w:id="1115907926">
      <w:bodyDiv w:val="1"/>
      <w:marLeft w:val="0"/>
      <w:marRight w:val="0"/>
      <w:marTop w:val="0"/>
      <w:marBottom w:val="0"/>
      <w:divBdr>
        <w:top w:val="none" w:sz="0" w:space="0" w:color="auto"/>
        <w:left w:val="none" w:sz="0" w:space="0" w:color="auto"/>
        <w:bottom w:val="none" w:sz="0" w:space="0" w:color="auto"/>
        <w:right w:val="none" w:sz="0" w:space="0" w:color="auto"/>
      </w:divBdr>
      <w:divsChild>
        <w:div w:id="2025325055">
          <w:marLeft w:val="360"/>
          <w:marRight w:val="0"/>
          <w:marTop w:val="480"/>
          <w:marBottom w:val="0"/>
          <w:divBdr>
            <w:top w:val="none" w:sz="0" w:space="0" w:color="auto"/>
            <w:left w:val="none" w:sz="0" w:space="0" w:color="auto"/>
            <w:bottom w:val="none" w:sz="0" w:space="0" w:color="auto"/>
            <w:right w:val="none" w:sz="0" w:space="0" w:color="auto"/>
          </w:divBdr>
        </w:div>
        <w:div w:id="756250868">
          <w:marLeft w:val="360"/>
          <w:marRight w:val="0"/>
          <w:marTop w:val="480"/>
          <w:marBottom w:val="0"/>
          <w:divBdr>
            <w:top w:val="none" w:sz="0" w:space="0" w:color="auto"/>
            <w:left w:val="none" w:sz="0" w:space="0" w:color="auto"/>
            <w:bottom w:val="none" w:sz="0" w:space="0" w:color="auto"/>
            <w:right w:val="none" w:sz="0" w:space="0" w:color="auto"/>
          </w:divBdr>
        </w:div>
      </w:divsChild>
    </w:div>
    <w:div w:id="1152137158">
      <w:bodyDiv w:val="1"/>
      <w:marLeft w:val="0"/>
      <w:marRight w:val="0"/>
      <w:marTop w:val="0"/>
      <w:marBottom w:val="0"/>
      <w:divBdr>
        <w:top w:val="none" w:sz="0" w:space="0" w:color="auto"/>
        <w:left w:val="none" w:sz="0" w:space="0" w:color="auto"/>
        <w:bottom w:val="none" w:sz="0" w:space="0" w:color="auto"/>
        <w:right w:val="none" w:sz="0" w:space="0" w:color="auto"/>
      </w:divBdr>
    </w:div>
    <w:div w:id="1217398809">
      <w:bodyDiv w:val="1"/>
      <w:marLeft w:val="0"/>
      <w:marRight w:val="0"/>
      <w:marTop w:val="0"/>
      <w:marBottom w:val="0"/>
      <w:divBdr>
        <w:top w:val="none" w:sz="0" w:space="0" w:color="auto"/>
        <w:left w:val="none" w:sz="0" w:space="0" w:color="auto"/>
        <w:bottom w:val="none" w:sz="0" w:space="0" w:color="auto"/>
        <w:right w:val="none" w:sz="0" w:space="0" w:color="auto"/>
      </w:divBdr>
      <w:divsChild>
        <w:div w:id="750739899">
          <w:marLeft w:val="360"/>
          <w:marRight w:val="0"/>
          <w:marTop w:val="384"/>
          <w:marBottom w:val="0"/>
          <w:divBdr>
            <w:top w:val="none" w:sz="0" w:space="0" w:color="auto"/>
            <w:left w:val="none" w:sz="0" w:space="0" w:color="auto"/>
            <w:bottom w:val="none" w:sz="0" w:space="0" w:color="auto"/>
            <w:right w:val="none" w:sz="0" w:space="0" w:color="auto"/>
          </w:divBdr>
        </w:div>
        <w:div w:id="1720664821">
          <w:marLeft w:val="360"/>
          <w:marRight w:val="0"/>
          <w:marTop w:val="384"/>
          <w:marBottom w:val="0"/>
          <w:divBdr>
            <w:top w:val="none" w:sz="0" w:space="0" w:color="auto"/>
            <w:left w:val="none" w:sz="0" w:space="0" w:color="auto"/>
            <w:bottom w:val="none" w:sz="0" w:space="0" w:color="auto"/>
            <w:right w:val="none" w:sz="0" w:space="0" w:color="auto"/>
          </w:divBdr>
        </w:div>
        <w:div w:id="1485393082">
          <w:marLeft w:val="360"/>
          <w:marRight w:val="0"/>
          <w:marTop w:val="384"/>
          <w:marBottom w:val="0"/>
          <w:divBdr>
            <w:top w:val="none" w:sz="0" w:space="0" w:color="auto"/>
            <w:left w:val="none" w:sz="0" w:space="0" w:color="auto"/>
            <w:bottom w:val="none" w:sz="0" w:space="0" w:color="auto"/>
            <w:right w:val="none" w:sz="0" w:space="0" w:color="auto"/>
          </w:divBdr>
        </w:div>
        <w:div w:id="258872172">
          <w:marLeft w:val="360"/>
          <w:marRight w:val="0"/>
          <w:marTop w:val="384"/>
          <w:marBottom w:val="0"/>
          <w:divBdr>
            <w:top w:val="none" w:sz="0" w:space="0" w:color="auto"/>
            <w:left w:val="none" w:sz="0" w:space="0" w:color="auto"/>
            <w:bottom w:val="none" w:sz="0" w:space="0" w:color="auto"/>
            <w:right w:val="none" w:sz="0" w:space="0" w:color="auto"/>
          </w:divBdr>
        </w:div>
        <w:div w:id="503057256">
          <w:marLeft w:val="360"/>
          <w:marRight w:val="0"/>
          <w:marTop w:val="384"/>
          <w:marBottom w:val="0"/>
          <w:divBdr>
            <w:top w:val="none" w:sz="0" w:space="0" w:color="auto"/>
            <w:left w:val="none" w:sz="0" w:space="0" w:color="auto"/>
            <w:bottom w:val="none" w:sz="0" w:space="0" w:color="auto"/>
            <w:right w:val="none" w:sz="0" w:space="0" w:color="auto"/>
          </w:divBdr>
        </w:div>
        <w:div w:id="573785542">
          <w:marLeft w:val="360"/>
          <w:marRight w:val="0"/>
          <w:marTop w:val="384"/>
          <w:marBottom w:val="0"/>
          <w:divBdr>
            <w:top w:val="none" w:sz="0" w:space="0" w:color="auto"/>
            <w:left w:val="none" w:sz="0" w:space="0" w:color="auto"/>
            <w:bottom w:val="none" w:sz="0" w:space="0" w:color="auto"/>
            <w:right w:val="none" w:sz="0" w:space="0" w:color="auto"/>
          </w:divBdr>
        </w:div>
      </w:divsChild>
    </w:div>
    <w:div w:id="1263144798">
      <w:bodyDiv w:val="1"/>
      <w:marLeft w:val="0"/>
      <w:marRight w:val="0"/>
      <w:marTop w:val="0"/>
      <w:marBottom w:val="0"/>
      <w:divBdr>
        <w:top w:val="none" w:sz="0" w:space="0" w:color="auto"/>
        <w:left w:val="none" w:sz="0" w:space="0" w:color="auto"/>
        <w:bottom w:val="none" w:sz="0" w:space="0" w:color="auto"/>
        <w:right w:val="none" w:sz="0" w:space="0" w:color="auto"/>
      </w:divBdr>
    </w:div>
    <w:div w:id="1370303418">
      <w:bodyDiv w:val="1"/>
      <w:marLeft w:val="0"/>
      <w:marRight w:val="0"/>
      <w:marTop w:val="0"/>
      <w:marBottom w:val="0"/>
      <w:divBdr>
        <w:top w:val="none" w:sz="0" w:space="0" w:color="auto"/>
        <w:left w:val="none" w:sz="0" w:space="0" w:color="auto"/>
        <w:bottom w:val="none" w:sz="0" w:space="0" w:color="auto"/>
        <w:right w:val="none" w:sz="0" w:space="0" w:color="auto"/>
      </w:divBdr>
      <w:divsChild>
        <w:div w:id="968517293">
          <w:marLeft w:val="360"/>
          <w:marRight w:val="0"/>
          <w:marTop w:val="20"/>
          <w:marBottom w:val="0"/>
          <w:divBdr>
            <w:top w:val="none" w:sz="0" w:space="0" w:color="auto"/>
            <w:left w:val="none" w:sz="0" w:space="0" w:color="auto"/>
            <w:bottom w:val="none" w:sz="0" w:space="0" w:color="auto"/>
            <w:right w:val="none" w:sz="0" w:space="0" w:color="auto"/>
          </w:divBdr>
        </w:div>
        <w:div w:id="299457271">
          <w:marLeft w:val="907"/>
          <w:marRight w:val="0"/>
          <w:marTop w:val="20"/>
          <w:marBottom w:val="0"/>
          <w:divBdr>
            <w:top w:val="none" w:sz="0" w:space="0" w:color="auto"/>
            <w:left w:val="none" w:sz="0" w:space="0" w:color="auto"/>
            <w:bottom w:val="none" w:sz="0" w:space="0" w:color="auto"/>
            <w:right w:val="none" w:sz="0" w:space="0" w:color="auto"/>
          </w:divBdr>
        </w:div>
        <w:div w:id="1491292774">
          <w:marLeft w:val="907"/>
          <w:marRight w:val="0"/>
          <w:marTop w:val="20"/>
          <w:marBottom w:val="0"/>
          <w:divBdr>
            <w:top w:val="none" w:sz="0" w:space="0" w:color="auto"/>
            <w:left w:val="none" w:sz="0" w:space="0" w:color="auto"/>
            <w:bottom w:val="none" w:sz="0" w:space="0" w:color="auto"/>
            <w:right w:val="none" w:sz="0" w:space="0" w:color="auto"/>
          </w:divBdr>
        </w:div>
        <w:div w:id="547227587">
          <w:marLeft w:val="907"/>
          <w:marRight w:val="0"/>
          <w:marTop w:val="20"/>
          <w:marBottom w:val="0"/>
          <w:divBdr>
            <w:top w:val="none" w:sz="0" w:space="0" w:color="auto"/>
            <w:left w:val="none" w:sz="0" w:space="0" w:color="auto"/>
            <w:bottom w:val="none" w:sz="0" w:space="0" w:color="auto"/>
            <w:right w:val="none" w:sz="0" w:space="0" w:color="auto"/>
          </w:divBdr>
        </w:div>
        <w:div w:id="1553925737">
          <w:marLeft w:val="360"/>
          <w:marRight w:val="0"/>
          <w:marTop w:val="20"/>
          <w:marBottom w:val="0"/>
          <w:divBdr>
            <w:top w:val="none" w:sz="0" w:space="0" w:color="auto"/>
            <w:left w:val="none" w:sz="0" w:space="0" w:color="auto"/>
            <w:bottom w:val="none" w:sz="0" w:space="0" w:color="auto"/>
            <w:right w:val="none" w:sz="0" w:space="0" w:color="auto"/>
          </w:divBdr>
        </w:div>
        <w:div w:id="1642343871">
          <w:marLeft w:val="907"/>
          <w:marRight w:val="0"/>
          <w:marTop w:val="20"/>
          <w:marBottom w:val="0"/>
          <w:divBdr>
            <w:top w:val="none" w:sz="0" w:space="0" w:color="auto"/>
            <w:left w:val="none" w:sz="0" w:space="0" w:color="auto"/>
            <w:bottom w:val="none" w:sz="0" w:space="0" w:color="auto"/>
            <w:right w:val="none" w:sz="0" w:space="0" w:color="auto"/>
          </w:divBdr>
        </w:div>
        <w:div w:id="71857384">
          <w:marLeft w:val="907"/>
          <w:marRight w:val="0"/>
          <w:marTop w:val="20"/>
          <w:marBottom w:val="0"/>
          <w:divBdr>
            <w:top w:val="none" w:sz="0" w:space="0" w:color="auto"/>
            <w:left w:val="none" w:sz="0" w:space="0" w:color="auto"/>
            <w:bottom w:val="none" w:sz="0" w:space="0" w:color="auto"/>
            <w:right w:val="none" w:sz="0" w:space="0" w:color="auto"/>
          </w:divBdr>
        </w:div>
        <w:div w:id="283385426">
          <w:marLeft w:val="360"/>
          <w:marRight w:val="0"/>
          <w:marTop w:val="20"/>
          <w:marBottom w:val="0"/>
          <w:divBdr>
            <w:top w:val="none" w:sz="0" w:space="0" w:color="auto"/>
            <w:left w:val="none" w:sz="0" w:space="0" w:color="auto"/>
            <w:bottom w:val="none" w:sz="0" w:space="0" w:color="auto"/>
            <w:right w:val="none" w:sz="0" w:space="0" w:color="auto"/>
          </w:divBdr>
        </w:div>
      </w:divsChild>
    </w:div>
    <w:div w:id="1449856025">
      <w:bodyDiv w:val="1"/>
      <w:marLeft w:val="0"/>
      <w:marRight w:val="0"/>
      <w:marTop w:val="0"/>
      <w:marBottom w:val="0"/>
      <w:divBdr>
        <w:top w:val="none" w:sz="0" w:space="0" w:color="auto"/>
        <w:left w:val="none" w:sz="0" w:space="0" w:color="auto"/>
        <w:bottom w:val="none" w:sz="0" w:space="0" w:color="auto"/>
        <w:right w:val="none" w:sz="0" w:space="0" w:color="auto"/>
      </w:divBdr>
      <w:divsChild>
        <w:div w:id="1030566628">
          <w:marLeft w:val="360"/>
          <w:marRight w:val="0"/>
          <w:marTop w:val="120"/>
          <w:marBottom w:val="0"/>
          <w:divBdr>
            <w:top w:val="none" w:sz="0" w:space="0" w:color="auto"/>
            <w:left w:val="none" w:sz="0" w:space="0" w:color="auto"/>
            <w:bottom w:val="none" w:sz="0" w:space="0" w:color="auto"/>
            <w:right w:val="none" w:sz="0" w:space="0" w:color="auto"/>
          </w:divBdr>
        </w:div>
        <w:div w:id="32849695">
          <w:marLeft w:val="907"/>
          <w:marRight w:val="0"/>
          <w:marTop w:val="0"/>
          <w:marBottom w:val="0"/>
          <w:divBdr>
            <w:top w:val="none" w:sz="0" w:space="0" w:color="auto"/>
            <w:left w:val="none" w:sz="0" w:space="0" w:color="auto"/>
            <w:bottom w:val="none" w:sz="0" w:space="0" w:color="auto"/>
            <w:right w:val="none" w:sz="0" w:space="0" w:color="auto"/>
          </w:divBdr>
        </w:div>
        <w:div w:id="692341671">
          <w:marLeft w:val="907"/>
          <w:marRight w:val="0"/>
          <w:marTop w:val="0"/>
          <w:marBottom w:val="0"/>
          <w:divBdr>
            <w:top w:val="none" w:sz="0" w:space="0" w:color="auto"/>
            <w:left w:val="none" w:sz="0" w:space="0" w:color="auto"/>
            <w:bottom w:val="none" w:sz="0" w:space="0" w:color="auto"/>
            <w:right w:val="none" w:sz="0" w:space="0" w:color="auto"/>
          </w:divBdr>
        </w:div>
        <w:div w:id="989942371">
          <w:marLeft w:val="907"/>
          <w:marRight w:val="0"/>
          <w:marTop w:val="0"/>
          <w:marBottom w:val="0"/>
          <w:divBdr>
            <w:top w:val="none" w:sz="0" w:space="0" w:color="auto"/>
            <w:left w:val="none" w:sz="0" w:space="0" w:color="auto"/>
            <w:bottom w:val="none" w:sz="0" w:space="0" w:color="auto"/>
            <w:right w:val="none" w:sz="0" w:space="0" w:color="auto"/>
          </w:divBdr>
        </w:div>
        <w:div w:id="807210657">
          <w:marLeft w:val="907"/>
          <w:marRight w:val="0"/>
          <w:marTop w:val="0"/>
          <w:marBottom w:val="0"/>
          <w:divBdr>
            <w:top w:val="none" w:sz="0" w:space="0" w:color="auto"/>
            <w:left w:val="none" w:sz="0" w:space="0" w:color="auto"/>
            <w:bottom w:val="none" w:sz="0" w:space="0" w:color="auto"/>
            <w:right w:val="none" w:sz="0" w:space="0" w:color="auto"/>
          </w:divBdr>
        </w:div>
        <w:div w:id="1081104653">
          <w:marLeft w:val="907"/>
          <w:marRight w:val="0"/>
          <w:marTop w:val="0"/>
          <w:marBottom w:val="0"/>
          <w:divBdr>
            <w:top w:val="none" w:sz="0" w:space="0" w:color="auto"/>
            <w:left w:val="none" w:sz="0" w:space="0" w:color="auto"/>
            <w:bottom w:val="none" w:sz="0" w:space="0" w:color="auto"/>
            <w:right w:val="none" w:sz="0" w:space="0" w:color="auto"/>
          </w:divBdr>
        </w:div>
        <w:div w:id="1654993287">
          <w:marLeft w:val="907"/>
          <w:marRight w:val="0"/>
          <w:marTop w:val="0"/>
          <w:marBottom w:val="0"/>
          <w:divBdr>
            <w:top w:val="none" w:sz="0" w:space="0" w:color="auto"/>
            <w:left w:val="none" w:sz="0" w:space="0" w:color="auto"/>
            <w:bottom w:val="none" w:sz="0" w:space="0" w:color="auto"/>
            <w:right w:val="none" w:sz="0" w:space="0" w:color="auto"/>
          </w:divBdr>
        </w:div>
        <w:div w:id="397168552">
          <w:marLeft w:val="907"/>
          <w:marRight w:val="0"/>
          <w:marTop w:val="0"/>
          <w:marBottom w:val="0"/>
          <w:divBdr>
            <w:top w:val="none" w:sz="0" w:space="0" w:color="auto"/>
            <w:left w:val="none" w:sz="0" w:space="0" w:color="auto"/>
            <w:bottom w:val="none" w:sz="0" w:space="0" w:color="auto"/>
            <w:right w:val="none" w:sz="0" w:space="0" w:color="auto"/>
          </w:divBdr>
        </w:div>
        <w:div w:id="199316995">
          <w:marLeft w:val="907"/>
          <w:marRight w:val="0"/>
          <w:marTop w:val="0"/>
          <w:marBottom w:val="0"/>
          <w:divBdr>
            <w:top w:val="none" w:sz="0" w:space="0" w:color="auto"/>
            <w:left w:val="none" w:sz="0" w:space="0" w:color="auto"/>
            <w:bottom w:val="none" w:sz="0" w:space="0" w:color="auto"/>
            <w:right w:val="none" w:sz="0" w:space="0" w:color="auto"/>
          </w:divBdr>
        </w:div>
      </w:divsChild>
    </w:div>
    <w:div w:id="1478574544">
      <w:bodyDiv w:val="1"/>
      <w:marLeft w:val="0"/>
      <w:marRight w:val="0"/>
      <w:marTop w:val="0"/>
      <w:marBottom w:val="0"/>
      <w:divBdr>
        <w:top w:val="none" w:sz="0" w:space="0" w:color="auto"/>
        <w:left w:val="none" w:sz="0" w:space="0" w:color="auto"/>
        <w:bottom w:val="none" w:sz="0" w:space="0" w:color="auto"/>
        <w:right w:val="none" w:sz="0" w:space="0" w:color="auto"/>
      </w:divBdr>
      <w:divsChild>
        <w:div w:id="1977955965">
          <w:marLeft w:val="360"/>
          <w:marRight w:val="0"/>
          <w:marTop w:val="360"/>
          <w:marBottom w:val="0"/>
          <w:divBdr>
            <w:top w:val="none" w:sz="0" w:space="0" w:color="auto"/>
            <w:left w:val="none" w:sz="0" w:space="0" w:color="auto"/>
            <w:bottom w:val="none" w:sz="0" w:space="0" w:color="auto"/>
            <w:right w:val="none" w:sz="0" w:space="0" w:color="auto"/>
          </w:divBdr>
        </w:div>
        <w:div w:id="53503458">
          <w:marLeft w:val="360"/>
          <w:marRight w:val="0"/>
          <w:marTop w:val="360"/>
          <w:marBottom w:val="0"/>
          <w:divBdr>
            <w:top w:val="none" w:sz="0" w:space="0" w:color="auto"/>
            <w:left w:val="none" w:sz="0" w:space="0" w:color="auto"/>
            <w:bottom w:val="none" w:sz="0" w:space="0" w:color="auto"/>
            <w:right w:val="none" w:sz="0" w:space="0" w:color="auto"/>
          </w:divBdr>
        </w:div>
        <w:div w:id="869874354">
          <w:marLeft w:val="360"/>
          <w:marRight w:val="0"/>
          <w:marTop w:val="360"/>
          <w:marBottom w:val="0"/>
          <w:divBdr>
            <w:top w:val="none" w:sz="0" w:space="0" w:color="auto"/>
            <w:left w:val="none" w:sz="0" w:space="0" w:color="auto"/>
            <w:bottom w:val="none" w:sz="0" w:space="0" w:color="auto"/>
            <w:right w:val="none" w:sz="0" w:space="0" w:color="auto"/>
          </w:divBdr>
        </w:div>
        <w:div w:id="1756707339">
          <w:marLeft w:val="360"/>
          <w:marRight w:val="0"/>
          <w:marTop w:val="360"/>
          <w:marBottom w:val="0"/>
          <w:divBdr>
            <w:top w:val="none" w:sz="0" w:space="0" w:color="auto"/>
            <w:left w:val="none" w:sz="0" w:space="0" w:color="auto"/>
            <w:bottom w:val="none" w:sz="0" w:space="0" w:color="auto"/>
            <w:right w:val="none" w:sz="0" w:space="0" w:color="auto"/>
          </w:divBdr>
        </w:div>
      </w:divsChild>
    </w:div>
    <w:div w:id="16519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1113</Words>
  <Characters>6347</Characters>
  <Application>Microsoft Office Word</Application>
  <DocSecurity>0</DocSecurity>
  <Lines>52</Lines>
  <Paragraphs>14</Paragraphs>
  <ScaleCrop>false</ScaleCrop>
  <Company>Microsoft</Company>
  <LinksUpToDate>false</LinksUpToDate>
  <CharactersWithSpaces>7446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2016-09-20T18:34:00Z</dcterms:created>
  <dc:creator>EEC,</dc:creator>
  <lastModifiedBy>EEC,</lastModifiedBy>
  <dcterms:modified xsi:type="dcterms:W3CDTF">2016-09-20T18:46:00Z</dcterms:modified>
  <revision>1</revision>
</coreProperties>
</file>