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theme/themeOverride1.xml" ContentType="application/vnd.openxmlformats-officedocument.themeOverride+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0DAEE3" w14:textId="0B5364F4" w:rsidR="0025313B" w:rsidRPr="00DA3EA5" w:rsidRDefault="00F05D62" w:rsidP="00DA3EA5">
      <w:pPr>
        <w:pStyle w:val="Heading1"/>
        <w:spacing w:before="0" w:after="120"/>
        <w:rPr>
          <w:rFonts w:ascii="Arial" w:hAnsi="Arial" w:cs="Arial"/>
        </w:rPr>
      </w:pPr>
      <w:bookmarkStart w:id="0" w:name="_GoBack"/>
      <w:bookmarkEnd w:id="0"/>
      <w:r w:rsidRPr="00DA3EA5">
        <w:rPr>
          <w:rFonts w:ascii="Arial" w:hAnsi="Arial" w:cs="Arial"/>
        </w:rPr>
        <w:t>Back</w:t>
      </w:r>
      <w:r w:rsidRPr="00DA3EA5">
        <w:rPr>
          <w:rStyle w:val="Heading1Char"/>
          <w:rFonts w:ascii="Arial" w:hAnsi="Arial" w:cs="Arial"/>
          <w:b/>
        </w:rPr>
        <w:t>gr</w:t>
      </w:r>
      <w:r w:rsidRPr="00DA3EA5">
        <w:rPr>
          <w:rFonts w:ascii="Arial" w:hAnsi="Arial" w:cs="Arial"/>
        </w:rPr>
        <w:t>ound</w:t>
      </w:r>
    </w:p>
    <w:p w14:paraId="4AFB2E87" w14:textId="77777777" w:rsidR="009A72A0" w:rsidRPr="00DA3EA5" w:rsidRDefault="009A72A0" w:rsidP="007A4A09">
      <w:pPr>
        <w:pStyle w:val="Body1"/>
        <w:jc w:val="left"/>
        <w:rPr>
          <w:rFonts w:ascii="Arial" w:hAnsi="Arial" w:cs="Arial"/>
        </w:rPr>
      </w:pPr>
      <w:r w:rsidRPr="00DA3EA5">
        <w:rPr>
          <w:rFonts w:ascii="Arial" w:hAnsi="Arial" w:cs="Arial"/>
        </w:rPr>
        <w:t xml:space="preserve">While the Commonwealth has made substantial gains in mitigating the harmful effects of lead exposure through public health interventions over the past 45 years, </w:t>
      </w:r>
      <w:r w:rsidRPr="00DA3EA5">
        <w:rPr>
          <w:rFonts w:ascii="Arial" w:hAnsi="Arial" w:cs="Arial"/>
          <w:b/>
        </w:rPr>
        <w:t>lead exposure remains a significant health risk for children across Massachusetts</w:t>
      </w:r>
      <w:r w:rsidRPr="00DA3EA5">
        <w:rPr>
          <w:rFonts w:ascii="Arial" w:hAnsi="Arial" w:cs="Arial"/>
        </w:rPr>
        <w:t xml:space="preserve">. There is no safe level of exposure to lead </w:t>
      </w:r>
      <w:r w:rsidRPr="00DA3EA5">
        <w:rPr>
          <w:rFonts w:ascii="Arial" w:hAnsi="Arial" w:cs="Arial"/>
          <w:b/>
        </w:rPr>
        <w:t xml:space="preserve">and </w:t>
      </w:r>
      <w:r w:rsidR="00095938" w:rsidRPr="00DA3EA5">
        <w:rPr>
          <w:rFonts w:ascii="Arial" w:hAnsi="Arial" w:cs="Arial"/>
          <w:b/>
        </w:rPr>
        <w:t xml:space="preserve">childhood </w:t>
      </w:r>
      <w:r w:rsidRPr="00DA3EA5">
        <w:rPr>
          <w:rFonts w:ascii="Arial" w:hAnsi="Arial" w:cs="Arial"/>
          <w:b/>
        </w:rPr>
        <w:t>exposure to relatively low levels can cause severe and irreversible health effects</w:t>
      </w:r>
      <w:r w:rsidRPr="00DA3EA5">
        <w:rPr>
          <w:rFonts w:ascii="Arial" w:hAnsi="Arial" w:cs="Arial"/>
        </w:rPr>
        <w:t>,</w:t>
      </w:r>
      <w:r w:rsidR="00313F4F" w:rsidRPr="00DA3EA5">
        <w:rPr>
          <w:rFonts w:ascii="Arial" w:eastAsia="Times New Roman" w:hAnsi="Arial" w:cs="Arial"/>
          <w:vertAlign w:val="superscript"/>
        </w:rPr>
        <w:endnoteReference w:id="1"/>
      </w:r>
      <w:r w:rsidR="00313F4F" w:rsidRPr="00DA3EA5">
        <w:rPr>
          <w:rFonts w:ascii="Arial" w:hAnsi="Arial" w:cs="Arial"/>
        </w:rPr>
        <w:t xml:space="preserve">  including damage to a child’s mental and physical development.</w:t>
      </w:r>
      <w:r w:rsidR="00313F4F" w:rsidRPr="00DA3EA5">
        <w:rPr>
          <w:rFonts w:ascii="Arial" w:eastAsia="Times New Roman" w:hAnsi="Arial" w:cs="Arial"/>
          <w:vertAlign w:val="superscript"/>
        </w:rPr>
        <w:endnoteReference w:id="2"/>
      </w:r>
      <w:r w:rsidR="00313F4F" w:rsidRPr="00DA3EA5">
        <w:rPr>
          <w:rFonts w:ascii="Arial" w:hAnsi="Arial" w:cs="Arial"/>
        </w:rPr>
        <w:t xml:space="preserve"> Numerous studies have documented correlations between childhood lead poisoning and future school performance, unemployment, crime, violence, and incarceration, making lead exposure an important </w:t>
      </w:r>
      <w:r w:rsidR="000B20C0" w:rsidRPr="00DA3EA5">
        <w:rPr>
          <w:rFonts w:ascii="Arial" w:hAnsi="Arial" w:cs="Arial"/>
        </w:rPr>
        <w:t xml:space="preserve">contributor to the </w:t>
      </w:r>
      <w:r w:rsidR="00313F4F" w:rsidRPr="00DA3EA5">
        <w:rPr>
          <w:rFonts w:ascii="Arial" w:hAnsi="Arial" w:cs="Arial"/>
        </w:rPr>
        <w:t>social determinant</w:t>
      </w:r>
      <w:r w:rsidR="000B20C0" w:rsidRPr="00DA3EA5">
        <w:rPr>
          <w:rFonts w:ascii="Arial" w:hAnsi="Arial" w:cs="Arial"/>
        </w:rPr>
        <w:t>s</w:t>
      </w:r>
      <w:r w:rsidR="00313F4F" w:rsidRPr="00DA3EA5">
        <w:rPr>
          <w:rFonts w:ascii="Arial" w:hAnsi="Arial" w:cs="Arial"/>
        </w:rPr>
        <w:t xml:space="preserve"> of health.</w:t>
      </w:r>
      <w:r w:rsidR="00313F4F" w:rsidRPr="00DA3EA5">
        <w:rPr>
          <w:rFonts w:ascii="Arial" w:eastAsia="Times New Roman" w:hAnsi="Arial" w:cs="Arial"/>
          <w:vertAlign w:val="superscript"/>
        </w:rPr>
        <w:endnoteReference w:id="3"/>
      </w:r>
      <w:r w:rsidR="00313F4F" w:rsidRPr="00DA3EA5">
        <w:rPr>
          <w:rFonts w:ascii="Arial" w:hAnsi="Arial" w:cs="Arial"/>
        </w:rPr>
        <w:t xml:space="preserve"> </w:t>
      </w:r>
    </w:p>
    <w:p w14:paraId="2134D8D2" w14:textId="77777777" w:rsidR="0046768D" w:rsidRPr="00DA3EA5" w:rsidRDefault="00A60647" w:rsidP="00593CD4">
      <w:pPr>
        <w:pStyle w:val="Body1"/>
        <w:jc w:val="left"/>
        <w:rPr>
          <w:rFonts w:ascii="Arial" w:hAnsi="Arial" w:cs="Arial"/>
        </w:rPr>
      </w:pPr>
      <w:r w:rsidRPr="00DA3EA5">
        <w:rPr>
          <w:rFonts w:ascii="Arial" w:hAnsi="Arial" w:cs="Arial"/>
          <w:b/>
        </w:rPr>
        <w:t xml:space="preserve">The Massachusetts Lead Law </w:t>
      </w:r>
      <w:r w:rsidRPr="00DA3EA5">
        <w:rPr>
          <w:rFonts w:ascii="Arial" w:hAnsi="Arial" w:cs="Arial"/>
        </w:rPr>
        <w:t>(</w:t>
      </w:r>
      <w:r w:rsidRPr="00DA3EA5">
        <w:rPr>
          <w:rFonts w:ascii="Arial" w:hAnsi="Arial" w:cs="Arial"/>
          <w:u w:val="single"/>
        </w:rPr>
        <w:t>see</w:t>
      </w:r>
      <w:r w:rsidRPr="00DA3EA5">
        <w:rPr>
          <w:rFonts w:ascii="Arial" w:hAnsi="Arial" w:cs="Arial"/>
        </w:rPr>
        <w:t xml:space="preserve"> MGL c. 111, §§ 189A-199B)</w:t>
      </w:r>
      <w:r w:rsidRPr="00DA3EA5">
        <w:rPr>
          <w:rFonts w:ascii="Arial" w:hAnsi="Arial" w:cs="Arial"/>
          <w:b/>
        </w:rPr>
        <w:t xml:space="preserve"> requires any dwelling unit where a child under six years of age resides </w:t>
      </w:r>
      <w:r w:rsidR="00C9376B">
        <w:rPr>
          <w:rFonts w:ascii="Arial" w:hAnsi="Arial" w:cs="Arial"/>
          <w:b/>
        </w:rPr>
        <w:t xml:space="preserve">to </w:t>
      </w:r>
      <w:r w:rsidRPr="00DA3EA5">
        <w:rPr>
          <w:rFonts w:ascii="Arial" w:hAnsi="Arial" w:cs="Arial"/>
          <w:b/>
        </w:rPr>
        <w:t>be lead safe,</w:t>
      </w:r>
      <w:r w:rsidRPr="00DA3EA5">
        <w:rPr>
          <w:rFonts w:ascii="Arial" w:hAnsi="Arial" w:cs="Arial"/>
        </w:rPr>
        <w:t xml:space="preserve"> regardless of a child’s blood lead level (BLL) or whether the property is owner-occupied. To implement the law, DPH’s Childhood Lead Poisoning Prevention Program (CLPPP) established an integrated program of laboratory services, mandatory blood lead screening, medical case management for children with elevated blood lead levels, environmental follow-up, training and licensure of public and private lead inspectors, and health education. </w:t>
      </w:r>
    </w:p>
    <w:p w14:paraId="036EB9B9" w14:textId="572968E4" w:rsidR="00593CD4" w:rsidRPr="00DA3EA5" w:rsidRDefault="00C83920" w:rsidP="00A60647">
      <w:pPr>
        <w:pStyle w:val="Body1"/>
        <w:rPr>
          <w:rFonts w:ascii="Arial" w:hAnsi="Arial" w:cs="Arial"/>
          <w:b/>
        </w:rPr>
      </w:pPr>
      <w:r w:rsidRPr="00DA3EA5">
        <w:rPr>
          <w:rFonts w:ascii="Arial" w:hAnsi="Arial" w:cs="Arial"/>
          <w:b/>
        </w:rPr>
        <w:t>DPH updated its lead regulati</w:t>
      </w:r>
      <w:r w:rsidR="00A60647" w:rsidRPr="00DA3EA5">
        <w:rPr>
          <w:rFonts w:ascii="Arial" w:hAnsi="Arial" w:cs="Arial"/>
          <w:b/>
        </w:rPr>
        <w:t xml:space="preserve">ons effective December 1, 2017. </w:t>
      </w:r>
      <w:r w:rsidR="00A60647" w:rsidRPr="00DA3EA5">
        <w:rPr>
          <w:rFonts w:ascii="Arial" w:hAnsi="Arial" w:cs="Arial"/>
        </w:rPr>
        <w:t xml:space="preserve">Changes to the regulation included redefining “lead poisoning” in Massachusetts as a venous BLL of ≥10 </w:t>
      </w:r>
      <w:proofErr w:type="spellStart"/>
      <w:r w:rsidR="00A60647" w:rsidRPr="00DA3EA5">
        <w:rPr>
          <w:rFonts w:ascii="Arial" w:hAnsi="Arial" w:cs="Arial"/>
        </w:rPr>
        <w:t>μg</w:t>
      </w:r>
      <w:proofErr w:type="spellEnd"/>
      <w:r w:rsidR="00A60647" w:rsidRPr="00DA3EA5">
        <w:rPr>
          <w:rFonts w:ascii="Arial" w:hAnsi="Arial" w:cs="Arial"/>
        </w:rPr>
        <w:t>/</w:t>
      </w:r>
      <w:proofErr w:type="spellStart"/>
      <w:r w:rsidR="00A60647" w:rsidRPr="00DA3EA5">
        <w:rPr>
          <w:rFonts w:ascii="Arial" w:hAnsi="Arial" w:cs="Arial"/>
        </w:rPr>
        <w:t>dL</w:t>
      </w:r>
      <w:proofErr w:type="spellEnd"/>
      <w:r w:rsidR="00A60647" w:rsidRPr="00DA3EA5">
        <w:rPr>
          <w:rFonts w:ascii="Arial" w:hAnsi="Arial" w:cs="Arial"/>
        </w:rPr>
        <w:t xml:space="preserve"> (lowered from 25), establishing a “Blood Lead Level of Concern” as a BLL of 5-9 </w:t>
      </w:r>
      <w:proofErr w:type="spellStart"/>
      <w:r w:rsidR="00A60647" w:rsidRPr="00DA3EA5">
        <w:rPr>
          <w:rFonts w:ascii="Arial" w:hAnsi="Arial" w:cs="Arial"/>
        </w:rPr>
        <w:t>μg</w:t>
      </w:r>
      <w:proofErr w:type="spellEnd"/>
      <w:r w:rsidR="00A60647" w:rsidRPr="00DA3EA5">
        <w:rPr>
          <w:rFonts w:ascii="Arial" w:hAnsi="Arial" w:cs="Arial"/>
        </w:rPr>
        <w:t>/</w:t>
      </w:r>
      <w:proofErr w:type="spellStart"/>
      <w:r w:rsidR="00A60647" w:rsidRPr="00DA3EA5">
        <w:rPr>
          <w:rFonts w:ascii="Arial" w:hAnsi="Arial" w:cs="Arial"/>
        </w:rPr>
        <w:t>dL</w:t>
      </w:r>
      <w:proofErr w:type="spellEnd"/>
      <w:r w:rsidR="00A60647" w:rsidRPr="00DA3EA5">
        <w:rPr>
          <w:rFonts w:ascii="Arial" w:hAnsi="Arial" w:cs="Arial"/>
        </w:rPr>
        <w:t xml:space="preserve"> and extended lead exposure prevention services to all families with a child having a BLL of ≥5 </w:t>
      </w:r>
      <w:proofErr w:type="spellStart"/>
      <w:r w:rsidR="00A60647" w:rsidRPr="00DA3EA5">
        <w:rPr>
          <w:rFonts w:ascii="Arial" w:hAnsi="Arial" w:cs="Arial"/>
        </w:rPr>
        <w:t>μg</w:t>
      </w:r>
      <w:proofErr w:type="spellEnd"/>
      <w:r w:rsidR="00A60647" w:rsidRPr="00DA3EA5">
        <w:rPr>
          <w:rFonts w:ascii="Arial" w:hAnsi="Arial" w:cs="Arial"/>
        </w:rPr>
        <w:t>/</w:t>
      </w:r>
      <w:proofErr w:type="spellStart"/>
      <w:r w:rsidR="00A60647" w:rsidRPr="00DA3EA5">
        <w:rPr>
          <w:rFonts w:ascii="Arial" w:hAnsi="Arial" w:cs="Arial"/>
        </w:rPr>
        <w:t>dL</w:t>
      </w:r>
      <w:proofErr w:type="spellEnd"/>
      <w:r w:rsidR="00A60647" w:rsidRPr="00DA3EA5">
        <w:rPr>
          <w:rFonts w:ascii="Arial" w:hAnsi="Arial" w:cs="Arial"/>
        </w:rPr>
        <w:t>.</w:t>
      </w:r>
      <w:r w:rsidR="00593CD4" w:rsidRPr="00DA3EA5">
        <w:rPr>
          <w:rFonts w:ascii="Arial" w:hAnsi="Arial" w:cs="Arial"/>
        </w:rPr>
        <w:t xml:space="preserve"> </w:t>
      </w:r>
    </w:p>
    <w:p w14:paraId="49D7A1FB" w14:textId="77777777" w:rsidR="007C31D4" w:rsidRPr="00DA3EA5" w:rsidRDefault="00F05D62" w:rsidP="00DA3EA5">
      <w:pPr>
        <w:pStyle w:val="Heading1"/>
        <w:spacing w:before="0" w:after="120"/>
        <w:rPr>
          <w:rFonts w:ascii="Arial" w:hAnsi="Arial" w:cs="Arial"/>
        </w:rPr>
      </w:pPr>
      <w:r w:rsidRPr="00DA3EA5">
        <w:rPr>
          <w:rFonts w:ascii="Arial" w:hAnsi="Arial" w:cs="Arial"/>
        </w:rPr>
        <w:t xml:space="preserve">Blood Lead </w:t>
      </w:r>
      <w:r w:rsidR="00593380" w:rsidRPr="00DA3EA5">
        <w:rPr>
          <w:rFonts w:ascii="Arial" w:hAnsi="Arial" w:cs="Arial"/>
        </w:rPr>
        <w:t xml:space="preserve">Screening Data </w:t>
      </w:r>
    </w:p>
    <w:p w14:paraId="706E07BA" w14:textId="77777777" w:rsidR="00593CD4" w:rsidRPr="00DA3EA5" w:rsidRDefault="00A60647" w:rsidP="007A4A09">
      <w:pPr>
        <w:pStyle w:val="Body1"/>
        <w:jc w:val="left"/>
        <w:rPr>
          <w:rFonts w:ascii="Arial" w:hAnsi="Arial" w:cs="Arial"/>
        </w:rPr>
      </w:pPr>
      <w:r w:rsidRPr="00DA3EA5">
        <w:rPr>
          <w:rFonts w:ascii="Arial" w:hAnsi="Arial" w:cs="Arial"/>
          <w:noProof/>
        </w:rPr>
        <w:drawing>
          <wp:anchor distT="0" distB="0" distL="114300" distR="114300" simplePos="0" relativeHeight="251684864" behindDoc="1" locked="0" layoutInCell="1" allowOverlap="1" wp14:anchorId="16665524" wp14:editId="4FB7FB35">
            <wp:simplePos x="0" y="0"/>
            <wp:positionH relativeFrom="column">
              <wp:posOffset>-48260</wp:posOffset>
            </wp:positionH>
            <wp:positionV relativeFrom="paragraph">
              <wp:posOffset>1097915</wp:posOffset>
            </wp:positionV>
            <wp:extent cx="6753225" cy="3057525"/>
            <wp:effectExtent l="0" t="0" r="9525" b="9525"/>
            <wp:wrapTight wrapText="bothSides">
              <wp:wrapPolygon edited="0">
                <wp:start x="0" y="0"/>
                <wp:lineTo x="0" y="21533"/>
                <wp:lineTo x="21570" y="21533"/>
                <wp:lineTo x="21570" y="0"/>
                <wp:lineTo x="0" y="0"/>
              </wp:wrapPolygon>
            </wp:wrapTight>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sidR="00593CD4" w:rsidRPr="00DA3EA5">
        <w:rPr>
          <w:rFonts w:ascii="Arial" w:hAnsi="Arial" w:cs="Arial"/>
          <w:b/>
        </w:rPr>
        <w:t>Lead screening data from calendar year 2017 indicates that 3,5</w:t>
      </w:r>
      <w:r w:rsidR="009F3FEA" w:rsidRPr="00DA3EA5">
        <w:rPr>
          <w:rFonts w:ascii="Arial" w:hAnsi="Arial" w:cs="Arial"/>
          <w:b/>
        </w:rPr>
        <w:t>55</w:t>
      </w:r>
      <w:r w:rsidR="00593CD4" w:rsidRPr="00DA3EA5">
        <w:rPr>
          <w:rStyle w:val="EndnoteReference"/>
          <w:rFonts w:ascii="Arial" w:hAnsi="Arial" w:cs="Arial"/>
          <w:b/>
        </w:rPr>
        <w:endnoteReference w:id="4"/>
      </w:r>
      <w:r w:rsidR="00593CD4" w:rsidRPr="00DA3EA5">
        <w:rPr>
          <w:rFonts w:ascii="Arial" w:hAnsi="Arial" w:cs="Arial"/>
          <w:b/>
        </w:rPr>
        <w:t xml:space="preserve"> children may have BLLs that, according to the Centers for Disease Control and Prevention (CDC), require case management </w:t>
      </w:r>
      <w:r w:rsidR="00593CD4" w:rsidRPr="00DA3EA5">
        <w:rPr>
          <w:rFonts w:ascii="Arial" w:hAnsi="Arial" w:cs="Arial"/>
        </w:rPr>
        <w:t xml:space="preserve">(BLLs </w:t>
      </w:r>
      <w:r w:rsidR="005D1FE9" w:rsidRPr="00DA3EA5">
        <w:rPr>
          <w:rFonts w:ascii="Arial" w:hAnsi="Arial" w:cs="Arial"/>
        </w:rPr>
        <w:t>≥</w:t>
      </w:r>
      <w:r w:rsidR="00593CD4" w:rsidRPr="00DA3EA5">
        <w:rPr>
          <w:rFonts w:ascii="Arial" w:hAnsi="Arial" w:cs="Arial"/>
        </w:rPr>
        <w:t xml:space="preserve">5 </w:t>
      </w:r>
      <w:r w:rsidR="00241C95" w:rsidRPr="00DA3EA5">
        <w:rPr>
          <w:rFonts w:ascii="Arial" w:hAnsi="Arial" w:cs="Arial"/>
        </w:rPr>
        <w:t>µ</w:t>
      </w:r>
      <w:r w:rsidR="00593CD4" w:rsidRPr="00DA3EA5">
        <w:rPr>
          <w:rFonts w:ascii="Arial" w:hAnsi="Arial" w:cs="Arial"/>
        </w:rPr>
        <w:t>g/dL</w:t>
      </w:r>
      <w:r w:rsidR="00241C95" w:rsidRPr="00DA3EA5">
        <w:rPr>
          <w:rFonts w:ascii="Arial" w:hAnsi="Arial" w:cs="Arial"/>
        </w:rPr>
        <w:t>)</w:t>
      </w:r>
      <w:r w:rsidR="00593CD4" w:rsidRPr="00DA3EA5">
        <w:rPr>
          <w:rFonts w:ascii="Arial" w:hAnsi="Arial" w:cs="Arial"/>
        </w:rPr>
        <w:t xml:space="preserve">. Of those, </w:t>
      </w:r>
      <w:r w:rsidR="00593CD4" w:rsidRPr="00DA3EA5">
        <w:rPr>
          <w:rFonts w:ascii="Arial" w:hAnsi="Arial" w:cs="Arial"/>
          <w:b/>
        </w:rPr>
        <w:t>549 children were identified with having BLLs legally considered “lead poisoned”</w:t>
      </w:r>
      <w:r w:rsidR="00593CD4" w:rsidRPr="00DA3EA5">
        <w:rPr>
          <w:rFonts w:ascii="Arial" w:hAnsi="Arial" w:cs="Arial"/>
        </w:rPr>
        <w:t xml:space="preserve"> pursuant to current Massachusetts regulation (</w:t>
      </w:r>
      <w:r w:rsidR="00FA5A58" w:rsidRPr="00DA3EA5">
        <w:rPr>
          <w:rFonts w:ascii="Arial" w:hAnsi="Arial" w:cs="Arial"/>
        </w:rPr>
        <w:t xml:space="preserve">venous </w:t>
      </w:r>
      <w:r w:rsidR="00593CD4" w:rsidRPr="00DA3EA5">
        <w:rPr>
          <w:rFonts w:ascii="Arial" w:hAnsi="Arial" w:cs="Arial"/>
        </w:rPr>
        <w:t>BLL of 10 µg/dL or greater).</w:t>
      </w:r>
      <w:r w:rsidR="001E4EAC" w:rsidRPr="00DA3EA5">
        <w:rPr>
          <w:rStyle w:val="FootnoteTextChar"/>
          <w:rFonts w:ascii="Arial" w:eastAsiaTheme="minorHAnsi" w:hAnsi="Arial" w:cs="Arial"/>
          <w:b/>
        </w:rPr>
        <w:t xml:space="preserve"> </w:t>
      </w:r>
      <w:r w:rsidR="001E4EAC" w:rsidRPr="00DA3EA5">
        <w:rPr>
          <w:rStyle w:val="EndnoteReference"/>
          <w:rFonts w:ascii="Arial" w:hAnsi="Arial" w:cs="Arial"/>
          <w:b/>
        </w:rPr>
        <w:endnoteReference w:id="5"/>
      </w:r>
      <w:r w:rsidR="001E4EAC" w:rsidRPr="00DA3EA5">
        <w:rPr>
          <w:rFonts w:ascii="Arial" w:hAnsi="Arial" w:cs="Arial"/>
          <w:b/>
        </w:rPr>
        <w:t xml:space="preserve"> </w:t>
      </w:r>
      <w:r w:rsidR="00593CD4" w:rsidRPr="00DA3EA5">
        <w:rPr>
          <w:rFonts w:ascii="Arial" w:hAnsi="Arial" w:cs="Arial"/>
        </w:rPr>
        <w:t xml:space="preserve"> </w:t>
      </w:r>
      <w:r w:rsidR="00241C95" w:rsidRPr="00DA3EA5">
        <w:rPr>
          <w:rFonts w:ascii="Arial" w:hAnsi="Arial" w:cs="Arial"/>
        </w:rPr>
        <w:t>While the percentage of children with elevated BLLs in Massachusetts has historically declined, most recent statewide trends have plateaued</w:t>
      </w:r>
      <w:r w:rsidR="003F4BBE" w:rsidRPr="00DA3EA5">
        <w:rPr>
          <w:rFonts w:ascii="Arial" w:hAnsi="Arial" w:cs="Arial"/>
        </w:rPr>
        <w:t xml:space="preserve"> (</w:t>
      </w:r>
      <w:r w:rsidR="00593380" w:rsidRPr="00DA3EA5">
        <w:rPr>
          <w:rFonts w:ascii="Arial" w:hAnsi="Arial" w:cs="Arial"/>
        </w:rPr>
        <w:t xml:space="preserve">See </w:t>
      </w:r>
      <w:r w:rsidR="003F4BBE" w:rsidRPr="00DA3EA5">
        <w:rPr>
          <w:rFonts w:ascii="Arial" w:hAnsi="Arial" w:cs="Arial"/>
        </w:rPr>
        <w:t xml:space="preserve">Figure 1).  </w:t>
      </w:r>
    </w:p>
    <w:p w14:paraId="482B59D7" w14:textId="77777777" w:rsidR="003F4BBE" w:rsidRPr="00DA3EA5" w:rsidRDefault="003F4BBE" w:rsidP="004A5505">
      <w:pPr>
        <w:pStyle w:val="Heading1"/>
        <w:spacing w:before="0" w:after="120"/>
        <w:rPr>
          <w:rFonts w:ascii="Arial" w:hAnsi="Arial" w:cs="Arial"/>
        </w:rPr>
      </w:pPr>
      <w:r w:rsidRPr="00DA3EA5">
        <w:rPr>
          <w:rFonts w:ascii="Arial" w:hAnsi="Arial" w:cs="Arial"/>
        </w:rPr>
        <w:lastRenderedPageBreak/>
        <w:t>Housing and Lead</w:t>
      </w:r>
    </w:p>
    <w:p w14:paraId="42225CE7" w14:textId="2B7FF508" w:rsidR="00870A2A" w:rsidRDefault="008C67A4" w:rsidP="00EC75FB">
      <w:pPr>
        <w:pStyle w:val="Body1"/>
        <w:spacing w:after="0"/>
        <w:rPr>
          <w:rFonts w:ascii="Arial" w:hAnsi="Arial" w:cs="Arial"/>
          <w:b/>
        </w:rPr>
      </w:pPr>
      <w:r w:rsidRPr="00DA3EA5">
        <w:rPr>
          <w:rFonts w:ascii="Arial" w:hAnsi="Arial" w:cs="Arial"/>
        </w:rPr>
        <w:t>Lead paint is the primary hazard</w:t>
      </w:r>
      <w:r w:rsidR="003F4BBE" w:rsidRPr="00DA3EA5">
        <w:rPr>
          <w:rFonts w:ascii="Arial" w:hAnsi="Arial" w:cs="Arial"/>
        </w:rPr>
        <w:t xml:space="preserve">. </w:t>
      </w:r>
      <w:r w:rsidR="004A7971" w:rsidRPr="00DA3EA5">
        <w:rPr>
          <w:rFonts w:ascii="Arial" w:hAnsi="Arial" w:cs="Arial"/>
        </w:rPr>
        <w:t>When children are identified as lead poisoned,</w:t>
      </w:r>
      <w:r w:rsidR="004A7971" w:rsidRPr="00DA3EA5">
        <w:rPr>
          <w:rFonts w:ascii="Arial" w:hAnsi="Arial" w:cs="Arial"/>
          <w:b/>
        </w:rPr>
        <w:t xml:space="preserve"> most often the source of the exposure is through ingestion of dust or soil contaminated by loose or deteriorated lead paint</w:t>
      </w:r>
      <w:r w:rsidR="003F4BBE" w:rsidRPr="00870A2A">
        <w:rPr>
          <w:rFonts w:ascii="Arial" w:hAnsi="Arial" w:cs="Arial"/>
        </w:rPr>
        <w:t>,</w:t>
      </w:r>
      <w:r w:rsidR="003F4BBE" w:rsidRPr="00DA3EA5">
        <w:rPr>
          <w:rFonts w:ascii="Arial" w:hAnsi="Arial" w:cs="Arial"/>
          <w:b/>
        </w:rPr>
        <w:t xml:space="preserve"> </w:t>
      </w:r>
      <w:r w:rsidR="003F4BBE" w:rsidRPr="00DA3EA5">
        <w:rPr>
          <w:rFonts w:ascii="Arial" w:hAnsi="Arial" w:cs="Arial"/>
        </w:rPr>
        <w:t>frequently on windows and exteriors, or disturbed by unsafe renovation work in their homes.</w:t>
      </w:r>
      <w:r w:rsidR="003F4BBE" w:rsidRPr="00DA3EA5">
        <w:rPr>
          <w:rFonts w:ascii="Arial" w:hAnsi="Arial" w:cs="Arial"/>
          <w:b/>
        </w:rPr>
        <w:t xml:space="preserve"> </w:t>
      </w:r>
      <w:r w:rsidR="004A7971">
        <w:rPr>
          <w:rFonts w:ascii="Arial" w:hAnsi="Arial" w:cs="Arial"/>
          <w:b/>
        </w:rPr>
        <w:t>In 2017, 88%</w:t>
      </w:r>
      <w:r w:rsidR="004A7971" w:rsidRPr="00870A2A">
        <w:rPr>
          <w:rFonts w:ascii="Arial" w:hAnsi="Arial" w:cs="Arial"/>
          <w:b/>
        </w:rPr>
        <w:t xml:space="preserve"> of childhood lead poisoning cases </w:t>
      </w:r>
      <w:r w:rsidR="004A7971">
        <w:rPr>
          <w:rFonts w:ascii="Arial" w:hAnsi="Arial" w:cs="Arial"/>
          <w:b/>
        </w:rPr>
        <w:t>were</w:t>
      </w:r>
      <w:r w:rsidR="004A7971" w:rsidRPr="00870A2A">
        <w:rPr>
          <w:rFonts w:ascii="Arial" w:hAnsi="Arial" w:cs="Arial"/>
          <w:b/>
        </w:rPr>
        <w:t xml:space="preserve"> caused by exposure to lead paint</w:t>
      </w:r>
      <w:r w:rsidR="004A7971">
        <w:rPr>
          <w:rFonts w:ascii="Arial" w:hAnsi="Arial" w:cs="Arial"/>
          <w:b/>
        </w:rPr>
        <w:t>.</w:t>
      </w:r>
      <w:r w:rsidR="004A7971">
        <w:rPr>
          <w:rFonts w:ascii="Arial" w:hAnsi="Arial" w:cs="Arial"/>
        </w:rPr>
        <w:t xml:space="preserve"> Alternative sources such as spices or herbal remedies accounted for 9% of cases. </w:t>
      </w:r>
    </w:p>
    <w:p w14:paraId="3B52F4EB" w14:textId="77777777" w:rsidR="00870A2A" w:rsidRDefault="00870A2A" w:rsidP="00EC75FB">
      <w:pPr>
        <w:pStyle w:val="Body1"/>
        <w:spacing w:after="0"/>
        <w:rPr>
          <w:rFonts w:ascii="Arial" w:hAnsi="Arial" w:cs="Arial"/>
          <w:b/>
        </w:rPr>
      </w:pPr>
    </w:p>
    <w:p w14:paraId="78CA5327" w14:textId="0B747DC9" w:rsidR="00721EF5" w:rsidRPr="004D6DE0" w:rsidRDefault="00B13D89" w:rsidP="004D6DE0">
      <w:pPr>
        <w:pStyle w:val="Body1"/>
        <w:spacing w:after="0"/>
        <w:rPr>
          <w:rFonts w:ascii="Arial" w:hAnsi="Arial" w:cs="Arial"/>
          <w:b/>
        </w:rPr>
      </w:pPr>
      <w:r w:rsidRPr="00DA3EA5">
        <w:rPr>
          <w:rFonts w:ascii="Arial" w:hAnsi="Arial" w:cs="Arial"/>
          <w:b/>
        </w:rPr>
        <w:t>Massachusetts has the fourth oldest housing stock in the country, with approximately 71% of housing built before 1978</w:t>
      </w:r>
      <w:r w:rsidR="007A4A09" w:rsidRPr="00DA3EA5">
        <w:rPr>
          <w:rFonts w:ascii="Arial" w:hAnsi="Arial" w:cs="Arial"/>
        </w:rPr>
        <w:t xml:space="preserve"> </w:t>
      </w:r>
      <w:r w:rsidRPr="00DA3EA5">
        <w:rPr>
          <w:rFonts w:ascii="Arial" w:hAnsi="Arial" w:cs="Arial"/>
        </w:rPr>
        <w:t>– the year lead was banned in residential paint.</w:t>
      </w:r>
      <w:r w:rsidRPr="00DA3EA5">
        <w:rPr>
          <w:rFonts w:ascii="Arial" w:hAnsi="Arial" w:cs="Arial"/>
          <w:b/>
        </w:rPr>
        <w:t xml:space="preserve"> </w:t>
      </w:r>
      <w:r w:rsidR="00721EF5" w:rsidRPr="00DA3EA5">
        <w:rPr>
          <w:rFonts w:ascii="Arial" w:hAnsi="Arial" w:cs="Arial"/>
          <w:noProof/>
        </w:rPr>
        <mc:AlternateContent>
          <mc:Choice Requires="wps">
            <w:drawing>
              <wp:anchor distT="91440" distB="91440" distL="114300" distR="114300" simplePos="0" relativeHeight="251658240" behindDoc="1" locked="0" layoutInCell="0" allowOverlap="1" wp14:anchorId="2F4763C9" wp14:editId="60CBD495">
                <wp:simplePos x="0" y="0"/>
                <wp:positionH relativeFrom="page">
                  <wp:posOffset>4531360</wp:posOffset>
                </wp:positionH>
                <wp:positionV relativeFrom="margin">
                  <wp:posOffset>1871345</wp:posOffset>
                </wp:positionV>
                <wp:extent cx="2997200" cy="2806700"/>
                <wp:effectExtent l="38100" t="38100" r="88900" b="88900"/>
                <wp:wrapTight wrapText="bothSides">
                  <wp:wrapPolygon edited="0">
                    <wp:start x="0" y="-293"/>
                    <wp:lineTo x="-275" y="-147"/>
                    <wp:lineTo x="-275" y="21698"/>
                    <wp:lineTo x="0" y="22138"/>
                    <wp:lineTo x="21829" y="22138"/>
                    <wp:lineTo x="22103" y="21111"/>
                    <wp:lineTo x="22103" y="2199"/>
                    <wp:lineTo x="21829" y="0"/>
                    <wp:lineTo x="21829" y="-293"/>
                    <wp:lineTo x="0" y="-293"/>
                  </wp:wrapPolygon>
                </wp:wrapTight>
                <wp:docPr id="699" name="Rectangl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997200" cy="2806700"/>
                        </a:xfrm>
                        <a:prstGeom prst="rect">
                          <a:avLst/>
                        </a:prstGeom>
                        <a:solidFill>
                          <a:srgbClr val="4F81BD"/>
                        </a:solidFill>
                        <a:effectLst>
                          <a:outerShdw blurRad="50800" dist="38100" dir="2700000" algn="tl" rotWithShape="0">
                            <a:prstClr val="black">
                              <a:alpha val="40000"/>
                            </a:prstClr>
                          </a:outerShdw>
                        </a:effectLst>
                        <a:extLst>
                          <a:ext uri="{91240B29-F687-4F45-9708-019B960494DF}">
                            <a14:hiddenLine xmlns:a14="http://schemas.microsoft.com/office/drawing/2010/main" w="19050">
                              <a:solidFill>
                                <a:srgbClr val="000000"/>
                              </a:solidFill>
                              <a:miter lim="800000"/>
                              <a:headEnd/>
                              <a:tailEnd/>
                            </a14:hiddenLine>
                          </a:ext>
                        </a:extLst>
                      </wps:spPr>
                      <wps:txbx>
                        <w:txbxContent>
                          <w:p w14:paraId="0DCD097C" w14:textId="77777777" w:rsidR="00721EF5" w:rsidRPr="00D72DD0" w:rsidRDefault="00721EF5" w:rsidP="00721EF5">
                            <w:pPr>
                              <w:jc w:val="center"/>
                              <w:rPr>
                                <w:b/>
                                <w:color w:val="FFFFFF" w:themeColor="background1"/>
                                <w:sz w:val="28"/>
                                <w:szCs w:val="28"/>
                                <w:u w:val="single"/>
                              </w:rPr>
                            </w:pPr>
                            <w:r w:rsidRPr="00D72DD0">
                              <w:rPr>
                                <w:b/>
                                <w:color w:val="FFFFFF" w:themeColor="background1"/>
                                <w:sz w:val="28"/>
                                <w:szCs w:val="28"/>
                                <w:u w:val="single"/>
                              </w:rPr>
                              <w:t>2017 High Risk Communities</w:t>
                            </w:r>
                          </w:p>
                          <w:tbl>
                            <w:tblPr>
                              <w:tblStyle w:val="TableGrid1"/>
                              <w:tblW w:w="4901" w:type="dxa"/>
                              <w:tblInd w:w="-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2"/>
                              <w:gridCol w:w="2569"/>
                            </w:tblGrid>
                            <w:tr w:rsidR="00721EF5" w:rsidRPr="00D72DD0" w14:paraId="2525CB48" w14:textId="77777777" w:rsidTr="00D72DD0">
                              <w:trPr>
                                <w:trHeight w:val="3094"/>
                              </w:trPr>
                              <w:tc>
                                <w:tcPr>
                                  <w:tcW w:w="2332" w:type="dxa"/>
                                </w:tcPr>
                                <w:p w14:paraId="0DF18CA0" w14:textId="77777777" w:rsidR="00721EF5" w:rsidRPr="009F3FEA" w:rsidRDefault="00721EF5" w:rsidP="00D72DD0">
                                  <w:pPr>
                                    <w:ind w:left="720"/>
                                    <w:rPr>
                                      <w:b/>
                                      <w:color w:val="FFFFFF" w:themeColor="background1"/>
                                    </w:rPr>
                                  </w:pPr>
                                </w:p>
                                <w:p w14:paraId="06ACA0E8" w14:textId="77777777" w:rsidR="00721EF5" w:rsidRPr="009F3FEA" w:rsidRDefault="00721EF5" w:rsidP="00D72DD0">
                                  <w:pPr>
                                    <w:numPr>
                                      <w:ilvl w:val="0"/>
                                      <w:numId w:val="13"/>
                                    </w:numPr>
                                    <w:rPr>
                                      <w:b/>
                                      <w:color w:val="FFFFFF" w:themeColor="background1"/>
                                    </w:rPr>
                                  </w:pPr>
                                  <w:r w:rsidRPr="009F3FEA">
                                    <w:rPr>
                                      <w:b/>
                                      <w:color w:val="FFFFFF" w:themeColor="background1"/>
                                    </w:rPr>
                                    <w:t>Boston</w:t>
                                  </w:r>
                                </w:p>
                                <w:p w14:paraId="27A5A266" w14:textId="77777777" w:rsidR="00721EF5" w:rsidRPr="009F3FEA" w:rsidRDefault="00721EF5" w:rsidP="00D72DD0">
                                  <w:pPr>
                                    <w:numPr>
                                      <w:ilvl w:val="0"/>
                                      <w:numId w:val="13"/>
                                    </w:numPr>
                                    <w:rPr>
                                      <w:b/>
                                      <w:color w:val="FFFFFF" w:themeColor="background1"/>
                                    </w:rPr>
                                  </w:pPr>
                                  <w:r w:rsidRPr="009F3FEA">
                                    <w:rPr>
                                      <w:b/>
                                      <w:color w:val="FFFFFF" w:themeColor="background1"/>
                                    </w:rPr>
                                    <w:t>Brockton</w:t>
                                  </w:r>
                                </w:p>
                                <w:p w14:paraId="1853ECC9" w14:textId="77777777" w:rsidR="00721EF5" w:rsidRPr="009F3FEA" w:rsidRDefault="00721EF5" w:rsidP="00D72DD0">
                                  <w:pPr>
                                    <w:numPr>
                                      <w:ilvl w:val="0"/>
                                      <w:numId w:val="13"/>
                                    </w:numPr>
                                    <w:rPr>
                                      <w:b/>
                                      <w:color w:val="FFFFFF" w:themeColor="background1"/>
                                    </w:rPr>
                                  </w:pPr>
                                  <w:r w:rsidRPr="009F3FEA">
                                    <w:rPr>
                                      <w:b/>
                                      <w:color w:val="FFFFFF" w:themeColor="background1"/>
                                    </w:rPr>
                                    <w:t>Chelsea</w:t>
                                  </w:r>
                                </w:p>
                                <w:p w14:paraId="66AFAAAB" w14:textId="77777777" w:rsidR="00721EF5" w:rsidRPr="009F3FEA" w:rsidRDefault="00721EF5" w:rsidP="00D72DD0">
                                  <w:pPr>
                                    <w:numPr>
                                      <w:ilvl w:val="0"/>
                                      <w:numId w:val="13"/>
                                    </w:numPr>
                                    <w:rPr>
                                      <w:b/>
                                      <w:color w:val="FFFFFF" w:themeColor="background1"/>
                                    </w:rPr>
                                  </w:pPr>
                                  <w:r w:rsidRPr="009F3FEA">
                                    <w:rPr>
                                      <w:b/>
                                      <w:color w:val="FFFFFF" w:themeColor="background1"/>
                                    </w:rPr>
                                    <w:t>Chicopee</w:t>
                                  </w:r>
                                </w:p>
                                <w:p w14:paraId="7C333F2E" w14:textId="77777777" w:rsidR="00721EF5" w:rsidRPr="009F3FEA" w:rsidRDefault="00721EF5" w:rsidP="00D72DD0">
                                  <w:pPr>
                                    <w:numPr>
                                      <w:ilvl w:val="0"/>
                                      <w:numId w:val="13"/>
                                    </w:numPr>
                                    <w:rPr>
                                      <w:b/>
                                      <w:color w:val="FFFFFF" w:themeColor="background1"/>
                                    </w:rPr>
                                  </w:pPr>
                                  <w:r w:rsidRPr="009F3FEA">
                                    <w:rPr>
                                      <w:b/>
                                      <w:color w:val="FFFFFF" w:themeColor="background1"/>
                                    </w:rPr>
                                    <w:t>Everett</w:t>
                                  </w:r>
                                </w:p>
                                <w:p w14:paraId="550BB87A" w14:textId="77777777" w:rsidR="00721EF5" w:rsidRPr="009F3FEA" w:rsidRDefault="00721EF5" w:rsidP="00D72DD0">
                                  <w:pPr>
                                    <w:numPr>
                                      <w:ilvl w:val="0"/>
                                      <w:numId w:val="13"/>
                                    </w:numPr>
                                    <w:rPr>
                                      <w:b/>
                                      <w:color w:val="FFFFFF" w:themeColor="background1"/>
                                    </w:rPr>
                                  </w:pPr>
                                  <w:r w:rsidRPr="009F3FEA">
                                    <w:rPr>
                                      <w:b/>
                                      <w:color w:val="FFFFFF" w:themeColor="background1"/>
                                    </w:rPr>
                                    <w:t>Fall River</w:t>
                                  </w:r>
                                </w:p>
                                <w:p w14:paraId="3DB10865" w14:textId="77777777" w:rsidR="00721EF5" w:rsidRPr="009F3FEA" w:rsidRDefault="00721EF5" w:rsidP="00D72DD0">
                                  <w:pPr>
                                    <w:numPr>
                                      <w:ilvl w:val="0"/>
                                      <w:numId w:val="13"/>
                                    </w:numPr>
                                    <w:rPr>
                                      <w:b/>
                                      <w:color w:val="FFFFFF" w:themeColor="background1"/>
                                    </w:rPr>
                                  </w:pPr>
                                  <w:r w:rsidRPr="009F3FEA">
                                    <w:rPr>
                                      <w:b/>
                                      <w:color w:val="FFFFFF" w:themeColor="background1"/>
                                    </w:rPr>
                                    <w:t>Fitchburg</w:t>
                                  </w:r>
                                </w:p>
                                <w:p w14:paraId="4B9BEFFE" w14:textId="77777777" w:rsidR="00721EF5" w:rsidRPr="009F3FEA" w:rsidRDefault="00721EF5" w:rsidP="00D72DD0">
                                  <w:pPr>
                                    <w:numPr>
                                      <w:ilvl w:val="0"/>
                                      <w:numId w:val="13"/>
                                    </w:numPr>
                                    <w:rPr>
                                      <w:b/>
                                      <w:color w:val="FFFFFF" w:themeColor="background1"/>
                                    </w:rPr>
                                  </w:pPr>
                                  <w:r w:rsidRPr="009F3FEA">
                                    <w:rPr>
                                      <w:b/>
                                      <w:color w:val="FFFFFF" w:themeColor="background1"/>
                                    </w:rPr>
                                    <w:t>Haverhill</w:t>
                                  </w:r>
                                </w:p>
                                <w:p w14:paraId="3852D34B" w14:textId="77777777" w:rsidR="00721EF5" w:rsidRPr="009F3FEA" w:rsidRDefault="00721EF5" w:rsidP="00D72DD0">
                                  <w:pPr>
                                    <w:numPr>
                                      <w:ilvl w:val="0"/>
                                      <w:numId w:val="13"/>
                                    </w:numPr>
                                    <w:rPr>
                                      <w:b/>
                                      <w:color w:val="FFFFFF" w:themeColor="background1"/>
                                    </w:rPr>
                                  </w:pPr>
                                  <w:r w:rsidRPr="009F3FEA">
                                    <w:rPr>
                                      <w:b/>
                                      <w:color w:val="FFFFFF" w:themeColor="background1"/>
                                    </w:rPr>
                                    <w:t>Holyoke</w:t>
                                  </w:r>
                                </w:p>
                                <w:p w14:paraId="5C80ACED" w14:textId="77777777" w:rsidR="00721EF5" w:rsidRPr="009F3FEA" w:rsidRDefault="00721EF5" w:rsidP="00D72DD0">
                                  <w:pPr>
                                    <w:numPr>
                                      <w:ilvl w:val="0"/>
                                      <w:numId w:val="13"/>
                                    </w:numPr>
                                    <w:rPr>
                                      <w:b/>
                                      <w:color w:val="FFFFFF" w:themeColor="background1"/>
                                    </w:rPr>
                                  </w:pPr>
                                  <w:r w:rsidRPr="009F3FEA">
                                    <w:rPr>
                                      <w:b/>
                                      <w:color w:val="FFFFFF" w:themeColor="background1"/>
                                    </w:rPr>
                                    <w:t>Lawrence</w:t>
                                  </w:r>
                                </w:p>
                              </w:tc>
                              <w:tc>
                                <w:tcPr>
                                  <w:tcW w:w="2569" w:type="dxa"/>
                                </w:tcPr>
                                <w:p w14:paraId="4F76E147" w14:textId="77777777" w:rsidR="00721EF5" w:rsidRPr="009F3FEA" w:rsidRDefault="00721EF5" w:rsidP="00D72DD0">
                                  <w:pPr>
                                    <w:rPr>
                                      <w:b/>
                                      <w:color w:val="FFFFFF" w:themeColor="background1"/>
                                    </w:rPr>
                                  </w:pPr>
                                </w:p>
                                <w:p w14:paraId="1EAD5130" w14:textId="77777777" w:rsidR="00721EF5" w:rsidRPr="009F3FEA" w:rsidRDefault="00721EF5" w:rsidP="00D72DD0">
                                  <w:pPr>
                                    <w:numPr>
                                      <w:ilvl w:val="0"/>
                                      <w:numId w:val="13"/>
                                    </w:numPr>
                                    <w:rPr>
                                      <w:b/>
                                      <w:color w:val="FFFFFF" w:themeColor="background1"/>
                                    </w:rPr>
                                  </w:pPr>
                                  <w:r w:rsidRPr="009F3FEA">
                                    <w:rPr>
                                      <w:b/>
                                      <w:color w:val="FFFFFF" w:themeColor="background1"/>
                                    </w:rPr>
                                    <w:t xml:space="preserve">Lowell </w:t>
                                  </w:r>
                                </w:p>
                                <w:p w14:paraId="7A106398" w14:textId="77777777" w:rsidR="00721EF5" w:rsidRPr="009F3FEA" w:rsidRDefault="00721EF5" w:rsidP="00D72DD0">
                                  <w:pPr>
                                    <w:numPr>
                                      <w:ilvl w:val="0"/>
                                      <w:numId w:val="13"/>
                                    </w:numPr>
                                    <w:rPr>
                                      <w:b/>
                                      <w:color w:val="FFFFFF" w:themeColor="background1"/>
                                    </w:rPr>
                                  </w:pPr>
                                  <w:r w:rsidRPr="009F3FEA">
                                    <w:rPr>
                                      <w:b/>
                                      <w:color w:val="FFFFFF" w:themeColor="background1"/>
                                    </w:rPr>
                                    <w:t>Lynn</w:t>
                                  </w:r>
                                </w:p>
                                <w:p w14:paraId="61C9B128" w14:textId="77777777" w:rsidR="00721EF5" w:rsidRPr="009F3FEA" w:rsidRDefault="00721EF5" w:rsidP="00D72DD0">
                                  <w:pPr>
                                    <w:numPr>
                                      <w:ilvl w:val="0"/>
                                      <w:numId w:val="13"/>
                                    </w:numPr>
                                    <w:rPr>
                                      <w:b/>
                                      <w:color w:val="FFFFFF" w:themeColor="background1"/>
                                    </w:rPr>
                                  </w:pPr>
                                  <w:r w:rsidRPr="009F3FEA">
                                    <w:rPr>
                                      <w:b/>
                                      <w:color w:val="FFFFFF" w:themeColor="background1"/>
                                    </w:rPr>
                                    <w:t>Malden</w:t>
                                  </w:r>
                                </w:p>
                                <w:p w14:paraId="119E3DF3" w14:textId="77777777" w:rsidR="00721EF5" w:rsidRPr="009F3FEA" w:rsidRDefault="00721EF5" w:rsidP="00D72DD0">
                                  <w:pPr>
                                    <w:numPr>
                                      <w:ilvl w:val="0"/>
                                      <w:numId w:val="13"/>
                                    </w:numPr>
                                    <w:rPr>
                                      <w:b/>
                                      <w:color w:val="FFFFFF" w:themeColor="background1"/>
                                    </w:rPr>
                                  </w:pPr>
                                  <w:r w:rsidRPr="009F3FEA">
                                    <w:rPr>
                                      <w:b/>
                                      <w:color w:val="FFFFFF" w:themeColor="background1"/>
                                    </w:rPr>
                                    <w:t>New Bedford</w:t>
                                  </w:r>
                                </w:p>
                                <w:p w14:paraId="7EBB54C3" w14:textId="77777777" w:rsidR="00721EF5" w:rsidRPr="009F3FEA" w:rsidRDefault="00721EF5" w:rsidP="00D72DD0">
                                  <w:pPr>
                                    <w:numPr>
                                      <w:ilvl w:val="0"/>
                                      <w:numId w:val="13"/>
                                    </w:numPr>
                                    <w:rPr>
                                      <w:b/>
                                      <w:color w:val="FFFFFF" w:themeColor="background1"/>
                                    </w:rPr>
                                  </w:pPr>
                                  <w:r w:rsidRPr="009F3FEA">
                                    <w:rPr>
                                      <w:b/>
                                      <w:color w:val="FFFFFF" w:themeColor="background1"/>
                                    </w:rPr>
                                    <w:t>North Adams</w:t>
                                  </w:r>
                                </w:p>
                                <w:p w14:paraId="73AFB399" w14:textId="77777777" w:rsidR="00721EF5" w:rsidRPr="009F3FEA" w:rsidRDefault="00721EF5" w:rsidP="00D72DD0">
                                  <w:pPr>
                                    <w:numPr>
                                      <w:ilvl w:val="0"/>
                                      <w:numId w:val="13"/>
                                    </w:numPr>
                                    <w:rPr>
                                      <w:b/>
                                      <w:color w:val="FFFFFF" w:themeColor="background1"/>
                                    </w:rPr>
                                  </w:pPr>
                                  <w:r w:rsidRPr="009F3FEA">
                                    <w:rPr>
                                      <w:b/>
                                      <w:color w:val="FFFFFF" w:themeColor="background1"/>
                                    </w:rPr>
                                    <w:t>Pittsfield</w:t>
                                  </w:r>
                                </w:p>
                                <w:p w14:paraId="3689F10A" w14:textId="77777777" w:rsidR="00721EF5" w:rsidRPr="009F3FEA" w:rsidRDefault="00721EF5" w:rsidP="00D72DD0">
                                  <w:pPr>
                                    <w:numPr>
                                      <w:ilvl w:val="0"/>
                                      <w:numId w:val="13"/>
                                    </w:numPr>
                                    <w:rPr>
                                      <w:b/>
                                      <w:color w:val="FFFFFF" w:themeColor="background1"/>
                                    </w:rPr>
                                  </w:pPr>
                                  <w:r w:rsidRPr="009F3FEA">
                                    <w:rPr>
                                      <w:b/>
                                      <w:color w:val="FFFFFF" w:themeColor="background1"/>
                                    </w:rPr>
                                    <w:t>Southbridge</w:t>
                                  </w:r>
                                </w:p>
                                <w:p w14:paraId="64F0DB3B" w14:textId="77777777" w:rsidR="00721EF5" w:rsidRPr="009F3FEA" w:rsidRDefault="00721EF5" w:rsidP="00D72DD0">
                                  <w:pPr>
                                    <w:numPr>
                                      <w:ilvl w:val="0"/>
                                      <w:numId w:val="13"/>
                                    </w:numPr>
                                    <w:rPr>
                                      <w:b/>
                                      <w:color w:val="FFFFFF" w:themeColor="background1"/>
                                    </w:rPr>
                                  </w:pPr>
                                  <w:r w:rsidRPr="009F3FEA">
                                    <w:rPr>
                                      <w:b/>
                                      <w:color w:val="FFFFFF" w:themeColor="background1"/>
                                    </w:rPr>
                                    <w:t>Springfield</w:t>
                                  </w:r>
                                </w:p>
                                <w:p w14:paraId="07175508" w14:textId="77777777" w:rsidR="00721EF5" w:rsidRPr="009F3FEA" w:rsidRDefault="00721EF5" w:rsidP="00D72DD0">
                                  <w:pPr>
                                    <w:numPr>
                                      <w:ilvl w:val="0"/>
                                      <w:numId w:val="13"/>
                                    </w:numPr>
                                    <w:rPr>
                                      <w:b/>
                                      <w:color w:val="FFFFFF" w:themeColor="background1"/>
                                    </w:rPr>
                                  </w:pPr>
                                  <w:r w:rsidRPr="009F3FEA">
                                    <w:rPr>
                                      <w:b/>
                                      <w:color w:val="FFFFFF" w:themeColor="background1"/>
                                    </w:rPr>
                                    <w:t>Worcester</w:t>
                                  </w:r>
                                </w:p>
                              </w:tc>
                            </w:tr>
                          </w:tbl>
                          <w:p w14:paraId="35F4458D" w14:textId="77777777" w:rsidR="00721EF5" w:rsidRDefault="00721EF5" w:rsidP="00721EF5">
                            <w:pPr>
                              <w:rPr>
                                <w:color w:val="FFFFFF" w:themeColor="background1"/>
                                <w:sz w:val="18"/>
                                <w:szCs w:val="18"/>
                              </w:rPr>
                            </w:pPr>
                          </w:p>
                        </w:txbxContent>
                      </wps:txbx>
                      <wps:bodyPr rot="0" vert="horz" wrap="square" lIns="274320" tIns="274320" rIns="274320" bIns="274320" anchor="t" anchorCtr="0" upright="1">
                        <a:noAutofit/>
                      </wps:bodyPr>
                    </wps:wsp>
                  </a:graphicData>
                </a:graphic>
                <wp14:sizeRelH relativeFrom="page">
                  <wp14:pctWidth>0</wp14:pctWidth>
                </wp14:sizeRelH>
                <wp14:sizeRelV relativeFrom="margin">
                  <wp14:pctHeight>0</wp14:pctHeight>
                </wp14:sizeRelV>
              </wp:anchor>
            </w:drawing>
          </mc:Choice>
          <mc:Fallback>
            <w:pict>
              <v:rect id="Rectangle 397" o:spid="_x0000_s1026" style="position:absolute;left:0;text-align:left;margin-left:356.8pt;margin-top:147.35pt;width:236pt;height:221pt;flip:x;z-index:-251658240;visibility:visible;mso-wrap-style:square;mso-width-percent:0;mso-height-percent:0;mso-wrap-distance-left:9pt;mso-wrap-distance-top:7.2pt;mso-wrap-distance-right:9pt;mso-wrap-distance-bottom:7.2pt;mso-position-horizontal:absolute;mso-position-horizontal-relative:page;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" o:allowincell="f" fillcolor="#4f81bd" stroked="f" strokeweight="1.5pt">
                <v:shadow on="t" color="black" opacity="26214f" origin="-.5,-.5" offset=".74836mm,.74836mm"/>
                <v:textbox inset="21.6pt,21.6pt,21.6pt,21.6pt">
                  <w:txbxContent>
                    <w:p w14:paraId="0DCD097C" w14:textId="77777777" w:rsidR="00721EF5" w:rsidRPr="00D72DD0" w:rsidRDefault="00721EF5" w:rsidP="00721EF5">
                      <w:pPr>
                        <w:jc w:val="center"/>
                        <w:rPr>
                          <w:b/>
                          <w:color w:val="FFFFFF" w:themeColor="background1"/>
                          <w:sz w:val="28"/>
                          <w:szCs w:val="28"/>
                          <w:u w:val="single"/>
                        </w:rPr>
                      </w:pPr>
                      <w:r w:rsidRPr="00D72DD0">
                        <w:rPr>
                          <w:b/>
                          <w:color w:val="FFFFFF" w:themeColor="background1"/>
                          <w:sz w:val="28"/>
                          <w:szCs w:val="28"/>
                          <w:u w:val="single"/>
                        </w:rPr>
                        <w:t>2017 High Risk Communities</w:t>
                      </w:r>
                    </w:p>
                    <w:tbl>
                      <w:tblPr>
                        <w:tblStyle w:val="TableGrid1"/>
                        <w:tblW w:w="4901" w:type="dxa"/>
                        <w:tblInd w:w="-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2"/>
                        <w:gridCol w:w="2569"/>
                      </w:tblGrid>
                      <w:tr w:rsidR="00721EF5" w:rsidRPr="00D72DD0" w14:paraId="2525CB48" w14:textId="77777777" w:rsidTr="00D72DD0">
                        <w:trPr>
                          <w:trHeight w:val="3094"/>
                        </w:trPr>
                        <w:tc>
                          <w:tcPr>
                            <w:tcW w:w="2332" w:type="dxa"/>
                          </w:tcPr>
                          <w:p w14:paraId="0DF18CA0" w14:textId="77777777" w:rsidR="00721EF5" w:rsidRPr="009F3FEA" w:rsidRDefault="00721EF5" w:rsidP="00D72DD0">
                            <w:pPr>
                              <w:ind w:left="720"/>
                              <w:rPr>
                                <w:b/>
                                <w:color w:val="FFFFFF" w:themeColor="background1"/>
                              </w:rPr>
                            </w:pPr>
                          </w:p>
                          <w:p w14:paraId="06ACA0E8" w14:textId="77777777" w:rsidR="00721EF5" w:rsidRPr="009F3FEA" w:rsidRDefault="00721EF5" w:rsidP="00D72DD0">
                            <w:pPr>
                              <w:numPr>
                                <w:ilvl w:val="0"/>
                                <w:numId w:val="13"/>
                              </w:numPr>
                              <w:rPr>
                                <w:b/>
                                <w:color w:val="FFFFFF" w:themeColor="background1"/>
                              </w:rPr>
                            </w:pPr>
                            <w:r w:rsidRPr="009F3FEA">
                              <w:rPr>
                                <w:b/>
                                <w:color w:val="FFFFFF" w:themeColor="background1"/>
                              </w:rPr>
                              <w:t>Boston</w:t>
                            </w:r>
                          </w:p>
                          <w:p w14:paraId="27A5A266" w14:textId="77777777" w:rsidR="00721EF5" w:rsidRPr="009F3FEA" w:rsidRDefault="00721EF5" w:rsidP="00D72DD0">
                            <w:pPr>
                              <w:numPr>
                                <w:ilvl w:val="0"/>
                                <w:numId w:val="13"/>
                              </w:numPr>
                              <w:rPr>
                                <w:b/>
                                <w:color w:val="FFFFFF" w:themeColor="background1"/>
                              </w:rPr>
                            </w:pPr>
                            <w:r w:rsidRPr="009F3FEA">
                              <w:rPr>
                                <w:b/>
                                <w:color w:val="FFFFFF" w:themeColor="background1"/>
                              </w:rPr>
                              <w:t>Brockton</w:t>
                            </w:r>
                          </w:p>
                          <w:p w14:paraId="1853ECC9" w14:textId="77777777" w:rsidR="00721EF5" w:rsidRPr="009F3FEA" w:rsidRDefault="00721EF5" w:rsidP="00D72DD0">
                            <w:pPr>
                              <w:numPr>
                                <w:ilvl w:val="0"/>
                                <w:numId w:val="13"/>
                              </w:numPr>
                              <w:rPr>
                                <w:b/>
                                <w:color w:val="FFFFFF" w:themeColor="background1"/>
                              </w:rPr>
                            </w:pPr>
                            <w:r w:rsidRPr="009F3FEA">
                              <w:rPr>
                                <w:b/>
                                <w:color w:val="FFFFFF" w:themeColor="background1"/>
                              </w:rPr>
                              <w:t>Chelsea</w:t>
                            </w:r>
                          </w:p>
                          <w:p w14:paraId="66AFAAAB" w14:textId="77777777" w:rsidR="00721EF5" w:rsidRPr="009F3FEA" w:rsidRDefault="00721EF5" w:rsidP="00D72DD0">
                            <w:pPr>
                              <w:numPr>
                                <w:ilvl w:val="0"/>
                                <w:numId w:val="13"/>
                              </w:numPr>
                              <w:rPr>
                                <w:b/>
                                <w:color w:val="FFFFFF" w:themeColor="background1"/>
                              </w:rPr>
                            </w:pPr>
                            <w:r w:rsidRPr="009F3FEA">
                              <w:rPr>
                                <w:b/>
                                <w:color w:val="FFFFFF" w:themeColor="background1"/>
                              </w:rPr>
                              <w:t>Chicopee</w:t>
                            </w:r>
                          </w:p>
                          <w:p w14:paraId="7C333F2E" w14:textId="77777777" w:rsidR="00721EF5" w:rsidRPr="009F3FEA" w:rsidRDefault="00721EF5" w:rsidP="00D72DD0">
                            <w:pPr>
                              <w:numPr>
                                <w:ilvl w:val="0"/>
                                <w:numId w:val="13"/>
                              </w:numPr>
                              <w:rPr>
                                <w:b/>
                                <w:color w:val="FFFFFF" w:themeColor="background1"/>
                              </w:rPr>
                            </w:pPr>
                            <w:r w:rsidRPr="009F3FEA">
                              <w:rPr>
                                <w:b/>
                                <w:color w:val="FFFFFF" w:themeColor="background1"/>
                              </w:rPr>
                              <w:t>Everett</w:t>
                            </w:r>
                          </w:p>
                          <w:p w14:paraId="550BB87A" w14:textId="77777777" w:rsidR="00721EF5" w:rsidRPr="009F3FEA" w:rsidRDefault="00721EF5" w:rsidP="00D72DD0">
                            <w:pPr>
                              <w:numPr>
                                <w:ilvl w:val="0"/>
                                <w:numId w:val="13"/>
                              </w:numPr>
                              <w:rPr>
                                <w:b/>
                                <w:color w:val="FFFFFF" w:themeColor="background1"/>
                              </w:rPr>
                            </w:pPr>
                            <w:r w:rsidRPr="009F3FEA">
                              <w:rPr>
                                <w:b/>
                                <w:color w:val="FFFFFF" w:themeColor="background1"/>
                              </w:rPr>
                              <w:t>Fall River</w:t>
                            </w:r>
                          </w:p>
                          <w:p w14:paraId="3DB10865" w14:textId="77777777" w:rsidR="00721EF5" w:rsidRPr="009F3FEA" w:rsidRDefault="00721EF5" w:rsidP="00D72DD0">
                            <w:pPr>
                              <w:numPr>
                                <w:ilvl w:val="0"/>
                                <w:numId w:val="13"/>
                              </w:numPr>
                              <w:rPr>
                                <w:b/>
                                <w:color w:val="FFFFFF" w:themeColor="background1"/>
                              </w:rPr>
                            </w:pPr>
                            <w:r w:rsidRPr="009F3FEA">
                              <w:rPr>
                                <w:b/>
                                <w:color w:val="FFFFFF" w:themeColor="background1"/>
                              </w:rPr>
                              <w:t>Fitchburg</w:t>
                            </w:r>
                          </w:p>
                          <w:p w14:paraId="4B9BEFFE" w14:textId="77777777" w:rsidR="00721EF5" w:rsidRPr="009F3FEA" w:rsidRDefault="00721EF5" w:rsidP="00D72DD0">
                            <w:pPr>
                              <w:numPr>
                                <w:ilvl w:val="0"/>
                                <w:numId w:val="13"/>
                              </w:numPr>
                              <w:rPr>
                                <w:b/>
                                <w:color w:val="FFFFFF" w:themeColor="background1"/>
                              </w:rPr>
                            </w:pPr>
                            <w:r w:rsidRPr="009F3FEA">
                              <w:rPr>
                                <w:b/>
                                <w:color w:val="FFFFFF" w:themeColor="background1"/>
                              </w:rPr>
                              <w:t>Haverhill</w:t>
                            </w:r>
                          </w:p>
                          <w:p w14:paraId="3852D34B" w14:textId="77777777" w:rsidR="00721EF5" w:rsidRPr="009F3FEA" w:rsidRDefault="00721EF5" w:rsidP="00D72DD0">
                            <w:pPr>
                              <w:numPr>
                                <w:ilvl w:val="0"/>
                                <w:numId w:val="13"/>
                              </w:numPr>
                              <w:rPr>
                                <w:b/>
                                <w:color w:val="FFFFFF" w:themeColor="background1"/>
                              </w:rPr>
                            </w:pPr>
                            <w:r w:rsidRPr="009F3FEA">
                              <w:rPr>
                                <w:b/>
                                <w:color w:val="FFFFFF" w:themeColor="background1"/>
                              </w:rPr>
                              <w:t>Holyoke</w:t>
                            </w:r>
                          </w:p>
                          <w:p w14:paraId="5C80ACED" w14:textId="77777777" w:rsidR="00721EF5" w:rsidRPr="009F3FEA" w:rsidRDefault="00721EF5" w:rsidP="00D72DD0">
                            <w:pPr>
                              <w:numPr>
                                <w:ilvl w:val="0"/>
                                <w:numId w:val="13"/>
                              </w:numPr>
                              <w:rPr>
                                <w:b/>
                                <w:color w:val="FFFFFF" w:themeColor="background1"/>
                              </w:rPr>
                            </w:pPr>
                            <w:r w:rsidRPr="009F3FEA">
                              <w:rPr>
                                <w:b/>
                                <w:color w:val="FFFFFF" w:themeColor="background1"/>
                              </w:rPr>
                              <w:t>Lawrence</w:t>
                            </w:r>
                          </w:p>
                        </w:tc>
                        <w:tc>
                          <w:tcPr>
                            <w:tcW w:w="2569" w:type="dxa"/>
                          </w:tcPr>
                          <w:p w14:paraId="4F76E147" w14:textId="77777777" w:rsidR="00721EF5" w:rsidRPr="009F3FEA" w:rsidRDefault="00721EF5" w:rsidP="00D72DD0">
                            <w:pPr>
                              <w:rPr>
                                <w:b/>
                                <w:color w:val="FFFFFF" w:themeColor="background1"/>
                              </w:rPr>
                            </w:pPr>
                          </w:p>
                          <w:p w14:paraId="1EAD5130" w14:textId="77777777" w:rsidR="00721EF5" w:rsidRPr="009F3FEA" w:rsidRDefault="00721EF5" w:rsidP="00D72DD0">
                            <w:pPr>
                              <w:numPr>
                                <w:ilvl w:val="0"/>
                                <w:numId w:val="13"/>
                              </w:numPr>
                              <w:rPr>
                                <w:b/>
                                <w:color w:val="FFFFFF" w:themeColor="background1"/>
                              </w:rPr>
                            </w:pPr>
                            <w:r w:rsidRPr="009F3FEA">
                              <w:rPr>
                                <w:b/>
                                <w:color w:val="FFFFFF" w:themeColor="background1"/>
                              </w:rPr>
                              <w:t xml:space="preserve">Lowell </w:t>
                            </w:r>
                          </w:p>
                          <w:p w14:paraId="7A106398" w14:textId="77777777" w:rsidR="00721EF5" w:rsidRPr="009F3FEA" w:rsidRDefault="00721EF5" w:rsidP="00D72DD0">
                            <w:pPr>
                              <w:numPr>
                                <w:ilvl w:val="0"/>
                                <w:numId w:val="13"/>
                              </w:numPr>
                              <w:rPr>
                                <w:b/>
                                <w:color w:val="FFFFFF" w:themeColor="background1"/>
                              </w:rPr>
                            </w:pPr>
                            <w:r w:rsidRPr="009F3FEA">
                              <w:rPr>
                                <w:b/>
                                <w:color w:val="FFFFFF" w:themeColor="background1"/>
                              </w:rPr>
                              <w:t>Lynn</w:t>
                            </w:r>
                          </w:p>
                          <w:p w14:paraId="61C9B128" w14:textId="77777777" w:rsidR="00721EF5" w:rsidRPr="009F3FEA" w:rsidRDefault="00721EF5" w:rsidP="00D72DD0">
                            <w:pPr>
                              <w:numPr>
                                <w:ilvl w:val="0"/>
                                <w:numId w:val="13"/>
                              </w:numPr>
                              <w:rPr>
                                <w:b/>
                                <w:color w:val="FFFFFF" w:themeColor="background1"/>
                              </w:rPr>
                            </w:pPr>
                            <w:r w:rsidRPr="009F3FEA">
                              <w:rPr>
                                <w:b/>
                                <w:color w:val="FFFFFF" w:themeColor="background1"/>
                              </w:rPr>
                              <w:t>Malden</w:t>
                            </w:r>
                          </w:p>
                          <w:p w14:paraId="119E3DF3" w14:textId="77777777" w:rsidR="00721EF5" w:rsidRPr="009F3FEA" w:rsidRDefault="00721EF5" w:rsidP="00D72DD0">
                            <w:pPr>
                              <w:numPr>
                                <w:ilvl w:val="0"/>
                                <w:numId w:val="13"/>
                              </w:numPr>
                              <w:rPr>
                                <w:b/>
                                <w:color w:val="FFFFFF" w:themeColor="background1"/>
                              </w:rPr>
                            </w:pPr>
                            <w:r w:rsidRPr="009F3FEA">
                              <w:rPr>
                                <w:b/>
                                <w:color w:val="FFFFFF" w:themeColor="background1"/>
                              </w:rPr>
                              <w:t>New Bedford</w:t>
                            </w:r>
                          </w:p>
                          <w:p w14:paraId="7EBB54C3" w14:textId="77777777" w:rsidR="00721EF5" w:rsidRPr="009F3FEA" w:rsidRDefault="00721EF5" w:rsidP="00D72DD0">
                            <w:pPr>
                              <w:numPr>
                                <w:ilvl w:val="0"/>
                                <w:numId w:val="13"/>
                              </w:numPr>
                              <w:rPr>
                                <w:b/>
                                <w:color w:val="FFFFFF" w:themeColor="background1"/>
                              </w:rPr>
                            </w:pPr>
                            <w:r w:rsidRPr="009F3FEA">
                              <w:rPr>
                                <w:b/>
                                <w:color w:val="FFFFFF" w:themeColor="background1"/>
                              </w:rPr>
                              <w:t>North Adams</w:t>
                            </w:r>
                          </w:p>
                          <w:p w14:paraId="73AFB399" w14:textId="77777777" w:rsidR="00721EF5" w:rsidRPr="009F3FEA" w:rsidRDefault="00721EF5" w:rsidP="00D72DD0">
                            <w:pPr>
                              <w:numPr>
                                <w:ilvl w:val="0"/>
                                <w:numId w:val="13"/>
                              </w:numPr>
                              <w:rPr>
                                <w:b/>
                                <w:color w:val="FFFFFF" w:themeColor="background1"/>
                              </w:rPr>
                            </w:pPr>
                            <w:r w:rsidRPr="009F3FEA">
                              <w:rPr>
                                <w:b/>
                                <w:color w:val="FFFFFF" w:themeColor="background1"/>
                              </w:rPr>
                              <w:t>Pittsfield</w:t>
                            </w:r>
                          </w:p>
                          <w:p w14:paraId="3689F10A" w14:textId="77777777" w:rsidR="00721EF5" w:rsidRPr="009F3FEA" w:rsidRDefault="00721EF5" w:rsidP="00D72DD0">
                            <w:pPr>
                              <w:numPr>
                                <w:ilvl w:val="0"/>
                                <w:numId w:val="13"/>
                              </w:numPr>
                              <w:rPr>
                                <w:b/>
                                <w:color w:val="FFFFFF" w:themeColor="background1"/>
                              </w:rPr>
                            </w:pPr>
                            <w:r w:rsidRPr="009F3FEA">
                              <w:rPr>
                                <w:b/>
                                <w:color w:val="FFFFFF" w:themeColor="background1"/>
                              </w:rPr>
                              <w:t>Southbridge</w:t>
                            </w:r>
                          </w:p>
                          <w:p w14:paraId="64F0DB3B" w14:textId="77777777" w:rsidR="00721EF5" w:rsidRPr="009F3FEA" w:rsidRDefault="00721EF5" w:rsidP="00D72DD0">
                            <w:pPr>
                              <w:numPr>
                                <w:ilvl w:val="0"/>
                                <w:numId w:val="13"/>
                              </w:numPr>
                              <w:rPr>
                                <w:b/>
                                <w:color w:val="FFFFFF" w:themeColor="background1"/>
                              </w:rPr>
                            </w:pPr>
                            <w:r w:rsidRPr="009F3FEA">
                              <w:rPr>
                                <w:b/>
                                <w:color w:val="FFFFFF" w:themeColor="background1"/>
                              </w:rPr>
                              <w:t>Springfield</w:t>
                            </w:r>
                          </w:p>
                          <w:p w14:paraId="07175508" w14:textId="77777777" w:rsidR="00721EF5" w:rsidRPr="009F3FEA" w:rsidRDefault="00721EF5" w:rsidP="00D72DD0">
                            <w:pPr>
                              <w:numPr>
                                <w:ilvl w:val="0"/>
                                <w:numId w:val="13"/>
                              </w:numPr>
                              <w:rPr>
                                <w:b/>
                                <w:color w:val="FFFFFF" w:themeColor="background1"/>
                              </w:rPr>
                            </w:pPr>
                            <w:r w:rsidRPr="009F3FEA">
                              <w:rPr>
                                <w:b/>
                                <w:color w:val="FFFFFF" w:themeColor="background1"/>
                              </w:rPr>
                              <w:t>Worcester</w:t>
                            </w:r>
                          </w:p>
                        </w:tc>
                      </w:tr>
                    </w:tbl>
                    <w:p w14:paraId="35F4458D" w14:textId="77777777" w:rsidR="00721EF5" w:rsidRDefault="00721EF5" w:rsidP="00721EF5">
                      <w:pPr>
                        <w:rPr>
                          <w:color w:val="FFFFFF" w:themeColor="background1"/>
                          <w:sz w:val="18"/>
                          <w:szCs w:val="18"/>
                        </w:rPr>
                      </w:pPr>
                    </w:p>
                  </w:txbxContent>
                </v:textbox>
                <w10:wrap type="tight" anchorx="page" anchory="margin"/>
              </v:rect>
            </w:pict>
          </mc:Fallback>
        </mc:AlternateContent>
      </w:r>
      <w:r w:rsidR="00FE6224" w:rsidRPr="00DA3EA5">
        <w:rPr>
          <w:rFonts w:ascii="Arial" w:hAnsi="Arial" w:cs="Arial"/>
          <w:b/>
        </w:rPr>
        <w:t xml:space="preserve">Only </w:t>
      </w:r>
      <w:r w:rsidR="008A1D82" w:rsidRPr="00DA3EA5">
        <w:rPr>
          <w:rFonts w:ascii="Arial" w:hAnsi="Arial" w:cs="Arial"/>
          <w:b/>
        </w:rPr>
        <w:t>~</w:t>
      </w:r>
      <w:r w:rsidR="00FE6224" w:rsidRPr="00DA3EA5">
        <w:rPr>
          <w:rFonts w:ascii="Arial" w:hAnsi="Arial" w:cs="Arial"/>
          <w:b/>
        </w:rPr>
        <w:t>1</w:t>
      </w:r>
      <w:r w:rsidR="004804AC" w:rsidRPr="00DA3EA5">
        <w:rPr>
          <w:rFonts w:ascii="Arial" w:hAnsi="Arial" w:cs="Arial"/>
          <w:b/>
        </w:rPr>
        <w:t>0</w:t>
      </w:r>
      <w:r w:rsidR="00FE6224" w:rsidRPr="00DA3EA5">
        <w:rPr>
          <w:rFonts w:ascii="Arial" w:hAnsi="Arial" w:cs="Arial"/>
          <w:b/>
        </w:rPr>
        <w:t>% of pre-1978 housing stock in Massachusetts has had an inspection for lead hazards</w:t>
      </w:r>
      <w:r w:rsidR="00E42546" w:rsidRPr="00DA3EA5">
        <w:rPr>
          <w:rFonts w:ascii="Arial" w:hAnsi="Arial" w:cs="Arial"/>
          <w:b/>
        </w:rPr>
        <w:t xml:space="preserve"> and been confirmed </w:t>
      </w:r>
      <w:r w:rsidR="004804AC" w:rsidRPr="00DA3EA5">
        <w:rPr>
          <w:rFonts w:ascii="Arial" w:hAnsi="Arial" w:cs="Arial"/>
          <w:b/>
        </w:rPr>
        <w:t>free from lead hazards</w:t>
      </w:r>
      <w:r w:rsidR="004804AC" w:rsidRPr="00DA3EA5">
        <w:rPr>
          <w:rFonts w:ascii="Arial" w:hAnsi="Arial" w:cs="Arial"/>
        </w:rPr>
        <w:t xml:space="preserve">. </w:t>
      </w:r>
      <w:r w:rsidR="00E42546" w:rsidRPr="00DA3EA5">
        <w:rPr>
          <w:rFonts w:ascii="Arial" w:hAnsi="Arial" w:cs="Arial"/>
        </w:rPr>
        <w:t xml:space="preserve">With </w:t>
      </w:r>
      <w:r w:rsidR="00FE6224" w:rsidRPr="00DA3EA5">
        <w:rPr>
          <w:rFonts w:ascii="Arial" w:hAnsi="Arial" w:cs="Arial"/>
        </w:rPr>
        <w:t>over 1.</w:t>
      </w:r>
      <w:r w:rsidR="00E42546" w:rsidRPr="00DA3EA5">
        <w:rPr>
          <w:rFonts w:ascii="Arial" w:hAnsi="Arial" w:cs="Arial"/>
        </w:rPr>
        <w:t>8</w:t>
      </w:r>
      <w:r w:rsidR="00FE6224" w:rsidRPr="00DA3EA5">
        <w:rPr>
          <w:rFonts w:ascii="Arial" w:hAnsi="Arial" w:cs="Arial"/>
        </w:rPr>
        <w:t xml:space="preserve"> million </w:t>
      </w:r>
      <w:r w:rsidR="00E42546" w:rsidRPr="00DA3EA5">
        <w:rPr>
          <w:rFonts w:ascii="Arial" w:hAnsi="Arial" w:cs="Arial"/>
        </w:rPr>
        <w:t>housing units</w:t>
      </w:r>
      <w:r w:rsidR="00FE6224" w:rsidRPr="00DA3EA5">
        <w:rPr>
          <w:rFonts w:ascii="Arial" w:hAnsi="Arial" w:cs="Arial"/>
        </w:rPr>
        <w:t xml:space="preserve"> in Massachusetts </w:t>
      </w:r>
      <w:r w:rsidR="00E42546" w:rsidRPr="00DA3EA5">
        <w:rPr>
          <w:rFonts w:ascii="Arial" w:hAnsi="Arial" w:cs="Arial"/>
        </w:rPr>
        <w:t>built pre-1978</w:t>
      </w:r>
      <w:r w:rsidR="00FE6224" w:rsidRPr="00DA3EA5">
        <w:rPr>
          <w:rFonts w:ascii="Arial" w:hAnsi="Arial" w:cs="Arial"/>
        </w:rPr>
        <w:t xml:space="preserve"> </w:t>
      </w:r>
      <w:r w:rsidR="00E42546" w:rsidRPr="00DA3EA5">
        <w:rPr>
          <w:rFonts w:ascii="Arial" w:hAnsi="Arial" w:cs="Arial"/>
        </w:rPr>
        <w:t>still not considered lead safe,</w:t>
      </w:r>
      <w:r w:rsidR="00FE6224" w:rsidRPr="00DA3EA5">
        <w:rPr>
          <w:rFonts w:ascii="Arial" w:hAnsi="Arial" w:cs="Arial"/>
        </w:rPr>
        <w:t xml:space="preserve"> </w:t>
      </w:r>
      <w:r w:rsidR="00B03D7F" w:rsidRPr="00DA3EA5">
        <w:rPr>
          <w:rFonts w:ascii="Arial" w:hAnsi="Arial" w:cs="Arial"/>
        </w:rPr>
        <w:t>children will likely continue to be exposed to high levels of lead in their homes</w:t>
      </w:r>
      <w:r w:rsidR="0089790B" w:rsidRPr="00DA3EA5">
        <w:rPr>
          <w:rFonts w:ascii="Arial" w:hAnsi="Arial" w:cs="Arial"/>
        </w:rPr>
        <w:t>.</w:t>
      </w:r>
    </w:p>
    <w:p w14:paraId="04E4FCFA" w14:textId="77777777" w:rsidR="00721EF5" w:rsidRPr="00DA3EA5" w:rsidRDefault="00721EF5" w:rsidP="00721EF5">
      <w:pPr>
        <w:pStyle w:val="Body1"/>
        <w:spacing w:before="240" w:after="0"/>
        <w:jc w:val="left"/>
        <w:rPr>
          <w:rFonts w:ascii="Arial" w:hAnsi="Arial" w:cs="Arial"/>
        </w:rPr>
      </w:pPr>
      <w:r w:rsidRPr="00DA3EA5">
        <w:rPr>
          <w:rFonts w:ascii="Arial" w:hAnsi="Arial" w:cs="Arial"/>
          <w:b/>
          <w:sz w:val="28"/>
          <w:szCs w:val="28"/>
        </w:rPr>
        <w:t>High Risk Communities</w:t>
      </w:r>
    </w:p>
    <w:p w14:paraId="5FC9B565" w14:textId="77777777" w:rsidR="00721EF5" w:rsidRPr="00DA3EA5" w:rsidRDefault="00721EF5" w:rsidP="00721EF5">
      <w:pPr>
        <w:rPr>
          <w:rFonts w:ascii="Arial" w:hAnsi="Arial" w:cs="Arial"/>
          <w:sz w:val="22"/>
          <w:szCs w:val="22"/>
        </w:rPr>
      </w:pPr>
      <w:r w:rsidRPr="00DA3EA5">
        <w:rPr>
          <w:rFonts w:ascii="Arial" w:hAnsi="Arial" w:cs="Arial"/>
          <w:b/>
          <w:sz w:val="22"/>
          <w:szCs w:val="22"/>
        </w:rPr>
        <w:t xml:space="preserve">Utilizing data, DPH identifies communities with a higher risk of </w:t>
      </w:r>
      <w:r w:rsidR="000B20C0" w:rsidRPr="00DA3EA5">
        <w:rPr>
          <w:rFonts w:ascii="Arial" w:hAnsi="Arial" w:cs="Arial"/>
          <w:b/>
          <w:sz w:val="22"/>
          <w:szCs w:val="22"/>
        </w:rPr>
        <w:t xml:space="preserve">childhood </w:t>
      </w:r>
      <w:r w:rsidRPr="00DA3EA5">
        <w:rPr>
          <w:rFonts w:ascii="Arial" w:hAnsi="Arial" w:cs="Arial"/>
          <w:b/>
          <w:sz w:val="22"/>
          <w:szCs w:val="22"/>
        </w:rPr>
        <w:t>lead poisoning</w:t>
      </w:r>
      <w:r w:rsidRPr="00DA3EA5">
        <w:rPr>
          <w:rFonts w:ascii="Arial" w:hAnsi="Arial" w:cs="Arial"/>
          <w:sz w:val="22"/>
          <w:szCs w:val="22"/>
        </w:rPr>
        <w:t xml:space="preserve"> to better target resources</w:t>
      </w:r>
      <w:r w:rsidR="000B20C0" w:rsidRPr="00DA3EA5">
        <w:rPr>
          <w:rFonts w:ascii="Arial" w:hAnsi="Arial" w:cs="Arial"/>
          <w:sz w:val="22"/>
          <w:szCs w:val="22"/>
        </w:rPr>
        <w:t xml:space="preserve"> and reduce health inequities associated with lead exposure</w:t>
      </w:r>
      <w:r w:rsidRPr="00DA3EA5">
        <w:rPr>
          <w:rFonts w:ascii="Arial" w:hAnsi="Arial" w:cs="Arial"/>
          <w:sz w:val="22"/>
          <w:szCs w:val="22"/>
        </w:rPr>
        <w:t xml:space="preserve"> </w:t>
      </w:r>
      <w:r w:rsidR="000B20C0" w:rsidRPr="00DA3EA5">
        <w:rPr>
          <w:rFonts w:ascii="Arial" w:hAnsi="Arial" w:cs="Arial"/>
          <w:sz w:val="22"/>
          <w:szCs w:val="22"/>
        </w:rPr>
        <w:t>in those communities</w:t>
      </w:r>
      <w:r w:rsidRPr="00DA3EA5">
        <w:rPr>
          <w:rFonts w:ascii="Arial" w:hAnsi="Arial" w:cs="Arial"/>
          <w:sz w:val="22"/>
          <w:szCs w:val="22"/>
        </w:rPr>
        <w:t xml:space="preserve">. DPH determines risk by looking at rates of newly poisoned children, the age of housing, and income levels for each of the 351 cities and towns. </w:t>
      </w:r>
      <w:r w:rsidRPr="00DA3EA5">
        <w:rPr>
          <w:rFonts w:ascii="Arial" w:hAnsi="Arial" w:cs="Arial"/>
          <w:b/>
          <w:sz w:val="22"/>
          <w:szCs w:val="22"/>
        </w:rPr>
        <w:t>High-risk communities are in every part of the state</w:t>
      </w:r>
      <w:r w:rsidRPr="00DA3EA5">
        <w:rPr>
          <w:rFonts w:ascii="Arial" w:hAnsi="Arial" w:cs="Arial"/>
          <w:sz w:val="22"/>
          <w:szCs w:val="22"/>
        </w:rPr>
        <w:t xml:space="preserve">. In 2017, 19 high-risk communities were identified.  </w:t>
      </w:r>
    </w:p>
    <w:p w14:paraId="5840D4D5" w14:textId="77777777" w:rsidR="00721EF5" w:rsidRPr="00DA3EA5" w:rsidRDefault="00721EF5" w:rsidP="00721EF5">
      <w:pPr>
        <w:pStyle w:val="Body1"/>
        <w:jc w:val="left"/>
        <w:rPr>
          <w:rFonts w:ascii="Arial" w:hAnsi="Arial" w:cs="Arial"/>
        </w:rPr>
      </w:pPr>
      <w:r w:rsidRPr="00DA3EA5">
        <w:rPr>
          <w:rFonts w:ascii="Arial" w:hAnsi="Arial" w:cs="Arial"/>
        </w:rPr>
        <w:t>Children living in high risk communities are more likely to have lead poisoning than those living in other parts of the state.</w:t>
      </w:r>
      <w:r w:rsidRPr="00DA3EA5">
        <w:rPr>
          <w:rFonts w:ascii="Arial" w:hAnsi="Arial" w:cs="Arial"/>
          <w:b/>
        </w:rPr>
        <w:t xml:space="preserve"> </w:t>
      </w:r>
      <w:r w:rsidRPr="00DA3EA5">
        <w:rPr>
          <w:rFonts w:ascii="Arial" w:hAnsi="Arial" w:cs="Arial"/>
        </w:rPr>
        <w:t>(see Figure 2, below).</w:t>
      </w:r>
    </w:p>
    <w:p w14:paraId="4A31D3DC" w14:textId="77777777" w:rsidR="00721EF5" w:rsidRPr="00DA3EA5" w:rsidRDefault="00721EF5" w:rsidP="00721EF5">
      <w:pPr>
        <w:pStyle w:val="Body1"/>
        <w:jc w:val="left"/>
        <w:rPr>
          <w:rFonts w:ascii="Arial" w:hAnsi="Arial" w:cs="Arial"/>
        </w:rPr>
      </w:pPr>
      <w:r w:rsidRPr="00DA3EA5">
        <w:rPr>
          <w:rFonts w:ascii="Arial" w:hAnsi="Arial" w:cs="Arial"/>
          <w:b/>
        </w:rPr>
        <w:t xml:space="preserve">Approximately 54% of identified cases of children with lead poisoning live in high-risk communities </w:t>
      </w:r>
      <w:r w:rsidRPr="00DA3EA5">
        <w:rPr>
          <w:rFonts w:ascii="Arial" w:hAnsi="Arial" w:cs="Arial"/>
        </w:rPr>
        <w:t xml:space="preserve">even though only about one third of Massachusetts children live in those communities.  This </w:t>
      </w:r>
      <w:r w:rsidR="000B20C0" w:rsidRPr="00DA3EA5">
        <w:rPr>
          <w:rFonts w:ascii="Arial" w:hAnsi="Arial" w:cs="Arial"/>
        </w:rPr>
        <w:t>inequity</w:t>
      </w:r>
      <w:r w:rsidRPr="00DA3EA5">
        <w:rPr>
          <w:rFonts w:ascii="Arial" w:hAnsi="Arial" w:cs="Arial"/>
        </w:rPr>
        <w:t xml:space="preserve"> in the prevalence of poisoned childhood blood lead levels has persisted, despite reductions in BLLs overall. </w:t>
      </w:r>
      <w:r w:rsidRPr="00DA3EA5">
        <w:rPr>
          <w:rFonts w:ascii="Arial" w:hAnsi="Arial" w:cs="Arial"/>
        </w:rPr>
        <w:br/>
      </w:r>
    </w:p>
    <w:p w14:paraId="749968A6" w14:textId="77777777" w:rsidR="00721EF5" w:rsidRPr="00DA3EA5" w:rsidRDefault="00721EF5" w:rsidP="00721EF5">
      <w:pPr>
        <w:pStyle w:val="Body1"/>
        <w:jc w:val="left"/>
        <w:rPr>
          <w:rFonts w:ascii="Arial" w:hAnsi="Arial" w:cs="Arial"/>
        </w:rPr>
      </w:pPr>
      <w:r w:rsidRPr="00DA3EA5">
        <w:rPr>
          <w:rFonts w:ascii="Arial" w:hAnsi="Arial" w:cs="Arial"/>
          <w:noProof/>
        </w:rPr>
        <w:drawing>
          <wp:inline distT="0" distB="0" distL="0" distR="0" wp14:anchorId="06A74BAC" wp14:editId="2B5E2E78">
            <wp:extent cx="6034088" cy="3475990"/>
            <wp:effectExtent l="0" t="0" r="5080" b="1016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C509E51" w14:textId="0F0A4BC2" w:rsidR="00AE6C0A" w:rsidRPr="00DA3EA5" w:rsidRDefault="00207A27" w:rsidP="004A5505">
      <w:pPr>
        <w:pStyle w:val="Body1"/>
        <w:spacing w:after="120"/>
        <w:jc w:val="left"/>
        <w:rPr>
          <w:rFonts w:ascii="Arial" w:hAnsi="Arial" w:cs="Arial"/>
        </w:rPr>
      </w:pPr>
      <w:r w:rsidRPr="00DA3EA5">
        <w:rPr>
          <w:rStyle w:val="Heading1Char"/>
          <w:rFonts w:ascii="Arial" w:hAnsi="Arial" w:cs="Arial"/>
        </w:rPr>
        <w:lastRenderedPageBreak/>
        <w:t>Health Equity</w:t>
      </w:r>
      <w:r w:rsidRPr="00DA3EA5">
        <w:rPr>
          <w:rFonts w:ascii="Arial" w:hAnsi="Arial" w:cs="Arial"/>
        </w:rPr>
        <w:t xml:space="preserve"> </w:t>
      </w:r>
    </w:p>
    <w:p w14:paraId="7BD6668F" w14:textId="31DB0D24" w:rsidR="004A5505" w:rsidRPr="00DA3EA5" w:rsidRDefault="007C08BE" w:rsidP="004804AC">
      <w:pPr>
        <w:rPr>
          <w:rFonts w:ascii="Arial" w:hAnsi="Arial" w:cs="Arial"/>
          <w:sz w:val="22"/>
          <w:szCs w:val="22"/>
        </w:rPr>
      </w:pPr>
      <w:r w:rsidRPr="008A1543">
        <w:rPr>
          <w:rFonts w:ascii="Arial" w:hAnsi="Arial" w:cs="Arial"/>
          <w:noProof/>
          <w:sz w:val="22"/>
          <w:szCs w:val="22"/>
        </w:rPr>
        <mc:AlternateContent>
          <mc:Choice Requires="wps">
            <w:drawing>
              <wp:anchor distT="0" distB="0" distL="114300" distR="114300" simplePos="0" relativeHeight="251697152" behindDoc="0" locked="0" layoutInCell="1" allowOverlap="1" wp14:anchorId="19B1210F" wp14:editId="50D0A717">
                <wp:simplePos x="0" y="0"/>
                <wp:positionH relativeFrom="column">
                  <wp:posOffset>6118860</wp:posOffset>
                </wp:positionH>
                <wp:positionV relativeFrom="paragraph">
                  <wp:posOffset>3343910</wp:posOffset>
                </wp:positionV>
                <wp:extent cx="1134430" cy="264160"/>
                <wp:effectExtent l="0" t="0" r="571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134430" cy="264160"/>
                        </a:xfrm>
                        <a:prstGeom prst="rect">
                          <a:avLst/>
                        </a:prstGeom>
                        <a:noFill/>
                        <a:ln w="9525">
                          <a:noFill/>
                          <a:miter lim="800000"/>
                          <a:headEnd/>
                          <a:tailEnd/>
                        </a:ln>
                      </wps:spPr>
                      <wps:txbx>
                        <w:txbxContent>
                          <w:p w14:paraId="38258AE5" w14:textId="1AFD5B82" w:rsidR="000A118F" w:rsidRDefault="000A118F" w:rsidP="00470A59">
                            <w:pPr>
                              <w:jc w:val="center"/>
                              <w:rPr>
                                <w:rFonts w:asciiTheme="minorHAnsi" w:hAnsiTheme="minorHAnsi"/>
                                <w:b/>
                                <w:color w:val="FFFFFF" w:themeColor="background1"/>
                                <w:sz w:val="22"/>
                              </w:rPr>
                            </w:pPr>
                            <w:r w:rsidRPr="00470A59">
                              <w:rPr>
                                <w:rFonts w:asciiTheme="minorHAnsi" w:hAnsiTheme="minorHAnsi"/>
                                <w:b/>
                                <w:color w:val="FFFFFF" w:themeColor="background1"/>
                                <w:sz w:val="22"/>
                              </w:rPr>
                              <w:t>2.4</w:t>
                            </w:r>
                            <w:r w:rsidR="00470A59">
                              <w:rPr>
                                <w:rFonts w:asciiTheme="minorHAnsi" w:hAnsiTheme="minorHAnsi"/>
                                <w:b/>
                                <w:color w:val="FFFFFF" w:themeColor="background1"/>
                                <w:sz w:val="22"/>
                              </w:rPr>
                              <w:t xml:space="preserve"> T</w:t>
                            </w:r>
                            <w:r w:rsidRPr="00470A59">
                              <w:rPr>
                                <w:rFonts w:asciiTheme="minorHAnsi" w:hAnsiTheme="minorHAnsi"/>
                                <w:b/>
                                <w:color w:val="FFFFFF" w:themeColor="background1"/>
                                <w:sz w:val="22"/>
                              </w:rPr>
                              <w:t>imes</w:t>
                            </w:r>
                            <w:r w:rsidR="00470A59">
                              <w:rPr>
                                <w:rFonts w:asciiTheme="minorHAnsi" w:hAnsiTheme="minorHAnsi"/>
                                <w:b/>
                                <w:color w:val="FFFFFF" w:themeColor="background1"/>
                                <w:sz w:val="22"/>
                              </w:rPr>
                              <w:t xml:space="preserve"> </w:t>
                            </w:r>
                            <w:r w:rsidR="007C08BE">
                              <w:rPr>
                                <w:rFonts w:asciiTheme="minorHAnsi" w:hAnsiTheme="minorHAnsi"/>
                                <w:b/>
                                <w:color w:val="FFFFFF" w:themeColor="background1"/>
                                <w:sz w:val="22"/>
                              </w:rPr>
                              <w:t>More</w:t>
                            </w:r>
                          </w:p>
                          <w:p w14:paraId="23CD6DE3" w14:textId="77777777" w:rsidR="007C08BE" w:rsidRPr="00470A59" w:rsidRDefault="007C08BE" w:rsidP="007C08BE">
                            <w:pPr>
                              <w:rPr>
                                <w:rFonts w:asciiTheme="minorHAnsi" w:hAnsiTheme="minorHAnsi"/>
                                <w:b/>
                                <w:color w:val="FFFFFF" w:themeColor="background1"/>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481.8pt;margin-top:263.3pt;width:89.35pt;height:20.8pt;rotation:9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" filled="f" stroked="f">
                <v:textbox>
                  <w:txbxContent>
                    <w:p w14:paraId="38258AE5" w14:textId="1AFD5B82" w:rsidR="000A118F" w:rsidRDefault="000A118F" w:rsidP="00470A59">
                      <w:pPr>
                        <w:jc w:val="center"/>
                        <w:rPr>
                          <w:rFonts w:asciiTheme="minorHAnsi" w:hAnsiTheme="minorHAnsi"/>
                          <w:b/>
                          <w:color w:val="FFFFFF" w:themeColor="background1"/>
                          <w:sz w:val="22"/>
                        </w:rPr>
                      </w:pPr>
                      <w:r w:rsidRPr="00470A59">
                        <w:rPr>
                          <w:rFonts w:asciiTheme="minorHAnsi" w:hAnsiTheme="minorHAnsi"/>
                          <w:b/>
                          <w:color w:val="FFFFFF" w:themeColor="background1"/>
                          <w:sz w:val="22"/>
                        </w:rPr>
                        <w:t>2.4</w:t>
                      </w:r>
                      <w:r w:rsidR="00470A59">
                        <w:rPr>
                          <w:rFonts w:asciiTheme="minorHAnsi" w:hAnsiTheme="minorHAnsi"/>
                          <w:b/>
                          <w:color w:val="FFFFFF" w:themeColor="background1"/>
                          <w:sz w:val="22"/>
                        </w:rPr>
                        <w:t xml:space="preserve"> T</w:t>
                      </w:r>
                      <w:r w:rsidRPr="00470A59">
                        <w:rPr>
                          <w:rFonts w:asciiTheme="minorHAnsi" w:hAnsiTheme="minorHAnsi"/>
                          <w:b/>
                          <w:color w:val="FFFFFF" w:themeColor="background1"/>
                          <w:sz w:val="22"/>
                        </w:rPr>
                        <w:t>imes</w:t>
                      </w:r>
                      <w:r w:rsidR="00470A59">
                        <w:rPr>
                          <w:rFonts w:asciiTheme="minorHAnsi" w:hAnsiTheme="minorHAnsi"/>
                          <w:b/>
                          <w:color w:val="FFFFFF" w:themeColor="background1"/>
                          <w:sz w:val="22"/>
                        </w:rPr>
                        <w:t xml:space="preserve"> </w:t>
                      </w:r>
                      <w:r w:rsidR="007C08BE">
                        <w:rPr>
                          <w:rFonts w:asciiTheme="minorHAnsi" w:hAnsiTheme="minorHAnsi"/>
                          <w:b/>
                          <w:color w:val="FFFFFF" w:themeColor="background1"/>
                          <w:sz w:val="22"/>
                        </w:rPr>
                        <w:t>More</w:t>
                      </w:r>
                    </w:p>
                    <w:p w14:paraId="23CD6DE3" w14:textId="77777777" w:rsidR="007C08BE" w:rsidRPr="00470A59" w:rsidRDefault="007C08BE" w:rsidP="007C08BE">
                      <w:pPr>
                        <w:rPr>
                          <w:rFonts w:asciiTheme="minorHAnsi" w:hAnsiTheme="minorHAnsi"/>
                          <w:b/>
                          <w:color w:val="FFFFFF" w:themeColor="background1"/>
                          <w:sz w:val="22"/>
                        </w:rPr>
                      </w:pPr>
                    </w:p>
                  </w:txbxContent>
                </v:textbox>
              </v:shape>
            </w:pict>
          </mc:Fallback>
        </mc:AlternateContent>
      </w:r>
      <w:r w:rsidRPr="00DA3EA5">
        <w:rPr>
          <w:rFonts w:ascii="Arial" w:hAnsi="Arial" w:cs="Arial"/>
          <w:noProof/>
        </w:rPr>
        <w:drawing>
          <wp:anchor distT="0" distB="0" distL="114300" distR="114300" simplePos="0" relativeHeight="251686912" behindDoc="1" locked="0" layoutInCell="1" allowOverlap="1" wp14:anchorId="5F5EC117" wp14:editId="3B93EEDA">
            <wp:simplePos x="0" y="0"/>
            <wp:positionH relativeFrom="column">
              <wp:posOffset>3514725</wp:posOffset>
            </wp:positionH>
            <wp:positionV relativeFrom="paragraph">
              <wp:posOffset>1786255</wp:posOffset>
            </wp:positionV>
            <wp:extent cx="3381375" cy="4087368"/>
            <wp:effectExtent l="0" t="0" r="9525" b="27940"/>
            <wp:wrapTight wrapText="bothSides">
              <wp:wrapPolygon edited="0">
                <wp:start x="0" y="0"/>
                <wp:lineTo x="0" y="21647"/>
                <wp:lineTo x="21539" y="21647"/>
                <wp:lineTo x="21539" y="0"/>
                <wp:lineTo x="0" y="0"/>
              </wp:wrapPolygon>
            </wp:wrapTight>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00470A59" w:rsidRPr="008A1543">
        <w:rPr>
          <w:rFonts w:ascii="Arial" w:hAnsi="Arial" w:cs="Arial"/>
          <w:noProof/>
          <w:sz w:val="22"/>
          <w:szCs w:val="22"/>
        </w:rPr>
        <mc:AlternateContent>
          <mc:Choice Requires="wps">
            <w:drawing>
              <wp:anchor distT="0" distB="0" distL="114300" distR="114300" simplePos="0" relativeHeight="251695104" behindDoc="0" locked="0" layoutInCell="1" allowOverlap="1" wp14:anchorId="75BA81CF" wp14:editId="6695E0F0">
                <wp:simplePos x="0" y="0"/>
                <wp:positionH relativeFrom="column">
                  <wp:posOffset>2476500</wp:posOffset>
                </wp:positionH>
                <wp:positionV relativeFrom="paragraph">
                  <wp:posOffset>3429635</wp:posOffset>
                </wp:positionV>
                <wp:extent cx="1278255" cy="24955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278255" cy="249555"/>
                        </a:xfrm>
                        <a:prstGeom prst="rect">
                          <a:avLst/>
                        </a:prstGeom>
                        <a:noFill/>
                        <a:ln w="9525">
                          <a:noFill/>
                          <a:miter lim="800000"/>
                          <a:headEnd/>
                          <a:tailEnd/>
                        </a:ln>
                      </wps:spPr>
                      <wps:txbx>
                        <w:txbxContent>
                          <w:p w14:paraId="5CAF48CB" w14:textId="655FC2A7" w:rsidR="008A1543" w:rsidRPr="00F57B71" w:rsidRDefault="008A1543" w:rsidP="008A1543">
                            <w:pPr>
                              <w:jc w:val="center"/>
                              <w:rPr>
                                <w:rFonts w:asciiTheme="minorHAnsi" w:hAnsiTheme="minorHAnsi"/>
                                <w:b/>
                                <w:color w:val="FFFFFF" w:themeColor="background1"/>
                                <w:sz w:val="22"/>
                              </w:rPr>
                            </w:pPr>
                            <w:r w:rsidRPr="00F57B71">
                              <w:rPr>
                                <w:rFonts w:asciiTheme="minorHAnsi" w:hAnsiTheme="minorHAnsi"/>
                                <w:b/>
                                <w:color w:val="FFFFFF" w:themeColor="background1"/>
                                <w:sz w:val="22"/>
                              </w:rPr>
                              <w:t xml:space="preserve">3.2 </w:t>
                            </w:r>
                            <w:r w:rsidR="00F57B71" w:rsidRPr="00F57B71">
                              <w:rPr>
                                <w:rFonts w:asciiTheme="minorHAnsi" w:hAnsiTheme="minorHAnsi"/>
                                <w:b/>
                                <w:color w:val="FFFFFF" w:themeColor="background1"/>
                                <w:sz w:val="22"/>
                              </w:rPr>
                              <w:t>T</w:t>
                            </w:r>
                            <w:r w:rsidRPr="00F57B71">
                              <w:rPr>
                                <w:rFonts w:asciiTheme="minorHAnsi" w:hAnsiTheme="minorHAnsi"/>
                                <w:b/>
                                <w:color w:val="FFFFFF" w:themeColor="background1"/>
                                <w:sz w:val="22"/>
                              </w:rPr>
                              <w:t xml:space="preserve">imes </w:t>
                            </w:r>
                            <w:r w:rsidR="007C08BE">
                              <w:rPr>
                                <w:rFonts w:asciiTheme="minorHAnsi" w:hAnsiTheme="minorHAnsi"/>
                                <w:b/>
                                <w:color w:val="FFFFFF" w:themeColor="background1"/>
                                <w:sz w:val="22"/>
                              </w:rPr>
                              <w:t>More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95pt;margin-top:270.05pt;width:100.65pt;height:19.65pt;rotation:9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" filled="f" stroked="f">
                <v:textbox>
                  <w:txbxContent>
                    <w:p w14:paraId="5CAF48CB" w14:textId="655FC2A7" w:rsidR="008A1543" w:rsidRPr="00F57B71" w:rsidRDefault="008A1543" w:rsidP="008A1543">
                      <w:pPr>
                        <w:jc w:val="center"/>
                        <w:rPr>
                          <w:rFonts w:asciiTheme="minorHAnsi" w:hAnsiTheme="minorHAnsi"/>
                          <w:b/>
                          <w:color w:val="FFFFFF" w:themeColor="background1"/>
                          <w:sz w:val="22"/>
                        </w:rPr>
                      </w:pPr>
                      <w:r w:rsidRPr="00F57B71">
                        <w:rPr>
                          <w:rFonts w:asciiTheme="minorHAnsi" w:hAnsiTheme="minorHAnsi"/>
                          <w:b/>
                          <w:color w:val="FFFFFF" w:themeColor="background1"/>
                          <w:sz w:val="22"/>
                        </w:rPr>
                        <w:t xml:space="preserve">3.2 </w:t>
                      </w:r>
                      <w:r w:rsidR="00F57B71" w:rsidRPr="00F57B71">
                        <w:rPr>
                          <w:rFonts w:asciiTheme="minorHAnsi" w:hAnsiTheme="minorHAnsi"/>
                          <w:b/>
                          <w:color w:val="FFFFFF" w:themeColor="background1"/>
                          <w:sz w:val="22"/>
                        </w:rPr>
                        <w:t>T</w:t>
                      </w:r>
                      <w:r w:rsidRPr="00F57B71">
                        <w:rPr>
                          <w:rFonts w:asciiTheme="minorHAnsi" w:hAnsiTheme="minorHAnsi"/>
                          <w:b/>
                          <w:color w:val="FFFFFF" w:themeColor="background1"/>
                          <w:sz w:val="22"/>
                        </w:rPr>
                        <w:t xml:space="preserve">imes </w:t>
                      </w:r>
                      <w:r w:rsidR="007C08BE">
                        <w:rPr>
                          <w:rFonts w:asciiTheme="minorHAnsi" w:hAnsiTheme="minorHAnsi"/>
                          <w:b/>
                          <w:color w:val="FFFFFF" w:themeColor="background1"/>
                          <w:sz w:val="22"/>
                        </w:rPr>
                        <w:t>More</w:t>
                      </w:r>
                    </w:p>
                  </w:txbxContent>
                </v:textbox>
              </v:shape>
            </w:pict>
          </mc:Fallback>
        </mc:AlternateContent>
      </w:r>
      <w:r w:rsidR="004804AC" w:rsidRPr="00DA3EA5">
        <w:rPr>
          <w:rFonts w:ascii="Arial" w:hAnsi="Arial" w:cs="Arial"/>
          <w:sz w:val="22"/>
          <w:szCs w:val="22"/>
        </w:rPr>
        <w:t xml:space="preserve">While lead continues to affect children in all communities across Massachusetts, data collected by DPH shows that </w:t>
      </w:r>
      <w:r w:rsidR="004804AC" w:rsidRPr="00DA3EA5">
        <w:rPr>
          <w:rFonts w:ascii="Arial" w:hAnsi="Arial" w:cs="Arial"/>
          <w:b/>
          <w:sz w:val="22"/>
          <w:szCs w:val="22"/>
        </w:rPr>
        <w:t>lead</w:t>
      </w:r>
      <w:r w:rsidR="004804AC" w:rsidRPr="00DA3EA5">
        <w:rPr>
          <w:rFonts w:ascii="Arial" w:hAnsi="Arial" w:cs="Arial"/>
          <w:noProof/>
          <w:sz w:val="22"/>
          <w:szCs w:val="22"/>
        </w:rPr>
        <w:t xml:space="preserve"> </w:t>
      </w:r>
      <w:r w:rsidR="004804AC" w:rsidRPr="00DA3EA5">
        <w:rPr>
          <w:rFonts w:ascii="Arial" w:hAnsi="Arial" w:cs="Arial"/>
          <w:b/>
          <w:sz w:val="22"/>
          <w:szCs w:val="22"/>
        </w:rPr>
        <w:t>exposure disproportionately impacts lower income communities and communities of color</w:t>
      </w:r>
      <w:r w:rsidR="004804AC" w:rsidRPr="00DA3EA5">
        <w:rPr>
          <w:rFonts w:ascii="Arial" w:hAnsi="Arial" w:cs="Arial"/>
          <w:sz w:val="22"/>
          <w:szCs w:val="22"/>
        </w:rPr>
        <w:t xml:space="preserve">, making lead exposure a critical health equity issue. Specifically, </w:t>
      </w:r>
      <w:r w:rsidR="004804AC" w:rsidRPr="00DA3EA5">
        <w:rPr>
          <w:rFonts w:ascii="Arial" w:hAnsi="Arial" w:cs="Arial"/>
          <w:b/>
          <w:sz w:val="22"/>
          <w:szCs w:val="22"/>
        </w:rPr>
        <w:t xml:space="preserve">children living in low income communities are </w:t>
      </w:r>
      <w:r w:rsidR="009F0DB7" w:rsidRPr="00DA3EA5">
        <w:rPr>
          <w:rFonts w:ascii="Arial" w:hAnsi="Arial" w:cs="Arial"/>
          <w:b/>
          <w:sz w:val="22"/>
          <w:szCs w:val="22"/>
        </w:rPr>
        <w:t xml:space="preserve">more than </w:t>
      </w:r>
      <w:r w:rsidR="004804AC" w:rsidRPr="00DA3EA5">
        <w:rPr>
          <w:rFonts w:ascii="Arial" w:hAnsi="Arial" w:cs="Arial"/>
          <w:b/>
          <w:sz w:val="22"/>
          <w:szCs w:val="22"/>
        </w:rPr>
        <w:t xml:space="preserve">3 times </w:t>
      </w:r>
      <w:r w:rsidR="00972094" w:rsidRPr="00DA3EA5">
        <w:rPr>
          <w:rFonts w:ascii="Arial" w:hAnsi="Arial" w:cs="Arial"/>
          <w:b/>
          <w:sz w:val="22"/>
          <w:szCs w:val="22"/>
        </w:rPr>
        <w:t>more</w:t>
      </w:r>
      <w:r w:rsidR="004804AC" w:rsidRPr="00DA3EA5">
        <w:rPr>
          <w:rFonts w:ascii="Arial" w:hAnsi="Arial" w:cs="Arial"/>
          <w:b/>
          <w:sz w:val="22"/>
          <w:szCs w:val="22"/>
        </w:rPr>
        <w:t xml:space="preserve"> likely to have elevated blood lead levels t</w:t>
      </w:r>
      <w:r w:rsidR="00972094" w:rsidRPr="00DA3EA5">
        <w:rPr>
          <w:rFonts w:ascii="Arial" w:hAnsi="Arial" w:cs="Arial"/>
          <w:b/>
          <w:sz w:val="22"/>
          <w:szCs w:val="22"/>
        </w:rPr>
        <w:t>han</w:t>
      </w:r>
      <w:r w:rsidR="004804AC" w:rsidRPr="00DA3EA5">
        <w:rPr>
          <w:rFonts w:ascii="Arial" w:hAnsi="Arial" w:cs="Arial"/>
          <w:b/>
          <w:sz w:val="22"/>
          <w:szCs w:val="22"/>
        </w:rPr>
        <w:t xml:space="preserve"> children living in high inc</w:t>
      </w:r>
      <w:r w:rsidR="00EA16B7" w:rsidRPr="00DA3EA5">
        <w:rPr>
          <w:rFonts w:ascii="Arial" w:hAnsi="Arial" w:cs="Arial"/>
          <w:b/>
          <w:sz w:val="22"/>
          <w:szCs w:val="22"/>
        </w:rPr>
        <w:t>ome comm</w:t>
      </w:r>
      <w:r w:rsidR="000B20C0" w:rsidRPr="00DA3EA5">
        <w:rPr>
          <w:rFonts w:ascii="Arial" w:hAnsi="Arial" w:cs="Arial"/>
          <w:b/>
          <w:sz w:val="22"/>
          <w:szCs w:val="22"/>
        </w:rPr>
        <w:t>unities</w:t>
      </w:r>
      <w:r w:rsidR="000B20C0" w:rsidRPr="00DA3EA5">
        <w:rPr>
          <w:rFonts w:ascii="Arial" w:hAnsi="Arial" w:cs="Arial"/>
          <w:sz w:val="22"/>
          <w:szCs w:val="22"/>
        </w:rPr>
        <w:t xml:space="preserve"> (See Figure 3), children of color are 1.5 times more likely than white children to exhibit dangerous levels of lead in their blood, </w:t>
      </w:r>
      <w:r w:rsidR="004804AC" w:rsidRPr="00DA3EA5">
        <w:rPr>
          <w:rFonts w:ascii="Arial" w:hAnsi="Arial" w:cs="Arial"/>
          <w:sz w:val="22"/>
          <w:szCs w:val="22"/>
        </w:rPr>
        <w:t xml:space="preserve">and </w:t>
      </w:r>
      <w:r w:rsidR="004804AC" w:rsidRPr="00DA3EA5">
        <w:rPr>
          <w:rFonts w:ascii="Arial" w:hAnsi="Arial" w:cs="Arial"/>
          <w:b/>
          <w:sz w:val="22"/>
          <w:szCs w:val="22"/>
        </w:rPr>
        <w:t xml:space="preserve">black children are nearly 2.5 times </w:t>
      </w:r>
      <w:r w:rsidR="00972094" w:rsidRPr="00DA3EA5">
        <w:rPr>
          <w:rFonts w:ascii="Arial" w:hAnsi="Arial" w:cs="Arial"/>
          <w:b/>
          <w:sz w:val="22"/>
          <w:szCs w:val="22"/>
        </w:rPr>
        <w:t>more</w:t>
      </w:r>
      <w:r w:rsidR="004804AC" w:rsidRPr="00DA3EA5">
        <w:rPr>
          <w:rFonts w:ascii="Arial" w:hAnsi="Arial" w:cs="Arial"/>
          <w:b/>
          <w:sz w:val="22"/>
          <w:szCs w:val="22"/>
        </w:rPr>
        <w:t xml:space="preserve"> li</w:t>
      </w:r>
      <w:r w:rsidR="00EC75FB" w:rsidRPr="00DA3EA5">
        <w:rPr>
          <w:rFonts w:ascii="Arial" w:hAnsi="Arial" w:cs="Arial"/>
          <w:b/>
          <w:sz w:val="22"/>
          <w:szCs w:val="22"/>
        </w:rPr>
        <w:t xml:space="preserve">kely to have lead poisoning </w:t>
      </w:r>
      <w:r w:rsidR="00972094" w:rsidRPr="00DA3EA5">
        <w:rPr>
          <w:rFonts w:ascii="Arial" w:hAnsi="Arial" w:cs="Arial"/>
          <w:b/>
          <w:sz w:val="22"/>
          <w:szCs w:val="22"/>
        </w:rPr>
        <w:t>than</w:t>
      </w:r>
      <w:r w:rsidR="004804AC" w:rsidRPr="00DA3EA5">
        <w:rPr>
          <w:rFonts w:ascii="Arial" w:hAnsi="Arial" w:cs="Arial"/>
          <w:b/>
          <w:sz w:val="22"/>
          <w:szCs w:val="22"/>
        </w:rPr>
        <w:t xml:space="preserve"> white children </w:t>
      </w:r>
      <w:r w:rsidR="004A5505" w:rsidRPr="00DA3EA5">
        <w:rPr>
          <w:rFonts w:ascii="Arial" w:hAnsi="Arial" w:cs="Arial"/>
          <w:sz w:val="22"/>
          <w:szCs w:val="22"/>
        </w:rPr>
        <w:t>(See Figure 4</w:t>
      </w:r>
      <w:r w:rsidR="004804AC" w:rsidRPr="00DA3EA5">
        <w:rPr>
          <w:rFonts w:ascii="Arial" w:hAnsi="Arial" w:cs="Arial"/>
          <w:sz w:val="22"/>
          <w:szCs w:val="22"/>
        </w:rPr>
        <w:t>).</w:t>
      </w:r>
      <w:r w:rsidR="00EA16B7" w:rsidRPr="00DA3EA5">
        <w:rPr>
          <w:rFonts w:ascii="Arial" w:hAnsi="Arial" w:cs="Arial"/>
          <w:sz w:val="22"/>
          <w:szCs w:val="22"/>
        </w:rPr>
        <w:t xml:space="preserve"> </w:t>
      </w:r>
      <w:r w:rsidR="000B20C0" w:rsidRPr="00DA3EA5">
        <w:rPr>
          <w:rFonts w:ascii="Arial" w:hAnsi="Arial" w:cs="Arial"/>
          <w:sz w:val="22"/>
          <w:szCs w:val="22"/>
        </w:rPr>
        <w:t>Historical housing policies that have perpetuated segregation and limited opportunity for home ownership, such as redlining, have led to the increase in risk factors for lead poisoning in black communities, including older housing stock, dilapidated housing and fewer owner-occupied housing units</w:t>
      </w:r>
      <w:r w:rsidR="00EC75FB" w:rsidRPr="00DA3EA5">
        <w:rPr>
          <w:rFonts w:ascii="Arial" w:hAnsi="Arial" w:cs="Arial"/>
          <w:sz w:val="22"/>
          <w:szCs w:val="22"/>
        </w:rPr>
        <w:t>.</w:t>
      </w:r>
      <w:r w:rsidR="004A5505" w:rsidRPr="00DA3EA5">
        <w:rPr>
          <w:rStyle w:val="EndnoteReference"/>
          <w:rFonts w:ascii="Arial" w:hAnsi="Arial" w:cs="Arial"/>
          <w:b/>
        </w:rPr>
        <w:endnoteReference w:id="6"/>
      </w:r>
      <w:r w:rsidR="004A5505" w:rsidRPr="00DA3EA5">
        <w:rPr>
          <w:rFonts w:ascii="Arial" w:hAnsi="Arial" w:cs="Arial"/>
          <w:sz w:val="22"/>
          <w:szCs w:val="22"/>
        </w:rPr>
        <w:br/>
      </w:r>
      <w:r w:rsidR="004A5505" w:rsidRPr="00DA3EA5">
        <w:rPr>
          <w:rFonts w:ascii="Arial" w:hAnsi="Arial" w:cs="Arial"/>
          <w:sz w:val="22"/>
          <w:szCs w:val="22"/>
        </w:rPr>
        <w:br/>
      </w:r>
      <w:r w:rsidR="004A5505" w:rsidRPr="00DA3EA5">
        <w:rPr>
          <w:rFonts w:ascii="Arial" w:hAnsi="Arial" w:cs="Arial"/>
          <w:noProof/>
        </w:rPr>
        <w:drawing>
          <wp:inline distT="0" distB="0" distL="0" distR="0" wp14:anchorId="306F71BC" wp14:editId="3DCA6AA9">
            <wp:extent cx="3383280" cy="4069080"/>
            <wp:effectExtent l="0" t="0" r="26670" b="2667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B2973AF" w14:textId="77777777" w:rsidR="006D6004" w:rsidRPr="006D6004" w:rsidRDefault="006D6004" w:rsidP="006D6004">
      <w:pPr>
        <w:ind w:left="1440"/>
        <w:contextualSpacing/>
        <w:rPr>
          <w:rFonts w:ascii="Arial" w:hAnsi="Arial" w:cs="Arial"/>
          <w:sz w:val="22"/>
          <w:szCs w:val="22"/>
        </w:rPr>
      </w:pPr>
      <w:r w:rsidRPr="00DA3EA5">
        <w:rPr>
          <w:rFonts w:ascii="Arial" w:hAnsi="Arial" w:cs="Arial"/>
          <w:noProof/>
        </w:rPr>
        <w:drawing>
          <wp:anchor distT="0" distB="0" distL="114300" distR="114300" simplePos="0" relativeHeight="251693056" behindDoc="0" locked="0" layoutInCell="1" allowOverlap="1" wp14:anchorId="2965DE72" wp14:editId="44137F60">
            <wp:simplePos x="0" y="0"/>
            <wp:positionH relativeFrom="column">
              <wp:posOffset>109855</wp:posOffset>
            </wp:positionH>
            <wp:positionV relativeFrom="paragraph">
              <wp:posOffset>88265</wp:posOffset>
            </wp:positionV>
            <wp:extent cx="572135" cy="575310"/>
            <wp:effectExtent l="0" t="0" r="0" b="0"/>
            <wp:wrapNone/>
            <wp:docPr id="17" name="Picture 17" title="Stae Seal of the Massachusetts Department of Public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2135" cy="575310"/>
                    </a:xfrm>
                    <a:prstGeom prst="rect">
                      <a:avLst/>
                    </a:prstGeom>
                    <a:noFill/>
                  </pic:spPr>
                </pic:pic>
              </a:graphicData>
            </a:graphic>
            <wp14:sizeRelH relativeFrom="page">
              <wp14:pctWidth>0</wp14:pctWidth>
            </wp14:sizeRelH>
            <wp14:sizeRelV relativeFrom="page">
              <wp14:pctHeight>0</wp14:pctHeight>
            </wp14:sizeRelV>
          </wp:anchor>
        </w:drawing>
      </w:r>
      <w:r w:rsidR="00EC75FB" w:rsidRPr="00DA3EA5">
        <w:rPr>
          <w:rFonts w:ascii="Arial" w:hAnsi="Arial" w:cs="Arial"/>
          <w:sz w:val="22"/>
          <w:szCs w:val="22"/>
        </w:rPr>
        <w:br/>
      </w:r>
      <w:r w:rsidRPr="006D6004">
        <w:rPr>
          <w:rFonts w:ascii="Arial" w:hAnsi="Arial" w:cs="Arial"/>
          <w:b/>
          <w:sz w:val="22"/>
          <w:szCs w:val="22"/>
        </w:rPr>
        <w:t>For more information</w:t>
      </w:r>
      <w:r w:rsidRPr="006D6004">
        <w:rPr>
          <w:rFonts w:ascii="Arial" w:hAnsi="Arial" w:cs="Arial"/>
          <w:sz w:val="22"/>
          <w:szCs w:val="22"/>
        </w:rPr>
        <w:t xml:space="preserve"> on DPH’s Childhood Lead Prevention Program, visit: www.mass.gov/orgs/childhood-lead-poisoning-prevention-program</w:t>
      </w:r>
      <w:r w:rsidRPr="006D6004">
        <w:rPr>
          <w:rFonts w:ascii="Arial" w:hAnsi="Arial" w:cs="Arial"/>
          <w:i/>
          <w:sz w:val="22"/>
          <w:szCs w:val="22"/>
        </w:rPr>
        <w:t xml:space="preserve"> </w:t>
      </w:r>
    </w:p>
    <w:p w14:paraId="3047E49B" w14:textId="77777777" w:rsidR="004242E0" w:rsidRPr="00DA3EA5" w:rsidRDefault="004242E0" w:rsidP="006D6004">
      <w:pPr>
        <w:ind w:left="1440"/>
        <w:rPr>
          <w:rStyle w:val="Hyperlink"/>
          <w:rFonts w:ascii="Arial" w:hAnsi="Arial" w:cs="Arial"/>
        </w:rPr>
      </w:pPr>
    </w:p>
    <w:sectPr w:rsidR="004242E0" w:rsidRPr="00DA3EA5" w:rsidSect="00DA337B">
      <w:headerReference w:type="first" r:id="rId14"/>
      <w:pgSz w:w="12240" w:h="15840"/>
      <w:pgMar w:top="720" w:right="720" w:bottom="720" w:left="72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AA9CE9D" w15:done="0"/>
  <w15:commentEx w15:paraId="3FDFC2E9" w15:done="0"/>
  <w15:commentEx w15:paraId="5553334D" w15:done="0"/>
  <w15:commentEx w15:paraId="382EB94E" w15:done="0"/>
  <w15:commentEx w15:paraId="75725C5B" w15:done="0"/>
  <w15:commentEx w15:paraId="28EFDA4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A9CE9D" w16cid:durableId="2051FD95"/>
  <w16cid:commentId w16cid:paraId="3FDFC2E9" w16cid:durableId="205200C3"/>
  <w16cid:commentId w16cid:paraId="5553334D" w16cid:durableId="2052024C"/>
  <w16cid:commentId w16cid:paraId="382EB94E" w16cid:durableId="2052025C"/>
  <w16cid:commentId w16cid:paraId="75725C5B" w16cid:durableId="2052026A"/>
  <w16cid:commentId w16cid:paraId="28EFDA41" w16cid:durableId="2052027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AD5397" w14:textId="77777777" w:rsidR="00D21F94" w:rsidRDefault="00D21F94" w:rsidP="00C36414">
      <w:r>
        <w:separator/>
      </w:r>
    </w:p>
  </w:endnote>
  <w:endnote w:type="continuationSeparator" w:id="0">
    <w:p w14:paraId="668C186A" w14:textId="77777777" w:rsidR="00D21F94" w:rsidRDefault="00D21F94" w:rsidP="00C36414">
      <w:r>
        <w:continuationSeparator/>
      </w:r>
    </w:p>
  </w:endnote>
  <w:endnote w:id="1">
    <w:p w14:paraId="4336619C" w14:textId="77777777" w:rsidR="00313F4F" w:rsidRPr="006D347D" w:rsidRDefault="00313F4F" w:rsidP="00C612E8">
      <w:pPr>
        <w:pStyle w:val="EndnoteText"/>
        <w:rPr>
          <w:rFonts w:ascii="Arial" w:hAnsi="Arial" w:cs="Arial"/>
          <w:sz w:val="18"/>
          <w:szCs w:val="18"/>
        </w:rPr>
      </w:pPr>
      <w:r w:rsidRPr="006D347D">
        <w:rPr>
          <w:rStyle w:val="EndnoteReference"/>
          <w:rFonts w:ascii="Arial" w:hAnsi="Arial" w:cs="Arial"/>
          <w:sz w:val="18"/>
          <w:szCs w:val="18"/>
        </w:rPr>
        <w:endnoteRef/>
      </w:r>
      <w:r w:rsidRPr="006D347D">
        <w:rPr>
          <w:rFonts w:ascii="Arial" w:hAnsi="Arial" w:cs="Arial"/>
          <w:sz w:val="18"/>
          <w:szCs w:val="18"/>
        </w:rPr>
        <w:t xml:space="preserve"> Advisory Committee on Childhood Lead Poisoning Prevention for the Centers for Disease Control and Prevention. </w:t>
      </w:r>
      <w:r w:rsidRPr="006D347D">
        <w:rPr>
          <w:rFonts w:ascii="Arial" w:hAnsi="Arial" w:cs="Arial"/>
          <w:sz w:val="18"/>
          <w:szCs w:val="18"/>
          <w:u w:val="single"/>
        </w:rPr>
        <w:t>Low Level Lead Exposure Harms Children:  A Renewed Call for Primary Prevention</w:t>
      </w:r>
      <w:r w:rsidRPr="006D347D">
        <w:rPr>
          <w:rFonts w:ascii="Arial" w:hAnsi="Arial" w:cs="Arial"/>
          <w:sz w:val="18"/>
          <w:szCs w:val="18"/>
        </w:rPr>
        <w:t xml:space="preserve">. January 2012: http://www.cdc.gov/nceh/lead/acclpp/final_document_030712.pdf </w:t>
      </w:r>
    </w:p>
  </w:endnote>
  <w:endnote w:id="2">
    <w:p w14:paraId="184B78F0" w14:textId="77777777" w:rsidR="00313F4F" w:rsidRPr="006D347D" w:rsidRDefault="00313F4F" w:rsidP="00C612E8">
      <w:pPr>
        <w:pStyle w:val="EndnoteText"/>
        <w:rPr>
          <w:rFonts w:ascii="Arial" w:hAnsi="Arial" w:cs="Arial"/>
          <w:sz w:val="18"/>
          <w:szCs w:val="18"/>
        </w:rPr>
      </w:pPr>
      <w:r w:rsidRPr="006D347D">
        <w:rPr>
          <w:rStyle w:val="EndnoteReference"/>
          <w:rFonts w:ascii="Arial" w:hAnsi="Arial" w:cs="Arial"/>
          <w:sz w:val="18"/>
          <w:szCs w:val="18"/>
        </w:rPr>
        <w:endnoteRef/>
      </w:r>
      <w:r w:rsidRPr="006D347D">
        <w:rPr>
          <w:rFonts w:ascii="Arial" w:hAnsi="Arial" w:cs="Arial"/>
          <w:sz w:val="18"/>
          <w:szCs w:val="18"/>
        </w:rPr>
        <w:t xml:space="preserve"> See</w:t>
      </w:r>
      <w:r w:rsidR="001E4EAC" w:rsidRPr="006D347D">
        <w:rPr>
          <w:rFonts w:ascii="Arial" w:hAnsi="Arial" w:cs="Arial"/>
          <w:sz w:val="18"/>
          <w:szCs w:val="18"/>
        </w:rPr>
        <w:t>,</w:t>
      </w:r>
      <w:r w:rsidRPr="006D347D">
        <w:rPr>
          <w:rFonts w:ascii="Arial" w:hAnsi="Arial" w:cs="Arial"/>
          <w:sz w:val="18"/>
          <w:szCs w:val="18"/>
        </w:rPr>
        <w:t xml:space="preserve"> </w:t>
      </w:r>
      <w:proofErr w:type="spellStart"/>
      <w:r w:rsidRPr="006D347D">
        <w:rPr>
          <w:rFonts w:ascii="Arial" w:hAnsi="Arial" w:cs="Arial"/>
          <w:sz w:val="18"/>
          <w:szCs w:val="18"/>
        </w:rPr>
        <w:t>Lanphear</w:t>
      </w:r>
      <w:proofErr w:type="spellEnd"/>
      <w:r w:rsidRPr="006D347D">
        <w:rPr>
          <w:rFonts w:ascii="Arial" w:hAnsi="Arial" w:cs="Arial"/>
          <w:sz w:val="18"/>
          <w:szCs w:val="18"/>
        </w:rPr>
        <w:t xml:space="preserve">, BP, “The Conquest of Lead Poisoning: A Pyrrhic Victory,” </w:t>
      </w:r>
      <w:r w:rsidRPr="006D347D">
        <w:rPr>
          <w:rFonts w:ascii="Arial" w:hAnsi="Arial" w:cs="Arial"/>
          <w:sz w:val="18"/>
          <w:szCs w:val="18"/>
          <w:u w:val="single"/>
        </w:rPr>
        <w:t>Environmental Health Perspectives</w:t>
      </w:r>
      <w:r w:rsidRPr="006D347D">
        <w:rPr>
          <w:rFonts w:ascii="Arial" w:hAnsi="Arial" w:cs="Arial"/>
          <w:sz w:val="18"/>
          <w:szCs w:val="18"/>
        </w:rPr>
        <w:t>, Oct 2007, A484–A485.</w:t>
      </w:r>
    </w:p>
  </w:endnote>
  <w:endnote w:id="3">
    <w:p w14:paraId="226B4BCE" w14:textId="77777777" w:rsidR="00313F4F" w:rsidRPr="006D347D" w:rsidRDefault="00313F4F" w:rsidP="009A72A0">
      <w:pPr>
        <w:pStyle w:val="EndnoteText"/>
        <w:rPr>
          <w:rFonts w:ascii="Arial" w:hAnsi="Arial" w:cs="Arial"/>
          <w:sz w:val="18"/>
          <w:szCs w:val="18"/>
        </w:rPr>
      </w:pPr>
      <w:r w:rsidRPr="006D347D">
        <w:rPr>
          <w:rStyle w:val="EndnoteReference"/>
          <w:rFonts w:ascii="Arial" w:hAnsi="Arial" w:cs="Arial"/>
          <w:sz w:val="18"/>
          <w:szCs w:val="18"/>
        </w:rPr>
        <w:endnoteRef/>
      </w:r>
      <w:r w:rsidRPr="006D347D">
        <w:rPr>
          <w:rFonts w:ascii="Arial" w:hAnsi="Arial" w:cs="Arial"/>
          <w:sz w:val="18"/>
          <w:szCs w:val="18"/>
        </w:rPr>
        <w:t xml:space="preserve"> See</w:t>
      </w:r>
      <w:r w:rsidRPr="006D347D">
        <w:rPr>
          <w:rFonts w:ascii="Arial" w:hAnsi="Arial" w:cs="Arial"/>
          <w:i/>
          <w:iCs/>
          <w:sz w:val="18"/>
          <w:szCs w:val="18"/>
        </w:rPr>
        <w:t xml:space="preserve">, </w:t>
      </w:r>
      <w:r w:rsidRPr="006D347D">
        <w:rPr>
          <w:rFonts w:ascii="Arial" w:hAnsi="Arial" w:cs="Arial"/>
          <w:sz w:val="18"/>
          <w:szCs w:val="18"/>
        </w:rPr>
        <w:t>e.g.,</w:t>
      </w:r>
      <w:r w:rsidRPr="006D347D">
        <w:rPr>
          <w:rFonts w:ascii="Arial" w:hAnsi="Arial" w:cs="Arial"/>
          <w:i/>
          <w:iCs/>
          <w:sz w:val="18"/>
          <w:szCs w:val="18"/>
        </w:rPr>
        <w:t xml:space="preserve"> </w:t>
      </w:r>
      <w:r w:rsidRPr="006D347D">
        <w:rPr>
          <w:rFonts w:ascii="Arial" w:hAnsi="Arial" w:cs="Arial"/>
          <w:sz w:val="18"/>
          <w:szCs w:val="18"/>
        </w:rPr>
        <w:t xml:space="preserve">Brown, MJ. “Costs and Benefits of Enforcing Housing Policies to Prevent Childhood Lead Poisoning.” </w:t>
      </w:r>
      <w:r w:rsidRPr="006D347D">
        <w:rPr>
          <w:rFonts w:ascii="Arial" w:hAnsi="Arial" w:cs="Arial"/>
          <w:sz w:val="18"/>
          <w:szCs w:val="18"/>
          <w:u w:val="single"/>
        </w:rPr>
        <w:t>Medical Decision Making</w:t>
      </w:r>
      <w:r w:rsidRPr="006D347D">
        <w:rPr>
          <w:rFonts w:ascii="Arial" w:hAnsi="Arial" w:cs="Arial"/>
          <w:sz w:val="18"/>
          <w:szCs w:val="18"/>
        </w:rPr>
        <w:t>, 2002, 22:482-492; Gould, E. “Childhood Lead Poisoning: Conservative Estimates of the</w:t>
      </w:r>
    </w:p>
    <w:p w14:paraId="0947F5A8" w14:textId="77777777" w:rsidR="00313F4F" w:rsidRPr="006D347D" w:rsidRDefault="00313F4F" w:rsidP="009A72A0">
      <w:pPr>
        <w:pStyle w:val="EndnoteText"/>
        <w:rPr>
          <w:rFonts w:ascii="Arial" w:hAnsi="Arial" w:cs="Arial"/>
          <w:sz w:val="18"/>
          <w:szCs w:val="18"/>
        </w:rPr>
      </w:pPr>
      <w:r w:rsidRPr="006D347D">
        <w:rPr>
          <w:rFonts w:ascii="Arial" w:hAnsi="Arial" w:cs="Arial"/>
          <w:sz w:val="18"/>
          <w:szCs w:val="18"/>
        </w:rPr>
        <w:t xml:space="preserve">Social and Economic Benefits of Lead Hazard Control.” </w:t>
      </w:r>
      <w:r w:rsidRPr="006D347D">
        <w:rPr>
          <w:rFonts w:ascii="Arial" w:hAnsi="Arial" w:cs="Arial"/>
          <w:sz w:val="18"/>
          <w:szCs w:val="18"/>
          <w:u w:val="single"/>
        </w:rPr>
        <w:t>Environmental Health Perspectives</w:t>
      </w:r>
      <w:r w:rsidRPr="006D347D">
        <w:rPr>
          <w:rFonts w:ascii="Arial" w:hAnsi="Arial" w:cs="Arial"/>
          <w:sz w:val="18"/>
          <w:szCs w:val="18"/>
        </w:rPr>
        <w:t xml:space="preserve">, 117(7):1162-1167; Reyes, Jessica, “Environmental Policy as Social Policy?  The Impact of Childhood Lead Exposure on Crime.”  National Bureau of Economic Research, May 2007.  </w:t>
      </w:r>
      <w:r w:rsidRPr="006D347D">
        <w:rPr>
          <w:rFonts w:ascii="Arial" w:hAnsi="Arial" w:cs="Arial"/>
          <w:i/>
          <w:iCs/>
          <w:sz w:val="18"/>
          <w:szCs w:val="18"/>
        </w:rPr>
        <w:t xml:space="preserve">Available at </w:t>
      </w:r>
      <w:hyperlink r:id="rId1" w:tooltip="Social and Economic Benefits of Lead Hazard Control." w:history="1">
        <w:r w:rsidRPr="006D347D">
          <w:rPr>
            <w:rStyle w:val="Hyperlink"/>
            <w:rFonts w:ascii="Arial" w:hAnsi="Arial" w:cs="Arial"/>
            <w:sz w:val="18"/>
            <w:szCs w:val="18"/>
          </w:rPr>
          <w:t>http://www.nber.org/papers/w13097</w:t>
        </w:r>
      </w:hyperlink>
      <w:r w:rsidRPr="006D347D">
        <w:rPr>
          <w:rFonts w:ascii="Arial" w:hAnsi="Arial" w:cs="Arial"/>
          <w:sz w:val="18"/>
          <w:szCs w:val="18"/>
        </w:rPr>
        <w:t>.</w:t>
      </w:r>
    </w:p>
  </w:endnote>
  <w:endnote w:id="4">
    <w:p w14:paraId="28A7DD03" w14:textId="77777777" w:rsidR="00593CD4" w:rsidRPr="006D347D" w:rsidRDefault="00593CD4" w:rsidP="00593CD4">
      <w:pPr>
        <w:pStyle w:val="EndnoteText"/>
        <w:rPr>
          <w:rFonts w:ascii="Arial" w:hAnsi="Arial" w:cs="Arial"/>
          <w:sz w:val="18"/>
          <w:szCs w:val="18"/>
        </w:rPr>
      </w:pPr>
      <w:r w:rsidRPr="006D347D">
        <w:rPr>
          <w:rStyle w:val="EndnoteReference"/>
          <w:rFonts w:ascii="Arial" w:hAnsi="Arial" w:cs="Arial"/>
          <w:sz w:val="18"/>
          <w:szCs w:val="18"/>
        </w:rPr>
        <w:endnoteRef/>
      </w:r>
      <w:r w:rsidRPr="006D347D">
        <w:rPr>
          <w:rFonts w:ascii="Arial" w:hAnsi="Arial" w:cs="Arial"/>
          <w:sz w:val="18"/>
          <w:szCs w:val="18"/>
        </w:rPr>
        <w:t xml:space="preserve"> Blood lead levels include both confirmed and unconfirmed blood lead specimens.</w:t>
      </w:r>
    </w:p>
  </w:endnote>
  <w:endnote w:id="5">
    <w:p w14:paraId="4AD691A8" w14:textId="77777777" w:rsidR="001E4EAC" w:rsidRPr="006D347D" w:rsidRDefault="001E4EAC" w:rsidP="001E4EAC">
      <w:pPr>
        <w:pStyle w:val="EndnoteText"/>
        <w:rPr>
          <w:rFonts w:ascii="Arial" w:hAnsi="Arial" w:cs="Arial"/>
          <w:sz w:val="18"/>
          <w:szCs w:val="18"/>
        </w:rPr>
      </w:pPr>
      <w:r w:rsidRPr="006D347D">
        <w:rPr>
          <w:rStyle w:val="EndnoteReference"/>
          <w:rFonts w:ascii="Arial" w:hAnsi="Arial" w:cs="Arial"/>
          <w:sz w:val="18"/>
          <w:szCs w:val="18"/>
        </w:rPr>
        <w:endnoteRef/>
      </w:r>
      <w:r w:rsidRPr="006D347D">
        <w:rPr>
          <w:rFonts w:ascii="Arial" w:hAnsi="Arial" w:cs="Arial"/>
          <w:sz w:val="18"/>
          <w:szCs w:val="18"/>
        </w:rPr>
        <w:t xml:space="preserve"> Blood lead levels include both confirmed and unconfirmed blood lead specimens.</w:t>
      </w:r>
    </w:p>
  </w:endnote>
  <w:endnote w:id="6">
    <w:p w14:paraId="249EC482" w14:textId="77777777" w:rsidR="004A5505" w:rsidRDefault="004A5505" w:rsidP="001E4EAC">
      <w:pPr>
        <w:pStyle w:val="EndnoteText"/>
      </w:pPr>
      <w:r w:rsidRPr="006D347D">
        <w:rPr>
          <w:rStyle w:val="EndnoteReference"/>
          <w:rFonts w:ascii="Arial" w:hAnsi="Arial" w:cs="Arial"/>
          <w:sz w:val="18"/>
          <w:szCs w:val="18"/>
        </w:rPr>
        <w:endnoteRef/>
      </w:r>
      <w:r w:rsidRPr="006D347D">
        <w:rPr>
          <w:rFonts w:ascii="Arial" w:hAnsi="Arial" w:cs="Arial"/>
          <w:sz w:val="18"/>
          <w:szCs w:val="18"/>
        </w:rPr>
        <w:t xml:space="preserve"> </w:t>
      </w:r>
      <w:r w:rsidR="001E4EAC" w:rsidRPr="006D347D">
        <w:rPr>
          <w:rFonts w:ascii="Arial" w:hAnsi="Arial" w:cs="Arial"/>
          <w:sz w:val="18"/>
          <w:szCs w:val="18"/>
        </w:rPr>
        <w:t xml:space="preserve">See, Sampson, Robert J. “The Racial Ecology of Lead Poisoning: Toxic Inequality in Chicago Neighborhoods, 1995-2013” DuBois Review: Social Science Research on Race (2016); Moody H, Darden J. and </w:t>
      </w:r>
      <w:proofErr w:type="spellStart"/>
      <w:r w:rsidR="001E4EAC" w:rsidRPr="006D347D">
        <w:rPr>
          <w:rFonts w:ascii="Arial" w:hAnsi="Arial" w:cs="Arial"/>
          <w:sz w:val="18"/>
          <w:szCs w:val="18"/>
        </w:rPr>
        <w:t>Pigozzi</w:t>
      </w:r>
      <w:proofErr w:type="spellEnd"/>
      <w:r w:rsidR="001E4EAC" w:rsidRPr="006D347D">
        <w:rPr>
          <w:rFonts w:ascii="Arial" w:hAnsi="Arial" w:cs="Arial"/>
          <w:sz w:val="18"/>
          <w:szCs w:val="18"/>
        </w:rPr>
        <w:t xml:space="preserve"> B. “The Relationship of Neighborhood Socioeconomic Differences and Racial Residential Segregation to Childhood Blood Lead Levels in Metropolitan Detroit”, Journal of Urban Health, (820-839)(2016)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A8864B" w14:textId="77777777" w:rsidR="00D21F94" w:rsidRDefault="00D21F94" w:rsidP="00C36414">
      <w:r>
        <w:separator/>
      </w:r>
    </w:p>
  </w:footnote>
  <w:footnote w:type="continuationSeparator" w:id="0">
    <w:p w14:paraId="318279CA" w14:textId="77777777" w:rsidR="00D21F94" w:rsidRDefault="00D21F94" w:rsidP="00C364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DF1F5" w14:textId="55E953BE" w:rsidR="00DA337B" w:rsidRDefault="00DA337B">
    <w:pPr>
      <w:pStyle w:val="Header"/>
    </w:pPr>
    <w:r w:rsidRPr="00DA3EA5">
      <w:rPr>
        <w:rFonts w:ascii="Arial" w:hAnsi="Arial" w:cs="Arial"/>
        <w:noProof/>
        <w:color w:val="808080" w:themeColor="background1" w:themeShade="80"/>
        <w:szCs w:val="24"/>
      </w:rPr>
      <mc:AlternateContent>
        <mc:Choice Requires="wps">
          <w:drawing>
            <wp:anchor distT="0" distB="0" distL="114300" distR="114300" simplePos="0" relativeHeight="251659264" behindDoc="0" locked="0" layoutInCell="1" allowOverlap="1" wp14:anchorId="733E8014" wp14:editId="3122B354">
              <wp:simplePos x="0" y="0"/>
              <wp:positionH relativeFrom="page">
                <wp:align>left</wp:align>
              </wp:positionH>
              <wp:positionV relativeFrom="paragraph">
                <wp:posOffset>-442913</wp:posOffset>
              </wp:positionV>
              <wp:extent cx="7823835" cy="1504950"/>
              <wp:effectExtent l="0" t="0" r="5715" b="0"/>
              <wp:wrapThrough wrapText="bothSides">
                <wp:wrapPolygon edited="0">
                  <wp:start x="0" y="0"/>
                  <wp:lineTo x="0" y="21327"/>
                  <wp:lineTo x="21563" y="21327"/>
                  <wp:lineTo x="21563" y="0"/>
                  <wp:lineTo x="0" y="0"/>
                </wp:wrapPolygon>
              </wp:wrapThrough>
              <wp:docPr id="5" name="Rectangle 5"/>
              <wp:cNvGraphicFramePr/>
              <a:graphic xmlns:a="http://schemas.openxmlformats.org/drawingml/2006/main">
                <a:graphicData uri="http://schemas.microsoft.com/office/word/2010/wordprocessingShape">
                  <wps:wsp>
                    <wps:cNvSpPr/>
                    <wps:spPr>
                      <a:xfrm>
                        <a:off x="0" y="0"/>
                        <a:ext cx="7823835" cy="1504950"/>
                      </a:xfrm>
                      <a:prstGeom prst="rect">
                        <a:avLst/>
                      </a:prstGeom>
                      <a:solidFill>
                        <a:srgbClr val="002677"/>
                      </a:solidFill>
                      <a:ln>
                        <a:noFill/>
                      </a:ln>
                      <a:effectLst/>
                    </wps:spPr>
                    <wps:style>
                      <a:lnRef idx="1">
                        <a:schemeClr val="accent1"/>
                      </a:lnRef>
                      <a:fillRef idx="3">
                        <a:schemeClr val="accent1"/>
                      </a:fillRef>
                      <a:effectRef idx="2">
                        <a:schemeClr val="accent1"/>
                      </a:effectRef>
                      <a:fontRef idx="minor">
                        <a:schemeClr val="lt1"/>
                      </a:fontRef>
                    </wps:style>
                    <wps:txbx>
                      <w:txbxContent>
                        <w:p w14:paraId="010BAC91" w14:textId="77777777" w:rsidR="00DA337B" w:rsidRDefault="00DA337B" w:rsidP="00DA337B"/>
                        <w:p w14:paraId="37E7ED4D" w14:textId="77777777" w:rsidR="00DA337B" w:rsidRPr="00126AAC" w:rsidRDefault="00DA337B" w:rsidP="00DA337B">
                          <w:pPr>
                            <w:pStyle w:val="MassDOHHeader"/>
                            <w:spacing w:after="0"/>
                            <w:rPr>
                              <w:b/>
                              <w:sz w:val="19"/>
                              <w:szCs w:val="19"/>
                            </w:rPr>
                          </w:pPr>
                          <w:r w:rsidRPr="00126AAC">
                            <w:rPr>
                              <w:b/>
                              <w:sz w:val="19"/>
                              <w:szCs w:val="19"/>
                            </w:rPr>
                            <w:t>Massachusetts Department of Public Health | Bureau of Environmental Health</w:t>
                          </w:r>
                        </w:p>
                        <w:p w14:paraId="57876668" w14:textId="77777777" w:rsidR="00DA337B" w:rsidRDefault="00DA337B" w:rsidP="00DA337B">
                          <w:pPr>
                            <w:pStyle w:val="Heading1"/>
                            <w:spacing w:before="0" w:after="0"/>
                            <w:jc w:val="center"/>
                            <w:rPr>
                              <w:rFonts w:ascii="Georgia" w:hAnsi="Georgia"/>
                              <w:b w:val="0"/>
                              <w:sz w:val="44"/>
                              <w:szCs w:val="44"/>
                            </w:rPr>
                          </w:pPr>
                        </w:p>
                        <w:p w14:paraId="00709B5F" w14:textId="77777777" w:rsidR="00DA337B" w:rsidRDefault="00DA337B" w:rsidP="00DA337B">
                          <w:pPr>
                            <w:pStyle w:val="Heading1"/>
                            <w:spacing w:before="0" w:after="0"/>
                            <w:jc w:val="center"/>
                            <w:rPr>
                              <w:rFonts w:ascii="Georgia" w:hAnsi="Georgia"/>
                              <w:b w:val="0"/>
                              <w:sz w:val="44"/>
                              <w:szCs w:val="44"/>
                            </w:rPr>
                          </w:pPr>
                          <w:r w:rsidRPr="00DA3EA5">
                            <w:rPr>
                              <w:rFonts w:ascii="Georgia" w:hAnsi="Georgia"/>
                              <w:b w:val="0"/>
                              <w:sz w:val="44"/>
                              <w:szCs w:val="44"/>
                            </w:rPr>
                            <w:t>Data Brief: Childhood Lead Exposure in Massachusetts</w:t>
                          </w:r>
                        </w:p>
                        <w:p w14:paraId="7B053B17" w14:textId="3C0BAD76" w:rsidR="00DA337B" w:rsidRPr="00DA3EA5" w:rsidRDefault="00B97A36" w:rsidP="00DA337B">
                          <w:pPr>
                            <w:ind w:left="8640" w:firstLine="720"/>
                            <w:jc w:val="center"/>
                            <w:rPr>
                              <w:rFonts w:ascii="Georgia" w:hAnsi="Georgia"/>
                            </w:rPr>
                          </w:pPr>
                          <w:r>
                            <w:rPr>
                              <w:rFonts w:ascii="Georgia" w:hAnsi="Georgia"/>
                            </w:rPr>
                            <w:t>December</w:t>
                          </w:r>
                          <w:r w:rsidR="00DA337B">
                            <w:rPr>
                              <w:rFonts w:ascii="Georgia" w:hAnsi="Georgia"/>
                            </w:rPr>
                            <w:t>, 2019</w:t>
                          </w:r>
                        </w:p>
                        <w:p w14:paraId="12B8C850" w14:textId="77777777" w:rsidR="00DA337B" w:rsidRDefault="00DA337B" w:rsidP="00DA337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9" style="position:absolute;margin-left:0;margin-top:-34.9pt;width:616.05pt;height:118.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" fillcolor="#002677" stroked="f">
              <v:textbox>
                <w:txbxContent>
                  <w:p w14:paraId="010BAC91" w14:textId="77777777" w:rsidR="00DA337B" w:rsidRDefault="00DA337B" w:rsidP="00DA337B"/>
                  <w:p w14:paraId="37E7ED4D" w14:textId="77777777" w:rsidR="00DA337B" w:rsidRPr="00126AAC" w:rsidRDefault="00DA337B" w:rsidP="00DA337B">
                    <w:pPr>
                      <w:pStyle w:val="MassDOHHeader"/>
                      <w:spacing w:after="0"/>
                      <w:rPr>
                        <w:b/>
                        <w:sz w:val="19"/>
                        <w:szCs w:val="19"/>
                      </w:rPr>
                    </w:pPr>
                    <w:r w:rsidRPr="00126AAC">
                      <w:rPr>
                        <w:b/>
                        <w:sz w:val="19"/>
                        <w:szCs w:val="19"/>
                      </w:rPr>
                      <w:t>Massachusetts Department of Public Health | Bureau of Environmental Health</w:t>
                    </w:r>
                  </w:p>
                  <w:p w14:paraId="57876668" w14:textId="77777777" w:rsidR="00DA337B" w:rsidRDefault="00DA337B" w:rsidP="00DA337B">
                    <w:pPr>
                      <w:pStyle w:val="Heading1"/>
                      <w:spacing w:before="0" w:after="0"/>
                      <w:jc w:val="center"/>
                      <w:rPr>
                        <w:rFonts w:ascii="Georgia" w:hAnsi="Georgia"/>
                        <w:b w:val="0"/>
                        <w:sz w:val="44"/>
                        <w:szCs w:val="44"/>
                      </w:rPr>
                    </w:pPr>
                  </w:p>
                  <w:p w14:paraId="00709B5F" w14:textId="77777777" w:rsidR="00DA337B" w:rsidRDefault="00DA337B" w:rsidP="00DA337B">
                    <w:pPr>
                      <w:pStyle w:val="Heading1"/>
                      <w:spacing w:before="0" w:after="0"/>
                      <w:jc w:val="center"/>
                      <w:rPr>
                        <w:rFonts w:ascii="Georgia" w:hAnsi="Georgia"/>
                        <w:b w:val="0"/>
                        <w:sz w:val="44"/>
                        <w:szCs w:val="44"/>
                      </w:rPr>
                    </w:pPr>
                    <w:r w:rsidRPr="00DA3EA5">
                      <w:rPr>
                        <w:rFonts w:ascii="Georgia" w:hAnsi="Georgia"/>
                        <w:b w:val="0"/>
                        <w:sz w:val="44"/>
                        <w:szCs w:val="44"/>
                      </w:rPr>
                      <w:t>Data Brief: Childhood Lead Exposure in Massachusetts</w:t>
                    </w:r>
                  </w:p>
                  <w:p w14:paraId="7B053B17" w14:textId="3C0BAD76" w:rsidR="00DA337B" w:rsidRPr="00DA3EA5" w:rsidRDefault="00B97A36" w:rsidP="00DA337B">
                    <w:pPr>
                      <w:ind w:left="8640" w:firstLine="720"/>
                      <w:jc w:val="center"/>
                      <w:rPr>
                        <w:rFonts w:ascii="Georgia" w:hAnsi="Georgia"/>
                      </w:rPr>
                    </w:pPr>
                    <w:r>
                      <w:rPr>
                        <w:rFonts w:ascii="Georgia" w:hAnsi="Georgia"/>
                      </w:rPr>
                      <w:t>December</w:t>
                    </w:r>
                    <w:r w:rsidR="00DA337B">
                      <w:rPr>
                        <w:rFonts w:ascii="Georgia" w:hAnsi="Georgia"/>
                      </w:rPr>
                      <w:t>, 2019</w:t>
                    </w:r>
                  </w:p>
                  <w:p w14:paraId="12B8C850" w14:textId="77777777" w:rsidR="00DA337B" w:rsidRDefault="00DA337B" w:rsidP="00DA337B"/>
                </w:txbxContent>
              </v:textbox>
              <w10:wrap type="through" anchorx="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42CF2"/>
    <w:multiLevelType w:val="hybridMultilevel"/>
    <w:tmpl w:val="DD22D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ECC396C"/>
    <w:multiLevelType w:val="hybridMultilevel"/>
    <w:tmpl w:val="4510E896"/>
    <w:lvl w:ilvl="0" w:tplc="74766CA2">
      <w:start w:val="1"/>
      <w:numFmt w:val="bullet"/>
      <w:lvlText w:val="•"/>
      <w:lvlJc w:val="left"/>
      <w:pPr>
        <w:tabs>
          <w:tab w:val="num" w:pos="720"/>
        </w:tabs>
        <w:ind w:left="720" w:hanging="360"/>
      </w:pPr>
      <w:rPr>
        <w:rFonts w:ascii="Arial" w:hAnsi="Arial" w:hint="default"/>
      </w:rPr>
    </w:lvl>
    <w:lvl w:ilvl="1" w:tplc="DCA6785C" w:tentative="1">
      <w:start w:val="1"/>
      <w:numFmt w:val="bullet"/>
      <w:lvlText w:val="•"/>
      <w:lvlJc w:val="left"/>
      <w:pPr>
        <w:tabs>
          <w:tab w:val="num" w:pos="1440"/>
        </w:tabs>
        <w:ind w:left="1440" w:hanging="360"/>
      </w:pPr>
      <w:rPr>
        <w:rFonts w:ascii="Arial" w:hAnsi="Arial" w:hint="default"/>
      </w:rPr>
    </w:lvl>
    <w:lvl w:ilvl="2" w:tplc="D1F65E28" w:tentative="1">
      <w:start w:val="1"/>
      <w:numFmt w:val="bullet"/>
      <w:lvlText w:val="•"/>
      <w:lvlJc w:val="left"/>
      <w:pPr>
        <w:tabs>
          <w:tab w:val="num" w:pos="2160"/>
        </w:tabs>
        <w:ind w:left="2160" w:hanging="360"/>
      </w:pPr>
      <w:rPr>
        <w:rFonts w:ascii="Arial" w:hAnsi="Arial" w:hint="default"/>
      </w:rPr>
    </w:lvl>
    <w:lvl w:ilvl="3" w:tplc="859E6536" w:tentative="1">
      <w:start w:val="1"/>
      <w:numFmt w:val="bullet"/>
      <w:lvlText w:val="•"/>
      <w:lvlJc w:val="left"/>
      <w:pPr>
        <w:tabs>
          <w:tab w:val="num" w:pos="2880"/>
        </w:tabs>
        <w:ind w:left="2880" w:hanging="360"/>
      </w:pPr>
      <w:rPr>
        <w:rFonts w:ascii="Arial" w:hAnsi="Arial" w:hint="default"/>
      </w:rPr>
    </w:lvl>
    <w:lvl w:ilvl="4" w:tplc="6594425E" w:tentative="1">
      <w:start w:val="1"/>
      <w:numFmt w:val="bullet"/>
      <w:lvlText w:val="•"/>
      <w:lvlJc w:val="left"/>
      <w:pPr>
        <w:tabs>
          <w:tab w:val="num" w:pos="3600"/>
        </w:tabs>
        <w:ind w:left="3600" w:hanging="360"/>
      </w:pPr>
      <w:rPr>
        <w:rFonts w:ascii="Arial" w:hAnsi="Arial" w:hint="default"/>
      </w:rPr>
    </w:lvl>
    <w:lvl w:ilvl="5" w:tplc="9D508F36" w:tentative="1">
      <w:start w:val="1"/>
      <w:numFmt w:val="bullet"/>
      <w:lvlText w:val="•"/>
      <w:lvlJc w:val="left"/>
      <w:pPr>
        <w:tabs>
          <w:tab w:val="num" w:pos="4320"/>
        </w:tabs>
        <w:ind w:left="4320" w:hanging="360"/>
      </w:pPr>
      <w:rPr>
        <w:rFonts w:ascii="Arial" w:hAnsi="Arial" w:hint="default"/>
      </w:rPr>
    </w:lvl>
    <w:lvl w:ilvl="6" w:tplc="8DA69686" w:tentative="1">
      <w:start w:val="1"/>
      <w:numFmt w:val="bullet"/>
      <w:lvlText w:val="•"/>
      <w:lvlJc w:val="left"/>
      <w:pPr>
        <w:tabs>
          <w:tab w:val="num" w:pos="5040"/>
        </w:tabs>
        <w:ind w:left="5040" w:hanging="360"/>
      </w:pPr>
      <w:rPr>
        <w:rFonts w:ascii="Arial" w:hAnsi="Arial" w:hint="default"/>
      </w:rPr>
    </w:lvl>
    <w:lvl w:ilvl="7" w:tplc="F9A61D68" w:tentative="1">
      <w:start w:val="1"/>
      <w:numFmt w:val="bullet"/>
      <w:lvlText w:val="•"/>
      <w:lvlJc w:val="left"/>
      <w:pPr>
        <w:tabs>
          <w:tab w:val="num" w:pos="5760"/>
        </w:tabs>
        <w:ind w:left="5760" w:hanging="360"/>
      </w:pPr>
      <w:rPr>
        <w:rFonts w:ascii="Arial" w:hAnsi="Arial" w:hint="default"/>
      </w:rPr>
    </w:lvl>
    <w:lvl w:ilvl="8" w:tplc="7988ED62" w:tentative="1">
      <w:start w:val="1"/>
      <w:numFmt w:val="bullet"/>
      <w:lvlText w:val="•"/>
      <w:lvlJc w:val="left"/>
      <w:pPr>
        <w:tabs>
          <w:tab w:val="num" w:pos="6480"/>
        </w:tabs>
        <w:ind w:left="6480" w:hanging="360"/>
      </w:pPr>
      <w:rPr>
        <w:rFonts w:ascii="Arial" w:hAnsi="Arial" w:hint="default"/>
      </w:rPr>
    </w:lvl>
  </w:abstractNum>
  <w:abstractNum w:abstractNumId="2">
    <w:nsid w:val="26280785"/>
    <w:multiLevelType w:val="hybridMultilevel"/>
    <w:tmpl w:val="64C2BB60"/>
    <w:lvl w:ilvl="0" w:tplc="3AA8C448">
      <w:numFmt w:val="bullet"/>
      <w:lvlText w:val="•"/>
      <w:lvlJc w:val="left"/>
      <w:pPr>
        <w:ind w:left="1080" w:hanging="72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825AE0"/>
    <w:multiLevelType w:val="hybridMultilevel"/>
    <w:tmpl w:val="1A2C48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59C50A8"/>
    <w:multiLevelType w:val="hybridMultilevel"/>
    <w:tmpl w:val="8A56ADDE"/>
    <w:lvl w:ilvl="0" w:tplc="3AA8C448">
      <w:numFmt w:val="bullet"/>
      <w:lvlText w:val="•"/>
      <w:lvlJc w:val="left"/>
      <w:pPr>
        <w:ind w:left="1080" w:hanging="72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E84838"/>
    <w:multiLevelType w:val="hybridMultilevel"/>
    <w:tmpl w:val="959E4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D36049"/>
    <w:multiLevelType w:val="hybridMultilevel"/>
    <w:tmpl w:val="35763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5654FA"/>
    <w:multiLevelType w:val="hybridMultilevel"/>
    <w:tmpl w:val="7ED68038"/>
    <w:lvl w:ilvl="0" w:tplc="5BF07176">
      <w:start w:val="1"/>
      <w:numFmt w:val="bullet"/>
      <w:lvlText w:val="•"/>
      <w:lvlJc w:val="left"/>
      <w:pPr>
        <w:tabs>
          <w:tab w:val="num" w:pos="720"/>
        </w:tabs>
        <w:ind w:left="720" w:hanging="360"/>
      </w:pPr>
      <w:rPr>
        <w:rFonts w:ascii="Times New Roman" w:hAnsi="Times New Roman" w:hint="default"/>
      </w:rPr>
    </w:lvl>
    <w:lvl w:ilvl="1" w:tplc="23AE1324" w:tentative="1">
      <w:start w:val="1"/>
      <w:numFmt w:val="bullet"/>
      <w:lvlText w:val="•"/>
      <w:lvlJc w:val="left"/>
      <w:pPr>
        <w:tabs>
          <w:tab w:val="num" w:pos="1440"/>
        </w:tabs>
        <w:ind w:left="1440" w:hanging="360"/>
      </w:pPr>
      <w:rPr>
        <w:rFonts w:ascii="Times New Roman" w:hAnsi="Times New Roman" w:hint="default"/>
      </w:rPr>
    </w:lvl>
    <w:lvl w:ilvl="2" w:tplc="B66CEFCC" w:tentative="1">
      <w:start w:val="1"/>
      <w:numFmt w:val="bullet"/>
      <w:lvlText w:val="•"/>
      <w:lvlJc w:val="left"/>
      <w:pPr>
        <w:tabs>
          <w:tab w:val="num" w:pos="2160"/>
        </w:tabs>
        <w:ind w:left="2160" w:hanging="360"/>
      </w:pPr>
      <w:rPr>
        <w:rFonts w:ascii="Times New Roman" w:hAnsi="Times New Roman" w:hint="default"/>
      </w:rPr>
    </w:lvl>
    <w:lvl w:ilvl="3" w:tplc="F6AAA27E" w:tentative="1">
      <w:start w:val="1"/>
      <w:numFmt w:val="bullet"/>
      <w:lvlText w:val="•"/>
      <w:lvlJc w:val="left"/>
      <w:pPr>
        <w:tabs>
          <w:tab w:val="num" w:pos="2880"/>
        </w:tabs>
        <w:ind w:left="2880" w:hanging="360"/>
      </w:pPr>
      <w:rPr>
        <w:rFonts w:ascii="Times New Roman" w:hAnsi="Times New Roman" w:hint="default"/>
      </w:rPr>
    </w:lvl>
    <w:lvl w:ilvl="4" w:tplc="532E5DAE" w:tentative="1">
      <w:start w:val="1"/>
      <w:numFmt w:val="bullet"/>
      <w:lvlText w:val="•"/>
      <w:lvlJc w:val="left"/>
      <w:pPr>
        <w:tabs>
          <w:tab w:val="num" w:pos="3600"/>
        </w:tabs>
        <w:ind w:left="3600" w:hanging="360"/>
      </w:pPr>
      <w:rPr>
        <w:rFonts w:ascii="Times New Roman" w:hAnsi="Times New Roman" w:hint="default"/>
      </w:rPr>
    </w:lvl>
    <w:lvl w:ilvl="5" w:tplc="6F7685FE" w:tentative="1">
      <w:start w:val="1"/>
      <w:numFmt w:val="bullet"/>
      <w:lvlText w:val="•"/>
      <w:lvlJc w:val="left"/>
      <w:pPr>
        <w:tabs>
          <w:tab w:val="num" w:pos="4320"/>
        </w:tabs>
        <w:ind w:left="4320" w:hanging="360"/>
      </w:pPr>
      <w:rPr>
        <w:rFonts w:ascii="Times New Roman" w:hAnsi="Times New Roman" w:hint="default"/>
      </w:rPr>
    </w:lvl>
    <w:lvl w:ilvl="6" w:tplc="E91C6442" w:tentative="1">
      <w:start w:val="1"/>
      <w:numFmt w:val="bullet"/>
      <w:lvlText w:val="•"/>
      <w:lvlJc w:val="left"/>
      <w:pPr>
        <w:tabs>
          <w:tab w:val="num" w:pos="5040"/>
        </w:tabs>
        <w:ind w:left="5040" w:hanging="360"/>
      </w:pPr>
      <w:rPr>
        <w:rFonts w:ascii="Times New Roman" w:hAnsi="Times New Roman" w:hint="default"/>
      </w:rPr>
    </w:lvl>
    <w:lvl w:ilvl="7" w:tplc="D144DBF2" w:tentative="1">
      <w:start w:val="1"/>
      <w:numFmt w:val="bullet"/>
      <w:lvlText w:val="•"/>
      <w:lvlJc w:val="left"/>
      <w:pPr>
        <w:tabs>
          <w:tab w:val="num" w:pos="5760"/>
        </w:tabs>
        <w:ind w:left="5760" w:hanging="360"/>
      </w:pPr>
      <w:rPr>
        <w:rFonts w:ascii="Times New Roman" w:hAnsi="Times New Roman" w:hint="default"/>
      </w:rPr>
    </w:lvl>
    <w:lvl w:ilvl="8" w:tplc="5A9EDEF8" w:tentative="1">
      <w:start w:val="1"/>
      <w:numFmt w:val="bullet"/>
      <w:lvlText w:val="•"/>
      <w:lvlJc w:val="left"/>
      <w:pPr>
        <w:tabs>
          <w:tab w:val="num" w:pos="6480"/>
        </w:tabs>
        <w:ind w:left="6480" w:hanging="360"/>
      </w:pPr>
      <w:rPr>
        <w:rFonts w:ascii="Times New Roman" w:hAnsi="Times New Roman" w:hint="default"/>
      </w:rPr>
    </w:lvl>
  </w:abstractNum>
  <w:abstractNum w:abstractNumId="8">
    <w:nsid w:val="69B51DCB"/>
    <w:multiLevelType w:val="hybridMultilevel"/>
    <w:tmpl w:val="60982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1534EB3"/>
    <w:multiLevelType w:val="hybridMultilevel"/>
    <w:tmpl w:val="C0507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505213E"/>
    <w:multiLevelType w:val="hybridMultilevel"/>
    <w:tmpl w:val="DBFC1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06607F"/>
    <w:multiLevelType w:val="hybridMultilevel"/>
    <w:tmpl w:val="4F04D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9187096"/>
    <w:multiLevelType w:val="hybridMultilevel"/>
    <w:tmpl w:val="0DA825DA"/>
    <w:lvl w:ilvl="0" w:tplc="3AA8C448">
      <w:numFmt w:val="bullet"/>
      <w:lvlText w:val="•"/>
      <w:lvlJc w:val="left"/>
      <w:pPr>
        <w:ind w:left="1080" w:hanging="72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F715C54"/>
    <w:multiLevelType w:val="hybridMultilevel"/>
    <w:tmpl w:val="06E4C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4"/>
  </w:num>
  <w:num w:numId="4">
    <w:abstractNumId w:val="12"/>
  </w:num>
  <w:num w:numId="5">
    <w:abstractNumId w:val="2"/>
  </w:num>
  <w:num w:numId="6">
    <w:abstractNumId w:val="7"/>
  </w:num>
  <w:num w:numId="7">
    <w:abstractNumId w:val="3"/>
  </w:num>
  <w:num w:numId="8">
    <w:abstractNumId w:val="8"/>
  </w:num>
  <w:num w:numId="9">
    <w:abstractNumId w:val="9"/>
  </w:num>
  <w:num w:numId="10">
    <w:abstractNumId w:val="13"/>
  </w:num>
  <w:num w:numId="11">
    <w:abstractNumId w:val="6"/>
  </w:num>
  <w:num w:numId="12">
    <w:abstractNumId w:val="1"/>
  </w:num>
  <w:num w:numId="13">
    <w:abstractNumId w:val="11"/>
  </w:num>
  <w:num w:numId="1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RR">
    <w15:presenceInfo w15:providerId="None" w15:userId="JR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87"/>
  <w:drawingGridVerticalSpacing w:val="187"/>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414"/>
    <w:rsid w:val="0000091B"/>
    <w:rsid w:val="00016E15"/>
    <w:rsid w:val="00024689"/>
    <w:rsid w:val="000276DE"/>
    <w:rsid w:val="000307D0"/>
    <w:rsid w:val="0006128A"/>
    <w:rsid w:val="000664A0"/>
    <w:rsid w:val="000937AF"/>
    <w:rsid w:val="00095938"/>
    <w:rsid w:val="000A118F"/>
    <w:rsid w:val="000A35E1"/>
    <w:rsid w:val="000B20C0"/>
    <w:rsid w:val="000B5DB4"/>
    <w:rsid w:val="00113934"/>
    <w:rsid w:val="00121A97"/>
    <w:rsid w:val="00130021"/>
    <w:rsid w:val="0017645B"/>
    <w:rsid w:val="00191988"/>
    <w:rsid w:val="001B602A"/>
    <w:rsid w:val="001C15A8"/>
    <w:rsid w:val="001C6896"/>
    <w:rsid w:val="001D3BD8"/>
    <w:rsid w:val="001E1E8A"/>
    <w:rsid w:val="001E4EAC"/>
    <w:rsid w:val="00202FA9"/>
    <w:rsid w:val="00207A27"/>
    <w:rsid w:val="00225063"/>
    <w:rsid w:val="00240BCA"/>
    <w:rsid w:val="00241C95"/>
    <w:rsid w:val="002467B5"/>
    <w:rsid w:val="002522B6"/>
    <w:rsid w:val="0025313B"/>
    <w:rsid w:val="002549B3"/>
    <w:rsid w:val="00257C83"/>
    <w:rsid w:val="0026775A"/>
    <w:rsid w:val="002C5EBC"/>
    <w:rsid w:val="002F36BB"/>
    <w:rsid w:val="00301163"/>
    <w:rsid w:val="00313F4F"/>
    <w:rsid w:val="003211CA"/>
    <w:rsid w:val="003263A0"/>
    <w:rsid w:val="00333796"/>
    <w:rsid w:val="00366441"/>
    <w:rsid w:val="0038314B"/>
    <w:rsid w:val="003867B9"/>
    <w:rsid w:val="003D465F"/>
    <w:rsid w:val="003D4A0A"/>
    <w:rsid w:val="003F4B39"/>
    <w:rsid w:val="003F4BBE"/>
    <w:rsid w:val="004242E0"/>
    <w:rsid w:val="0046768D"/>
    <w:rsid w:val="00470A59"/>
    <w:rsid w:val="00472E80"/>
    <w:rsid w:val="004804AC"/>
    <w:rsid w:val="00484D35"/>
    <w:rsid w:val="00491A38"/>
    <w:rsid w:val="004A45A5"/>
    <w:rsid w:val="004A5505"/>
    <w:rsid w:val="004A7971"/>
    <w:rsid w:val="004B5EF2"/>
    <w:rsid w:val="004B6974"/>
    <w:rsid w:val="004D6DE0"/>
    <w:rsid w:val="00506EAB"/>
    <w:rsid w:val="0053734E"/>
    <w:rsid w:val="0055050D"/>
    <w:rsid w:val="0056110E"/>
    <w:rsid w:val="00574944"/>
    <w:rsid w:val="0058237A"/>
    <w:rsid w:val="005831F6"/>
    <w:rsid w:val="00593380"/>
    <w:rsid w:val="00593B2B"/>
    <w:rsid w:val="00593CD4"/>
    <w:rsid w:val="005B42DF"/>
    <w:rsid w:val="005C2509"/>
    <w:rsid w:val="005D0701"/>
    <w:rsid w:val="005D1FE9"/>
    <w:rsid w:val="005D5941"/>
    <w:rsid w:val="005F4F47"/>
    <w:rsid w:val="005F604E"/>
    <w:rsid w:val="00627B8B"/>
    <w:rsid w:val="00640289"/>
    <w:rsid w:val="006421C5"/>
    <w:rsid w:val="00653761"/>
    <w:rsid w:val="006616B7"/>
    <w:rsid w:val="006618E8"/>
    <w:rsid w:val="00676034"/>
    <w:rsid w:val="0069273C"/>
    <w:rsid w:val="006A018F"/>
    <w:rsid w:val="006A1975"/>
    <w:rsid w:val="006B481E"/>
    <w:rsid w:val="006B7DA3"/>
    <w:rsid w:val="006D347D"/>
    <w:rsid w:val="006D3850"/>
    <w:rsid w:val="006D6004"/>
    <w:rsid w:val="00721EF5"/>
    <w:rsid w:val="00723ED0"/>
    <w:rsid w:val="00750D18"/>
    <w:rsid w:val="00766006"/>
    <w:rsid w:val="00785C2B"/>
    <w:rsid w:val="007A27BE"/>
    <w:rsid w:val="007A4A09"/>
    <w:rsid w:val="007B3A5C"/>
    <w:rsid w:val="007C08BE"/>
    <w:rsid w:val="007C31D4"/>
    <w:rsid w:val="007C6262"/>
    <w:rsid w:val="007D1E87"/>
    <w:rsid w:val="008466D5"/>
    <w:rsid w:val="00870A2A"/>
    <w:rsid w:val="00870C72"/>
    <w:rsid w:val="0087182D"/>
    <w:rsid w:val="0088028D"/>
    <w:rsid w:val="00895A91"/>
    <w:rsid w:val="0089790B"/>
    <w:rsid w:val="008A1543"/>
    <w:rsid w:val="008A1D82"/>
    <w:rsid w:val="008A223F"/>
    <w:rsid w:val="008A75F2"/>
    <w:rsid w:val="008C31C2"/>
    <w:rsid w:val="008C67A4"/>
    <w:rsid w:val="008D177C"/>
    <w:rsid w:val="008D4024"/>
    <w:rsid w:val="008D4091"/>
    <w:rsid w:val="008F2564"/>
    <w:rsid w:val="00905F23"/>
    <w:rsid w:val="00920C4D"/>
    <w:rsid w:val="009236EE"/>
    <w:rsid w:val="0092663A"/>
    <w:rsid w:val="00944DEE"/>
    <w:rsid w:val="00951D7B"/>
    <w:rsid w:val="00964678"/>
    <w:rsid w:val="00965B49"/>
    <w:rsid w:val="00972094"/>
    <w:rsid w:val="009770BD"/>
    <w:rsid w:val="00986CC8"/>
    <w:rsid w:val="00986DA5"/>
    <w:rsid w:val="0099592B"/>
    <w:rsid w:val="009A72A0"/>
    <w:rsid w:val="009B700C"/>
    <w:rsid w:val="009C002C"/>
    <w:rsid w:val="009C5587"/>
    <w:rsid w:val="009C7C71"/>
    <w:rsid w:val="009F0DB7"/>
    <w:rsid w:val="009F28E4"/>
    <w:rsid w:val="009F3FEA"/>
    <w:rsid w:val="009F515B"/>
    <w:rsid w:val="009F73B8"/>
    <w:rsid w:val="00A01A0B"/>
    <w:rsid w:val="00A06640"/>
    <w:rsid w:val="00A102FD"/>
    <w:rsid w:val="00A14147"/>
    <w:rsid w:val="00A20BED"/>
    <w:rsid w:val="00A45387"/>
    <w:rsid w:val="00A60647"/>
    <w:rsid w:val="00A64B73"/>
    <w:rsid w:val="00A65A0D"/>
    <w:rsid w:val="00A66BD7"/>
    <w:rsid w:val="00A711B0"/>
    <w:rsid w:val="00A858DE"/>
    <w:rsid w:val="00A865BC"/>
    <w:rsid w:val="00A87727"/>
    <w:rsid w:val="00A917F1"/>
    <w:rsid w:val="00AA25E9"/>
    <w:rsid w:val="00AE6C0A"/>
    <w:rsid w:val="00AF37D4"/>
    <w:rsid w:val="00B03D7F"/>
    <w:rsid w:val="00B059C9"/>
    <w:rsid w:val="00B13D89"/>
    <w:rsid w:val="00B212EB"/>
    <w:rsid w:val="00B263B8"/>
    <w:rsid w:val="00B30DB6"/>
    <w:rsid w:val="00B30F0D"/>
    <w:rsid w:val="00B439A6"/>
    <w:rsid w:val="00B57F7B"/>
    <w:rsid w:val="00B70A13"/>
    <w:rsid w:val="00B72823"/>
    <w:rsid w:val="00B76408"/>
    <w:rsid w:val="00B967E7"/>
    <w:rsid w:val="00B96B7E"/>
    <w:rsid w:val="00B97A36"/>
    <w:rsid w:val="00BB3F5B"/>
    <w:rsid w:val="00BE4A31"/>
    <w:rsid w:val="00BE6982"/>
    <w:rsid w:val="00C019AA"/>
    <w:rsid w:val="00C149D2"/>
    <w:rsid w:val="00C15769"/>
    <w:rsid w:val="00C20CC8"/>
    <w:rsid w:val="00C22232"/>
    <w:rsid w:val="00C348CD"/>
    <w:rsid w:val="00C36414"/>
    <w:rsid w:val="00C4295B"/>
    <w:rsid w:val="00C506B0"/>
    <w:rsid w:val="00C506E3"/>
    <w:rsid w:val="00C612E8"/>
    <w:rsid w:val="00C80426"/>
    <w:rsid w:val="00C8050E"/>
    <w:rsid w:val="00C82B8A"/>
    <w:rsid w:val="00C83920"/>
    <w:rsid w:val="00C9376B"/>
    <w:rsid w:val="00CA2396"/>
    <w:rsid w:val="00CC60F3"/>
    <w:rsid w:val="00CD038E"/>
    <w:rsid w:val="00CD326C"/>
    <w:rsid w:val="00CE6633"/>
    <w:rsid w:val="00D21F94"/>
    <w:rsid w:val="00D31CEF"/>
    <w:rsid w:val="00D35093"/>
    <w:rsid w:val="00D62D31"/>
    <w:rsid w:val="00D65BA6"/>
    <w:rsid w:val="00D660B5"/>
    <w:rsid w:val="00D72DD0"/>
    <w:rsid w:val="00D7611E"/>
    <w:rsid w:val="00DA18AE"/>
    <w:rsid w:val="00DA337B"/>
    <w:rsid w:val="00DA3EA5"/>
    <w:rsid w:val="00DB5EB7"/>
    <w:rsid w:val="00DC5344"/>
    <w:rsid w:val="00DD1ED3"/>
    <w:rsid w:val="00DE0A37"/>
    <w:rsid w:val="00DF496D"/>
    <w:rsid w:val="00E35E39"/>
    <w:rsid w:val="00E422B9"/>
    <w:rsid w:val="00E42546"/>
    <w:rsid w:val="00E56EEB"/>
    <w:rsid w:val="00E64CD2"/>
    <w:rsid w:val="00E66369"/>
    <w:rsid w:val="00E67B3B"/>
    <w:rsid w:val="00E67BB7"/>
    <w:rsid w:val="00E738F6"/>
    <w:rsid w:val="00E77CA3"/>
    <w:rsid w:val="00EA059F"/>
    <w:rsid w:val="00EA16B7"/>
    <w:rsid w:val="00EC597E"/>
    <w:rsid w:val="00EC75FB"/>
    <w:rsid w:val="00ED0CA2"/>
    <w:rsid w:val="00ED6986"/>
    <w:rsid w:val="00EF4D46"/>
    <w:rsid w:val="00F05D62"/>
    <w:rsid w:val="00F16304"/>
    <w:rsid w:val="00F36048"/>
    <w:rsid w:val="00F57B71"/>
    <w:rsid w:val="00F82259"/>
    <w:rsid w:val="00F841CE"/>
    <w:rsid w:val="00FA2597"/>
    <w:rsid w:val="00FA5A58"/>
    <w:rsid w:val="00FB143F"/>
    <w:rsid w:val="00FB5171"/>
    <w:rsid w:val="00FD7A2E"/>
    <w:rsid w:val="00FE2D7B"/>
    <w:rsid w:val="00FE6224"/>
    <w:rsid w:val="00FF3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C6DF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414"/>
    <w:pPr>
      <w:spacing w:after="0" w:line="240" w:lineRule="auto"/>
    </w:pPr>
    <w:rPr>
      <w:rFonts w:ascii="Times New Roman" w:eastAsia="Times New Roman" w:hAnsi="Times New Roman" w:cs="Times New Roman"/>
      <w:sz w:val="24"/>
      <w:szCs w:val="20"/>
    </w:rPr>
  </w:style>
  <w:style w:type="paragraph" w:styleId="Heading1">
    <w:name w:val="heading 1"/>
    <w:basedOn w:val="NoSpacing"/>
    <w:next w:val="Normal"/>
    <w:link w:val="Heading1Char"/>
    <w:uiPriority w:val="9"/>
    <w:qFormat/>
    <w:rsid w:val="00F05D62"/>
    <w:pPr>
      <w:spacing w:before="240" w:after="240"/>
      <w:outlineLvl w:val="0"/>
    </w:pPr>
    <w:rPr>
      <w:b/>
      <w:sz w:val="28"/>
      <w:szCs w:val="28"/>
    </w:rPr>
  </w:style>
  <w:style w:type="paragraph" w:styleId="Heading2">
    <w:name w:val="heading 2"/>
    <w:basedOn w:val="NoSpacing"/>
    <w:next w:val="Normal"/>
    <w:link w:val="Heading2Char"/>
    <w:uiPriority w:val="9"/>
    <w:unhideWhenUsed/>
    <w:qFormat/>
    <w:rsid w:val="00207A27"/>
    <w:p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36414"/>
    <w:rPr>
      <w:color w:val="0000FF"/>
      <w:u w:val="single"/>
    </w:rPr>
  </w:style>
  <w:style w:type="paragraph" w:styleId="FootnoteText">
    <w:name w:val="footnote text"/>
    <w:basedOn w:val="Normal"/>
    <w:link w:val="FootnoteTextChar"/>
    <w:rsid w:val="00C36414"/>
    <w:rPr>
      <w:sz w:val="20"/>
    </w:rPr>
  </w:style>
  <w:style w:type="character" w:customStyle="1" w:styleId="FootnoteTextChar">
    <w:name w:val="Footnote Text Char"/>
    <w:basedOn w:val="DefaultParagraphFont"/>
    <w:link w:val="FootnoteText"/>
    <w:rsid w:val="00C36414"/>
    <w:rPr>
      <w:rFonts w:ascii="Times New Roman" w:eastAsia="Times New Roman" w:hAnsi="Times New Roman" w:cs="Times New Roman"/>
      <w:sz w:val="20"/>
      <w:szCs w:val="20"/>
    </w:rPr>
  </w:style>
  <w:style w:type="character" w:styleId="FootnoteReference">
    <w:name w:val="footnote reference"/>
    <w:rsid w:val="00C36414"/>
    <w:rPr>
      <w:vertAlign w:val="superscript"/>
    </w:rPr>
  </w:style>
  <w:style w:type="paragraph" w:styleId="NoSpacing">
    <w:name w:val="No Spacing"/>
    <w:link w:val="NoSpacingChar"/>
    <w:uiPriority w:val="1"/>
    <w:qFormat/>
    <w:rsid w:val="00C36414"/>
    <w:pPr>
      <w:spacing w:after="0" w:line="240" w:lineRule="auto"/>
    </w:pPr>
  </w:style>
  <w:style w:type="paragraph" w:styleId="BalloonText">
    <w:name w:val="Balloon Text"/>
    <w:basedOn w:val="Normal"/>
    <w:link w:val="BalloonTextChar"/>
    <w:uiPriority w:val="99"/>
    <w:semiHidden/>
    <w:unhideWhenUsed/>
    <w:rsid w:val="003D4A0A"/>
    <w:rPr>
      <w:rFonts w:ascii="Tahoma" w:hAnsi="Tahoma" w:cs="Tahoma"/>
      <w:sz w:val="16"/>
      <w:szCs w:val="16"/>
    </w:rPr>
  </w:style>
  <w:style w:type="character" w:customStyle="1" w:styleId="BalloonTextChar">
    <w:name w:val="Balloon Text Char"/>
    <w:basedOn w:val="DefaultParagraphFont"/>
    <w:link w:val="BalloonText"/>
    <w:uiPriority w:val="99"/>
    <w:semiHidden/>
    <w:rsid w:val="003D4A0A"/>
    <w:rPr>
      <w:rFonts w:ascii="Tahoma" w:eastAsia="Times New Roman" w:hAnsi="Tahoma" w:cs="Tahoma"/>
      <w:sz w:val="16"/>
      <w:szCs w:val="16"/>
    </w:rPr>
  </w:style>
  <w:style w:type="paragraph" w:styleId="NormalWeb">
    <w:name w:val="Normal (Web)"/>
    <w:basedOn w:val="Normal"/>
    <w:uiPriority w:val="99"/>
    <w:unhideWhenUsed/>
    <w:rsid w:val="003D4A0A"/>
    <w:rPr>
      <w:szCs w:val="24"/>
    </w:rPr>
  </w:style>
  <w:style w:type="paragraph" w:styleId="ListParagraph">
    <w:name w:val="List Paragraph"/>
    <w:basedOn w:val="Normal"/>
    <w:uiPriority w:val="34"/>
    <w:qFormat/>
    <w:rsid w:val="00257C83"/>
    <w:pPr>
      <w:ind w:left="720"/>
      <w:contextualSpacing/>
    </w:pPr>
  </w:style>
  <w:style w:type="table" w:styleId="TableGrid">
    <w:name w:val="Table Grid"/>
    <w:basedOn w:val="TableNormal"/>
    <w:uiPriority w:val="59"/>
    <w:rsid w:val="00257C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30F0D"/>
    <w:rPr>
      <w:color w:val="800080" w:themeColor="followedHyperlink"/>
      <w:u w:val="single"/>
    </w:rPr>
  </w:style>
  <w:style w:type="character" w:customStyle="1" w:styleId="Heading1Char">
    <w:name w:val="Heading 1 Char"/>
    <w:basedOn w:val="DefaultParagraphFont"/>
    <w:link w:val="Heading1"/>
    <w:uiPriority w:val="9"/>
    <w:rsid w:val="00F05D62"/>
    <w:rPr>
      <w:b/>
      <w:sz w:val="28"/>
      <w:szCs w:val="28"/>
    </w:rPr>
  </w:style>
  <w:style w:type="paragraph" w:customStyle="1" w:styleId="Body1">
    <w:name w:val="Body1"/>
    <w:basedOn w:val="NoSpacing"/>
    <w:link w:val="Body1Char"/>
    <w:qFormat/>
    <w:rsid w:val="004242E0"/>
    <w:pPr>
      <w:spacing w:after="240"/>
      <w:jc w:val="both"/>
    </w:pPr>
  </w:style>
  <w:style w:type="character" w:customStyle="1" w:styleId="Heading2Char">
    <w:name w:val="Heading 2 Char"/>
    <w:basedOn w:val="DefaultParagraphFont"/>
    <w:link w:val="Heading2"/>
    <w:uiPriority w:val="9"/>
    <w:rsid w:val="00207A27"/>
    <w:rPr>
      <w:b/>
    </w:rPr>
  </w:style>
  <w:style w:type="character" w:customStyle="1" w:styleId="NoSpacingChar">
    <w:name w:val="No Spacing Char"/>
    <w:basedOn w:val="DefaultParagraphFont"/>
    <w:link w:val="NoSpacing"/>
    <w:uiPriority w:val="1"/>
    <w:rsid w:val="00F05D62"/>
  </w:style>
  <w:style w:type="character" w:customStyle="1" w:styleId="Body1Char">
    <w:name w:val="Body1 Char"/>
    <w:basedOn w:val="NoSpacingChar"/>
    <w:link w:val="Body1"/>
    <w:rsid w:val="004242E0"/>
  </w:style>
  <w:style w:type="character" w:styleId="CommentReference">
    <w:name w:val="annotation reference"/>
    <w:basedOn w:val="DefaultParagraphFont"/>
    <w:uiPriority w:val="99"/>
    <w:semiHidden/>
    <w:unhideWhenUsed/>
    <w:rsid w:val="00920C4D"/>
    <w:rPr>
      <w:sz w:val="16"/>
      <w:szCs w:val="16"/>
    </w:rPr>
  </w:style>
  <w:style w:type="paragraph" w:styleId="CommentText">
    <w:name w:val="annotation text"/>
    <w:basedOn w:val="Normal"/>
    <w:link w:val="CommentTextChar"/>
    <w:uiPriority w:val="99"/>
    <w:semiHidden/>
    <w:unhideWhenUsed/>
    <w:rsid w:val="00920C4D"/>
    <w:rPr>
      <w:sz w:val="20"/>
    </w:rPr>
  </w:style>
  <w:style w:type="character" w:customStyle="1" w:styleId="CommentTextChar">
    <w:name w:val="Comment Text Char"/>
    <w:basedOn w:val="DefaultParagraphFont"/>
    <w:link w:val="CommentText"/>
    <w:uiPriority w:val="99"/>
    <w:semiHidden/>
    <w:rsid w:val="00920C4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20C4D"/>
    <w:rPr>
      <w:b/>
      <w:bCs/>
    </w:rPr>
  </w:style>
  <w:style w:type="character" w:customStyle="1" w:styleId="CommentSubjectChar">
    <w:name w:val="Comment Subject Char"/>
    <w:basedOn w:val="CommentTextChar"/>
    <w:link w:val="CommentSubject"/>
    <w:uiPriority w:val="99"/>
    <w:semiHidden/>
    <w:rsid w:val="00920C4D"/>
    <w:rPr>
      <w:rFonts w:ascii="Times New Roman" w:eastAsia="Times New Roman" w:hAnsi="Times New Roman" w:cs="Times New Roman"/>
      <w:b/>
      <w:bCs/>
      <w:sz w:val="20"/>
      <w:szCs w:val="20"/>
    </w:rPr>
  </w:style>
  <w:style w:type="paragraph" w:styleId="Quote">
    <w:name w:val="Quote"/>
    <w:basedOn w:val="Normal"/>
    <w:next w:val="Normal"/>
    <w:link w:val="QuoteChar"/>
    <w:uiPriority w:val="29"/>
    <w:qFormat/>
    <w:rsid w:val="00333796"/>
    <w:rPr>
      <w:i/>
      <w:iCs/>
      <w:color w:val="000000" w:themeColor="text1"/>
    </w:rPr>
  </w:style>
  <w:style w:type="character" w:customStyle="1" w:styleId="QuoteChar">
    <w:name w:val="Quote Char"/>
    <w:basedOn w:val="DefaultParagraphFont"/>
    <w:link w:val="Quote"/>
    <w:uiPriority w:val="29"/>
    <w:rsid w:val="00333796"/>
    <w:rPr>
      <w:rFonts w:ascii="Times New Roman" w:eastAsia="Times New Roman" w:hAnsi="Times New Roman" w:cs="Times New Roman"/>
      <w:i/>
      <w:iCs/>
      <w:color w:val="000000" w:themeColor="text1"/>
      <w:sz w:val="24"/>
      <w:szCs w:val="20"/>
    </w:rPr>
  </w:style>
  <w:style w:type="paragraph" w:styleId="EndnoteText">
    <w:name w:val="endnote text"/>
    <w:basedOn w:val="Normal"/>
    <w:link w:val="EndnoteTextChar"/>
    <w:uiPriority w:val="99"/>
    <w:semiHidden/>
    <w:unhideWhenUsed/>
    <w:rsid w:val="00A87727"/>
    <w:rPr>
      <w:sz w:val="20"/>
    </w:rPr>
  </w:style>
  <w:style w:type="character" w:customStyle="1" w:styleId="EndnoteTextChar">
    <w:name w:val="Endnote Text Char"/>
    <w:basedOn w:val="DefaultParagraphFont"/>
    <w:link w:val="EndnoteText"/>
    <w:uiPriority w:val="99"/>
    <w:semiHidden/>
    <w:rsid w:val="00A87727"/>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A87727"/>
    <w:rPr>
      <w:vertAlign w:val="superscript"/>
    </w:rPr>
  </w:style>
  <w:style w:type="table" w:customStyle="1" w:styleId="TableGrid1">
    <w:name w:val="Table Grid1"/>
    <w:basedOn w:val="TableNormal"/>
    <w:next w:val="TableGrid"/>
    <w:uiPriority w:val="59"/>
    <w:rsid w:val="00D72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ssDOHHeader">
    <w:name w:val="MassDOH Header"/>
    <w:basedOn w:val="Normal"/>
    <w:qFormat/>
    <w:rsid w:val="002467B5"/>
    <w:pPr>
      <w:spacing w:after="200"/>
      <w:jc w:val="center"/>
    </w:pPr>
    <w:rPr>
      <w:rFonts w:ascii="Arial" w:eastAsiaTheme="minorEastAsia" w:hAnsi="Arial"/>
      <w:bCs/>
      <w:caps/>
      <w:color w:val="FFFFFF" w:themeColor="background1"/>
      <w:spacing w:val="20"/>
      <w:sz w:val="22"/>
      <w:szCs w:val="24"/>
    </w:rPr>
  </w:style>
  <w:style w:type="paragraph" w:styleId="Header">
    <w:name w:val="header"/>
    <w:basedOn w:val="Normal"/>
    <w:link w:val="HeaderChar"/>
    <w:uiPriority w:val="99"/>
    <w:unhideWhenUsed/>
    <w:rsid w:val="00DA3EA5"/>
    <w:pPr>
      <w:tabs>
        <w:tab w:val="center" w:pos="4680"/>
        <w:tab w:val="right" w:pos="9360"/>
      </w:tabs>
    </w:pPr>
  </w:style>
  <w:style w:type="character" w:customStyle="1" w:styleId="HeaderChar">
    <w:name w:val="Header Char"/>
    <w:basedOn w:val="DefaultParagraphFont"/>
    <w:link w:val="Header"/>
    <w:uiPriority w:val="99"/>
    <w:rsid w:val="00DA3EA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DA3EA5"/>
    <w:pPr>
      <w:tabs>
        <w:tab w:val="center" w:pos="4680"/>
        <w:tab w:val="right" w:pos="9360"/>
      </w:tabs>
    </w:pPr>
  </w:style>
  <w:style w:type="character" w:customStyle="1" w:styleId="FooterChar">
    <w:name w:val="Footer Char"/>
    <w:basedOn w:val="DefaultParagraphFont"/>
    <w:link w:val="Footer"/>
    <w:uiPriority w:val="99"/>
    <w:rsid w:val="00DA3EA5"/>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414"/>
    <w:pPr>
      <w:spacing w:after="0" w:line="240" w:lineRule="auto"/>
    </w:pPr>
    <w:rPr>
      <w:rFonts w:ascii="Times New Roman" w:eastAsia="Times New Roman" w:hAnsi="Times New Roman" w:cs="Times New Roman"/>
      <w:sz w:val="24"/>
      <w:szCs w:val="20"/>
    </w:rPr>
  </w:style>
  <w:style w:type="paragraph" w:styleId="Heading1">
    <w:name w:val="heading 1"/>
    <w:basedOn w:val="NoSpacing"/>
    <w:next w:val="Normal"/>
    <w:link w:val="Heading1Char"/>
    <w:uiPriority w:val="9"/>
    <w:qFormat/>
    <w:rsid w:val="00F05D62"/>
    <w:pPr>
      <w:spacing w:before="240" w:after="240"/>
      <w:outlineLvl w:val="0"/>
    </w:pPr>
    <w:rPr>
      <w:b/>
      <w:sz w:val="28"/>
      <w:szCs w:val="28"/>
    </w:rPr>
  </w:style>
  <w:style w:type="paragraph" w:styleId="Heading2">
    <w:name w:val="heading 2"/>
    <w:basedOn w:val="NoSpacing"/>
    <w:next w:val="Normal"/>
    <w:link w:val="Heading2Char"/>
    <w:uiPriority w:val="9"/>
    <w:unhideWhenUsed/>
    <w:qFormat/>
    <w:rsid w:val="00207A27"/>
    <w:p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36414"/>
    <w:rPr>
      <w:color w:val="0000FF"/>
      <w:u w:val="single"/>
    </w:rPr>
  </w:style>
  <w:style w:type="paragraph" w:styleId="FootnoteText">
    <w:name w:val="footnote text"/>
    <w:basedOn w:val="Normal"/>
    <w:link w:val="FootnoteTextChar"/>
    <w:rsid w:val="00C36414"/>
    <w:rPr>
      <w:sz w:val="20"/>
    </w:rPr>
  </w:style>
  <w:style w:type="character" w:customStyle="1" w:styleId="FootnoteTextChar">
    <w:name w:val="Footnote Text Char"/>
    <w:basedOn w:val="DefaultParagraphFont"/>
    <w:link w:val="FootnoteText"/>
    <w:rsid w:val="00C36414"/>
    <w:rPr>
      <w:rFonts w:ascii="Times New Roman" w:eastAsia="Times New Roman" w:hAnsi="Times New Roman" w:cs="Times New Roman"/>
      <w:sz w:val="20"/>
      <w:szCs w:val="20"/>
    </w:rPr>
  </w:style>
  <w:style w:type="character" w:styleId="FootnoteReference">
    <w:name w:val="footnote reference"/>
    <w:rsid w:val="00C36414"/>
    <w:rPr>
      <w:vertAlign w:val="superscript"/>
    </w:rPr>
  </w:style>
  <w:style w:type="paragraph" w:styleId="NoSpacing">
    <w:name w:val="No Spacing"/>
    <w:link w:val="NoSpacingChar"/>
    <w:uiPriority w:val="1"/>
    <w:qFormat/>
    <w:rsid w:val="00C36414"/>
    <w:pPr>
      <w:spacing w:after="0" w:line="240" w:lineRule="auto"/>
    </w:pPr>
  </w:style>
  <w:style w:type="paragraph" w:styleId="BalloonText">
    <w:name w:val="Balloon Text"/>
    <w:basedOn w:val="Normal"/>
    <w:link w:val="BalloonTextChar"/>
    <w:uiPriority w:val="99"/>
    <w:semiHidden/>
    <w:unhideWhenUsed/>
    <w:rsid w:val="003D4A0A"/>
    <w:rPr>
      <w:rFonts w:ascii="Tahoma" w:hAnsi="Tahoma" w:cs="Tahoma"/>
      <w:sz w:val="16"/>
      <w:szCs w:val="16"/>
    </w:rPr>
  </w:style>
  <w:style w:type="character" w:customStyle="1" w:styleId="BalloonTextChar">
    <w:name w:val="Balloon Text Char"/>
    <w:basedOn w:val="DefaultParagraphFont"/>
    <w:link w:val="BalloonText"/>
    <w:uiPriority w:val="99"/>
    <w:semiHidden/>
    <w:rsid w:val="003D4A0A"/>
    <w:rPr>
      <w:rFonts w:ascii="Tahoma" w:eastAsia="Times New Roman" w:hAnsi="Tahoma" w:cs="Tahoma"/>
      <w:sz w:val="16"/>
      <w:szCs w:val="16"/>
    </w:rPr>
  </w:style>
  <w:style w:type="paragraph" w:styleId="NormalWeb">
    <w:name w:val="Normal (Web)"/>
    <w:basedOn w:val="Normal"/>
    <w:uiPriority w:val="99"/>
    <w:unhideWhenUsed/>
    <w:rsid w:val="003D4A0A"/>
    <w:rPr>
      <w:szCs w:val="24"/>
    </w:rPr>
  </w:style>
  <w:style w:type="paragraph" w:styleId="ListParagraph">
    <w:name w:val="List Paragraph"/>
    <w:basedOn w:val="Normal"/>
    <w:uiPriority w:val="34"/>
    <w:qFormat/>
    <w:rsid w:val="00257C83"/>
    <w:pPr>
      <w:ind w:left="720"/>
      <w:contextualSpacing/>
    </w:pPr>
  </w:style>
  <w:style w:type="table" w:styleId="TableGrid">
    <w:name w:val="Table Grid"/>
    <w:basedOn w:val="TableNormal"/>
    <w:uiPriority w:val="59"/>
    <w:rsid w:val="00257C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30F0D"/>
    <w:rPr>
      <w:color w:val="800080" w:themeColor="followedHyperlink"/>
      <w:u w:val="single"/>
    </w:rPr>
  </w:style>
  <w:style w:type="character" w:customStyle="1" w:styleId="Heading1Char">
    <w:name w:val="Heading 1 Char"/>
    <w:basedOn w:val="DefaultParagraphFont"/>
    <w:link w:val="Heading1"/>
    <w:uiPriority w:val="9"/>
    <w:rsid w:val="00F05D62"/>
    <w:rPr>
      <w:b/>
      <w:sz w:val="28"/>
      <w:szCs w:val="28"/>
    </w:rPr>
  </w:style>
  <w:style w:type="paragraph" w:customStyle="1" w:styleId="Body1">
    <w:name w:val="Body1"/>
    <w:basedOn w:val="NoSpacing"/>
    <w:link w:val="Body1Char"/>
    <w:qFormat/>
    <w:rsid w:val="004242E0"/>
    <w:pPr>
      <w:spacing w:after="240"/>
      <w:jc w:val="both"/>
    </w:pPr>
  </w:style>
  <w:style w:type="character" w:customStyle="1" w:styleId="Heading2Char">
    <w:name w:val="Heading 2 Char"/>
    <w:basedOn w:val="DefaultParagraphFont"/>
    <w:link w:val="Heading2"/>
    <w:uiPriority w:val="9"/>
    <w:rsid w:val="00207A27"/>
    <w:rPr>
      <w:b/>
    </w:rPr>
  </w:style>
  <w:style w:type="character" w:customStyle="1" w:styleId="NoSpacingChar">
    <w:name w:val="No Spacing Char"/>
    <w:basedOn w:val="DefaultParagraphFont"/>
    <w:link w:val="NoSpacing"/>
    <w:uiPriority w:val="1"/>
    <w:rsid w:val="00F05D62"/>
  </w:style>
  <w:style w:type="character" w:customStyle="1" w:styleId="Body1Char">
    <w:name w:val="Body1 Char"/>
    <w:basedOn w:val="NoSpacingChar"/>
    <w:link w:val="Body1"/>
    <w:rsid w:val="004242E0"/>
  </w:style>
  <w:style w:type="character" w:styleId="CommentReference">
    <w:name w:val="annotation reference"/>
    <w:basedOn w:val="DefaultParagraphFont"/>
    <w:uiPriority w:val="99"/>
    <w:semiHidden/>
    <w:unhideWhenUsed/>
    <w:rsid w:val="00920C4D"/>
    <w:rPr>
      <w:sz w:val="16"/>
      <w:szCs w:val="16"/>
    </w:rPr>
  </w:style>
  <w:style w:type="paragraph" w:styleId="CommentText">
    <w:name w:val="annotation text"/>
    <w:basedOn w:val="Normal"/>
    <w:link w:val="CommentTextChar"/>
    <w:uiPriority w:val="99"/>
    <w:semiHidden/>
    <w:unhideWhenUsed/>
    <w:rsid w:val="00920C4D"/>
    <w:rPr>
      <w:sz w:val="20"/>
    </w:rPr>
  </w:style>
  <w:style w:type="character" w:customStyle="1" w:styleId="CommentTextChar">
    <w:name w:val="Comment Text Char"/>
    <w:basedOn w:val="DefaultParagraphFont"/>
    <w:link w:val="CommentText"/>
    <w:uiPriority w:val="99"/>
    <w:semiHidden/>
    <w:rsid w:val="00920C4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20C4D"/>
    <w:rPr>
      <w:b/>
      <w:bCs/>
    </w:rPr>
  </w:style>
  <w:style w:type="character" w:customStyle="1" w:styleId="CommentSubjectChar">
    <w:name w:val="Comment Subject Char"/>
    <w:basedOn w:val="CommentTextChar"/>
    <w:link w:val="CommentSubject"/>
    <w:uiPriority w:val="99"/>
    <w:semiHidden/>
    <w:rsid w:val="00920C4D"/>
    <w:rPr>
      <w:rFonts w:ascii="Times New Roman" w:eastAsia="Times New Roman" w:hAnsi="Times New Roman" w:cs="Times New Roman"/>
      <w:b/>
      <w:bCs/>
      <w:sz w:val="20"/>
      <w:szCs w:val="20"/>
    </w:rPr>
  </w:style>
  <w:style w:type="paragraph" w:styleId="Quote">
    <w:name w:val="Quote"/>
    <w:basedOn w:val="Normal"/>
    <w:next w:val="Normal"/>
    <w:link w:val="QuoteChar"/>
    <w:uiPriority w:val="29"/>
    <w:qFormat/>
    <w:rsid w:val="00333796"/>
    <w:rPr>
      <w:i/>
      <w:iCs/>
      <w:color w:val="000000" w:themeColor="text1"/>
    </w:rPr>
  </w:style>
  <w:style w:type="character" w:customStyle="1" w:styleId="QuoteChar">
    <w:name w:val="Quote Char"/>
    <w:basedOn w:val="DefaultParagraphFont"/>
    <w:link w:val="Quote"/>
    <w:uiPriority w:val="29"/>
    <w:rsid w:val="00333796"/>
    <w:rPr>
      <w:rFonts w:ascii="Times New Roman" w:eastAsia="Times New Roman" w:hAnsi="Times New Roman" w:cs="Times New Roman"/>
      <w:i/>
      <w:iCs/>
      <w:color w:val="000000" w:themeColor="text1"/>
      <w:sz w:val="24"/>
      <w:szCs w:val="20"/>
    </w:rPr>
  </w:style>
  <w:style w:type="paragraph" w:styleId="EndnoteText">
    <w:name w:val="endnote text"/>
    <w:basedOn w:val="Normal"/>
    <w:link w:val="EndnoteTextChar"/>
    <w:uiPriority w:val="99"/>
    <w:semiHidden/>
    <w:unhideWhenUsed/>
    <w:rsid w:val="00A87727"/>
    <w:rPr>
      <w:sz w:val="20"/>
    </w:rPr>
  </w:style>
  <w:style w:type="character" w:customStyle="1" w:styleId="EndnoteTextChar">
    <w:name w:val="Endnote Text Char"/>
    <w:basedOn w:val="DefaultParagraphFont"/>
    <w:link w:val="EndnoteText"/>
    <w:uiPriority w:val="99"/>
    <w:semiHidden/>
    <w:rsid w:val="00A87727"/>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A87727"/>
    <w:rPr>
      <w:vertAlign w:val="superscript"/>
    </w:rPr>
  </w:style>
  <w:style w:type="table" w:customStyle="1" w:styleId="TableGrid1">
    <w:name w:val="Table Grid1"/>
    <w:basedOn w:val="TableNormal"/>
    <w:next w:val="TableGrid"/>
    <w:uiPriority w:val="59"/>
    <w:rsid w:val="00D72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ssDOHHeader">
    <w:name w:val="MassDOH Header"/>
    <w:basedOn w:val="Normal"/>
    <w:qFormat/>
    <w:rsid w:val="002467B5"/>
    <w:pPr>
      <w:spacing w:after="200"/>
      <w:jc w:val="center"/>
    </w:pPr>
    <w:rPr>
      <w:rFonts w:ascii="Arial" w:eastAsiaTheme="minorEastAsia" w:hAnsi="Arial"/>
      <w:bCs/>
      <w:caps/>
      <w:color w:val="FFFFFF" w:themeColor="background1"/>
      <w:spacing w:val="20"/>
      <w:sz w:val="22"/>
      <w:szCs w:val="24"/>
    </w:rPr>
  </w:style>
  <w:style w:type="paragraph" w:styleId="Header">
    <w:name w:val="header"/>
    <w:basedOn w:val="Normal"/>
    <w:link w:val="HeaderChar"/>
    <w:uiPriority w:val="99"/>
    <w:unhideWhenUsed/>
    <w:rsid w:val="00DA3EA5"/>
    <w:pPr>
      <w:tabs>
        <w:tab w:val="center" w:pos="4680"/>
        <w:tab w:val="right" w:pos="9360"/>
      </w:tabs>
    </w:pPr>
  </w:style>
  <w:style w:type="character" w:customStyle="1" w:styleId="HeaderChar">
    <w:name w:val="Header Char"/>
    <w:basedOn w:val="DefaultParagraphFont"/>
    <w:link w:val="Header"/>
    <w:uiPriority w:val="99"/>
    <w:rsid w:val="00DA3EA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DA3EA5"/>
    <w:pPr>
      <w:tabs>
        <w:tab w:val="center" w:pos="4680"/>
        <w:tab w:val="right" w:pos="9360"/>
      </w:tabs>
    </w:pPr>
  </w:style>
  <w:style w:type="character" w:customStyle="1" w:styleId="FooterChar">
    <w:name w:val="Footer Char"/>
    <w:basedOn w:val="DefaultParagraphFont"/>
    <w:link w:val="Footer"/>
    <w:uiPriority w:val="99"/>
    <w:rsid w:val="00DA3EA5"/>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722863">
      <w:bodyDiv w:val="1"/>
      <w:marLeft w:val="0"/>
      <w:marRight w:val="0"/>
      <w:marTop w:val="0"/>
      <w:marBottom w:val="0"/>
      <w:divBdr>
        <w:top w:val="none" w:sz="0" w:space="0" w:color="auto"/>
        <w:left w:val="none" w:sz="0" w:space="0" w:color="auto"/>
        <w:bottom w:val="none" w:sz="0" w:space="0" w:color="auto"/>
        <w:right w:val="none" w:sz="0" w:space="0" w:color="auto"/>
      </w:divBdr>
    </w:div>
    <w:div w:id="1142968524">
      <w:bodyDiv w:val="1"/>
      <w:marLeft w:val="0"/>
      <w:marRight w:val="0"/>
      <w:marTop w:val="0"/>
      <w:marBottom w:val="0"/>
      <w:divBdr>
        <w:top w:val="none" w:sz="0" w:space="0" w:color="auto"/>
        <w:left w:val="none" w:sz="0" w:space="0" w:color="auto"/>
        <w:bottom w:val="none" w:sz="0" w:space="0" w:color="auto"/>
        <w:right w:val="none" w:sz="0" w:space="0" w:color="auto"/>
      </w:divBdr>
    </w:div>
    <w:div w:id="1147479339">
      <w:bodyDiv w:val="1"/>
      <w:marLeft w:val="0"/>
      <w:marRight w:val="0"/>
      <w:marTop w:val="0"/>
      <w:marBottom w:val="0"/>
      <w:divBdr>
        <w:top w:val="none" w:sz="0" w:space="0" w:color="auto"/>
        <w:left w:val="none" w:sz="0" w:space="0" w:color="auto"/>
        <w:bottom w:val="none" w:sz="0" w:space="0" w:color="auto"/>
        <w:right w:val="none" w:sz="0" w:space="0" w:color="auto"/>
      </w:divBdr>
    </w:div>
    <w:div w:id="1174102610">
      <w:bodyDiv w:val="1"/>
      <w:marLeft w:val="0"/>
      <w:marRight w:val="0"/>
      <w:marTop w:val="0"/>
      <w:marBottom w:val="0"/>
      <w:divBdr>
        <w:top w:val="none" w:sz="0" w:space="0" w:color="auto"/>
        <w:left w:val="none" w:sz="0" w:space="0" w:color="auto"/>
        <w:bottom w:val="none" w:sz="0" w:space="0" w:color="auto"/>
        <w:right w:val="none" w:sz="0" w:space="0" w:color="auto"/>
      </w:divBdr>
      <w:divsChild>
        <w:div w:id="1454786164">
          <w:marLeft w:val="547"/>
          <w:marRight w:val="0"/>
          <w:marTop w:val="125"/>
          <w:marBottom w:val="0"/>
          <w:divBdr>
            <w:top w:val="none" w:sz="0" w:space="0" w:color="auto"/>
            <w:left w:val="none" w:sz="0" w:space="0" w:color="auto"/>
            <w:bottom w:val="none" w:sz="0" w:space="0" w:color="auto"/>
            <w:right w:val="none" w:sz="0" w:space="0" w:color="auto"/>
          </w:divBdr>
        </w:div>
        <w:div w:id="660817650">
          <w:marLeft w:val="547"/>
          <w:marRight w:val="0"/>
          <w:marTop w:val="125"/>
          <w:marBottom w:val="0"/>
          <w:divBdr>
            <w:top w:val="none" w:sz="0" w:space="0" w:color="auto"/>
            <w:left w:val="none" w:sz="0" w:space="0" w:color="auto"/>
            <w:bottom w:val="none" w:sz="0" w:space="0" w:color="auto"/>
            <w:right w:val="none" w:sz="0" w:space="0" w:color="auto"/>
          </w:divBdr>
        </w:div>
        <w:div w:id="2111704611">
          <w:marLeft w:val="547"/>
          <w:marRight w:val="0"/>
          <w:marTop w:val="125"/>
          <w:marBottom w:val="0"/>
          <w:divBdr>
            <w:top w:val="none" w:sz="0" w:space="0" w:color="auto"/>
            <w:left w:val="none" w:sz="0" w:space="0" w:color="auto"/>
            <w:bottom w:val="none" w:sz="0" w:space="0" w:color="auto"/>
            <w:right w:val="none" w:sz="0" w:space="0" w:color="auto"/>
          </w:divBdr>
        </w:div>
        <w:div w:id="1870408298">
          <w:marLeft w:val="547"/>
          <w:marRight w:val="0"/>
          <w:marTop w:val="125"/>
          <w:marBottom w:val="0"/>
          <w:divBdr>
            <w:top w:val="none" w:sz="0" w:space="0" w:color="auto"/>
            <w:left w:val="none" w:sz="0" w:space="0" w:color="auto"/>
            <w:bottom w:val="none" w:sz="0" w:space="0" w:color="auto"/>
            <w:right w:val="none" w:sz="0" w:space="0" w:color="auto"/>
          </w:divBdr>
        </w:div>
        <w:div w:id="361438494">
          <w:marLeft w:val="547"/>
          <w:marRight w:val="0"/>
          <w:marTop w:val="125"/>
          <w:marBottom w:val="0"/>
          <w:divBdr>
            <w:top w:val="none" w:sz="0" w:space="0" w:color="auto"/>
            <w:left w:val="none" w:sz="0" w:space="0" w:color="auto"/>
            <w:bottom w:val="none" w:sz="0" w:space="0" w:color="auto"/>
            <w:right w:val="none" w:sz="0" w:space="0" w:color="auto"/>
          </w:divBdr>
        </w:div>
        <w:div w:id="1363433935">
          <w:marLeft w:val="547"/>
          <w:marRight w:val="0"/>
          <w:marTop w:val="125"/>
          <w:marBottom w:val="0"/>
          <w:divBdr>
            <w:top w:val="none" w:sz="0" w:space="0" w:color="auto"/>
            <w:left w:val="none" w:sz="0" w:space="0" w:color="auto"/>
            <w:bottom w:val="none" w:sz="0" w:space="0" w:color="auto"/>
            <w:right w:val="none" w:sz="0" w:space="0" w:color="auto"/>
          </w:divBdr>
        </w:div>
        <w:div w:id="1728065761">
          <w:marLeft w:val="547"/>
          <w:marRight w:val="0"/>
          <w:marTop w:val="125"/>
          <w:marBottom w:val="0"/>
          <w:divBdr>
            <w:top w:val="none" w:sz="0" w:space="0" w:color="auto"/>
            <w:left w:val="none" w:sz="0" w:space="0" w:color="auto"/>
            <w:bottom w:val="none" w:sz="0" w:space="0" w:color="auto"/>
            <w:right w:val="none" w:sz="0" w:space="0" w:color="auto"/>
          </w:divBdr>
        </w:div>
        <w:div w:id="1871917345">
          <w:marLeft w:val="547"/>
          <w:marRight w:val="0"/>
          <w:marTop w:val="125"/>
          <w:marBottom w:val="0"/>
          <w:divBdr>
            <w:top w:val="none" w:sz="0" w:space="0" w:color="auto"/>
            <w:left w:val="none" w:sz="0" w:space="0" w:color="auto"/>
            <w:bottom w:val="none" w:sz="0" w:space="0" w:color="auto"/>
            <w:right w:val="none" w:sz="0" w:space="0" w:color="auto"/>
          </w:divBdr>
        </w:div>
        <w:div w:id="1899972613">
          <w:marLeft w:val="547"/>
          <w:marRight w:val="0"/>
          <w:marTop w:val="125"/>
          <w:marBottom w:val="0"/>
          <w:divBdr>
            <w:top w:val="none" w:sz="0" w:space="0" w:color="auto"/>
            <w:left w:val="none" w:sz="0" w:space="0" w:color="auto"/>
            <w:bottom w:val="none" w:sz="0" w:space="0" w:color="auto"/>
            <w:right w:val="none" w:sz="0" w:space="0" w:color="auto"/>
          </w:divBdr>
        </w:div>
        <w:div w:id="31082084">
          <w:marLeft w:val="547"/>
          <w:marRight w:val="0"/>
          <w:marTop w:val="125"/>
          <w:marBottom w:val="0"/>
          <w:divBdr>
            <w:top w:val="none" w:sz="0" w:space="0" w:color="auto"/>
            <w:left w:val="none" w:sz="0" w:space="0" w:color="auto"/>
            <w:bottom w:val="none" w:sz="0" w:space="0" w:color="auto"/>
            <w:right w:val="none" w:sz="0" w:space="0" w:color="auto"/>
          </w:divBdr>
        </w:div>
        <w:div w:id="77098934">
          <w:marLeft w:val="547"/>
          <w:marRight w:val="0"/>
          <w:marTop w:val="125"/>
          <w:marBottom w:val="0"/>
          <w:divBdr>
            <w:top w:val="none" w:sz="0" w:space="0" w:color="auto"/>
            <w:left w:val="none" w:sz="0" w:space="0" w:color="auto"/>
            <w:bottom w:val="none" w:sz="0" w:space="0" w:color="auto"/>
            <w:right w:val="none" w:sz="0" w:space="0" w:color="auto"/>
          </w:divBdr>
        </w:div>
      </w:divsChild>
    </w:div>
    <w:div w:id="1216358265">
      <w:bodyDiv w:val="1"/>
      <w:marLeft w:val="0"/>
      <w:marRight w:val="0"/>
      <w:marTop w:val="0"/>
      <w:marBottom w:val="0"/>
      <w:divBdr>
        <w:top w:val="none" w:sz="0" w:space="0" w:color="auto"/>
        <w:left w:val="none" w:sz="0" w:space="0" w:color="auto"/>
        <w:bottom w:val="none" w:sz="0" w:space="0" w:color="auto"/>
        <w:right w:val="none" w:sz="0" w:space="0" w:color="auto"/>
      </w:divBdr>
    </w:div>
    <w:div w:id="1717386302">
      <w:bodyDiv w:val="1"/>
      <w:marLeft w:val="0"/>
      <w:marRight w:val="0"/>
      <w:marTop w:val="0"/>
      <w:marBottom w:val="0"/>
      <w:divBdr>
        <w:top w:val="none" w:sz="0" w:space="0" w:color="auto"/>
        <w:left w:val="none" w:sz="0" w:space="0" w:color="auto"/>
        <w:bottom w:val="none" w:sz="0" w:space="0" w:color="auto"/>
        <w:right w:val="none" w:sz="0" w:space="0" w:color="auto"/>
      </w:divBdr>
    </w:div>
    <w:div w:id="1717927437">
      <w:bodyDiv w:val="1"/>
      <w:marLeft w:val="0"/>
      <w:marRight w:val="0"/>
      <w:marTop w:val="0"/>
      <w:marBottom w:val="0"/>
      <w:divBdr>
        <w:top w:val="none" w:sz="0" w:space="0" w:color="auto"/>
        <w:left w:val="none" w:sz="0" w:space="0" w:color="auto"/>
        <w:bottom w:val="none" w:sz="0" w:space="0" w:color="auto"/>
        <w:right w:val="none" w:sz="0" w:space="0" w:color="auto"/>
      </w:divBdr>
    </w:div>
    <w:div w:id="2035377435">
      <w:bodyDiv w:val="1"/>
      <w:marLeft w:val="0"/>
      <w:marRight w:val="0"/>
      <w:marTop w:val="0"/>
      <w:marBottom w:val="0"/>
      <w:divBdr>
        <w:top w:val="none" w:sz="0" w:space="0" w:color="auto"/>
        <w:left w:val="none" w:sz="0" w:space="0" w:color="auto"/>
        <w:bottom w:val="none" w:sz="0" w:space="0" w:color="auto"/>
        <w:right w:val="none" w:sz="0" w:space="0" w:color="auto"/>
      </w:divBdr>
    </w:div>
    <w:div w:id="2068338560">
      <w:bodyDiv w:val="1"/>
      <w:marLeft w:val="0"/>
      <w:marRight w:val="0"/>
      <w:marTop w:val="0"/>
      <w:marBottom w:val="0"/>
      <w:divBdr>
        <w:top w:val="none" w:sz="0" w:space="0" w:color="auto"/>
        <w:left w:val="none" w:sz="0" w:space="0" w:color="auto"/>
        <w:bottom w:val="none" w:sz="0" w:space="0" w:color="auto"/>
        <w:right w:val="none" w:sz="0" w:space="0" w:color="auto"/>
      </w:divBdr>
      <w:divsChild>
        <w:div w:id="1242712738">
          <w:marLeft w:val="547"/>
          <w:marRight w:val="0"/>
          <w:marTop w:val="125"/>
          <w:marBottom w:val="0"/>
          <w:divBdr>
            <w:top w:val="none" w:sz="0" w:space="0" w:color="auto"/>
            <w:left w:val="none" w:sz="0" w:space="0" w:color="auto"/>
            <w:bottom w:val="none" w:sz="0" w:space="0" w:color="auto"/>
            <w:right w:val="none" w:sz="0" w:space="0" w:color="auto"/>
          </w:divBdr>
        </w:div>
        <w:div w:id="1326203777">
          <w:marLeft w:val="547"/>
          <w:marRight w:val="0"/>
          <w:marTop w:val="125"/>
          <w:marBottom w:val="0"/>
          <w:divBdr>
            <w:top w:val="none" w:sz="0" w:space="0" w:color="auto"/>
            <w:left w:val="none" w:sz="0" w:space="0" w:color="auto"/>
            <w:bottom w:val="none" w:sz="0" w:space="0" w:color="auto"/>
            <w:right w:val="none" w:sz="0" w:space="0" w:color="auto"/>
          </w:divBdr>
        </w:div>
        <w:div w:id="1205753030">
          <w:marLeft w:val="547"/>
          <w:marRight w:val="0"/>
          <w:marTop w:val="125"/>
          <w:marBottom w:val="0"/>
          <w:divBdr>
            <w:top w:val="none" w:sz="0" w:space="0" w:color="auto"/>
            <w:left w:val="none" w:sz="0" w:space="0" w:color="auto"/>
            <w:bottom w:val="none" w:sz="0" w:space="0" w:color="auto"/>
            <w:right w:val="none" w:sz="0" w:space="0" w:color="auto"/>
          </w:divBdr>
        </w:div>
        <w:div w:id="1420642642">
          <w:marLeft w:val="547"/>
          <w:marRight w:val="0"/>
          <w:marTop w:val="125"/>
          <w:marBottom w:val="0"/>
          <w:divBdr>
            <w:top w:val="none" w:sz="0" w:space="0" w:color="auto"/>
            <w:left w:val="none" w:sz="0" w:space="0" w:color="auto"/>
            <w:bottom w:val="none" w:sz="0" w:space="0" w:color="auto"/>
            <w:right w:val="none" w:sz="0" w:space="0" w:color="auto"/>
          </w:divBdr>
        </w:div>
        <w:div w:id="891427518">
          <w:marLeft w:val="547"/>
          <w:marRight w:val="0"/>
          <w:marTop w:val="125"/>
          <w:marBottom w:val="0"/>
          <w:divBdr>
            <w:top w:val="none" w:sz="0" w:space="0" w:color="auto"/>
            <w:left w:val="none" w:sz="0" w:space="0" w:color="auto"/>
            <w:bottom w:val="none" w:sz="0" w:space="0" w:color="auto"/>
            <w:right w:val="none" w:sz="0" w:space="0" w:color="auto"/>
          </w:divBdr>
        </w:div>
        <w:div w:id="1726291420">
          <w:marLeft w:val="547"/>
          <w:marRight w:val="0"/>
          <w:marTop w:val="125"/>
          <w:marBottom w:val="0"/>
          <w:divBdr>
            <w:top w:val="none" w:sz="0" w:space="0" w:color="auto"/>
            <w:left w:val="none" w:sz="0" w:space="0" w:color="auto"/>
            <w:bottom w:val="none" w:sz="0" w:space="0" w:color="auto"/>
            <w:right w:val="none" w:sz="0" w:space="0" w:color="auto"/>
          </w:divBdr>
        </w:div>
        <w:div w:id="1912696292">
          <w:marLeft w:val="547"/>
          <w:marRight w:val="0"/>
          <w:marTop w:val="125"/>
          <w:marBottom w:val="0"/>
          <w:divBdr>
            <w:top w:val="none" w:sz="0" w:space="0" w:color="auto"/>
            <w:left w:val="none" w:sz="0" w:space="0" w:color="auto"/>
            <w:bottom w:val="none" w:sz="0" w:space="0" w:color="auto"/>
            <w:right w:val="none" w:sz="0" w:space="0" w:color="auto"/>
          </w:divBdr>
        </w:div>
        <w:div w:id="1665474243">
          <w:marLeft w:val="547"/>
          <w:marRight w:val="0"/>
          <w:marTop w:val="125"/>
          <w:marBottom w:val="0"/>
          <w:divBdr>
            <w:top w:val="none" w:sz="0" w:space="0" w:color="auto"/>
            <w:left w:val="none" w:sz="0" w:space="0" w:color="auto"/>
            <w:bottom w:val="none" w:sz="0" w:space="0" w:color="auto"/>
            <w:right w:val="none" w:sz="0" w:space="0" w:color="auto"/>
          </w:divBdr>
        </w:div>
        <w:div w:id="557940433">
          <w:marLeft w:val="547"/>
          <w:marRight w:val="0"/>
          <w:marTop w:val="125"/>
          <w:marBottom w:val="0"/>
          <w:divBdr>
            <w:top w:val="none" w:sz="0" w:space="0" w:color="auto"/>
            <w:left w:val="none" w:sz="0" w:space="0" w:color="auto"/>
            <w:bottom w:val="none" w:sz="0" w:space="0" w:color="auto"/>
            <w:right w:val="none" w:sz="0" w:space="0" w:color="auto"/>
          </w:divBdr>
        </w:div>
        <w:div w:id="1683583333">
          <w:marLeft w:val="547"/>
          <w:marRight w:val="0"/>
          <w:marTop w:val="125"/>
          <w:marBottom w:val="0"/>
          <w:divBdr>
            <w:top w:val="none" w:sz="0" w:space="0" w:color="auto"/>
            <w:left w:val="none" w:sz="0" w:space="0" w:color="auto"/>
            <w:bottom w:val="none" w:sz="0" w:space="0" w:color="auto"/>
            <w:right w:val="none" w:sz="0" w:space="0" w:color="auto"/>
          </w:divBdr>
        </w:div>
        <w:div w:id="1647002992">
          <w:marLeft w:val="547"/>
          <w:marRight w:val="0"/>
          <w:marTop w:val="1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hart" Target="charts/chart2.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www.nber.org/papers/w13097"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PH-FP-CO-121\dph3\Center%20for%20Environmental%20Health\Bureau%20for%20Environmental%20Health\Programs\Epidemiology\CLPPP_Projects\Lead%20Data%20Brief\2017%20Data\Graphs.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PH-FP-CO-121\dph3\Center%20for%20Environmental%20Health\Bureau%20for%20Environmental%20Health\Programs\Epidemiology\CLPPP_Projects\Lead%20Data%20Brief\2017%20Data\Graphs.xlsx" TargetMode="Externa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oleObject" Target="file:///\\DPH-FP-CO-121\dph3\Center%20for%20Environmental%20Health\Bureau%20for%20Environmental%20Health\Programs\Epidemiology\CLPPP_Projects\Lead%20Data%20Brief\2017%20Data\Race%20Data%20Calculations_2015.xlsx" TargetMode="External"/><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JRRobertson\AppData\Local\Microsoft\Windows\Temporary%20Internet%20Files\Content.Outlook\0RV9PBD7\2017%20PIR%20calculation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Figure 1.</a:t>
            </a:r>
            <a:r>
              <a:rPr lang="en-US" sz="1200" baseline="0"/>
              <a:t> MA Prevalence Rates of Children with Blood Lead Levels ≥10 µg/dL</a:t>
            </a:r>
            <a:r>
              <a:rPr lang="en-US" sz="1200" baseline="30000"/>
              <a:t>1</a:t>
            </a:r>
          </a:p>
        </c:rich>
      </c:tx>
      <c:layout>
        <c:manualLayout>
          <c:xMode val="edge"/>
          <c:yMode val="edge"/>
          <c:x val="0.13594503645964104"/>
          <c:y val="1.7719509003972702E-3"/>
        </c:manualLayout>
      </c:layout>
      <c:overlay val="0"/>
    </c:title>
    <c:autoTitleDeleted val="0"/>
    <c:plotArea>
      <c:layout>
        <c:manualLayout>
          <c:layoutTarget val="inner"/>
          <c:xMode val="edge"/>
          <c:yMode val="edge"/>
          <c:x val="0.10231524112558589"/>
          <c:y val="0.15437053497685357"/>
          <c:w val="0.87756587745541803"/>
          <c:h val="0.66360627521427251"/>
        </c:manualLayout>
      </c:layout>
      <c:barChart>
        <c:barDir val="col"/>
        <c:grouping val="clustered"/>
        <c:varyColors val="0"/>
        <c:ser>
          <c:idx val="0"/>
          <c:order val="0"/>
          <c:tx>
            <c:strRef>
              <c:f>'Prevalence Conf 10+ 2001+'!$F$1</c:f>
              <c:strCache>
                <c:ptCount val="1"/>
                <c:pt idx="0">
                  <c:v>Prevalence per 1,000</c:v>
                </c:pt>
              </c:strCache>
            </c:strRef>
          </c:tx>
          <c:invertIfNegative val="0"/>
          <c:cat>
            <c:numRef>
              <c:f>'Prevalence Conf 10+ 2001+'!$E$2:$E$18</c:f>
              <c:numCache>
                <c:formatCode>General</c:formatCode>
                <c:ptCount val="17"/>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numCache>
            </c:numRef>
          </c:cat>
          <c:val>
            <c:numRef>
              <c:f>'Prevalence Conf 10+ 2001+'!$F$2:$F$18</c:f>
              <c:numCache>
                <c:formatCode>0.0</c:formatCode>
                <c:ptCount val="17"/>
                <c:pt idx="0">
                  <c:v>15.059353608872716</c:v>
                </c:pt>
                <c:pt idx="1">
                  <c:v>13.677101225739358</c:v>
                </c:pt>
                <c:pt idx="2">
                  <c:v>9.8383883579958873</c:v>
                </c:pt>
                <c:pt idx="3">
                  <c:v>10.282298733424637</c:v>
                </c:pt>
                <c:pt idx="4">
                  <c:v>9.0217659490018125</c:v>
                </c:pt>
                <c:pt idx="5">
                  <c:v>8.3124394166671181</c:v>
                </c:pt>
                <c:pt idx="6">
                  <c:v>6.8293733014019313</c:v>
                </c:pt>
                <c:pt idx="7">
                  <c:v>5.4253041336417152</c:v>
                </c:pt>
                <c:pt idx="8">
                  <c:v>4.4516412042176858</c:v>
                </c:pt>
                <c:pt idx="9">
                  <c:v>4.4187241407285214</c:v>
                </c:pt>
                <c:pt idx="10">
                  <c:v>3.5382001867539685</c:v>
                </c:pt>
                <c:pt idx="11">
                  <c:v>3.7211313604888678</c:v>
                </c:pt>
                <c:pt idx="12">
                  <c:v>3.3416782153873665</c:v>
                </c:pt>
                <c:pt idx="13">
                  <c:v>3.7647377082440996</c:v>
                </c:pt>
                <c:pt idx="14">
                  <c:v>3.3967197392232644</c:v>
                </c:pt>
                <c:pt idx="15">
                  <c:v>3.6989330658398689</c:v>
                </c:pt>
                <c:pt idx="16">
                  <c:v>3.1652775880129345</c:v>
                </c:pt>
              </c:numCache>
            </c:numRef>
          </c:val>
          <c:extLst xmlns:c16r2="http://schemas.microsoft.com/office/drawing/2015/06/chart">
            <c:ext xmlns:c16="http://schemas.microsoft.com/office/drawing/2014/chart" uri="{C3380CC4-5D6E-409C-BE32-E72D297353CC}">
              <c16:uniqueId val="{00000000-8217-4717-A784-B7F28C423A12}"/>
            </c:ext>
          </c:extLst>
        </c:ser>
        <c:dLbls>
          <c:showLegendKey val="0"/>
          <c:showVal val="0"/>
          <c:showCatName val="0"/>
          <c:showSerName val="0"/>
          <c:showPercent val="0"/>
          <c:showBubbleSize val="0"/>
        </c:dLbls>
        <c:gapWidth val="150"/>
        <c:axId val="196873600"/>
        <c:axId val="184669312"/>
      </c:barChart>
      <c:catAx>
        <c:axId val="196873600"/>
        <c:scaling>
          <c:orientation val="minMax"/>
        </c:scaling>
        <c:delete val="0"/>
        <c:axPos val="b"/>
        <c:numFmt formatCode="General" sourceLinked="1"/>
        <c:majorTickMark val="out"/>
        <c:minorTickMark val="none"/>
        <c:tickLblPos val="nextTo"/>
        <c:txPr>
          <a:bodyPr rot="5400000" vert="horz"/>
          <a:lstStyle/>
          <a:p>
            <a:pPr>
              <a:defRPr/>
            </a:pPr>
            <a:endParaRPr lang="en-US"/>
          </a:p>
        </c:txPr>
        <c:crossAx val="184669312"/>
        <c:crosses val="autoZero"/>
        <c:auto val="1"/>
        <c:lblAlgn val="ctr"/>
        <c:lblOffset val="100"/>
        <c:noMultiLvlLbl val="0"/>
      </c:catAx>
      <c:valAx>
        <c:axId val="184669312"/>
        <c:scaling>
          <c:orientation val="minMax"/>
        </c:scaling>
        <c:delete val="0"/>
        <c:axPos val="l"/>
        <c:majorGridlines/>
        <c:title>
          <c:tx>
            <c:rich>
              <a:bodyPr rot="-5400000" vert="horz"/>
              <a:lstStyle/>
              <a:p>
                <a:pPr>
                  <a:defRPr/>
                </a:pPr>
                <a:r>
                  <a:rPr lang="en-US" sz="1100" b="0"/>
                  <a:t>Prevalence per 1,000 children screened</a:t>
                </a:r>
              </a:p>
            </c:rich>
          </c:tx>
          <c:layout/>
          <c:overlay val="0"/>
        </c:title>
        <c:numFmt formatCode="0.0" sourceLinked="1"/>
        <c:majorTickMark val="out"/>
        <c:minorTickMark val="none"/>
        <c:tickLblPos val="nextTo"/>
        <c:crossAx val="196873600"/>
        <c:crosses val="autoZero"/>
        <c:crossBetween val="between"/>
      </c:valAx>
    </c:plotArea>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600"/>
              <a:t>Figure 2.</a:t>
            </a:r>
            <a:r>
              <a:rPr lang="en-US" sz="1600" baseline="0"/>
              <a:t> Comparison of Prevalence Rate of Blood Lead Levels ≥10 µg/dL</a:t>
            </a:r>
            <a:r>
              <a:rPr lang="en-US" sz="1600" baseline="30000"/>
              <a:t>1</a:t>
            </a:r>
            <a:r>
              <a:rPr lang="en-US" sz="1600" baseline="0"/>
              <a:t>: High-Risk Communities vs. All Other Communities</a:t>
            </a:r>
            <a:endParaRPr lang="en-US" sz="1600"/>
          </a:p>
        </c:rich>
      </c:tx>
      <c:layout/>
      <c:overlay val="0"/>
    </c:title>
    <c:autoTitleDeleted val="0"/>
    <c:plotArea>
      <c:layout>
        <c:manualLayout>
          <c:layoutTarget val="inner"/>
          <c:xMode val="edge"/>
          <c:yMode val="edge"/>
          <c:x val="0.10153865497351754"/>
          <c:y val="0.23819142354050418"/>
          <c:w val="0.59977776730004562"/>
          <c:h val="0.55149717667628584"/>
        </c:manualLayout>
      </c:layout>
      <c:scatterChart>
        <c:scatterStyle val="smoothMarker"/>
        <c:varyColors val="0"/>
        <c:ser>
          <c:idx val="0"/>
          <c:order val="0"/>
          <c:tx>
            <c:strRef>
              <c:f>'Prev Conf 10+ HR vs. MA'!$J$1</c:f>
              <c:strCache>
                <c:ptCount val="1"/>
                <c:pt idx="0">
                  <c:v>High Risk</c:v>
                </c:pt>
              </c:strCache>
            </c:strRef>
          </c:tx>
          <c:marker>
            <c:symbol val="square"/>
            <c:size val="5"/>
          </c:marker>
          <c:dLbls>
            <c:dLbl>
              <c:idx val="0"/>
              <c:layout>
                <c:manualLayout>
                  <c:x val="-2.5948103792415168E-2"/>
                  <c:y val="5.875152243801855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77A7-4E5C-9042-155F273C4075}"/>
                </c:ext>
              </c:extLst>
            </c:dLbl>
            <c:dLbl>
              <c:idx val="1"/>
              <c:layout>
                <c:manualLayout>
                  <c:x val="0"/>
                  <c:y val="-9.7919204063364254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77A7-4E5C-9042-155F273C4075}"/>
                </c:ext>
              </c:extLst>
            </c:dLbl>
            <c:dLbl>
              <c:idx val="2"/>
              <c:layout>
                <c:manualLayout>
                  <c:x val="-9.9800399201596807E-3"/>
                  <c:y val="-4.243165509412451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77A7-4E5C-9042-155F273C4075}"/>
                </c:ext>
              </c:extLst>
            </c:dLbl>
            <c:dLbl>
              <c:idx val="3"/>
              <c:layout>
                <c:manualLayout>
                  <c:x val="-1.1976047904191617E-2"/>
                  <c:y val="-4.895960203168213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77A7-4E5C-9042-155F273C4075}"/>
                </c:ext>
              </c:extLst>
            </c:dLbl>
            <c:dLbl>
              <c:idx val="4"/>
              <c:layout>
                <c:manualLayout>
                  <c:x val="-2.5948103792415168E-2"/>
                  <c:y val="5.875152243801855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77A7-4E5C-9042-155F273C4075}"/>
                </c:ext>
              </c:extLst>
            </c:dLbl>
            <c:dLbl>
              <c:idx val="5"/>
              <c:layout>
                <c:manualLayout>
                  <c:x val="-2.7944111776447105E-2"/>
                  <c:y val="-4.243165509412451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77A7-4E5C-9042-155F273C4075}"/>
                </c:ext>
              </c:extLst>
            </c:dLbl>
            <c:dLbl>
              <c:idx val="6"/>
              <c:layout>
                <c:manualLayout>
                  <c:x val="-2.3952095808383235E-2"/>
                  <c:y val="4.569562856290332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77A7-4E5C-9042-155F273C4075}"/>
                </c:ext>
              </c:extLst>
            </c:dLbl>
            <c:dLbl>
              <c:idx val="7"/>
              <c:layout>
                <c:manualLayout>
                  <c:x val="-2.3952095808383235E-2"/>
                  <c:y val="-3.916768162534570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77A7-4E5C-9042-155F273C4075}"/>
                </c:ext>
              </c:extLst>
            </c:dLbl>
            <c:dLbl>
              <c:idx val="8"/>
              <c:layout>
                <c:manualLayout>
                  <c:x val="-5.9880239520958816E-3"/>
                  <c:y val="-3.916768162534576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77A7-4E5C-9042-155F273C4075}"/>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xVal>
            <c:numRef>
              <c:f>'Prev Conf 10+ HR vs. MA'!$I$2:$I$10</c:f>
              <c:numCache>
                <c:formatCode>General</c:formatCode>
                <c:ptCount val="9"/>
                <c:pt idx="0">
                  <c:v>2009</c:v>
                </c:pt>
                <c:pt idx="1">
                  <c:v>2010</c:v>
                </c:pt>
                <c:pt idx="2">
                  <c:v>2011</c:v>
                </c:pt>
                <c:pt idx="3">
                  <c:v>2012</c:v>
                </c:pt>
                <c:pt idx="4">
                  <c:v>2013</c:v>
                </c:pt>
                <c:pt idx="5">
                  <c:v>2014</c:v>
                </c:pt>
                <c:pt idx="6">
                  <c:v>2015</c:v>
                </c:pt>
                <c:pt idx="7">
                  <c:v>2016</c:v>
                </c:pt>
                <c:pt idx="8">
                  <c:v>2017</c:v>
                </c:pt>
              </c:numCache>
            </c:numRef>
          </c:xVal>
          <c:yVal>
            <c:numRef>
              <c:f>'Prev Conf 10+ HR vs. MA'!$J$2:$J$10</c:f>
              <c:numCache>
                <c:formatCode>0.0</c:formatCode>
                <c:ptCount val="9"/>
                <c:pt idx="0">
                  <c:v>7.4</c:v>
                </c:pt>
                <c:pt idx="1">
                  <c:v>7.5</c:v>
                </c:pt>
                <c:pt idx="2">
                  <c:v>6</c:v>
                </c:pt>
                <c:pt idx="3">
                  <c:v>5.8</c:v>
                </c:pt>
                <c:pt idx="4">
                  <c:v>5.6</c:v>
                </c:pt>
                <c:pt idx="5">
                  <c:v>6.1</c:v>
                </c:pt>
                <c:pt idx="6">
                  <c:v>5.4</c:v>
                </c:pt>
                <c:pt idx="7">
                  <c:v>6</c:v>
                </c:pt>
                <c:pt idx="8">
                  <c:v>5</c:v>
                </c:pt>
              </c:numCache>
            </c:numRef>
          </c:yVal>
          <c:smooth val="1"/>
          <c:extLst xmlns:c16r2="http://schemas.microsoft.com/office/drawing/2015/06/chart">
            <c:ext xmlns:c16="http://schemas.microsoft.com/office/drawing/2014/chart" uri="{C3380CC4-5D6E-409C-BE32-E72D297353CC}">
              <c16:uniqueId val="{00000009-77A7-4E5C-9042-155F273C4075}"/>
            </c:ext>
          </c:extLst>
        </c:ser>
        <c:ser>
          <c:idx val="1"/>
          <c:order val="1"/>
          <c:tx>
            <c:strRef>
              <c:f>'Prev Conf 10+ HR vs. MA'!$K$1</c:f>
              <c:strCache>
                <c:ptCount val="1"/>
                <c:pt idx="0">
                  <c:v>All Other Communities</c:v>
                </c:pt>
              </c:strCache>
            </c:strRef>
          </c:tx>
          <c:marker>
            <c:symbol val="square"/>
            <c:size val="5"/>
          </c:marker>
          <c:dLbls>
            <c:dLbl>
              <c:idx val="0"/>
              <c:layout>
                <c:manualLayout>
                  <c:x val="-2.9940119760479042E-2"/>
                  <c:y val="3.632234796809353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77A7-4E5C-9042-155F273C4075}"/>
                </c:ext>
              </c:extLst>
            </c:dLbl>
            <c:dLbl>
              <c:idx val="1"/>
              <c:layout>
                <c:manualLayout>
                  <c:x val="-2.7944111776447105E-2"/>
                  <c:y val="-3.632234796809353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77A7-4E5C-9042-155F273C4075}"/>
                </c:ext>
              </c:extLst>
            </c:dLbl>
            <c:dLbl>
              <c:idx val="2"/>
              <c:layout>
                <c:manualLayout>
                  <c:x val="-2.7944111776447105E-2"/>
                  <c:y val="3.632234796809353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77A7-4E5C-9042-155F273C4075}"/>
                </c:ext>
              </c:extLst>
            </c:dLbl>
            <c:dLbl>
              <c:idx val="3"/>
              <c:layout>
                <c:manualLayout>
                  <c:x val="-2.1956087824351298E-2"/>
                  <c:y val="4.540293496011691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77A7-4E5C-9042-155F273C4075}"/>
                </c:ext>
              </c:extLst>
            </c:dLbl>
            <c:dLbl>
              <c:idx val="4"/>
              <c:layout>
                <c:manualLayout>
                  <c:x val="-2.3952095808383235E-2"/>
                  <c:y val="-3.329548563741907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77A7-4E5C-9042-155F273C4075}"/>
                </c:ext>
              </c:extLst>
            </c:dLbl>
            <c:dLbl>
              <c:idx val="5"/>
              <c:layout>
                <c:manualLayout>
                  <c:x val="-2.3952095808383235E-2"/>
                  <c:y val="4.540293496011691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77A7-4E5C-9042-155F273C4075}"/>
                </c:ext>
              </c:extLst>
            </c:dLbl>
            <c:dLbl>
              <c:idx val="6"/>
              <c:layout>
                <c:manualLayout>
                  <c:x val="-2.7944111776447105E-2"/>
                  <c:y val="-2.724176097607015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77A7-4E5C-9042-155F273C4075}"/>
                </c:ext>
              </c:extLst>
            </c:dLbl>
            <c:dLbl>
              <c:idx val="7"/>
              <c:layout>
                <c:manualLayout>
                  <c:x val="-2.3952095808383235E-2"/>
                  <c:y val="5.448352195214030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77A7-4E5C-9042-155F273C4075}"/>
                </c:ext>
              </c:extLst>
            </c:dLbl>
            <c:dLbl>
              <c:idx val="8"/>
              <c:layout>
                <c:manualLayout>
                  <c:x val="-1.197604790419169E-2"/>
                  <c:y val="-2.724176097607015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2-77A7-4E5C-9042-155F273C4075}"/>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xVal>
            <c:numRef>
              <c:f>'Prev Conf 10+ HR vs. MA'!$I$2:$I$10</c:f>
              <c:numCache>
                <c:formatCode>General</c:formatCode>
                <c:ptCount val="9"/>
                <c:pt idx="0">
                  <c:v>2009</c:v>
                </c:pt>
                <c:pt idx="1">
                  <c:v>2010</c:v>
                </c:pt>
                <c:pt idx="2">
                  <c:v>2011</c:v>
                </c:pt>
                <c:pt idx="3">
                  <c:v>2012</c:v>
                </c:pt>
                <c:pt idx="4">
                  <c:v>2013</c:v>
                </c:pt>
                <c:pt idx="5">
                  <c:v>2014</c:v>
                </c:pt>
                <c:pt idx="6">
                  <c:v>2015</c:v>
                </c:pt>
                <c:pt idx="7">
                  <c:v>2016</c:v>
                </c:pt>
                <c:pt idx="8">
                  <c:v>2017</c:v>
                </c:pt>
              </c:numCache>
            </c:numRef>
          </c:xVal>
          <c:yVal>
            <c:numRef>
              <c:f>'Prev Conf 10+ HR vs. MA'!$K$2:$K$10</c:f>
              <c:numCache>
                <c:formatCode>General</c:formatCode>
                <c:ptCount val="9"/>
                <c:pt idx="0">
                  <c:v>2.8</c:v>
                </c:pt>
                <c:pt idx="1">
                  <c:v>2.7</c:v>
                </c:pt>
                <c:pt idx="2">
                  <c:v>2.1</c:v>
                </c:pt>
                <c:pt idx="3">
                  <c:v>2.5</c:v>
                </c:pt>
                <c:pt idx="4">
                  <c:v>2.1</c:v>
                </c:pt>
                <c:pt idx="5">
                  <c:v>2.5</c:v>
                </c:pt>
                <c:pt idx="6">
                  <c:v>2.2999999999999998</c:v>
                </c:pt>
                <c:pt idx="7">
                  <c:v>2.5</c:v>
                </c:pt>
                <c:pt idx="8">
                  <c:v>2.2000000000000002</c:v>
                </c:pt>
              </c:numCache>
            </c:numRef>
          </c:yVal>
          <c:smooth val="1"/>
          <c:extLst xmlns:c16r2="http://schemas.microsoft.com/office/drawing/2015/06/chart">
            <c:ext xmlns:c16="http://schemas.microsoft.com/office/drawing/2014/chart" uri="{C3380CC4-5D6E-409C-BE32-E72D297353CC}">
              <c16:uniqueId val="{00000013-77A7-4E5C-9042-155F273C4075}"/>
            </c:ext>
          </c:extLst>
        </c:ser>
        <c:dLbls>
          <c:showLegendKey val="0"/>
          <c:showVal val="0"/>
          <c:showCatName val="0"/>
          <c:showSerName val="0"/>
          <c:showPercent val="0"/>
          <c:showBubbleSize val="0"/>
        </c:dLbls>
        <c:axId val="186781696"/>
        <c:axId val="186783232"/>
      </c:scatterChart>
      <c:valAx>
        <c:axId val="186781696"/>
        <c:scaling>
          <c:orientation val="minMax"/>
        </c:scaling>
        <c:delete val="0"/>
        <c:axPos val="b"/>
        <c:numFmt formatCode="General" sourceLinked="1"/>
        <c:majorTickMark val="out"/>
        <c:minorTickMark val="none"/>
        <c:tickLblPos val="nextTo"/>
        <c:crossAx val="186783232"/>
        <c:crosses val="autoZero"/>
        <c:crossBetween val="midCat"/>
      </c:valAx>
      <c:valAx>
        <c:axId val="186783232"/>
        <c:scaling>
          <c:orientation val="minMax"/>
        </c:scaling>
        <c:delete val="0"/>
        <c:axPos val="l"/>
        <c:majorGridlines/>
        <c:title>
          <c:tx>
            <c:rich>
              <a:bodyPr rot="-5400000" vert="horz"/>
              <a:lstStyle/>
              <a:p>
                <a:pPr>
                  <a:defRPr/>
                </a:pPr>
                <a:r>
                  <a:rPr lang="en-US" sz="1100" b="0"/>
                  <a:t>Prevalence</a:t>
                </a:r>
                <a:r>
                  <a:rPr lang="en-US" sz="1100" b="0" baseline="0"/>
                  <a:t> per 1,000 children screened</a:t>
                </a:r>
                <a:endParaRPr lang="en-US" sz="1100" b="0"/>
              </a:p>
            </c:rich>
          </c:tx>
          <c:layout/>
          <c:overlay val="0"/>
        </c:title>
        <c:numFmt formatCode="0.0" sourceLinked="1"/>
        <c:majorTickMark val="out"/>
        <c:minorTickMark val="none"/>
        <c:tickLblPos val="nextTo"/>
        <c:crossAx val="186781696"/>
        <c:crosses val="autoZero"/>
        <c:crossBetween val="midCat"/>
      </c:valAx>
    </c:plotArea>
    <c:legend>
      <c:legendPos val="r"/>
      <c:layout/>
      <c:overlay val="0"/>
    </c:legend>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200"/>
              <a:t>Figure 4. Prevalence Rates of Children with Lead Poisoning</a:t>
            </a:r>
            <a:r>
              <a:rPr lang="en-US" sz="1200" baseline="30000"/>
              <a:t>1</a:t>
            </a:r>
            <a:r>
              <a:rPr lang="en-US" sz="1200" baseline="0"/>
              <a:t> by Mother's Race/Ethnicity (2015)</a:t>
            </a:r>
            <a:endParaRPr lang="en-US" sz="1200"/>
          </a:p>
        </c:rich>
      </c:tx>
      <c:layout/>
      <c:overlay val="0"/>
    </c:title>
    <c:autoTitleDeleted val="0"/>
    <c:plotArea>
      <c:layout>
        <c:manualLayout>
          <c:layoutTarget val="inner"/>
          <c:xMode val="edge"/>
          <c:yMode val="edge"/>
          <c:x val="0.13339037856754393"/>
          <c:y val="0.21352117870512088"/>
          <c:w val="0.85055901815090018"/>
          <c:h val="0.4994760486399874"/>
        </c:manualLayout>
      </c:layout>
      <c:barChart>
        <c:barDir val="col"/>
        <c:grouping val="clustered"/>
        <c:varyColors val="0"/>
        <c:ser>
          <c:idx val="0"/>
          <c:order val="0"/>
          <c:tx>
            <c:strRef>
              <c:f>'Conf 10+'!$A$20</c:f>
              <c:strCache>
                <c:ptCount val="1"/>
                <c:pt idx="0">
                  <c:v>Rate per 1,000</c:v>
                </c:pt>
              </c:strCache>
            </c:strRef>
          </c:tx>
          <c:invertIfNegative val="0"/>
          <c:dLbls>
            <c:dLbl>
              <c:idx val="0"/>
              <c:layout>
                <c:manualLayout>
                  <c:x val="-3.8966637060490173E-3"/>
                  <c:y val="9.9394863896575397E-2"/>
                </c:manualLayout>
              </c:layout>
              <c:spPr/>
              <c:txPr>
                <a:bodyPr/>
                <a:lstStyle/>
                <a:p>
                  <a:pPr>
                    <a:defRPr sz="1600" b="1" baseline="0">
                      <a:solidFill>
                        <a:srgbClr val="B7DEE8"/>
                      </a:solidFill>
                    </a:defRPr>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C25C-4A9D-964C-2F0FB42E7DFB}"/>
                </c:ext>
              </c:extLst>
            </c:dLbl>
            <c:dLbl>
              <c:idx val="1"/>
              <c:layout>
                <c:manualLayout>
                  <c:x val="-1.9809365934521342E-3"/>
                  <c:y val="0.10573997922390849"/>
                </c:manualLayout>
              </c:layout>
              <c:spPr/>
              <c:txPr>
                <a:bodyPr/>
                <a:lstStyle/>
                <a:p>
                  <a:pPr>
                    <a:defRPr sz="1600" b="1" baseline="0">
                      <a:solidFill>
                        <a:srgbClr val="B7DEE8"/>
                      </a:solidFill>
                    </a:defRPr>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C25C-4A9D-964C-2F0FB42E7DFB}"/>
                </c:ext>
              </c:extLst>
            </c:dLbl>
            <c:spPr>
              <a:noFill/>
              <a:ln>
                <a:noFill/>
              </a:ln>
              <a:effectLst/>
            </c:spPr>
            <c:txPr>
              <a:bodyPr/>
              <a:lstStyle/>
              <a:p>
                <a:pPr>
                  <a:defRPr sz="1600" baseline="0">
                    <a:solidFill>
                      <a:srgbClr val="B7DEE8"/>
                    </a:solidFill>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'Conf 10+'!$B$25:$B$26</c:f>
              <c:strCache>
                <c:ptCount val="2"/>
                <c:pt idx="0">
                  <c:v>White Children</c:v>
                </c:pt>
                <c:pt idx="1">
                  <c:v>Black Children</c:v>
                </c:pt>
              </c:strCache>
            </c:strRef>
          </c:cat>
          <c:val>
            <c:numRef>
              <c:f>'Conf 10+'!$A$25:$A$26</c:f>
              <c:numCache>
                <c:formatCode>General</c:formatCode>
                <c:ptCount val="2"/>
                <c:pt idx="0">
                  <c:v>2.5</c:v>
                </c:pt>
                <c:pt idx="1">
                  <c:v>6.1</c:v>
                </c:pt>
              </c:numCache>
            </c:numRef>
          </c:val>
          <c:extLst xmlns:c16r2="http://schemas.microsoft.com/office/drawing/2015/06/chart">
            <c:ext xmlns:c16="http://schemas.microsoft.com/office/drawing/2014/chart" uri="{C3380CC4-5D6E-409C-BE32-E72D297353CC}">
              <c16:uniqueId val="{00000002-C25C-4A9D-964C-2F0FB42E7DFB}"/>
            </c:ext>
          </c:extLst>
        </c:ser>
        <c:dLbls>
          <c:showLegendKey val="0"/>
          <c:showVal val="0"/>
          <c:showCatName val="0"/>
          <c:showSerName val="0"/>
          <c:showPercent val="0"/>
          <c:showBubbleSize val="0"/>
        </c:dLbls>
        <c:gapWidth val="130"/>
        <c:axId val="188625664"/>
        <c:axId val="188627200"/>
      </c:barChart>
      <c:catAx>
        <c:axId val="188625664"/>
        <c:scaling>
          <c:orientation val="minMax"/>
        </c:scaling>
        <c:delete val="0"/>
        <c:axPos val="b"/>
        <c:numFmt formatCode="General" sourceLinked="0"/>
        <c:majorTickMark val="out"/>
        <c:minorTickMark val="none"/>
        <c:tickLblPos val="nextTo"/>
        <c:txPr>
          <a:bodyPr/>
          <a:lstStyle/>
          <a:p>
            <a:pPr>
              <a:defRPr sz="1100" b="1"/>
            </a:pPr>
            <a:endParaRPr lang="en-US"/>
          </a:p>
        </c:txPr>
        <c:crossAx val="188627200"/>
        <c:crosses val="autoZero"/>
        <c:auto val="1"/>
        <c:lblAlgn val="ctr"/>
        <c:lblOffset val="100"/>
        <c:noMultiLvlLbl val="0"/>
      </c:catAx>
      <c:valAx>
        <c:axId val="188627200"/>
        <c:scaling>
          <c:orientation val="minMax"/>
        </c:scaling>
        <c:delete val="0"/>
        <c:axPos val="l"/>
        <c:majorGridlines/>
        <c:title>
          <c:tx>
            <c:rich>
              <a:bodyPr rot="-5400000" vert="horz"/>
              <a:lstStyle/>
              <a:p>
                <a:pPr>
                  <a:defRPr b="0"/>
                </a:pPr>
                <a:r>
                  <a:rPr lang="en-US" sz="1100" b="0"/>
                  <a:t>Prevalence per 1,000 Children Screened</a:t>
                </a:r>
              </a:p>
            </c:rich>
          </c:tx>
          <c:layout>
            <c:manualLayout>
              <c:xMode val="edge"/>
              <c:yMode val="edge"/>
              <c:x val="3.0555617167572365E-3"/>
              <c:y val="0.17557433129847533"/>
            </c:manualLayout>
          </c:layout>
          <c:overlay val="0"/>
          <c:spPr>
            <a:ln w="9525"/>
          </c:spPr>
        </c:title>
        <c:numFmt formatCode="General" sourceLinked="1"/>
        <c:majorTickMark val="out"/>
        <c:minorTickMark val="none"/>
        <c:tickLblPos val="nextTo"/>
        <c:crossAx val="188625664"/>
        <c:crosses val="autoZero"/>
        <c:crossBetween val="between"/>
      </c:valAx>
    </c:plotArea>
    <c:plotVisOnly val="1"/>
    <c:dispBlanksAs val="gap"/>
    <c:showDLblsOverMax val="0"/>
  </c:chart>
  <c:externalData r:id="rId2">
    <c:autoUpdate val="0"/>
  </c:externalData>
  <c:userShapes r:id="rId3"/>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Figure 3. Prevalence Rates of Children with Elevated Blood Lead</a:t>
            </a:r>
            <a:r>
              <a:rPr lang="en-US" sz="1200" baseline="0"/>
              <a:t> Levels</a:t>
            </a:r>
            <a:r>
              <a:rPr lang="en-US" sz="1200" baseline="30000"/>
              <a:t>1</a:t>
            </a:r>
            <a:r>
              <a:rPr lang="en-US" sz="1200" baseline="0"/>
              <a:t> by Community Income</a:t>
            </a:r>
            <a:r>
              <a:rPr lang="en-US" sz="1200" baseline="30000"/>
              <a:t>2 </a:t>
            </a:r>
            <a:r>
              <a:rPr lang="en-US" sz="1200" b="1" i="0" u="none" strike="noStrike" baseline="0">
                <a:effectLst/>
              </a:rPr>
              <a:t>(2017)</a:t>
            </a:r>
            <a:endParaRPr lang="en-US" sz="1000" baseline="30000"/>
          </a:p>
        </c:rich>
      </c:tx>
      <c:layout>
        <c:manualLayout>
          <c:xMode val="edge"/>
          <c:yMode val="edge"/>
          <c:x val="0.13165935120698535"/>
          <c:y val="2.2187004754358162E-2"/>
        </c:manualLayout>
      </c:layout>
      <c:overlay val="0"/>
    </c:title>
    <c:autoTitleDeleted val="0"/>
    <c:plotArea>
      <c:layout>
        <c:manualLayout>
          <c:layoutTarget val="inner"/>
          <c:xMode val="edge"/>
          <c:yMode val="edge"/>
          <c:x val="0.13482419427301315"/>
          <c:y val="0.21540682414698162"/>
          <c:w val="0.84618949391889398"/>
          <c:h val="0.49915803448002882"/>
        </c:manualLayout>
      </c:layout>
      <c:barChart>
        <c:barDir val="col"/>
        <c:grouping val="clustered"/>
        <c:varyColors val="0"/>
        <c:ser>
          <c:idx val="0"/>
          <c:order val="0"/>
          <c:tx>
            <c:strRef>
              <c:f>'PIR and BLL Data by Town'!$P$16</c:f>
              <c:strCache>
                <c:ptCount val="1"/>
                <c:pt idx="0">
                  <c:v>Elevated Rate per 1,000</c:v>
                </c:pt>
              </c:strCache>
            </c:strRef>
          </c:tx>
          <c:invertIfNegative val="0"/>
          <c:dLbls>
            <c:dLbl>
              <c:idx val="0"/>
              <c:layout>
                <c:manualLayout>
                  <c:x val="-2.8763527846690396E-7"/>
                  <c:y val="9.21588080178502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06EE-44DF-AD7C-2FA5F00CCECF}"/>
                </c:ext>
              </c:extLst>
            </c:dLbl>
            <c:dLbl>
              <c:idx val="1"/>
              <c:layout>
                <c:manualLayout>
                  <c:x val="1.9005847953216374E-3"/>
                  <c:y val="9.041752713077166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06EE-44DF-AD7C-2FA5F00CCECF}"/>
                </c:ext>
              </c:extLst>
            </c:dLbl>
            <c:spPr>
              <a:noFill/>
              <a:ln>
                <a:noFill/>
              </a:ln>
              <a:effectLst/>
            </c:spPr>
            <c:txPr>
              <a:bodyPr/>
              <a:lstStyle/>
              <a:p>
                <a:pPr>
                  <a:defRPr sz="1600" b="1" baseline="0">
                    <a:solidFill>
                      <a:srgbClr val="B7DEE8"/>
                    </a:solidFill>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'PIR and BLL Data by Town'!$O$17:$O$18</c:f>
              <c:strCache>
                <c:ptCount val="2"/>
                <c:pt idx="0">
                  <c:v>High Income Communities</c:v>
                </c:pt>
                <c:pt idx="1">
                  <c:v>Low Income Communities</c:v>
                </c:pt>
              </c:strCache>
            </c:strRef>
          </c:cat>
          <c:val>
            <c:numRef>
              <c:f>'PIR and BLL Data by Town'!$P$17:$P$18</c:f>
              <c:numCache>
                <c:formatCode>General</c:formatCode>
                <c:ptCount val="2"/>
                <c:pt idx="0">
                  <c:v>6.7</c:v>
                </c:pt>
                <c:pt idx="1">
                  <c:v>21.5</c:v>
                </c:pt>
              </c:numCache>
            </c:numRef>
          </c:val>
          <c:extLst xmlns:c16r2="http://schemas.microsoft.com/office/drawing/2015/06/chart">
            <c:ext xmlns:c16="http://schemas.microsoft.com/office/drawing/2014/chart" uri="{C3380CC4-5D6E-409C-BE32-E72D297353CC}">
              <c16:uniqueId val="{00000002-06EE-44DF-AD7C-2FA5F00CCECF}"/>
            </c:ext>
          </c:extLst>
        </c:ser>
        <c:dLbls>
          <c:showLegendKey val="0"/>
          <c:showVal val="0"/>
          <c:showCatName val="0"/>
          <c:showSerName val="0"/>
          <c:showPercent val="0"/>
          <c:showBubbleSize val="0"/>
        </c:dLbls>
        <c:gapWidth val="150"/>
        <c:axId val="188671872"/>
        <c:axId val="188673408"/>
      </c:barChart>
      <c:catAx>
        <c:axId val="188671872"/>
        <c:scaling>
          <c:orientation val="minMax"/>
        </c:scaling>
        <c:delete val="0"/>
        <c:axPos val="b"/>
        <c:numFmt formatCode="General" sourceLinked="0"/>
        <c:majorTickMark val="out"/>
        <c:minorTickMark val="none"/>
        <c:tickLblPos val="nextTo"/>
        <c:txPr>
          <a:bodyPr/>
          <a:lstStyle/>
          <a:p>
            <a:pPr>
              <a:defRPr sz="1100" b="1"/>
            </a:pPr>
            <a:endParaRPr lang="en-US"/>
          </a:p>
        </c:txPr>
        <c:crossAx val="188673408"/>
        <c:crosses val="autoZero"/>
        <c:auto val="1"/>
        <c:lblAlgn val="ctr"/>
        <c:lblOffset val="100"/>
        <c:noMultiLvlLbl val="0"/>
      </c:catAx>
      <c:valAx>
        <c:axId val="188673408"/>
        <c:scaling>
          <c:orientation val="minMax"/>
        </c:scaling>
        <c:delete val="0"/>
        <c:axPos val="l"/>
        <c:majorGridlines/>
        <c:title>
          <c:tx>
            <c:rich>
              <a:bodyPr rot="-5400000" vert="horz"/>
              <a:lstStyle/>
              <a:p>
                <a:pPr>
                  <a:defRPr sz="1100" b="0"/>
                </a:pPr>
                <a:r>
                  <a:rPr lang="en-US" sz="1100" b="0"/>
                  <a:t>Prevalence per 1,000 Children Screened</a:t>
                </a:r>
              </a:p>
            </c:rich>
          </c:tx>
          <c:layout>
            <c:manualLayout>
              <c:xMode val="edge"/>
              <c:yMode val="edge"/>
              <c:x val="0"/>
              <c:y val="0.16789597813743964"/>
            </c:manualLayout>
          </c:layout>
          <c:overlay val="0"/>
        </c:title>
        <c:numFmt formatCode="General" sourceLinked="1"/>
        <c:majorTickMark val="out"/>
        <c:minorTickMark val="none"/>
        <c:tickLblPos val="nextTo"/>
        <c:crossAx val="188671872"/>
        <c:crosses val="autoZero"/>
        <c:crossBetween val="between"/>
      </c:valAx>
    </c:plotArea>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0.02627</cdr:x>
      <cdr:y>0.94075</cdr:y>
    </cdr:from>
    <cdr:to>
      <cdr:x>0.96674</cdr:x>
      <cdr:y>1</cdr:y>
    </cdr:to>
    <cdr:sp macro="" textlink="">
      <cdr:nvSpPr>
        <cdr:cNvPr id="2" name="TextBox 1"/>
        <cdr:cNvSpPr txBox="1"/>
      </cdr:nvSpPr>
      <cdr:spPr>
        <a:xfrm xmlns:a="http://schemas.openxmlformats.org/drawingml/2006/main">
          <a:off x="168560" y="2932253"/>
          <a:ext cx="6034691" cy="18465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baseline="30000"/>
            <a:t>1</a:t>
          </a:r>
          <a:r>
            <a:rPr lang="en-US" sz="800"/>
            <a:t>Includes</a:t>
          </a:r>
          <a:r>
            <a:rPr lang="en-US" sz="800" baseline="0"/>
            <a:t> confirmed blood lead test (one venous or two capillary blood samples ≥10 µg/dL within 84 days) for children 9-47 months of age. </a:t>
          </a:r>
          <a:endParaRPr lang="en-US" sz="800"/>
        </a:p>
      </cdr:txBody>
    </cdr:sp>
  </cdr:relSizeAnchor>
</c:userShapes>
</file>

<file path=word/drawings/drawing2.xml><?xml version="1.0" encoding="utf-8"?>
<c:userShapes xmlns:c="http://schemas.openxmlformats.org/drawingml/2006/chart">
  <cdr:relSizeAnchor xmlns:cdr="http://schemas.openxmlformats.org/drawingml/2006/chartDrawing">
    <cdr:from>
      <cdr:x>1.66805E-7</cdr:x>
      <cdr:y>0.89553</cdr:y>
    </cdr:from>
    <cdr:to>
      <cdr:x>0.99877</cdr:x>
      <cdr:y>1</cdr:y>
    </cdr:to>
    <cdr:sp macro="" textlink="">
      <cdr:nvSpPr>
        <cdr:cNvPr id="2" name="TextBox 1"/>
        <cdr:cNvSpPr txBox="1"/>
      </cdr:nvSpPr>
      <cdr:spPr>
        <a:xfrm xmlns:a="http://schemas.openxmlformats.org/drawingml/2006/main">
          <a:off x="1" y="3410263"/>
          <a:ext cx="5987660" cy="39783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US" sz="800" baseline="30000">
              <a:effectLst/>
              <a:latin typeface="+mn-lt"/>
              <a:ea typeface="+mn-ea"/>
              <a:cs typeface="+mn-cs"/>
            </a:rPr>
            <a:t>1</a:t>
          </a:r>
          <a:r>
            <a:rPr lang="en-US" sz="800">
              <a:effectLst/>
              <a:latin typeface="+mn-lt"/>
              <a:ea typeface="+mn-ea"/>
              <a:cs typeface="+mn-cs"/>
            </a:rPr>
            <a:t>Includes</a:t>
          </a:r>
          <a:r>
            <a:rPr lang="en-US" sz="800" baseline="0">
              <a:effectLst/>
              <a:latin typeface="+mn-lt"/>
              <a:ea typeface="+mn-ea"/>
              <a:cs typeface="+mn-cs"/>
            </a:rPr>
            <a:t> confirmed blood lead tests (one venous or two capillary blood samples ≥10 µg/dL within 84 days) </a:t>
          </a:r>
          <a:r>
            <a:rPr lang="en-US" sz="800" baseline="0"/>
            <a:t>for children 9-47 months of age. </a:t>
          </a:r>
          <a:endParaRPr lang="en-US" sz="800"/>
        </a:p>
      </cdr:txBody>
    </cdr:sp>
  </cdr:relSizeAnchor>
</c:userShapes>
</file>

<file path=word/drawings/drawing3.xml><?xml version="1.0" encoding="utf-8"?>
<c:userShapes xmlns:c="http://schemas.openxmlformats.org/drawingml/2006/chart">
  <cdr:relSizeAnchor xmlns:cdr="http://schemas.openxmlformats.org/drawingml/2006/chartDrawing">
    <cdr:from>
      <cdr:x>0</cdr:x>
      <cdr:y>0.79354</cdr:y>
    </cdr:from>
    <cdr:to>
      <cdr:x>0.9906</cdr:x>
      <cdr:y>0.99953</cdr:y>
    </cdr:to>
    <cdr:sp macro="" textlink="">
      <cdr:nvSpPr>
        <cdr:cNvPr id="2" name="TextBox 1"/>
        <cdr:cNvSpPr txBox="1"/>
      </cdr:nvSpPr>
      <cdr:spPr>
        <a:xfrm xmlns:a="http://schemas.openxmlformats.org/drawingml/2006/main">
          <a:off x="0" y="3228976"/>
          <a:ext cx="3351477" cy="838199"/>
        </a:xfrm>
        <a:prstGeom xmlns:a="http://schemas.openxmlformats.org/drawingml/2006/main" prst="rect">
          <a:avLst/>
        </a:prstGeom>
      </cdr:spPr>
      <cdr:txBody>
        <a:bodyPr xmlns:a="http://schemas.openxmlformats.org/drawingml/2006/main" vertOverflow="clip" wrap="square" rtlCol="0" anchor="b"/>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US" sz="800" baseline="30000"/>
            <a:t>1</a:t>
          </a:r>
          <a:r>
            <a:rPr lang="en-US" sz="800" baseline="0"/>
            <a:t>Blood lead levels ≥10 µg/dL are considered poisoned. These data include </a:t>
          </a:r>
          <a:r>
            <a:rPr lang="en-US" sz="800">
              <a:effectLst/>
              <a:latin typeface="+mn-lt"/>
              <a:ea typeface="+mn-ea"/>
              <a:cs typeface="+mn-cs"/>
            </a:rPr>
            <a:t>confirmed blood lead tests (one venous or two capillary blood tests </a:t>
          </a:r>
          <a:r>
            <a:rPr lang="el-GR" sz="800">
              <a:effectLst/>
              <a:latin typeface="+mn-lt"/>
              <a:ea typeface="+mn-ea"/>
              <a:cs typeface="+mn-cs"/>
            </a:rPr>
            <a:t>≥ 5 μ</a:t>
          </a:r>
          <a:r>
            <a:rPr lang="en-US" sz="800">
              <a:effectLst/>
              <a:latin typeface="+mn-lt"/>
              <a:ea typeface="+mn-ea"/>
              <a:cs typeface="+mn-cs"/>
            </a:rPr>
            <a:t>g/dL within 84 days) </a:t>
          </a:r>
          <a:r>
            <a:rPr lang="en-US" sz="800" baseline="0">
              <a:effectLst/>
              <a:latin typeface="+mn-lt"/>
              <a:ea typeface="+mn-ea"/>
              <a:cs typeface="+mn-cs"/>
            </a:rPr>
            <a:t>for children 9-47 months of age.</a:t>
          </a:r>
        </a:p>
        <a:p xmlns:a="http://schemas.openxmlformats.org/drawingml/2006/main">
          <a:pPr>
            <a:spcBef>
              <a:spcPts val="300"/>
            </a:spcBef>
          </a:pPr>
          <a:r>
            <a:rPr lang="en-US" sz="800" baseline="0"/>
            <a:t>*Excludes 5 cases with unknown race or ethnicity. Prevalence among "unknown" was 3.9 cases per 1,000.</a:t>
          </a:r>
          <a:endParaRPr lang="en-US" sz="800"/>
        </a:p>
      </cdr:txBody>
    </cdr:sp>
  </cdr:relSizeAnchor>
  <cdr:relSizeAnchor xmlns:cdr="http://schemas.openxmlformats.org/drawingml/2006/chartDrawing">
    <cdr:from>
      <cdr:x>0.88082</cdr:x>
      <cdr:y>0.2764</cdr:y>
    </cdr:from>
    <cdr:to>
      <cdr:x>0.98893</cdr:x>
      <cdr:y>0.54071</cdr:y>
    </cdr:to>
    <cdr:sp macro="" textlink="">
      <cdr:nvSpPr>
        <cdr:cNvPr id="4" name="Up-Down Arrow 3"/>
        <cdr:cNvSpPr/>
      </cdr:nvSpPr>
      <cdr:spPr>
        <a:xfrm xmlns:a="http://schemas.openxmlformats.org/drawingml/2006/main">
          <a:off x="2978376" y="1129600"/>
          <a:ext cx="365561" cy="1080199"/>
        </a:xfrm>
        <a:prstGeom xmlns:a="http://schemas.openxmlformats.org/drawingml/2006/main" prst="upDownArrow">
          <a:avLst/>
        </a:prstGeom>
        <a:solidFill xmlns:a="http://schemas.openxmlformats.org/drawingml/2006/main">
          <a:srgbClr val="002060"/>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sp>
  </cdr:relSizeAnchor>
</c:userShapes>
</file>

<file path=word/drawings/drawing4.xml><?xml version="1.0" encoding="utf-8"?>
<c:userShapes xmlns:c="http://schemas.openxmlformats.org/drawingml/2006/chart">
  <cdr:relSizeAnchor xmlns:cdr="http://schemas.openxmlformats.org/drawingml/2006/chartDrawing">
    <cdr:from>
      <cdr:x>0.03237</cdr:x>
      <cdr:y>0.81695</cdr:y>
    </cdr:from>
    <cdr:to>
      <cdr:x>0.9709</cdr:x>
      <cdr:y>0.99953</cdr:y>
    </cdr:to>
    <cdr:sp macro="" textlink="">
      <cdr:nvSpPr>
        <cdr:cNvPr id="2" name="TextBox 1"/>
        <cdr:cNvSpPr txBox="1"/>
      </cdr:nvSpPr>
      <cdr:spPr>
        <a:xfrm xmlns:a="http://schemas.openxmlformats.org/drawingml/2006/main">
          <a:off x="109517" y="3324225"/>
          <a:ext cx="3175310" cy="742950"/>
        </a:xfrm>
        <a:prstGeom xmlns:a="http://schemas.openxmlformats.org/drawingml/2006/main" prst="rect">
          <a:avLst/>
        </a:prstGeom>
      </cdr:spPr>
      <cdr:txBody>
        <a:bodyPr xmlns:a="http://schemas.openxmlformats.org/drawingml/2006/main" vertOverflow="clip" wrap="square" rtlCol="0" anchor="b"/>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US" sz="800" baseline="30000"/>
            <a:t>1</a:t>
          </a:r>
          <a:r>
            <a:rPr lang="en-US" sz="800"/>
            <a:t>I</a:t>
          </a:r>
          <a:r>
            <a:rPr lang="en-US" sz="800" baseline="0">
              <a:effectLst/>
              <a:latin typeface="+mn-lt"/>
              <a:ea typeface="+mn-ea"/>
              <a:cs typeface="+mn-cs"/>
            </a:rPr>
            <a:t>n</a:t>
          </a:r>
          <a:r>
            <a:rPr lang="en-US" sz="800">
              <a:effectLst/>
              <a:latin typeface="+mn-lt"/>
              <a:ea typeface="+mn-ea"/>
              <a:cs typeface="+mn-cs"/>
            </a:rPr>
            <a:t>cludes confirmed blood lead tests</a:t>
          </a:r>
          <a:r>
            <a:rPr lang="en-US" sz="800" baseline="0">
              <a:effectLst/>
              <a:latin typeface="+mn-lt"/>
              <a:ea typeface="+mn-ea"/>
              <a:cs typeface="+mn-cs"/>
            </a:rPr>
            <a:t> </a:t>
          </a:r>
          <a:r>
            <a:rPr lang="en-US" sz="800">
              <a:effectLst/>
              <a:latin typeface="+mn-lt"/>
              <a:ea typeface="+mn-ea"/>
              <a:cs typeface="+mn-cs"/>
            </a:rPr>
            <a:t>(one venous or two capillary blood samples </a:t>
          </a:r>
          <a:r>
            <a:rPr lang="el-GR" sz="800">
              <a:effectLst/>
              <a:latin typeface="+mn-lt"/>
              <a:ea typeface="+mn-ea"/>
              <a:cs typeface="+mn-cs"/>
            </a:rPr>
            <a:t>≥ 5 μ</a:t>
          </a:r>
          <a:r>
            <a:rPr lang="en-US" sz="800">
              <a:effectLst/>
              <a:latin typeface="+mn-lt"/>
              <a:ea typeface="+mn-ea"/>
              <a:cs typeface="+mn-cs"/>
            </a:rPr>
            <a:t>g/dL within 84 days) and a proportion of unconfirmed blood lead tests (single</a:t>
          </a:r>
          <a:r>
            <a:rPr lang="en-US" sz="800" baseline="0">
              <a:effectLst/>
              <a:latin typeface="+mn-lt"/>
              <a:ea typeface="+mn-ea"/>
              <a:cs typeface="+mn-cs"/>
            </a:rPr>
            <a:t> capillary tests) for children 9-47 months of age.</a:t>
          </a:r>
        </a:p>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US" sz="800" baseline="30000">
              <a:effectLst/>
              <a:latin typeface="+mn-lt"/>
              <a:ea typeface="+mn-ea"/>
              <a:cs typeface="+mn-cs"/>
            </a:rPr>
            <a:t>2</a:t>
          </a:r>
          <a:r>
            <a:rPr lang="en-US" sz="800" baseline="0">
              <a:effectLst/>
              <a:latin typeface="+mn-lt"/>
              <a:ea typeface="+mn-ea"/>
              <a:cs typeface="+mn-cs"/>
            </a:rPr>
            <a:t>Lowest quartile of families living at or below 200% of the Federal Poverty threshold compared to the highest quartile .</a:t>
          </a:r>
          <a:endParaRPr lang="en-US" sz="1100"/>
        </a:p>
      </cdr:txBody>
    </cdr:sp>
  </cdr:relSizeAnchor>
  <cdr:relSizeAnchor xmlns:cdr="http://schemas.openxmlformats.org/drawingml/2006/chartDrawing">
    <cdr:from>
      <cdr:x>0.86487</cdr:x>
      <cdr:y>0.28324</cdr:y>
    </cdr:from>
    <cdr:to>
      <cdr:x>0.9741</cdr:x>
      <cdr:y>0.58549</cdr:y>
    </cdr:to>
    <cdr:sp macro="" textlink="">
      <cdr:nvSpPr>
        <cdr:cNvPr id="14" name="Up-Down Arrow 13"/>
        <cdr:cNvSpPr/>
      </cdr:nvSpPr>
      <cdr:spPr>
        <a:xfrm xmlns:a="http://schemas.openxmlformats.org/drawingml/2006/main">
          <a:off x="2926106" y="1152525"/>
          <a:ext cx="369544" cy="1229900"/>
        </a:xfrm>
        <a:prstGeom xmlns:a="http://schemas.openxmlformats.org/drawingml/2006/main" prst="upDownArrow">
          <a:avLst/>
        </a:prstGeom>
        <a:solidFill xmlns:a="http://schemas.openxmlformats.org/drawingml/2006/main">
          <a:srgbClr val="002060"/>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19E7B-4D52-41B4-8D2E-496D7026A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784</Words>
  <Characters>4473</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Ferguson, Jana (DPH)</dc:creator>
  <cp:lastModifiedBy> mfishbeyn</cp:lastModifiedBy>
  <cp:revision>2</cp:revision>
  <cp:lastPrinted>2019-03-07T15:06:00Z</cp:lastPrinted>
  <dcterms:created xsi:type="dcterms:W3CDTF">2019-12-13T14:44:00Z</dcterms:created>
  <dcterms:modified xsi:type="dcterms:W3CDTF">2019-12-13T14:44:00Z</dcterms:modified>
</cp:coreProperties>
</file>