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BDA7" w14:textId="77777777" w:rsidR="00B47152" w:rsidRDefault="00B47152"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10107009" w14:textId="77777777"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14:paraId="61A6BDDE" w14:textId="77777777"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14:paraId="54CEE69F" w14:textId="77777777" w:rsidR="00B47152" w:rsidRDefault="00B47152" w:rsidP="00385FC7">
      <w:pPr>
        <w:pStyle w:val="ExecOffice"/>
        <w:framePr w:w="7556" w:wrap="notBeside" w:vAnchor="page" w:x="2526" w:y="1261"/>
      </w:pPr>
      <w:r w:rsidRPr="009A50F8">
        <w:t>Bureau of Infectious Disease and Laboratory Sciences</w:t>
      </w:r>
    </w:p>
    <w:p w14:paraId="20723263" w14:textId="77777777" w:rsidR="00B47152" w:rsidRDefault="00B47152" w:rsidP="00385FC7">
      <w:pPr>
        <w:pStyle w:val="ExecOffice"/>
        <w:framePr w:w="7556" w:wrap="notBeside" w:vAnchor="page" w:x="2526" w:y="1261"/>
      </w:pPr>
      <w:r>
        <w:t>305 South Street, Jamaica Plain, MA 02130</w:t>
      </w:r>
    </w:p>
    <w:p w14:paraId="5803C486" w14:textId="77777777" w:rsidR="00B47152" w:rsidRDefault="00984007"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14:anchorId="4559D741" wp14:editId="22A39F7F">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1B760" w14:textId="77777777" w:rsidR="00B47152" w:rsidRDefault="00B47152" w:rsidP="00D44DFC">
                            <w:pPr>
                              <w:pStyle w:val="Governor"/>
                              <w:spacing w:after="0"/>
                              <w:rPr>
                                <w:sz w:val="16"/>
                              </w:rPr>
                            </w:pPr>
                          </w:p>
                          <w:p w14:paraId="5814C487"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2FC4430A" w14:textId="77777777" w:rsidR="00B47152" w:rsidRPr="009A50F8" w:rsidRDefault="00B47152" w:rsidP="00D44DFC">
                            <w:pPr>
                              <w:pStyle w:val="Governor"/>
                              <w:rPr>
                                <w:rFonts w:ascii="Arial" w:hAnsi="Arial" w:cs="Arial"/>
                                <w:b/>
                              </w:rPr>
                            </w:pPr>
                            <w:r w:rsidRPr="009A50F8">
                              <w:rPr>
                                <w:rFonts w:ascii="Arial" w:hAnsi="Arial" w:cs="Arial"/>
                                <w:b/>
                              </w:rPr>
                              <w:t>Secretary</w:t>
                            </w:r>
                          </w:p>
                          <w:p w14:paraId="70764721" w14:textId="2BCE8E57" w:rsidR="00822842" w:rsidRDefault="00822842" w:rsidP="0082284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493A4B1" w14:textId="77777777" w:rsidR="00822842" w:rsidRDefault="00822842" w:rsidP="00822842">
                            <w:pPr>
                              <w:jc w:val="center"/>
                              <w:rPr>
                                <w:rFonts w:ascii="Arial Rounded MT Bold" w:hAnsi="Arial Rounded MT Bold"/>
                                <w:sz w:val="14"/>
                                <w:szCs w:val="14"/>
                              </w:rPr>
                            </w:pPr>
                          </w:p>
                          <w:p w14:paraId="2F21DCC3" w14:textId="77777777" w:rsidR="00822842" w:rsidRPr="004813AC" w:rsidRDefault="00822842" w:rsidP="00822842">
                            <w:pPr>
                              <w:jc w:val="center"/>
                              <w:rPr>
                                <w:rFonts w:ascii="Arial" w:hAnsi="Arial" w:cs="Arial"/>
                                <w:b/>
                                <w:sz w:val="14"/>
                                <w:szCs w:val="14"/>
                              </w:rPr>
                            </w:pPr>
                            <w:r w:rsidRPr="004813AC">
                              <w:rPr>
                                <w:rFonts w:ascii="Arial" w:hAnsi="Arial" w:cs="Arial"/>
                                <w:b/>
                                <w:sz w:val="14"/>
                                <w:szCs w:val="14"/>
                              </w:rPr>
                              <w:t>Tel: 617-624-6000</w:t>
                            </w:r>
                          </w:p>
                          <w:p w14:paraId="411F031A" w14:textId="77777777" w:rsidR="00822842" w:rsidRPr="004813AC" w:rsidRDefault="00822842" w:rsidP="00822842">
                            <w:pPr>
                              <w:jc w:val="center"/>
                              <w:rPr>
                                <w:rFonts w:ascii="Arial" w:hAnsi="Arial" w:cs="Arial"/>
                                <w:b/>
                                <w:sz w:val="14"/>
                                <w:szCs w:val="14"/>
                                <w:lang w:val="fr-FR"/>
                              </w:rPr>
                            </w:pPr>
                            <w:r w:rsidRPr="004813AC">
                              <w:rPr>
                                <w:rFonts w:ascii="Arial" w:hAnsi="Arial" w:cs="Arial"/>
                                <w:b/>
                                <w:sz w:val="14"/>
                                <w:szCs w:val="14"/>
                                <w:lang w:val="fr-FR"/>
                              </w:rPr>
                              <w:t>www.mass.gov/dph</w:t>
                            </w:r>
                          </w:p>
                          <w:p w14:paraId="1812C346" w14:textId="77777777"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9D741"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" stroked="f">
                <v:textbox style="mso-fit-shape-to-text:t">
                  <w:txbxContent>
                    <w:p w14:paraId="54F1B760" w14:textId="77777777" w:rsidR="00B47152" w:rsidRDefault="00B47152" w:rsidP="00D44DFC">
                      <w:pPr>
                        <w:pStyle w:val="Governor"/>
                        <w:spacing w:after="0"/>
                        <w:rPr>
                          <w:sz w:val="16"/>
                        </w:rPr>
                      </w:pPr>
                    </w:p>
                    <w:p w14:paraId="5814C487"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2FC4430A" w14:textId="77777777" w:rsidR="00B47152" w:rsidRPr="009A50F8" w:rsidRDefault="00B47152" w:rsidP="00D44DFC">
                      <w:pPr>
                        <w:pStyle w:val="Governor"/>
                        <w:rPr>
                          <w:rFonts w:ascii="Arial" w:hAnsi="Arial" w:cs="Arial"/>
                          <w:b/>
                        </w:rPr>
                      </w:pPr>
                      <w:r w:rsidRPr="009A50F8">
                        <w:rPr>
                          <w:rFonts w:ascii="Arial" w:hAnsi="Arial" w:cs="Arial"/>
                          <w:b/>
                        </w:rPr>
                        <w:t>Secretary</w:t>
                      </w:r>
                    </w:p>
                    <w:p w14:paraId="70764721" w14:textId="2BCE8E57" w:rsidR="00822842" w:rsidRDefault="00822842" w:rsidP="0082284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493A4B1" w14:textId="77777777" w:rsidR="00822842" w:rsidRDefault="00822842" w:rsidP="00822842">
                      <w:pPr>
                        <w:jc w:val="center"/>
                        <w:rPr>
                          <w:rFonts w:ascii="Arial Rounded MT Bold" w:hAnsi="Arial Rounded MT Bold"/>
                          <w:sz w:val="14"/>
                          <w:szCs w:val="14"/>
                        </w:rPr>
                      </w:pPr>
                    </w:p>
                    <w:p w14:paraId="2F21DCC3" w14:textId="77777777" w:rsidR="00822842" w:rsidRPr="004813AC" w:rsidRDefault="00822842" w:rsidP="00822842">
                      <w:pPr>
                        <w:jc w:val="center"/>
                        <w:rPr>
                          <w:rFonts w:ascii="Arial" w:hAnsi="Arial" w:cs="Arial"/>
                          <w:b/>
                          <w:sz w:val="14"/>
                          <w:szCs w:val="14"/>
                        </w:rPr>
                      </w:pPr>
                      <w:r w:rsidRPr="004813AC">
                        <w:rPr>
                          <w:rFonts w:ascii="Arial" w:hAnsi="Arial" w:cs="Arial"/>
                          <w:b/>
                          <w:sz w:val="14"/>
                          <w:szCs w:val="14"/>
                        </w:rPr>
                        <w:t>Tel: 617-624-6000</w:t>
                      </w:r>
                    </w:p>
                    <w:p w14:paraId="411F031A" w14:textId="77777777" w:rsidR="00822842" w:rsidRPr="004813AC" w:rsidRDefault="00822842" w:rsidP="00822842">
                      <w:pPr>
                        <w:jc w:val="center"/>
                        <w:rPr>
                          <w:rFonts w:ascii="Arial" w:hAnsi="Arial" w:cs="Arial"/>
                          <w:b/>
                          <w:sz w:val="14"/>
                          <w:szCs w:val="14"/>
                          <w:lang w:val="fr-FR"/>
                        </w:rPr>
                      </w:pPr>
                      <w:r w:rsidRPr="004813AC">
                        <w:rPr>
                          <w:rFonts w:ascii="Arial" w:hAnsi="Arial" w:cs="Arial"/>
                          <w:b/>
                          <w:sz w:val="14"/>
                          <w:szCs w:val="14"/>
                          <w:lang w:val="fr-FR"/>
                        </w:rPr>
                        <w:t>www.mass.gov/dph</w:t>
                      </w:r>
                    </w:p>
                    <w:p w14:paraId="1812C346" w14:textId="77777777" w:rsidR="00B47152" w:rsidRPr="00FC6B42" w:rsidRDefault="00B47152" w:rsidP="00D44DFC">
                      <w:pPr>
                        <w:jc w:val="center"/>
                        <w:rPr>
                          <w:rFonts w:ascii="Arial Rounded MT Bold" w:hAnsi="Arial Rounded MT Bold"/>
                          <w:sz w:val="14"/>
                          <w:szCs w:val="14"/>
                        </w:rPr>
                      </w:pPr>
                    </w:p>
                  </w:txbxContent>
                </v:textbox>
              </v:shape>
            </w:pict>
          </mc:Fallback>
        </mc:AlternateContent>
      </w:r>
    </w:p>
    <w:p w14:paraId="23972A3D" w14:textId="77777777" w:rsidR="00B47152" w:rsidRDefault="00984007"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14:anchorId="7A2A9E87" wp14:editId="5010A79D">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793C2CAA" w14:textId="77777777" w:rsidR="00B47152" w:rsidRDefault="00984007" w:rsidP="0072610D">
      <w:r>
        <w:rPr>
          <w:noProof/>
          <w:sz w:val="22"/>
          <w:szCs w:val="22"/>
        </w:rPr>
        <mc:AlternateContent>
          <mc:Choice Requires="wps">
            <w:drawing>
              <wp:anchor distT="0" distB="0" distL="114300" distR="114300" simplePos="0" relativeHeight="251659264" behindDoc="0" locked="0" layoutInCell="1" allowOverlap="1" wp14:anchorId="29FB1491" wp14:editId="1E16BFA9">
                <wp:simplePos x="0" y="0"/>
                <wp:positionH relativeFrom="column">
                  <wp:posOffset>1562100</wp:posOffset>
                </wp:positionH>
                <wp:positionV relativeFrom="paragraph">
                  <wp:posOffset>733425</wp:posOffset>
                </wp:positionV>
                <wp:extent cx="2886075" cy="1057275"/>
                <wp:effectExtent l="0" t="0" r="952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9D65A" w14:textId="77777777" w:rsidR="00984007" w:rsidRPr="00C36976" w:rsidRDefault="00984007" w:rsidP="00984007">
                            <w:pPr>
                              <w:pStyle w:val="ExecOffice"/>
                              <w:rPr>
                                <w:sz w:val="22"/>
                                <w:szCs w:val="22"/>
                              </w:rPr>
                            </w:pPr>
                            <w:r>
                              <w:rPr>
                                <w:sz w:val="22"/>
                                <w:szCs w:val="22"/>
                              </w:rPr>
                              <w:t>Division of STD Prevention</w:t>
                            </w:r>
                          </w:p>
                          <w:p w14:paraId="6B80F510" w14:textId="77777777" w:rsidR="00984007" w:rsidRPr="00C36976" w:rsidRDefault="00984007" w:rsidP="00984007">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4D4653C2" w14:textId="77777777" w:rsidR="00984007" w:rsidRDefault="00984007" w:rsidP="00984007">
                            <w:pPr>
                              <w:pStyle w:val="ExecOffice"/>
                              <w:rPr>
                                <w:sz w:val="22"/>
                                <w:szCs w:val="22"/>
                              </w:rPr>
                            </w:pPr>
                            <w:r w:rsidRPr="00C36976">
                              <w:rPr>
                                <w:sz w:val="22"/>
                                <w:szCs w:val="22"/>
                              </w:rPr>
                              <w:t>Fax: (617) 983-6</w:t>
                            </w:r>
                            <w:r>
                              <w:rPr>
                                <w:sz w:val="22"/>
                                <w:szCs w:val="22"/>
                              </w:rPr>
                              <w:t>962</w:t>
                            </w:r>
                          </w:p>
                          <w:p w14:paraId="1E081784" w14:textId="77777777" w:rsidR="00984007" w:rsidRDefault="00984007" w:rsidP="00984007">
                            <w:pPr>
                              <w:pStyle w:val="ExecOffice"/>
                              <w:rPr>
                                <w:rStyle w:val="Strong"/>
                                <w:b w:val="0"/>
                                <w:sz w:val="22"/>
                                <w:szCs w:val="22"/>
                              </w:rPr>
                            </w:pPr>
                            <w:r w:rsidRPr="00C36976">
                              <w:rPr>
                                <w:sz w:val="22"/>
                                <w:szCs w:val="22"/>
                              </w:rPr>
                              <w:t xml:space="preserve"> </w:t>
                            </w:r>
                            <w:hyperlink r:id="rId8" w:history="1">
                              <w:r w:rsidRPr="00947474">
                                <w:rPr>
                                  <w:rStyle w:val="Hyperlink"/>
                                  <w:sz w:val="22"/>
                                  <w:szCs w:val="22"/>
                                </w:rPr>
                                <w:t>www.mass.gov/dph/cdc/std</w:t>
                              </w:r>
                            </w:hyperlink>
                          </w:p>
                          <w:p w14:paraId="377AD4DB" w14:textId="77777777" w:rsidR="00984007" w:rsidRDefault="00984007" w:rsidP="009840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B1491" id="Text Box 7" o:spid="_x0000_s1027" type="#_x0000_t202" style="position:absolute;margin-left:123pt;margin-top:57.75pt;width:227.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" stroked="f">
                <v:textbox>
                  <w:txbxContent>
                    <w:p w14:paraId="2259D65A" w14:textId="77777777" w:rsidR="00984007" w:rsidRPr="00C36976" w:rsidRDefault="00984007" w:rsidP="00984007">
                      <w:pPr>
                        <w:pStyle w:val="ExecOffice"/>
                        <w:rPr>
                          <w:sz w:val="22"/>
                          <w:szCs w:val="22"/>
                        </w:rPr>
                      </w:pPr>
                      <w:r>
                        <w:rPr>
                          <w:sz w:val="22"/>
                          <w:szCs w:val="22"/>
                        </w:rPr>
                        <w:t>Division of STD Prevention</w:t>
                      </w:r>
                    </w:p>
                    <w:p w14:paraId="6B80F510" w14:textId="77777777" w:rsidR="00984007" w:rsidRPr="00C36976" w:rsidRDefault="00984007" w:rsidP="00984007">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4D4653C2" w14:textId="77777777" w:rsidR="00984007" w:rsidRDefault="00984007" w:rsidP="00984007">
                      <w:pPr>
                        <w:pStyle w:val="ExecOffice"/>
                        <w:rPr>
                          <w:sz w:val="22"/>
                          <w:szCs w:val="22"/>
                        </w:rPr>
                      </w:pPr>
                      <w:r w:rsidRPr="00C36976">
                        <w:rPr>
                          <w:sz w:val="22"/>
                          <w:szCs w:val="22"/>
                        </w:rPr>
                        <w:t>Fax: (617) 983-6</w:t>
                      </w:r>
                      <w:r>
                        <w:rPr>
                          <w:sz w:val="22"/>
                          <w:szCs w:val="22"/>
                        </w:rPr>
                        <w:t>962</w:t>
                      </w:r>
                    </w:p>
                    <w:p w14:paraId="1E081784" w14:textId="77777777" w:rsidR="00984007" w:rsidRDefault="00984007" w:rsidP="00984007">
                      <w:pPr>
                        <w:pStyle w:val="ExecOffice"/>
                        <w:rPr>
                          <w:rStyle w:val="Strong"/>
                          <w:b w:val="0"/>
                          <w:sz w:val="22"/>
                          <w:szCs w:val="22"/>
                        </w:rPr>
                      </w:pPr>
                      <w:r w:rsidRPr="00C36976">
                        <w:rPr>
                          <w:sz w:val="22"/>
                          <w:szCs w:val="22"/>
                        </w:rPr>
                        <w:t xml:space="preserve"> </w:t>
                      </w:r>
                      <w:hyperlink r:id="rId9" w:history="1">
                        <w:r w:rsidRPr="00947474">
                          <w:rPr>
                            <w:rStyle w:val="Hyperlink"/>
                            <w:sz w:val="22"/>
                            <w:szCs w:val="22"/>
                          </w:rPr>
                          <w:t>www.mass.gov/dph/cdc/std</w:t>
                        </w:r>
                      </w:hyperlink>
                    </w:p>
                    <w:p w14:paraId="377AD4DB" w14:textId="77777777" w:rsidR="00984007" w:rsidRDefault="00984007" w:rsidP="00984007">
                      <w:pPr>
                        <w:jc w:val="cente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7BD3B11" wp14:editId="118FCE80">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16F8A" w14:textId="77777777" w:rsidR="00B47152" w:rsidRDefault="00B47152" w:rsidP="00D44DFC">
                            <w:pPr>
                              <w:pStyle w:val="Governor"/>
                              <w:spacing w:after="0"/>
                              <w:rPr>
                                <w:sz w:val="16"/>
                              </w:rPr>
                            </w:pPr>
                          </w:p>
                          <w:p w14:paraId="0280C77F"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2171F5C1" w14:textId="77777777" w:rsidR="00B47152" w:rsidRPr="009A50F8" w:rsidRDefault="00B47152" w:rsidP="00D44DFC">
                            <w:pPr>
                              <w:pStyle w:val="Governor"/>
                              <w:rPr>
                                <w:rFonts w:ascii="Arial" w:hAnsi="Arial" w:cs="Arial"/>
                                <w:b/>
                              </w:rPr>
                            </w:pPr>
                            <w:r w:rsidRPr="009A50F8">
                              <w:rPr>
                                <w:rFonts w:ascii="Arial" w:hAnsi="Arial" w:cs="Arial"/>
                                <w:b/>
                              </w:rPr>
                              <w:t>Governor</w:t>
                            </w:r>
                          </w:p>
                          <w:p w14:paraId="2BEDC3CF"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5B7DACBF"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D3B11" id="_x0000_s1028"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" stroked="f">
                <v:textbox style="mso-fit-shape-to-text:t">
                  <w:txbxContent>
                    <w:p w14:paraId="2BE16F8A" w14:textId="77777777" w:rsidR="00B47152" w:rsidRDefault="00B47152" w:rsidP="00D44DFC">
                      <w:pPr>
                        <w:pStyle w:val="Governor"/>
                        <w:spacing w:after="0"/>
                        <w:rPr>
                          <w:sz w:val="16"/>
                        </w:rPr>
                      </w:pPr>
                    </w:p>
                    <w:p w14:paraId="0280C77F"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2171F5C1" w14:textId="77777777" w:rsidR="00B47152" w:rsidRPr="009A50F8" w:rsidRDefault="00B47152" w:rsidP="00D44DFC">
                      <w:pPr>
                        <w:pStyle w:val="Governor"/>
                        <w:rPr>
                          <w:rFonts w:ascii="Arial" w:hAnsi="Arial" w:cs="Arial"/>
                          <w:b/>
                        </w:rPr>
                      </w:pPr>
                      <w:r w:rsidRPr="009A50F8">
                        <w:rPr>
                          <w:rFonts w:ascii="Arial" w:hAnsi="Arial" w:cs="Arial"/>
                          <w:b/>
                        </w:rPr>
                        <w:t>Governor</w:t>
                      </w:r>
                    </w:p>
                    <w:p w14:paraId="2BEDC3CF"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5B7DACBF"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14:paraId="148A730A" w14:textId="77777777" w:rsidR="00B47152" w:rsidRPr="00EE433A" w:rsidRDefault="00B47152" w:rsidP="0072610D">
      <w:pPr>
        <w:rPr>
          <w:sz w:val="22"/>
          <w:szCs w:val="22"/>
        </w:rPr>
      </w:pPr>
    </w:p>
    <w:p w14:paraId="1E6C1516" w14:textId="77777777" w:rsidR="00B47152" w:rsidRDefault="00B47152" w:rsidP="0072610D">
      <w:pPr>
        <w:rPr>
          <w:sz w:val="22"/>
          <w:szCs w:val="22"/>
        </w:rPr>
      </w:pPr>
    </w:p>
    <w:p w14:paraId="3371A74A" w14:textId="77777777" w:rsidR="00B47152" w:rsidRDefault="00B47152" w:rsidP="0072610D">
      <w:pPr>
        <w:rPr>
          <w:sz w:val="22"/>
          <w:szCs w:val="22"/>
        </w:rPr>
      </w:pPr>
    </w:p>
    <w:p w14:paraId="2A2B8180" w14:textId="77777777" w:rsidR="00B47152" w:rsidRDefault="00B47152" w:rsidP="0072610D">
      <w:pPr>
        <w:rPr>
          <w:sz w:val="22"/>
          <w:szCs w:val="22"/>
        </w:rPr>
      </w:pPr>
    </w:p>
    <w:p w14:paraId="5DD40BF8" w14:textId="77777777" w:rsidR="004F3A57" w:rsidRDefault="004F3A57" w:rsidP="004F3A57">
      <w:pPr>
        <w:tabs>
          <w:tab w:val="left" w:pos="360"/>
        </w:tabs>
        <w:ind w:left="-540" w:right="-540"/>
        <w:rPr>
          <w:rFonts w:asciiTheme="minorHAnsi" w:hAnsiTheme="minorHAnsi" w:cstheme="minorHAnsi"/>
          <w:b/>
          <w:sz w:val="22"/>
          <w:szCs w:val="22"/>
        </w:rPr>
      </w:pPr>
    </w:p>
    <w:p w14:paraId="34E619A5" w14:textId="5CD7CCAE"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b/>
          <w:sz w:val="22"/>
          <w:szCs w:val="22"/>
        </w:rPr>
        <w:t xml:space="preserve">TO: </w:t>
      </w:r>
      <w:r>
        <w:rPr>
          <w:rFonts w:asciiTheme="minorHAnsi" w:hAnsiTheme="minorHAnsi" w:cstheme="minorHAnsi"/>
          <w:b/>
          <w:sz w:val="22"/>
          <w:szCs w:val="22"/>
        </w:rPr>
        <w:tab/>
      </w:r>
      <w:r>
        <w:rPr>
          <w:rFonts w:asciiTheme="minorHAnsi" w:hAnsiTheme="minorHAnsi" w:cstheme="minorHAnsi"/>
          <w:sz w:val="22"/>
          <w:szCs w:val="22"/>
        </w:rPr>
        <w:t>Chlamydia Screening Providers</w:t>
      </w:r>
    </w:p>
    <w:p w14:paraId="7A72AE9F"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b/>
          <w:sz w:val="22"/>
          <w:szCs w:val="22"/>
        </w:rPr>
        <w:t xml:space="preserve">FROM: </w:t>
      </w:r>
      <w:r>
        <w:rPr>
          <w:rFonts w:asciiTheme="minorHAnsi" w:hAnsiTheme="minorHAnsi" w:cstheme="minorHAnsi"/>
          <w:b/>
          <w:sz w:val="22"/>
          <w:szCs w:val="22"/>
        </w:rPr>
        <w:tab/>
      </w:r>
      <w:r>
        <w:rPr>
          <w:rFonts w:asciiTheme="minorHAnsi" w:hAnsiTheme="minorHAnsi" w:cstheme="minorHAnsi"/>
          <w:sz w:val="22"/>
          <w:szCs w:val="22"/>
        </w:rPr>
        <w:t>Katherine Hsu, MD, MPH, Medical Director, Division of STD Prevention</w:t>
      </w:r>
    </w:p>
    <w:p w14:paraId="1CA2083E"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sz w:val="22"/>
          <w:szCs w:val="22"/>
        </w:rPr>
        <w:tab/>
        <w:t>Kaitlin Nichols, RN, Public Health Nurse, Division of STD Prevention</w:t>
      </w:r>
    </w:p>
    <w:p w14:paraId="0F22FD61" w14:textId="77777777" w:rsidR="004F3A57" w:rsidRDefault="004F3A57" w:rsidP="004F3A57">
      <w:pPr>
        <w:tabs>
          <w:tab w:val="left" w:pos="360"/>
        </w:tabs>
        <w:ind w:left="-540" w:right="-540"/>
        <w:rPr>
          <w:rFonts w:asciiTheme="minorHAnsi" w:hAnsiTheme="minorHAnsi" w:cstheme="minorHAnsi"/>
          <w:b/>
          <w:sz w:val="22"/>
          <w:szCs w:val="22"/>
        </w:rPr>
      </w:pPr>
      <w:r>
        <w:rPr>
          <w:rFonts w:asciiTheme="minorHAnsi" w:hAnsiTheme="minorHAnsi" w:cstheme="minorHAnsi"/>
          <w:sz w:val="22"/>
          <w:szCs w:val="22"/>
        </w:rPr>
        <w:tab/>
        <w:t>Kathleen Roosevelt, MPH, Director, Division of STD Prevention</w:t>
      </w:r>
    </w:p>
    <w:p w14:paraId="4C5F3752" w14:textId="1782EFD2" w:rsidR="004F3A57" w:rsidRDefault="004F3A57" w:rsidP="004F3A57">
      <w:pPr>
        <w:tabs>
          <w:tab w:val="left" w:pos="360"/>
        </w:tabs>
        <w:ind w:left="-540" w:right="-540"/>
        <w:rPr>
          <w:rFonts w:asciiTheme="minorHAnsi" w:hAnsiTheme="minorHAnsi" w:cstheme="minorHAnsi"/>
          <w:b/>
          <w:sz w:val="22"/>
          <w:szCs w:val="22"/>
        </w:rPr>
      </w:pPr>
      <w:r>
        <w:rPr>
          <w:rFonts w:asciiTheme="minorHAnsi" w:hAnsiTheme="minorHAnsi" w:cstheme="minorHAnsi"/>
          <w:b/>
          <w:sz w:val="22"/>
          <w:szCs w:val="22"/>
        </w:rPr>
        <w:t xml:space="preserve">DATE: </w:t>
      </w:r>
      <w:r>
        <w:rPr>
          <w:rFonts w:asciiTheme="minorHAnsi" w:hAnsiTheme="minorHAnsi" w:cstheme="minorHAnsi"/>
          <w:b/>
          <w:sz w:val="22"/>
          <w:szCs w:val="22"/>
        </w:rPr>
        <w:tab/>
      </w:r>
      <w:r w:rsidR="001C6992">
        <w:rPr>
          <w:rFonts w:asciiTheme="minorHAnsi" w:hAnsiTheme="minorHAnsi" w:cstheme="minorHAnsi"/>
          <w:sz w:val="22"/>
          <w:szCs w:val="22"/>
        </w:rPr>
        <w:t>January 28</w:t>
      </w:r>
      <w:r>
        <w:rPr>
          <w:rFonts w:asciiTheme="minorHAnsi" w:hAnsiTheme="minorHAnsi" w:cstheme="minorHAnsi"/>
          <w:sz w:val="22"/>
          <w:szCs w:val="22"/>
        </w:rPr>
        <w:t>, 2022</w:t>
      </w:r>
    </w:p>
    <w:p w14:paraId="7BDA30C2"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b/>
          <w:sz w:val="22"/>
          <w:szCs w:val="22"/>
        </w:rPr>
        <w:t xml:space="preserve">RE: </w:t>
      </w:r>
      <w:r>
        <w:rPr>
          <w:rFonts w:asciiTheme="minorHAnsi" w:hAnsiTheme="minorHAnsi" w:cstheme="minorHAnsi"/>
          <w:b/>
          <w:sz w:val="22"/>
          <w:szCs w:val="22"/>
        </w:rPr>
        <w:tab/>
      </w:r>
      <w:r>
        <w:rPr>
          <w:rFonts w:asciiTheme="minorHAnsi" w:hAnsiTheme="minorHAnsi" w:cstheme="minorHAnsi"/>
          <w:sz w:val="22"/>
          <w:szCs w:val="22"/>
        </w:rPr>
        <w:t>Reduced case reporting for chlamydia persisting in 2021</w:t>
      </w:r>
    </w:p>
    <w:p w14:paraId="7C8D78DC"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sz w:val="22"/>
          <w:szCs w:val="22"/>
        </w:rPr>
        <w:tab/>
        <w:t>Catch-up chlamydia screening recommended</w:t>
      </w:r>
    </w:p>
    <w:p w14:paraId="5A628FD3"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sz w:val="22"/>
          <w:szCs w:val="22"/>
        </w:rPr>
        <w:tab/>
        <w:t>New CDC chlamydia treatment guidelines</w:t>
      </w:r>
    </w:p>
    <w:p w14:paraId="12346DE4" w14:textId="77777777" w:rsidR="004F3A57" w:rsidRDefault="004F3A57" w:rsidP="004F3A57">
      <w:pPr>
        <w:tabs>
          <w:tab w:val="left" w:pos="360"/>
        </w:tabs>
        <w:ind w:left="-540" w:right="-540"/>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w:t>
      </w:r>
    </w:p>
    <w:p w14:paraId="00688E50" w14:textId="77777777" w:rsidR="004F3A57" w:rsidRDefault="004F3A57" w:rsidP="004F3A57">
      <w:pPr>
        <w:ind w:right="-540"/>
        <w:rPr>
          <w:rFonts w:asciiTheme="minorHAnsi" w:hAnsiTheme="minorHAnsi" w:cstheme="minorHAnsi"/>
          <w:sz w:val="22"/>
          <w:szCs w:val="22"/>
        </w:rPr>
      </w:pPr>
    </w:p>
    <w:p w14:paraId="4628354E" w14:textId="77777777" w:rsidR="004F3A57" w:rsidRDefault="004F3A57" w:rsidP="004F3A57">
      <w:pPr>
        <w:ind w:left="-540" w:right="-540"/>
        <w:rPr>
          <w:rFonts w:asciiTheme="minorHAnsi" w:hAnsiTheme="minorHAnsi" w:cstheme="minorHAnsi"/>
          <w:b/>
          <w:bCs/>
          <w:sz w:val="22"/>
          <w:szCs w:val="22"/>
        </w:rPr>
      </w:pPr>
      <w:r>
        <w:rPr>
          <w:rFonts w:asciiTheme="minorHAnsi" w:hAnsiTheme="minorHAnsi" w:cstheme="minorHAnsi"/>
          <w:b/>
          <w:bCs/>
          <w:sz w:val="22"/>
          <w:szCs w:val="22"/>
        </w:rPr>
        <w:t>Pandemic-associated reductions in weekly chlamydia case reports persist in 2021. Since the majority of chlamydia cases reported to the MDPH are detected through screening and reported via automated laboratory reporting streams, these decreases are likely due to ongoing reductions in screening.</w:t>
      </w:r>
    </w:p>
    <w:p w14:paraId="0F91CB8E" w14:textId="77777777" w:rsidR="004F3A57" w:rsidRDefault="004F3A57" w:rsidP="004F3A57">
      <w:pPr>
        <w:ind w:right="-540"/>
        <w:rPr>
          <w:rFonts w:asciiTheme="minorHAnsi" w:hAnsiTheme="minorHAnsi" w:cstheme="minorHAnsi"/>
          <w:b/>
          <w:bCs/>
          <w:sz w:val="22"/>
          <w:szCs w:val="22"/>
        </w:rPr>
      </w:pPr>
    </w:p>
    <w:p w14:paraId="673ABCC2" w14:textId="77777777" w:rsidR="004F3A57" w:rsidRDefault="004F3A57" w:rsidP="004F3A57">
      <w:pPr>
        <w:ind w:left="-540" w:right="-540"/>
        <w:jc w:val="center"/>
        <w:rPr>
          <w:rFonts w:asciiTheme="minorHAnsi" w:hAnsiTheme="minorHAnsi" w:cstheme="minorHAnsi"/>
          <w:b/>
          <w:bCs/>
          <w:sz w:val="20"/>
        </w:rPr>
      </w:pPr>
      <w:r>
        <w:rPr>
          <w:rFonts w:asciiTheme="minorHAnsi" w:hAnsiTheme="minorHAnsi" w:cstheme="minorHAnsi"/>
          <w:b/>
          <w:bCs/>
          <w:sz w:val="20"/>
        </w:rPr>
        <w:t>Laboratory-Confirmed Chlamydia Case Reports</w:t>
      </w:r>
    </w:p>
    <w:p w14:paraId="536844D4" w14:textId="77777777" w:rsidR="004F3A57" w:rsidRDefault="004F3A57" w:rsidP="004F3A57">
      <w:pPr>
        <w:ind w:left="-540" w:right="-540"/>
        <w:jc w:val="center"/>
        <w:rPr>
          <w:rFonts w:asciiTheme="minorHAnsi" w:hAnsiTheme="minorHAnsi" w:cstheme="minorHAnsi"/>
          <w:b/>
          <w:bCs/>
          <w:sz w:val="20"/>
        </w:rPr>
      </w:pPr>
      <w:r>
        <w:rPr>
          <w:rFonts w:asciiTheme="minorHAnsi" w:hAnsiTheme="minorHAnsi" w:cstheme="minorHAnsi"/>
          <w:b/>
          <w:bCs/>
          <w:sz w:val="20"/>
        </w:rPr>
        <w:t>Massachusetts, 2019-2021</w:t>
      </w:r>
    </w:p>
    <w:p w14:paraId="62255780" w14:textId="77777777" w:rsidR="004F3A57" w:rsidRDefault="004F3A57" w:rsidP="004F3A57">
      <w:pPr>
        <w:ind w:left="720" w:right="-540"/>
        <w:rPr>
          <w:rFonts w:asciiTheme="minorHAnsi" w:hAnsiTheme="minorHAnsi" w:cstheme="minorHAnsi"/>
          <w:sz w:val="22"/>
          <w:szCs w:val="22"/>
        </w:rPr>
      </w:pPr>
      <w:r>
        <w:rPr>
          <w:noProof/>
        </w:rPr>
        <w:drawing>
          <wp:inline distT="0" distB="0" distL="0" distR="0" wp14:anchorId="56AFE4B7" wp14:editId="45E13AF2">
            <wp:extent cx="4654550" cy="348348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t="-2" r="12531" b="11394"/>
                    <a:stretch>
                      <a:fillRect/>
                    </a:stretch>
                  </pic:blipFill>
                  <pic:spPr bwMode="auto">
                    <a:xfrm>
                      <a:off x="0" y="0"/>
                      <a:ext cx="4658908" cy="3486742"/>
                    </a:xfrm>
                    <a:prstGeom prst="rect">
                      <a:avLst/>
                    </a:prstGeom>
                    <a:noFill/>
                    <a:ln>
                      <a:noFill/>
                    </a:ln>
                  </pic:spPr>
                </pic:pic>
              </a:graphicData>
            </a:graphic>
          </wp:inline>
        </w:drawing>
      </w:r>
    </w:p>
    <w:p w14:paraId="40C0EF0B" w14:textId="77777777" w:rsidR="004F3A57" w:rsidRDefault="004F3A57" w:rsidP="004F3A57">
      <w:pPr>
        <w:ind w:left="-540" w:right="-540"/>
        <w:rPr>
          <w:rFonts w:asciiTheme="minorHAnsi" w:hAnsiTheme="minorHAnsi" w:cstheme="minorHAnsi"/>
          <w:b/>
          <w:bCs/>
          <w:sz w:val="22"/>
          <w:szCs w:val="22"/>
        </w:rPr>
      </w:pPr>
      <w:r>
        <w:rPr>
          <w:rFonts w:asciiTheme="minorHAnsi" w:hAnsiTheme="minorHAnsi" w:cstheme="minorHAnsi"/>
          <w:b/>
          <w:bCs/>
          <w:sz w:val="22"/>
          <w:szCs w:val="22"/>
        </w:rPr>
        <w:lastRenderedPageBreak/>
        <w:t>MDPH Division of STD Prevention recommends contacting patients who may have missed routine health care maintenance visits during the pandemic, to provide catch-up chlamydia and gonorrhea screening, in addition to other recommended screening and vaccinations. As a reminder, CDC recommends:</w:t>
      </w:r>
    </w:p>
    <w:p w14:paraId="449F5E73" w14:textId="77777777" w:rsidR="004F3A57" w:rsidRDefault="004F3A57" w:rsidP="004F3A57">
      <w:pPr>
        <w:pStyle w:val="ListParagraph"/>
        <w:numPr>
          <w:ilvl w:val="0"/>
          <w:numId w:val="1"/>
        </w:numPr>
        <w:ind w:right="-540"/>
        <w:rPr>
          <w:rFonts w:cstheme="minorHAnsi"/>
        </w:rPr>
      </w:pPr>
      <w:r>
        <w:rPr>
          <w:rFonts w:cstheme="minorHAnsi"/>
        </w:rPr>
        <w:t>annual screening of all sexually active women aged &lt;25 years</w:t>
      </w:r>
    </w:p>
    <w:p w14:paraId="30F7395F" w14:textId="77777777" w:rsidR="004F3A57" w:rsidRDefault="004F3A57" w:rsidP="004F3A57">
      <w:pPr>
        <w:pStyle w:val="ListParagraph"/>
        <w:numPr>
          <w:ilvl w:val="0"/>
          <w:numId w:val="1"/>
        </w:numPr>
        <w:ind w:right="-540"/>
        <w:rPr>
          <w:rFonts w:cstheme="minorHAnsi"/>
        </w:rPr>
      </w:pPr>
      <w:r>
        <w:rPr>
          <w:rFonts w:cstheme="minorHAnsi"/>
        </w:rPr>
        <w:t>screening of older women at increased risk for infection (e.g., women aged ≥25 years who have a new sex partner, more than one sex partner, a sex partner with concurrent partners, or a sex partner who has an STI)</w:t>
      </w:r>
    </w:p>
    <w:p w14:paraId="1760B1F4" w14:textId="77777777" w:rsidR="004F3A57" w:rsidRDefault="004F3A57" w:rsidP="004F3A57">
      <w:pPr>
        <w:pStyle w:val="ListParagraph"/>
        <w:numPr>
          <w:ilvl w:val="0"/>
          <w:numId w:val="1"/>
        </w:numPr>
        <w:ind w:right="-540"/>
        <w:rPr>
          <w:rFonts w:cstheme="minorHAnsi"/>
        </w:rPr>
      </w:pPr>
      <w:r>
        <w:rPr>
          <w:rFonts w:cstheme="minorHAnsi"/>
        </w:rPr>
        <w:t>screening of sexually active young men in clinical settings with a high prevalence of chlamydia (e.g., adolescent clinics, correctional facilities, or STD specialty clinics) or for populations with a high burden of infection (e.g., men-who-have-sex-with-men, MSM)</w:t>
      </w:r>
    </w:p>
    <w:p w14:paraId="73979935" w14:textId="77777777" w:rsidR="004F3A57" w:rsidRDefault="004F3A57" w:rsidP="004F3A57">
      <w:pPr>
        <w:pStyle w:val="ListParagraph"/>
        <w:numPr>
          <w:ilvl w:val="0"/>
          <w:numId w:val="1"/>
        </w:numPr>
        <w:spacing w:after="0"/>
        <w:ind w:left="173" w:right="-547"/>
        <w:rPr>
          <w:rFonts w:cstheme="minorHAnsi"/>
        </w:rPr>
      </w:pPr>
      <w:r>
        <w:rPr>
          <w:rFonts w:cstheme="minorHAnsi"/>
        </w:rPr>
        <w:t>more frequent screening than annual for certain women (e.g., adolescents) or certain men (e.g., MSM), on the basis of risk behaviors.</w:t>
      </w:r>
    </w:p>
    <w:p w14:paraId="19DD6F9B" w14:textId="77777777" w:rsidR="004F3A57" w:rsidRDefault="004F3A57" w:rsidP="004F3A57">
      <w:pPr>
        <w:ind w:left="-540" w:right="-540"/>
        <w:rPr>
          <w:rFonts w:asciiTheme="minorHAnsi" w:hAnsiTheme="minorHAnsi" w:cstheme="minorHAnsi"/>
          <w:sz w:val="22"/>
          <w:szCs w:val="22"/>
        </w:rPr>
      </w:pPr>
    </w:p>
    <w:p w14:paraId="5F0F4FC5" w14:textId="77777777" w:rsidR="004F3A57" w:rsidRDefault="004F3A57" w:rsidP="004F3A57">
      <w:pPr>
        <w:ind w:left="-547" w:right="-547"/>
        <w:rPr>
          <w:rFonts w:asciiTheme="minorHAnsi" w:hAnsiTheme="minorHAnsi" w:cstheme="minorHAnsi"/>
          <w:sz w:val="22"/>
          <w:szCs w:val="22"/>
        </w:rPr>
      </w:pPr>
      <w:r>
        <w:rPr>
          <w:rFonts w:asciiTheme="minorHAnsi" w:hAnsiTheme="minorHAnsi" w:cstheme="minorHAnsi"/>
          <w:b/>
          <w:bCs/>
          <w:sz w:val="22"/>
          <w:szCs w:val="22"/>
        </w:rPr>
        <w:t>Individuals with chlamydia infection should be tested for other STIs such as gonorrhea, trichomoniasis, syphilis and HIV, and rescreened for chlamydia approximately 3 months after treatment with a test-of-reinfection</w:t>
      </w:r>
      <w:r>
        <w:rPr>
          <w:rFonts w:asciiTheme="minorHAnsi" w:hAnsiTheme="minorHAnsi" w:cstheme="minorHAnsi"/>
          <w:sz w:val="22"/>
          <w:szCs w:val="22"/>
        </w:rPr>
        <w:t>, regardless of whether they believe their sex partners were treated. Scheduling the follow-up visit at the time of treatment is encouraged. In addition, expedited partner therapy (EPT) can be offered without sex partners having to be tested or seen by health care providers (</w:t>
      </w:r>
      <w:hyperlink r:id="rId11" w:history="1">
        <w:r>
          <w:rPr>
            <w:rStyle w:val="Hyperlink"/>
            <w:rFonts w:asciiTheme="minorHAnsi" w:hAnsiTheme="minorHAnsi" w:cstheme="minorHAnsi"/>
            <w:sz w:val="22"/>
            <w:szCs w:val="22"/>
          </w:rPr>
          <w:t>https://www.mass.gov/lists/expedited-partner-therapy-ept</w:t>
        </w:r>
      </w:hyperlink>
      <w:r>
        <w:rPr>
          <w:rFonts w:asciiTheme="minorHAnsi" w:hAnsiTheme="minorHAnsi" w:cstheme="minorHAnsi"/>
          <w:sz w:val="22"/>
          <w:szCs w:val="22"/>
        </w:rPr>
        <w:t>).</w:t>
      </w:r>
    </w:p>
    <w:p w14:paraId="697416D3" w14:textId="77777777" w:rsidR="004F3A57" w:rsidRDefault="004F3A57" w:rsidP="004F3A57">
      <w:pPr>
        <w:ind w:left="-540" w:right="-540"/>
        <w:rPr>
          <w:rFonts w:asciiTheme="minorHAnsi" w:hAnsiTheme="minorHAnsi" w:cstheme="minorHAnsi"/>
          <w:sz w:val="22"/>
          <w:szCs w:val="22"/>
        </w:rPr>
      </w:pPr>
    </w:p>
    <w:p w14:paraId="259C89D3" w14:textId="77777777" w:rsidR="004F3A57" w:rsidRDefault="004F3A57" w:rsidP="004F3A57">
      <w:pPr>
        <w:ind w:left="-540" w:right="-540"/>
        <w:rPr>
          <w:rFonts w:asciiTheme="minorHAnsi" w:hAnsiTheme="minorHAnsi" w:cstheme="minorHAnsi"/>
          <w:sz w:val="22"/>
          <w:szCs w:val="22"/>
        </w:rPr>
      </w:pPr>
      <w:r>
        <w:rPr>
          <w:rFonts w:asciiTheme="minorHAnsi" w:hAnsiTheme="minorHAnsi" w:cstheme="minorHAnsi"/>
          <w:b/>
          <w:bCs/>
          <w:sz w:val="22"/>
          <w:szCs w:val="22"/>
        </w:rPr>
        <w:t xml:space="preserve">CDC has issued new guidelines recommending doxycycline 100 mg orally twice daily for 7 days as the preferred treatment regimen for chlamydia infection </w:t>
      </w:r>
      <w:r>
        <w:rPr>
          <w:rFonts w:asciiTheme="minorHAnsi" w:hAnsiTheme="minorHAnsi" w:cstheme="minorHAnsi"/>
          <w:sz w:val="22"/>
          <w:szCs w:val="22"/>
        </w:rPr>
        <w:t>(versus alternatives such as azithromycin 1 g orally in a single dose, or levofloxacin 500 mg orally once daily for 7 days). Treatment success against chlamydia infection at all sites (urogenital, rectal, and oropharyngeal) is greater with the one week oral doxycycline regimen.</w:t>
      </w:r>
    </w:p>
    <w:p w14:paraId="01603015" w14:textId="77777777" w:rsidR="004F3A57" w:rsidRDefault="004F3A57" w:rsidP="004F3A57">
      <w:pPr>
        <w:ind w:left="-540" w:right="-540"/>
        <w:rPr>
          <w:rFonts w:asciiTheme="minorHAnsi" w:hAnsiTheme="minorHAnsi" w:cstheme="minorHAnsi"/>
          <w:sz w:val="22"/>
          <w:szCs w:val="22"/>
        </w:rPr>
      </w:pPr>
    </w:p>
    <w:p w14:paraId="62215398" w14:textId="77777777" w:rsidR="004F3A57" w:rsidRDefault="004F3A57" w:rsidP="004F3A57">
      <w:pPr>
        <w:ind w:left="-540" w:right="-540"/>
        <w:rPr>
          <w:rFonts w:asciiTheme="minorHAnsi" w:hAnsiTheme="minorHAnsi" w:cstheme="minorHAnsi"/>
          <w:b/>
          <w:bCs/>
          <w:sz w:val="22"/>
          <w:szCs w:val="22"/>
        </w:rPr>
      </w:pPr>
      <w:r>
        <w:rPr>
          <w:rFonts w:asciiTheme="minorHAnsi" w:hAnsiTheme="minorHAnsi" w:cstheme="minorHAnsi"/>
          <w:b/>
          <w:bCs/>
          <w:sz w:val="22"/>
          <w:szCs w:val="22"/>
        </w:rPr>
        <w:t>Please continue to contact the MDPH Division of STD Prevention for:</w:t>
      </w:r>
    </w:p>
    <w:p w14:paraId="3390D061" w14:textId="77777777" w:rsidR="004F3A57" w:rsidRDefault="004F3A57" w:rsidP="004F3A57">
      <w:pPr>
        <w:pStyle w:val="ListParagraph"/>
        <w:numPr>
          <w:ilvl w:val="0"/>
          <w:numId w:val="2"/>
        </w:numPr>
        <w:ind w:right="-540"/>
        <w:rPr>
          <w:rFonts w:cstheme="minorHAnsi"/>
        </w:rPr>
      </w:pPr>
      <w:r>
        <w:rPr>
          <w:rFonts w:cstheme="minorHAnsi"/>
          <w:b/>
          <w:bCs/>
        </w:rPr>
        <w:t>Clinical consultation on complex cases</w:t>
      </w:r>
      <w:r>
        <w:rPr>
          <w:rFonts w:cstheme="minorHAnsi"/>
        </w:rPr>
        <w:t>, available through the MDPH Division of STD Prevention clinical team (Public Health Nurse, Kaitlin Nichols, RN and Medical Director, Katherine Hsu, MD, MPH; please call the MDPH Division of STD Prevention main phone line at 617-983-6940) or email through the STD Clinical Consultation Network (</w:t>
      </w:r>
      <w:hyperlink r:id="rId12" w:history="1">
        <w:r>
          <w:rPr>
            <w:rStyle w:val="Hyperlink"/>
            <w:rFonts w:eastAsia="Times New Roman" w:cstheme="minorHAnsi"/>
          </w:rPr>
          <w:t>www.stdccn.org</w:t>
        </w:r>
      </w:hyperlink>
      <w:r>
        <w:rPr>
          <w:rFonts w:cstheme="minorHAnsi"/>
        </w:rPr>
        <w:t xml:space="preserve">). </w:t>
      </w:r>
    </w:p>
    <w:p w14:paraId="5596D63B" w14:textId="77777777" w:rsidR="004F3A57" w:rsidRDefault="004F3A57" w:rsidP="004F3A57">
      <w:pPr>
        <w:pStyle w:val="ListParagraph"/>
        <w:numPr>
          <w:ilvl w:val="0"/>
          <w:numId w:val="2"/>
        </w:numPr>
        <w:spacing w:after="0" w:line="240" w:lineRule="auto"/>
        <w:ind w:right="-540"/>
        <w:rPr>
          <w:rFonts w:eastAsia="Times New Roman" w:cstheme="minorHAnsi"/>
        </w:rPr>
      </w:pPr>
      <w:r>
        <w:rPr>
          <w:rFonts w:eastAsia="Times New Roman" w:cstheme="minorHAnsi"/>
          <w:b/>
          <w:bCs/>
        </w:rPr>
        <w:t xml:space="preserve">Management considerations </w:t>
      </w:r>
      <w:r>
        <w:rPr>
          <w:rFonts w:eastAsia="Times New Roman" w:cstheme="minorHAnsi"/>
        </w:rPr>
        <w:t xml:space="preserve">including chlamydia screening, treatment, partner management (presumptive sex partner treatment via EPT can be done with either recommended or alternative chlamydia treatment regimens), and re-screening guidance are available in the 2021 CDC STI Guidelines </w:t>
      </w:r>
      <w:hyperlink r:id="rId13" w:history="1">
        <w:r>
          <w:rPr>
            <w:rStyle w:val="Hyperlink"/>
            <w:rFonts w:eastAsia="Times New Roman" w:cstheme="minorHAnsi"/>
          </w:rPr>
          <w:t>https://www.cdc.gov/std/treatment-guidelines/chlamydia.htm</w:t>
        </w:r>
      </w:hyperlink>
      <w:r>
        <w:rPr>
          <w:rFonts w:eastAsia="Times New Roman" w:cstheme="minorHAnsi"/>
        </w:rPr>
        <w:t xml:space="preserve">. </w:t>
      </w:r>
    </w:p>
    <w:p w14:paraId="16A569BB" w14:textId="77777777" w:rsidR="004F3A57" w:rsidRDefault="004F3A57" w:rsidP="004F3A57">
      <w:pPr>
        <w:pStyle w:val="ListParagraph"/>
        <w:numPr>
          <w:ilvl w:val="0"/>
          <w:numId w:val="2"/>
        </w:numPr>
        <w:ind w:right="-540"/>
        <w:rPr>
          <w:rFonts w:cstheme="minorHAnsi"/>
        </w:rPr>
      </w:pPr>
      <w:r>
        <w:rPr>
          <w:rFonts w:cstheme="minorHAnsi"/>
          <w:b/>
          <w:bCs/>
        </w:rPr>
        <w:t xml:space="preserve">Case reporting </w:t>
      </w:r>
      <w:r>
        <w:rPr>
          <w:rFonts w:cstheme="minorHAnsi"/>
        </w:rPr>
        <w:t>– chlamydia cases are primarily reported to MDPH DSTDP via automated laboratory reporting, and clinician-completed MDPH DSTDP Case Report Forms</w:t>
      </w:r>
      <w:r>
        <w:rPr>
          <w:rFonts w:cstheme="minorHAnsi"/>
          <w:vertAlign w:val="superscript"/>
        </w:rPr>
        <w:t xml:space="preserve"> </w:t>
      </w:r>
      <w:r>
        <w:rPr>
          <w:rFonts w:cstheme="minorHAnsi"/>
        </w:rPr>
        <w:t>are no longer required on all chlamydia cases (</w:t>
      </w:r>
      <w:hyperlink r:id="rId14" w:anchor="chlamydia-" w:history="1">
        <w:r>
          <w:rPr>
            <w:rStyle w:val="Hyperlink"/>
            <w:rFonts w:eastAsia="Times New Roman" w:cstheme="minorHAnsi"/>
          </w:rPr>
          <w:t>https://www.mass.gov/lists/infectious-disease-case-report-forms#chlamydia-</w:t>
        </w:r>
      </w:hyperlink>
      <w:r>
        <w:rPr>
          <w:rStyle w:val="Hyperlink"/>
          <w:rFonts w:eastAsia="Times New Roman" w:cstheme="minorHAnsi"/>
        </w:rPr>
        <w:t>)</w:t>
      </w:r>
      <w:r>
        <w:rPr>
          <w:rFonts w:cstheme="minorHAnsi"/>
        </w:rPr>
        <w:t xml:space="preserve">, but collaboration with MDPH staff is requested to gather more detailed clinical and demographic information on cases randomized for additional data collection. </w:t>
      </w:r>
      <w:r>
        <w:t xml:space="preserve"> </w:t>
      </w:r>
    </w:p>
    <w:p w14:paraId="62D5EBAB" w14:textId="77777777" w:rsidR="004F3A57" w:rsidRDefault="004F3A57" w:rsidP="004F3A57">
      <w:pPr>
        <w:pStyle w:val="ListParagraph"/>
        <w:tabs>
          <w:tab w:val="left" w:pos="360"/>
        </w:tabs>
        <w:spacing w:before="100" w:after="100"/>
        <w:ind w:left="-540" w:right="-540"/>
        <w:rPr>
          <w:rFonts w:cstheme="minorHAnsi"/>
        </w:rPr>
      </w:pPr>
    </w:p>
    <w:p w14:paraId="3DD5273F" w14:textId="77777777" w:rsidR="00B47152" w:rsidRDefault="00B47152" w:rsidP="0072610D">
      <w:pPr>
        <w:rPr>
          <w:sz w:val="22"/>
          <w:szCs w:val="22"/>
        </w:rPr>
      </w:pPr>
    </w:p>
    <w:p w14:paraId="354F6C96" w14:textId="77777777" w:rsidR="00B47152" w:rsidRDefault="00B47152" w:rsidP="0072610D">
      <w:pPr>
        <w:rPr>
          <w:sz w:val="22"/>
          <w:szCs w:val="22"/>
        </w:rPr>
      </w:pPr>
    </w:p>
    <w:p w14:paraId="43058205" w14:textId="77777777" w:rsidR="00B47152" w:rsidRPr="00EE433A" w:rsidRDefault="00B47152" w:rsidP="0072610D">
      <w:pPr>
        <w:rPr>
          <w:sz w:val="22"/>
          <w:szCs w:val="22"/>
        </w:rPr>
      </w:pPr>
    </w:p>
    <w:sectPr w:rsidR="00B47152" w:rsidRPr="00EE433A" w:rsidSect="004F3A57">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9A84" w14:textId="77777777" w:rsidR="00FF5397" w:rsidRDefault="00FF5397" w:rsidP="00340A4D">
      <w:r>
        <w:separator/>
      </w:r>
    </w:p>
  </w:endnote>
  <w:endnote w:type="continuationSeparator" w:id="0">
    <w:p w14:paraId="16673EEB" w14:textId="77777777" w:rsidR="00FF5397" w:rsidRDefault="00FF5397" w:rsidP="0034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686512"/>
      <w:docPartObj>
        <w:docPartGallery w:val="Page Numbers (Bottom of Page)"/>
        <w:docPartUnique/>
      </w:docPartObj>
    </w:sdtPr>
    <w:sdtEndPr/>
    <w:sdtContent>
      <w:sdt>
        <w:sdtPr>
          <w:id w:val="-1705238520"/>
          <w:docPartObj>
            <w:docPartGallery w:val="Page Numbers (Top of Page)"/>
            <w:docPartUnique/>
          </w:docPartObj>
        </w:sdtPr>
        <w:sdtEndPr/>
        <w:sdtContent>
          <w:p w14:paraId="756E3525" w14:textId="4D85C3C1" w:rsidR="00340A4D" w:rsidRDefault="00340A4D">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E9BEB7D" w14:textId="77777777" w:rsidR="00340A4D" w:rsidRDefault="00340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B62C" w14:textId="77777777" w:rsidR="00FF5397" w:rsidRDefault="00FF5397" w:rsidP="00340A4D">
      <w:r>
        <w:separator/>
      </w:r>
    </w:p>
  </w:footnote>
  <w:footnote w:type="continuationSeparator" w:id="0">
    <w:p w14:paraId="5595FB94" w14:textId="77777777" w:rsidR="00FF5397" w:rsidRDefault="00FF5397" w:rsidP="0034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33455"/>
    <w:multiLevelType w:val="hybridMultilevel"/>
    <w:tmpl w:val="E3A6E9A4"/>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1" w15:restartNumberingAfterBreak="0">
    <w:nsid w:val="77BB0FE9"/>
    <w:multiLevelType w:val="hybridMultilevel"/>
    <w:tmpl w:val="072CA34C"/>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06ED"/>
    <w:rsid w:val="00042048"/>
    <w:rsid w:val="000537DA"/>
    <w:rsid w:val="000E59E8"/>
    <w:rsid w:val="000F315B"/>
    <w:rsid w:val="0015268B"/>
    <w:rsid w:val="00174433"/>
    <w:rsid w:val="00177C77"/>
    <w:rsid w:val="00193650"/>
    <w:rsid w:val="001A5680"/>
    <w:rsid w:val="001C6992"/>
    <w:rsid w:val="00274D45"/>
    <w:rsid w:val="00276957"/>
    <w:rsid w:val="00276DCC"/>
    <w:rsid w:val="002C3A70"/>
    <w:rsid w:val="00340A4D"/>
    <w:rsid w:val="00385812"/>
    <w:rsid w:val="00385FC7"/>
    <w:rsid w:val="00392D0B"/>
    <w:rsid w:val="003A7AFC"/>
    <w:rsid w:val="003C60EF"/>
    <w:rsid w:val="00476AF3"/>
    <w:rsid w:val="004813AC"/>
    <w:rsid w:val="004B37A0"/>
    <w:rsid w:val="004D6B39"/>
    <w:rsid w:val="004F3A57"/>
    <w:rsid w:val="00537F2E"/>
    <w:rsid w:val="005448AA"/>
    <w:rsid w:val="00570DEB"/>
    <w:rsid w:val="005809E2"/>
    <w:rsid w:val="005858DF"/>
    <w:rsid w:val="005E2F21"/>
    <w:rsid w:val="00676AFE"/>
    <w:rsid w:val="006D06D9"/>
    <w:rsid w:val="006D77A6"/>
    <w:rsid w:val="00702109"/>
    <w:rsid w:val="0072610D"/>
    <w:rsid w:val="007B3F4B"/>
    <w:rsid w:val="007B7347"/>
    <w:rsid w:val="007D10F3"/>
    <w:rsid w:val="00822842"/>
    <w:rsid w:val="00830AA2"/>
    <w:rsid w:val="00833F50"/>
    <w:rsid w:val="008A1605"/>
    <w:rsid w:val="008C15D2"/>
    <w:rsid w:val="00984007"/>
    <w:rsid w:val="009908FF"/>
    <w:rsid w:val="0099542E"/>
    <w:rsid w:val="00995505"/>
    <w:rsid w:val="009A50F8"/>
    <w:rsid w:val="009E4F08"/>
    <w:rsid w:val="00A65101"/>
    <w:rsid w:val="00AE3F85"/>
    <w:rsid w:val="00B403BF"/>
    <w:rsid w:val="00B47152"/>
    <w:rsid w:val="00B608D9"/>
    <w:rsid w:val="00BA4055"/>
    <w:rsid w:val="00BA6211"/>
    <w:rsid w:val="00BA7FB6"/>
    <w:rsid w:val="00C20BFE"/>
    <w:rsid w:val="00CC1778"/>
    <w:rsid w:val="00CE575B"/>
    <w:rsid w:val="00CF0F53"/>
    <w:rsid w:val="00CF3DE8"/>
    <w:rsid w:val="00D0493F"/>
    <w:rsid w:val="00D44DFC"/>
    <w:rsid w:val="00D56F91"/>
    <w:rsid w:val="00D8671C"/>
    <w:rsid w:val="00DA57C3"/>
    <w:rsid w:val="00DC3855"/>
    <w:rsid w:val="00DD06C4"/>
    <w:rsid w:val="00DF3496"/>
    <w:rsid w:val="00E274B8"/>
    <w:rsid w:val="00E72707"/>
    <w:rsid w:val="00EA0ABA"/>
    <w:rsid w:val="00EE433A"/>
    <w:rsid w:val="00F0586E"/>
    <w:rsid w:val="00F43932"/>
    <w:rsid w:val="00FC6B42"/>
    <w:rsid w:val="00FF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68E80FA"/>
  <w15:docId w15:val="{B381C40A-C2D9-474D-B5AD-A7E53487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paragraph" w:styleId="ListParagraph">
    <w:name w:val="List Paragraph"/>
    <w:basedOn w:val="Normal"/>
    <w:uiPriority w:val="34"/>
    <w:qFormat/>
    <w:rsid w:val="004F3A57"/>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40A4D"/>
    <w:pPr>
      <w:tabs>
        <w:tab w:val="center" w:pos="4680"/>
        <w:tab w:val="right" w:pos="9360"/>
      </w:tabs>
    </w:pPr>
  </w:style>
  <w:style w:type="character" w:customStyle="1" w:styleId="HeaderChar">
    <w:name w:val="Header Char"/>
    <w:basedOn w:val="DefaultParagraphFont"/>
    <w:link w:val="Header"/>
    <w:uiPriority w:val="99"/>
    <w:rsid w:val="00340A4D"/>
    <w:rPr>
      <w:sz w:val="24"/>
      <w:szCs w:val="20"/>
    </w:rPr>
  </w:style>
  <w:style w:type="paragraph" w:styleId="Footer">
    <w:name w:val="footer"/>
    <w:basedOn w:val="Normal"/>
    <w:link w:val="FooterChar"/>
    <w:uiPriority w:val="99"/>
    <w:unhideWhenUsed/>
    <w:rsid w:val="00340A4D"/>
    <w:pPr>
      <w:tabs>
        <w:tab w:val="center" w:pos="4680"/>
        <w:tab w:val="right" w:pos="9360"/>
      </w:tabs>
    </w:pPr>
  </w:style>
  <w:style w:type="character" w:customStyle="1" w:styleId="FooterChar">
    <w:name w:val="Footer Char"/>
    <w:basedOn w:val="DefaultParagraphFont"/>
    <w:link w:val="Footer"/>
    <w:uiPriority w:val="99"/>
    <w:rsid w:val="00340A4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cdc/std" TargetMode="External"/><Relationship Id="rId13" Type="http://schemas.openxmlformats.org/officeDocument/2006/relationships/hyperlink" Target="https://www.cdc.gov/std/treatment-guidelines/chlamydia.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dcc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expedited-partner-therapy-ep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mass.gov/dph/cdc/std" TargetMode="External"/><Relationship Id="rId14" Type="http://schemas.openxmlformats.org/officeDocument/2006/relationships/hyperlink" Target="https://www.mass.gov/lists/infectious-disease-case-repor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1</TotalTime>
  <Pages>2</Pages>
  <Words>567</Words>
  <Characters>3963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Yeaple, Jennifer (DPH)</cp:lastModifiedBy>
  <cp:revision>2</cp:revision>
  <cp:lastPrinted>2015-01-09T15:33:00Z</cp:lastPrinted>
  <dcterms:created xsi:type="dcterms:W3CDTF">2022-02-10T13:31:00Z</dcterms:created>
  <dcterms:modified xsi:type="dcterms:W3CDTF">2022-02-10T13:31:00Z</dcterms:modified>
</cp:coreProperties>
</file>