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DA009" w14:textId="57C2101F" w:rsidR="00946A9A" w:rsidRPr="00946A9A" w:rsidRDefault="00946A9A">
      <w:pPr>
        <w:rPr>
          <w:b/>
          <w:bCs/>
          <w:color w:val="CD6F2A"/>
          <w:sz w:val="40"/>
          <w:szCs w:val="40"/>
        </w:rPr>
      </w:pPr>
      <w:r w:rsidRPr="00946A9A">
        <w:rPr>
          <w:b/>
          <w:bCs/>
          <w:color w:val="CD6F2A"/>
          <w:sz w:val="40"/>
          <w:szCs w:val="40"/>
        </w:rPr>
        <w:t>The Catastrophic Illness in</w:t>
      </w:r>
      <w:r w:rsidR="00F53893">
        <w:rPr>
          <w:b/>
          <w:bCs/>
          <w:color w:val="CD6F2A"/>
          <w:sz w:val="40"/>
          <w:szCs w:val="40"/>
        </w:rPr>
        <w:t xml:space="preserve"> Children</w:t>
      </w:r>
      <w:r w:rsidRPr="00946A9A">
        <w:rPr>
          <w:b/>
          <w:bCs/>
          <w:color w:val="CD6F2A"/>
          <w:sz w:val="40"/>
          <w:szCs w:val="40"/>
        </w:rPr>
        <w:t xml:space="preserve"> Relief Fund</w:t>
      </w:r>
      <w:r w:rsidR="006C377D">
        <w:rPr>
          <w:b/>
          <w:bCs/>
          <w:color w:val="CD6F2A"/>
          <w:sz w:val="40"/>
          <w:szCs w:val="40"/>
        </w:rPr>
        <w:tab/>
      </w:r>
      <w:r w:rsidR="00F53893">
        <w:rPr>
          <w:b/>
          <w:bCs/>
          <w:color w:val="CD6F2A"/>
          <w:sz w:val="40"/>
          <w:szCs w:val="40"/>
        </w:rPr>
        <w:t>(CICRF)</w:t>
      </w:r>
      <w:r w:rsidR="006C377D">
        <w:rPr>
          <w:b/>
          <w:bCs/>
          <w:color w:val="CD6F2A"/>
          <w:sz w:val="40"/>
          <w:szCs w:val="40"/>
        </w:rPr>
        <w:tab/>
      </w:r>
      <w:r w:rsidR="006C377D">
        <w:rPr>
          <w:b/>
          <w:bCs/>
          <w:color w:val="CD6F2A"/>
          <w:sz w:val="40"/>
          <w:szCs w:val="40"/>
        </w:rPr>
        <w:tab/>
      </w:r>
    </w:p>
    <w:p w14:paraId="1EE130CB" w14:textId="77777777" w:rsidR="00946A9A" w:rsidRPr="0056494A" w:rsidRDefault="00946A9A" w:rsidP="005F65D7">
      <w:pPr>
        <w:rPr>
          <w:sz w:val="28"/>
          <w:szCs w:val="28"/>
        </w:rPr>
      </w:pPr>
      <w:r w:rsidRPr="00946A9A">
        <w:rPr>
          <w:sz w:val="28"/>
          <w:szCs w:val="28"/>
        </w:rPr>
        <w:t xml:space="preserve">When other sources end, we begin. </w:t>
      </w:r>
    </w:p>
    <w:p w14:paraId="4019A613" w14:textId="77777777" w:rsidR="00946A9A" w:rsidRDefault="00946A9A" w:rsidP="005F65D7"/>
    <w:p w14:paraId="330507F0" w14:textId="77777777" w:rsidR="00946A9A" w:rsidRPr="00946A9A" w:rsidRDefault="00946A9A" w:rsidP="00946A9A">
      <w:pPr>
        <w:rPr>
          <w:b/>
          <w:bCs/>
          <w:color w:val="C45911" w:themeColor="accent2" w:themeShade="BF"/>
        </w:rPr>
      </w:pPr>
      <w:r w:rsidRPr="00946A9A">
        <w:rPr>
          <w:b/>
          <w:bCs/>
          <w:color w:val="C45911" w:themeColor="accent2" w:themeShade="BF"/>
        </w:rPr>
        <w:t xml:space="preserve">Purpose of the Fund </w:t>
      </w:r>
    </w:p>
    <w:p w14:paraId="630E3E47" w14:textId="63799389" w:rsidR="00946A9A" w:rsidRDefault="00946A9A" w:rsidP="00946A9A">
      <w:r>
        <w:t>The Catastrophic Illness in Children Relief Fund (CICRF) provides financial assistance to eligible families caring for children and youth with medical</w:t>
      </w:r>
      <w:r w:rsidR="00C60919">
        <w:t>ly</w:t>
      </w:r>
      <w:r>
        <w:t xml:space="preserve"> related expenses not covered by health insurance, public benefits, </w:t>
      </w:r>
      <w:r w:rsidR="00C60919">
        <w:t xml:space="preserve">fundraising, </w:t>
      </w:r>
      <w:r>
        <w:t xml:space="preserve">or any other source. CICRF acts as a safety net for families from all walks of life who have incurred </w:t>
      </w:r>
      <w:r w:rsidR="007337BE">
        <w:t>significant</w:t>
      </w:r>
      <w:r>
        <w:t xml:space="preserve"> expenses related to a child’s medical needs. </w:t>
      </w:r>
    </w:p>
    <w:p w14:paraId="34781D8F" w14:textId="77777777" w:rsidR="00946A9A" w:rsidRDefault="00946A9A" w:rsidP="005F65D7">
      <w:pPr>
        <w:sectPr w:rsidR="00946A9A" w:rsidSect="006C377D">
          <w:headerReference w:type="default" r:id="rId7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F12C2C6" w14:textId="77777777" w:rsidR="00946A9A" w:rsidRDefault="00946A9A" w:rsidP="005F65D7"/>
    <w:p w14:paraId="0DC71F3E" w14:textId="77777777" w:rsidR="00946A9A" w:rsidRPr="00946A9A" w:rsidRDefault="00946A9A" w:rsidP="00946A9A">
      <w:pPr>
        <w:rPr>
          <w:b/>
          <w:bCs/>
          <w:color w:val="C45911" w:themeColor="accent2" w:themeShade="BF"/>
        </w:rPr>
      </w:pPr>
      <w:r w:rsidRPr="00946A9A">
        <w:rPr>
          <w:b/>
          <w:bCs/>
          <w:color w:val="C45911" w:themeColor="accent2" w:themeShade="BF"/>
        </w:rPr>
        <w:t xml:space="preserve">Eligibility Criteria </w:t>
      </w:r>
    </w:p>
    <w:p w14:paraId="2B0643FF" w14:textId="77777777" w:rsidR="00946A9A" w:rsidRDefault="00946A9A" w:rsidP="00946A9A">
      <w:r>
        <w:t xml:space="preserve">To be eligible for CICRF, the applicant must: </w:t>
      </w:r>
    </w:p>
    <w:p w14:paraId="2A6B6980" w14:textId="77777777" w:rsidR="00946A9A" w:rsidRDefault="00946A9A" w:rsidP="00946A9A">
      <w:pPr>
        <w:pStyle w:val="ListParagraph"/>
        <w:numPr>
          <w:ilvl w:val="0"/>
          <w:numId w:val="1"/>
        </w:numPr>
      </w:pPr>
      <w:r>
        <w:t xml:space="preserve">Live in Massachusetts </w:t>
      </w:r>
    </w:p>
    <w:p w14:paraId="75BB217F" w14:textId="77777777" w:rsidR="00946A9A" w:rsidRDefault="00946A9A" w:rsidP="00946A9A">
      <w:pPr>
        <w:pStyle w:val="ListParagraph"/>
        <w:numPr>
          <w:ilvl w:val="0"/>
          <w:numId w:val="1"/>
        </w:numPr>
      </w:pPr>
      <w:r>
        <w:t xml:space="preserve">Be age 21 or younger </w:t>
      </w:r>
    </w:p>
    <w:p w14:paraId="270108B6" w14:textId="77777777" w:rsidR="00946A9A" w:rsidRDefault="00946A9A" w:rsidP="00946A9A">
      <w:pPr>
        <w:pStyle w:val="ListParagraph"/>
        <w:numPr>
          <w:ilvl w:val="0"/>
          <w:numId w:val="1"/>
        </w:numPr>
      </w:pPr>
      <w:r>
        <w:t xml:space="preserve">Be under the care of a licensed health care provider with staff privileges at a hospital licensed or accredited to provide pediatric or neonatal care </w:t>
      </w:r>
    </w:p>
    <w:p w14:paraId="6DB80675" w14:textId="77777777" w:rsidR="00946A9A" w:rsidRDefault="00946A9A" w:rsidP="00946A9A">
      <w:pPr>
        <w:pStyle w:val="ListParagraph"/>
        <w:numPr>
          <w:ilvl w:val="0"/>
          <w:numId w:val="1"/>
        </w:numPr>
      </w:pPr>
      <w:r>
        <w:t xml:space="preserve">Meet financial thresholds </w:t>
      </w:r>
    </w:p>
    <w:p w14:paraId="47DC9643" w14:textId="77777777" w:rsidR="00946A9A" w:rsidRDefault="00946A9A" w:rsidP="00946A9A">
      <w:pPr>
        <w:pStyle w:val="ListParagraph"/>
      </w:pPr>
    </w:p>
    <w:p w14:paraId="747D6792" w14:textId="3C470C03" w:rsidR="00946A9A" w:rsidRDefault="00946A9A" w:rsidP="00946A9A">
      <w:r>
        <w:t>The family’s medically related expenses must be over 10% of annual income up to $100,000 (plus 15% of any portion of family income that is above $100,000) in a given 12-month period. Per the Fund’s policy, some expenses like accessible vans and bathrooms are limited in the amounts counted toward eligibility</w:t>
      </w:r>
      <w:r w:rsidR="00E644BF">
        <w:t xml:space="preserve"> and reimbursed on a sliding scale.</w:t>
      </w:r>
    </w:p>
    <w:p w14:paraId="09FB4713" w14:textId="77777777" w:rsidR="00946A9A" w:rsidRDefault="00946A9A" w:rsidP="00946A9A"/>
    <w:p w14:paraId="07E26146" w14:textId="77777777" w:rsidR="006C377D" w:rsidRDefault="006C377D" w:rsidP="00946A9A"/>
    <w:p w14:paraId="12BA64D8" w14:textId="0E89F368" w:rsidR="00946A9A" w:rsidRDefault="002228FE" w:rsidP="00946A9A">
      <w:pPr>
        <w:rPr>
          <w:b/>
          <w:bCs/>
          <w:color w:val="C45911" w:themeColor="accent2" w:themeShade="BF"/>
        </w:rPr>
      </w:pPr>
      <w:r>
        <w:rPr>
          <w:b/>
          <w:bCs/>
          <w:noProof/>
          <w:color w:val="ED7D31" w:themeColor="accent2"/>
        </w:rPr>
        <w:drawing>
          <wp:inline distT="0" distB="0" distL="0" distR="0" wp14:anchorId="1B12607D" wp14:editId="6E369C7C">
            <wp:extent cx="232410" cy="184585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74" cy="21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B5E9B" w14:textId="5D4B8790" w:rsidR="00946A9A" w:rsidRDefault="00A41AE4" w:rsidP="00946A9A">
      <w:pPr>
        <w:rPr>
          <w:b/>
          <w:bCs/>
          <w:color w:val="C45911" w:themeColor="accent2" w:themeShade="BF"/>
        </w:rPr>
      </w:pPr>
      <w:r>
        <w:rPr>
          <w:b/>
          <w:bCs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9BEDB" wp14:editId="77E1C23B">
                <wp:simplePos x="0" y="0"/>
                <wp:positionH relativeFrom="column">
                  <wp:posOffset>-38100</wp:posOffset>
                </wp:positionH>
                <wp:positionV relativeFrom="paragraph">
                  <wp:posOffset>27940</wp:posOffset>
                </wp:positionV>
                <wp:extent cx="6760845" cy="16478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845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9ADDF" w14:textId="77777777" w:rsidR="006C377D" w:rsidRDefault="0056494A" w:rsidP="0056494A">
                            <w:r>
                              <w:t xml:space="preserve">I am grateful in knowing that there is an organization that understands the overwhelming struggles of having a child with medical issues and that has ensured funding is available to assist those in need. </w:t>
                            </w:r>
                          </w:p>
                          <w:p w14:paraId="191FFA30" w14:textId="77777777" w:rsidR="0056494A" w:rsidRDefault="0056494A" w:rsidP="0056494A">
                            <w:r>
                              <w:t xml:space="preserve">— Recipient Family </w:t>
                            </w:r>
                          </w:p>
                          <w:p w14:paraId="7ACDC36C" w14:textId="77777777" w:rsidR="0056494A" w:rsidRDefault="0056494A" w:rsidP="0056494A"/>
                          <w:p w14:paraId="42CF0B15" w14:textId="77777777" w:rsidR="0056494A" w:rsidRDefault="0056494A" w:rsidP="0056494A">
                            <w:r>
                              <w:t xml:space="preserve">I just want to let you know that there are not words to tell you that can communicate the gratitude I feel in my heart for this support. GRACIAS, GRACIAS, GRACIAS. Thank you and all the people that have been part of this process. — Recipient Family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9BE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pt;margin-top:2.2pt;width:532.35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" filled="f" stroked="f" strokeweight=".5pt">
                <v:textbox>
                  <w:txbxContent>
                    <w:p w14:paraId="09C9ADDF" w14:textId="77777777" w:rsidR="006C377D" w:rsidRDefault="0056494A" w:rsidP="0056494A">
                      <w:r>
                        <w:t xml:space="preserve">I am grateful in knowing that there is an organization that understands the overwhelming struggles of having a child with medical issues and that has ensured funding is available to assist those in need. </w:t>
                      </w:r>
                    </w:p>
                    <w:p w14:paraId="191FFA30" w14:textId="77777777" w:rsidR="0056494A" w:rsidRDefault="0056494A" w:rsidP="0056494A">
                      <w:r>
                        <w:t xml:space="preserve">— Recipient Family </w:t>
                      </w:r>
                    </w:p>
                    <w:p w14:paraId="7ACDC36C" w14:textId="77777777" w:rsidR="0056494A" w:rsidRDefault="0056494A" w:rsidP="0056494A"/>
                    <w:p w14:paraId="42CF0B15" w14:textId="77777777" w:rsidR="0056494A" w:rsidRDefault="0056494A" w:rsidP="0056494A">
                      <w:r>
                        <w:t xml:space="preserve">I just want to let you know that there are not words to tell you that can communicate the gratitude I feel in my heart for this support. GRACIAS, GRACIAS, GRACIAS. Thank you and all the people that have been part of this process. — Recipient Family </w:t>
                      </w:r>
                    </w:p>
                  </w:txbxContent>
                </v:textbox>
              </v:shape>
            </w:pict>
          </mc:Fallback>
        </mc:AlternateContent>
      </w:r>
    </w:p>
    <w:p w14:paraId="16291343" w14:textId="77777777" w:rsidR="00946A9A" w:rsidRDefault="00946A9A" w:rsidP="00946A9A">
      <w:pPr>
        <w:rPr>
          <w:b/>
          <w:bCs/>
          <w:color w:val="C45911" w:themeColor="accent2" w:themeShade="BF"/>
        </w:rPr>
      </w:pPr>
    </w:p>
    <w:p w14:paraId="40D4B899" w14:textId="77777777" w:rsidR="00946A9A" w:rsidRDefault="00946A9A" w:rsidP="00946A9A">
      <w:pPr>
        <w:rPr>
          <w:b/>
          <w:bCs/>
          <w:color w:val="C45911" w:themeColor="accent2" w:themeShade="BF"/>
        </w:rPr>
      </w:pPr>
    </w:p>
    <w:p w14:paraId="3BBA9575" w14:textId="77777777" w:rsidR="00946A9A" w:rsidRDefault="00946A9A" w:rsidP="00946A9A">
      <w:pPr>
        <w:rPr>
          <w:b/>
          <w:bCs/>
          <w:color w:val="C45911" w:themeColor="accent2" w:themeShade="BF"/>
        </w:rPr>
      </w:pPr>
    </w:p>
    <w:p w14:paraId="0004751C" w14:textId="77777777" w:rsidR="00946A9A" w:rsidRDefault="00946A9A" w:rsidP="00946A9A">
      <w:pPr>
        <w:rPr>
          <w:b/>
          <w:bCs/>
          <w:color w:val="C45911" w:themeColor="accent2" w:themeShade="BF"/>
        </w:rPr>
      </w:pPr>
    </w:p>
    <w:p w14:paraId="460D7136" w14:textId="77777777" w:rsidR="00946A9A" w:rsidRDefault="00946A9A" w:rsidP="00946A9A">
      <w:pPr>
        <w:rPr>
          <w:b/>
          <w:bCs/>
          <w:color w:val="C45911" w:themeColor="accent2" w:themeShade="BF"/>
        </w:rPr>
      </w:pPr>
    </w:p>
    <w:p w14:paraId="0CBD0DBF" w14:textId="77777777" w:rsidR="00946A9A" w:rsidRDefault="00946A9A" w:rsidP="00946A9A">
      <w:pPr>
        <w:rPr>
          <w:b/>
          <w:bCs/>
          <w:color w:val="C45911" w:themeColor="accent2" w:themeShade="BF"/>
        </w:rPr>
      </w:pPr>
    </w:p>
    <w:p w14:paraId="4BC513A8" w14:textId="77777777" w:rsidR="00946A9A" w:rsidRDefault="00946A9A" w:rsidP="00946A9A">
      <w:pPr>
        <w:rPr>
          <w:b/>
          <w:bCs/>
          <w:color w:val="C45911" w:themeColor="accent2" w:themeShade="BF"/>
        </w:rPr>
      </w:pPr>
    </w:p>
    <w:p w14:paraId="628FE181" w14:textId="77777777" w:rsidR="00946A9A" w:rsidRDefault="00946A9A" w:rsidP="00946A9A">
      <w:pPr>
        <w:rPr>
          <w:b/>
          <w:bCs/>
          <w:color w:val="C45911" w:themeColor="accent2" w:themeShade="BF"/>
        </w:rPr>
      </w:pPr>
    </w:p>
    <w:p w14:paraId="44CB0B06" w14:textId="0959B0A6" w:rsidR="00946A9A" w:rsidRDefault="00036355" w:rsidP="00946A9A">
      <w:pPr>
        <w:rPr>
          <w:b/>
          <w:bCs/>
          <w:color w:val="C45911" w:themeColor="accent2" w:themeShade="BF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5F8BB32" wp14:editId="4B94354E">
            <wp:simplePos x="0" y="0"/>
            <wp:positionH relativeFrom="column">
              <wp:posOffset>5167253</wp:posOffset>
            </wp:positionH>
            <wp:positionV relativeFrom="paragraph">
              <wp:posOffset>384175</wp:posOffset>
            </wp:positionV>
            <wp:extent cx="756285" cy="760095"/>
            <wp:effectExtent l="0" t="0" r="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011" b="98907" l="9341" r="89011">
                                  <a14:foregroundMark x1="35165" y1="52459" x2="35165" y2="52459"/>
                                  <a14:foregroundMark x1="18681" y1="51913" x2="18681" y2="51913"/>
                                  <a14:foregroundMark x1="18132" y1="41530" x2="18132" y2="41530"/>
                                  <a14:foregroundMark x1="20879" y1="28415" x2="20879" y2="28415"/>
                                  <a14:foregroundMark x1="30769" y1="38251" x2="30769" y2="38251"/>
                                  <a14:foregroundMark x1="46154" y1="36066" x2="46154" y2="36066"/>
                                  <a14:foregroundMark x1="62088" y1="36066" x2="62088" y2="36066"/>
                                  <a14:foregroundMark x1="77473" y1="37158" x2="77473" y2="37158"/>
                                  <a14:foregroundMark x1="73626" y1="51366" x2="73626" y2="51366"/>
                                  <a14:foregroundMark x1="34615" y1="28415" x2="34615" y2="28415"/>
                                  <a14:foregroundMark x1="41758" y1="20765" x2="41758" y2="20765"/>
                                  <a14:foregroundMark x1="37363" y1="9836" x2="37363" y2="9836"/>
                                  <a14:foregroundMark x1="41758" y1="6011" x2="41758" y2="6011"/>
                                  <a14:foregroundMark x1="19780" y1="16940" x2="19780" y2="16940"/>
                                  <a14:foregroundMark x1="50549" y1="6557" x2="50549" y2="6557"/>
                                  <a14:foregroundMark x1="65934" y1="7650" x2="65934" y2="7650"/>
                                  <a14:foregroundMark x1="53297" y1="18579" x2="53297" y2="18579"/>
                                  <a14:foregroundMark x1="74725" y1="19126" x2="74725" y2="19126"/>
                                  <a14:foregroundMark x1="83516" y1="27322" x2="83516" y2="27322"/>
                                  <a14:foregroundMark x1="87912" y1="44262" x2="87912" y2="44262"/>
                                  <a14:foregroundMark x1="62637" y1="45355" x2="62637" y2="45355"/>
                                  <a14:foregroundMark x1="50549" y1="48634" x2="50549" y2="48634"/>
                                  <a14:foregroundMark x1="58242" y1="60109" x2="58242" y2="60109"/>
                                  <a14:foregroundMark x1="48352" y1="92896" x2="48352" y2="92896"/>
                                  <a14:foregroundMark x1="51648" y1="96721" x2="51648" y2="96721"/>
                                  <a14:foregroundMark x1="42857" y1="98907" x2="42857" y2="98907"/>
                                  <a14:foregroundMark x1="50549" y1="68306" x2="50549" y2="68306"/>
                                  <a14:foregroundMark x1="17033" y1="30055" x2="17033" y2="30055"/>
                                  <a14:backgroundMark x1="20879" y1="27869" x2="20879" y2="278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77D">
        <w:rPr>
          <w:b/>
          <w:bCs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2EDF3" wp14:editId="7B3F49A2">
                <wp:simplePos x="0" y="0"/>
                <wp:positionH relativeFrom="column">
                  <wp:posOffset>-911352</wp:posOffset>
                </wp:positionH>
                <wp:positionV relativeFrom="paragraph">
                  <wp:posOffset>175895</wp:posOffset>
                </wp:positionV>
                <wp:extent cx="8022336" cy="1731264"/>
                <wp:effectExtent l="0" t="0" r="444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2336" cy="17312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22478" id="Rectangle 1" o:spid="_x0000_s1026" style="position:absolute;margin-left:-71.75pt;margin-top:13.85pt;width:631.7pt;height:1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" fillcolor="#e2efd9 [665]" stroked="f" strokeweight="1pt"/>
            </w:pict>
          </mc:Fallback>
        </mc:AlternateContent>
      </w:r>
    </w:p>
    <w:p w14:paraId="3C72B401" w14:textId="01147859" w:rsidR="00946A9A" w:rsidRDefault="00946A9A" w:rsidP="00946A9A">
      <w:pPr>
        <w:rPr>
          <w:b/>
          <w:bCs/>
          <w:color w:val="C45911" w:themeColor="accent2" w:themeShade="BF"/>
        </w:rPr>
      </w:pPr>
    </w:p>
    <w:p w14:paraId="17706780" w14:textId="77777777" w:rsidR="00946A9A" w:rsidRDefault="006C377D" w:rsidP="00946A9A">
      <w:pPr>
        <w:rPr>
          <w:b/>
          <w:bCs/>
          <w:color w:val="C45911" w:themeColor="accent2" w:themeShade="BF"/>
        </w:rPr>
      </w:pPr>
      <w:r>
        <w:rPr>
          <w:b/>
          <w:bCs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7C836" wp14:editId="448228C6">
                <wp:simplePos x="0" y="0"/>
                <wp:positionH relativeFrom="column">
                  <wp:posOffset>-40640</wp:posOffset>
                </wp:positionH>
                <wp:positionV relativeFrom="paragraph">
                  <wp:posOffset>111760</wp:posOffset>
                </wp:positionV>
                <wp:extent cx="5178175" cy="685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1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1CFE7" w14:textId="77777777" w:rsidR="0056494A" w:rsidRPr="00946A9A" w:rsidRDefault="0056494A" w:rsidP="00910D96">
                            <w:pPr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</w:pPr>
                            <w:r w:rsidRPr="00946A9A"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  <w:t xml:space="preserve">For more information and resources about the Fund in English and Spanish: </w:t>
                            </w:r>
                          </w:p>
                          <w:p w14:paraId="2A51B240" w14:textId="77777777" w:rsidR="0056494A" w:rsidRDefault="00432371" w:rsidP="00910D96">
                            <w:hyperlink r:id="rId11" w:history="1">
                              <w:r w:rsidR="0056494A" w:rsidRPr="00900F33">
                                <w:rPr>
                                  <w:rStyle w:val="Hyperlink"/>
                                </w:rPr>
                                <w:t>www.mass.gov/cicrf</w:t>
                              </w:r>
                            </w:hyperlink>
                            <w:r w:rsidR="0056494A">
                              <w:t xml:space="preserve"> </w:t>
                            </w:r>
                            <w:r w:rsidR="0056494A" w:rsidRPr="0056494A">
                              <w:t>•</w:t>
                            </w:r>
                            <w:r w:rsidR="0056494A">
                              <w:t xml:space="preserve"> 617-624-5951 </w:t>
                            </w:r>
                            <w:r w:rsidR="0056494A" w:rsidRPr="0056494A">
                              <w:t>•</w:t>
                            </w:r>
                            <w:r w:rsidR="0056494A">
                              <w:t xml:space="preserve"> </w:t>
                            </w:r>
                            <w:hyperlink r:id="rId12" w:history="1">
                              <w:r w:rsidR="0056494A" w:rsidRPr="00900F33">
                                <w:rPr>
                                  <w:rStyle w:val="Hyperlink"/>
                                </w:rPr>
                                <w:t>cicrf.dph@mass.gov</w:t>
                              </w:r>
                            </w:hyperlink>
                            <w:r w:rsidR="0056494A">
                              <w:t xml:space="preserve"> </w:t>
                            </w:r>
                          </w:p>
                          <w:p w14:paraId="1B301938" w14:textId="77777777" w:rsidR="0056494A" w:rsidRDefault="0056494A" w:rsidP="00910D96">
                            <w:r>
                              <w:t>Spanish and Haitian Creole speakers available</w:t>
                            </w:r>
                          </w:p>
                          <w:p w14:paraId="1F443643" w14:textId="77777777" w:rsidR="0056494A" w:rsidRDefault="0056494A" w:rsidP="00910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7C8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.2pt;margin-top:8.8pt;width:407.7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" filled="f" stroked="f" strokeweight=".5pt">
                <v:textbox>
                  <w:txbxContent>
                    <w:p w14:paraId="54C1CFE7" w14:textId="77777777" w:rsidR="0056494A" w:rsidRPr="00946A9A" w:rsidRDefault="0056494A" w:rsidP="00910D96">
                      <w:pPr>
                        <w:rPr>
                          <w:b/>
                          <w:bCs/>
                          <w:color w:val="385623" w:themeColor="accent6" w:themeShade="80"/>
                        </w:rPr>
                      </w:pPr>
                      <w:r w:rsidRPr="00946A9A">
                        <w:rPr>
                          <w:b/>
                          <w:bCs/>
                          <w:color w:val="385623" w:themeColor="accent6" w:themeShade="80"/>
                        </w:rPr>
                        <w:t xml:space="preserve">For more information and resources about the Fund in English and Spanish: </w:t>
                      </w:r>
                    </w:p>
                    <w:p w14:paraId="2A51B240" w14:textId="77777777" w:rsidR="0056494A" w:rsidRDefault="00F53893" w:rsidP="00910D96">
                      <w:hyperlink r:id="rId13" w:history="1">
                        <w:r w:rsidR="0056494A" w:rsidRPr="00900F33">
                          <w:rPr>
                            <w:rStyle w:val="Hyperlink"/>
                          </w:rPr>
                          <w:t>www.mass.gov/cicrf</w:t>
                        </w:r>
                      </w:hyperlink>
                      <w:r w:rsidR="0056494A">
                        <w:t xml:space="preserve"> </w:t>
                      </w:r>
                      <w:r w:rsidR="0056494A" w:rsidRPr="0056494A">
                        <w:t>•</w:t>
                      </w:r>
                      <w:r w:rsidR="0056494A">
                        <w:t xml:space="preserve"> 617-624-5951 </w:t>
                      </w:r>
                      <w:r w:rsidR="0056494A" w:rsidRPr="0056494A">
                        <w:t>•</w:t>
                      </w:r>
                      <w:r w:rsidR="0056494A">
                        <w:t xml:space="preserve"> </w:t>
                      </w:r>
                      <w:hyperlink r:id="rId14" w:history="1">
                        <w:r w:rsidR="0056494A" w:rsidRPr="00900F33">
                          <w:rPr>
                            <w:rStyle w:val="Hyperlink"/>
                          </w:rPr>
                          <w:t>cicrf.dph@mass.gov</w:t>
                        </w:r>
                      </w:hyperlink>
                      <w:r w:rsidR="0056494A">
                        <w:t xml:space="preserve"> </w:t>
                      </w:r>
                    </w:p>
                    <w:p w14:paraId="1B301938" w14:textId="77777777" w:rsidR="0056494A" w:rsidRDefault="0056494A" w:rsidP="00910D96">
                      <w:r>
                        <w:t>Spanish and Haitian Creole speakers available</w:t>
                      </w:r>
                    </w:p>
                    <w:p w14:paraId="1F443643" w14:textId="77777777" w:rsidR="0056494A" w:rsidRDefault="0056494A" w:rsidP="00910D96"/>
                  </w:txbxContent>
                </v:textbox>
              </v:shape>
            </w:pict>
          </mc:Fallback>
        </mc:AlternateContent>
      </w:r>
    </w:p>
    <w:p w14:paraId="4E3F6ADF" w14:textId="77777777" w:rsidR="00946A9A" w:rsidRDefault="00946A9A" w:rsidP="00946A9A">
      <w:pPr>
        <w:rPr>
          <w:b/>
          <w:bCs/>
          <w:color w:val="C45911" w:themeColor="accent2" w:themeShade="BF"/>
        </w:rPr>
      </w:pPr>
    </w:p>
    <w:p w14:paraId="71F3D0E3" w14:textId="77777777" w:rsidR="00946A9A" w:rsidRDefault="00946A9A" w:rsidP="00946A9A">
      <w:pPr>
        <w:rPr>
          <w:b/>
          <w:bCs/>
          <w:color w:val="C45911" w:themeColor="accent2" w:themeShade="BF"/>
        </w:rPr>
      </w:pPr>
    </w:p>
    <w:p w14:paraId="1F8C0D64" w14:textId="77777777" w:rsidR="00946A9A" w:rsidRPr="00946A9A" w:rsidRDefault="00946A9A" w:rsidP="00946A9A">
      <w:pPr>
        <w:rPr>
          <w:b/>
          <w:bCs/>
          <w:color w:val="C45911" w:themeColor="accent2" w:themeShade="BF"/>
        </w:rPr>
      </w:pPr>
      <w:r w:rsidRPr="00946A9A">
        <w:rPr>
          <w:b/>
          <w:bCs/>
          <w:color w:val="C45911" w:themeColor="accent2" w:themeShade="BF"/>
        </w:rPr>
        <w:t>Eligibility Expenses</w:t>
      </w:r>
    </w:p>
    <w:p w14:paraId="5AEA6907" w14:textId="77777777" w:rsidR="00946A9A" w:rsidRDefault="00946A9A" w:rsidP="00946A9A">
      <w:r>
        <w:t xml:space="preserve">CICRF provides reimbursement for actual expenses incurred and not for anticipated future expenses. CICRF considers expenses going back 24 months from the date a family’s application is received. Eligible expenses reimbursed may include but are not limited to: </w:t>
      </w:r>
    </w:p>
    <w:p w14:paraId="6DCC181E" w14:textId="77777777" w:rsidR="00946A9A" w:rsidRDefault="00946A9A" w:rsidP="00946A9A">
      <w:pPr>
        <w:pStyle w:val="ListParagraph"/>
        <w:numPr>
          <w:ilvl w:val="0"/>
          <w:numId w:val="2"/>
        </w:numPr>
      </w:pPr>
      <w:r>
        <w:t xml:space="preserve">Stipend related to hospital appointments and admissions </w:t>
      </w:r>
    </w:p>
    <w:p w14:paraId="49C62A4A" w14:textId="77777777" w:rsidR="00946A9A" w:rsidRDefault="00946A9A" w:rsidP="00946A9A">
      <w:pPr>
        <w:pStyle w:val="ListParagraph"/>
        <w:numPr>
          <w:ilvl w:val="0"/>
          <w:numId w:val="2"/>
        </w:numPr>
      </w:pPr>
      <w:r>
        <w:t xml:space="preserve">Medically related home and vehicle modifications, with limitations </w:t>
      </w:r>
    </w:p>
    <w:p w14:paraId="5251283B" w14:textId="77777777" w:rsidR="00946A9A" w:rsidRDefault="00946A9A" w:rsidP="00946A9A">
      <w:pPr>
        <w:pStyle w:val="ListParagraph"/>
        <w:numPr>
          <w:ilvl w:val="0"/>
          <w:numId w:val="2"/>
        </w:numPr>
      </w:pPr>
      <w:r>
        <w:t>Medical equipment and supplies</w:t>
      </w:r>
    </w:p>
    <w:p w14:paraId="0E8146FD" w14:textId="77777777" w:rsidR="00946A9A" w:rsidRDefault="00946A9A" w:rsidP="00946A9A">
      <w:pPr>
        <w:pStyle w:val="ListParagraph"/>
        <w:numPr>
          <w:ilvl w:val="0"/>
          <w:numId w:val="2"/>
        </w:numPr>
      </w:pPr>
      <w:r>
        <w:t xml:space="preserve">Medications </w:t>
      </w:r>
    </w:p>
    <w:p w14:paraId="6BB15F12" w14:textId="548560F6" w:rsidR="00946A9A" w:rsidRDefault="00946A9A" w:rsidP="005573BD">
      <w:pPr>
        <w:pStyle w:val="ListParagraph"/>
        <w:numPr>
          <w:ilvl w:val="0"/>
          <w:numId w:val="2"/>
        </w:numPr>
      </w:pPr>
      <w:r>
        <w:t xml:space="preserve">CommonHealth premiums </w:t>
      </w:r>
    </w:p>
    <w:p w14:paraId="0E992F60" w14:textId="102B40D6" w:rsidR="00946A9A" w:rsidRDefault="00946A9A" w:rsidP="00946A9A">
      <w:pPr>
        <w:pStyle w:val="ListParagraph"/>
        <w:numPr>
          <w:ilvl w:val="0"/>
          <w:numId w:val="2"/>
        </w:numPr>
      </w:pPr>
      <w:r>
        <w:t xml:space="preserve">Uncovered </w:t>
      </w:r>
      <w:r w:rsidR="002A56D2">
        <w:t xml:space="preserve">hospital, physician, therapy and other medical </w:t>
      </w:r>
      <w:r>
        <w:t xml:space="preserve">expenses </w:t>
      </w:r>
    </w:p>
    <w:p w14:paraId="25BB36D7" w14:textId="410BBBB7" w:rsidR="00946A9A" w:rsidRDefault="00946A9A" w:rsidP="00946A9A">
      <w:pPr>
        <w:pStyle w:val="ListParagraph"/>
        <w:numPr>
          <w:ilvl w:val="0"/>
          <w:numId w:val="2"/>
        </w:numPr>
      </w:pPr>
      <w:r>
        <w:t>Fun</w:t>
      </w:r>
      <w:r w:rsidR="00AD2032">
        <w:t>eral</w:t>
      </w:r>
      <w:r>
        <w:t xml:space="preserve"> expenses (with limitations) </w:t>
      </w:r>
    </w:p>
    <w:p w14:paraId="1A339C17" w14:textId="77777777" w:rsidR="00946A9A" w:rsidRDefault="00946A9A" w:rsidP="005F65D7"/>
    <w:p w14:paraId="48F7EADB" w14:textId="77777777" w:rsidR="0056494A" w:rsidRPr="005F65D7" w:rsidRDefault="006F7D32" w:rsidP="005F65D7">
      <w:r>
        <w:rPr>
          <w:b/>
          <w:bCs/>
          <w:noProof/>
          <w:color w:val="ED7D31" w:themeColor="accent2"/>
        </w:rPr>
        <w:drawing>
          <wp:anchor distT="0" distB="0" distL="114300" distR="114300" simplePos="0" relativeHeight="251665408" behindDoc="0" locked="0" layoutInCell="1" allowOverlap="1" wp14:anchorId="668D9E40" wp14:editId="69D7EE7E">
            <wp:simplePos x="0" y="0"/>
            <wp:positionH relativeFrom="column">
              <wp:posOffset>2550160</wp:posOffset>
            </wp:positionH>
            <wp:positionV relativeFrom="paragraph">
              <wp:posOffset>2588260</wp:posOffset>
            </wp:positionV>
            <wp:extent cx="812165" cy="812165"/>
            <wp:effectExtent l="0" t="0" r="63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494A" w:rsidRPr="005F65D7" w:rsidSect="006C377D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F7DAE" w14:textId="77777777" w:rsidR="003060FC" w:rsidRDefault="003060FC" w:rsidP="0056494A">
      <w:r>
        <w:separator/>
      </w:r>
    </w:p>
  </w:endnote>
  <w:endnote w:type="continuationSeparator" w:id="0">
    <w:p w14:paraId="73A77882" w14:textId="77777777" w:rsidR="003060FC" w:rsidRDefault="003060FC" w:rsidP="0056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59E65" w14:textId="77777777" w:rsidR="003060FC" w:rsidRDefault="003060FC" w:rsidP="0056494A">
      <w:r>
        <w:separator/>
      </w:r>
    </w:p>
  </w:footnote>
  <w:footnote w:type="continuationSeparator" w:id="0">
    <w:p w14:paraId="084CE1FB" w14:textId="77777777" w:rsidR="003060FC" w:rsidRDefault="003060FC" w:rsidP="0056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4568E" w14:textId="77777777" w:rsidR="0056494A" w:rsidRDefault="00564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436C4"/>
    <w:multiLevelType w:val="hybridMultilevel"/>
    <w:tmpl w:val="75DE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4530"/>
    <w:multiLevelType w:val="hybridMultilevel"/>
    <w:tmpl w:val="EE14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5119">
    <w:abstractNumId w:val="0"/>
  </w:num>
  <w:num w:numId="2" w16cid:durableId="91521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D7"/>
    <w:rsid w:val="00036355"/>
    <w:rsid w:val="00204130"/>
    <w:rsid w:val="002228FE"/>
    <w:rsid w:val="002319B9"/>
    <w:rsid w:val="002A56D2"/>
    <w:rsid w:val="002C60C3"/>
    <w:rsid w:val="003060FC"/>
    <w:rsid w:val="00396096"/>
    <w:rsid w:val="003D3D0F"/>
    <w:rsid w:val="00432371"/>
    <w:rsid w:val="00442500"/>
    <w:rsid w:val="005543BB"/>
    <w:rsid w:val="005573BD"/>
    <w:rsid w:val="0056494A"/>
    <w:rsid w:val="005F65D7"/>
    <w:rsid w:val="00610516"/>
    <w:rsid w:val="006C377D"/>
    <w:rsid w:val="006F7D32"/>
    <w:rsid w:val="007337BE"/>
    <w:rsid w:val="008A69B9"/>
    <w:rsid w:val="00910D96"/>
    <w:rsid w:val="00946A9A"/>
    <w:rsid w:val="00950C01"/>
    <w:rsid w:val="00983310"/>
    <w:rsid w:val="00985D14"/>
    <w:rsid w:val="00A03508"/>
    <w:rsid w:val="00A41AE4"/>
    <w:rsid w:val="00AD2032"/>
    <w:rsid w:val="00B27BB1"/>
    <w:rsid w:val="00BF6C5C"/>
    <w:rsid w:val="00C60919"/>
    <w:rsid w:val="00E06C3F"/>
    <w:rsid w:val="00E644BF"/>
    <w:rsid w:val="00E90D17"/>
    <w:rsid w:val="00F17071"/>
    <w:rsid w:val="00F5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64A4"/>
  <w15:chartTrackingRefBased/>
  <w15:docId w15:val="{35F2EF95-4F19-3F47-B6CE-BFDBAD50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C60C3"/>
    <w:pPr>
      <w:keepNext/>
      <w:keepLines/>
      <w:spacing w:before="40"/>
      <w:outlineLvl w:val="4"/>
    </w:pPr>
    <w:rPr>
      <w:rFonts w:eastAsiaTheme="majorEastAsia" w:cstheme="majorBidi"/>
      <w:b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C60C3"/>
    <w:rPr>
      <w:rFonts w:eastAsiaTheme="majorEastAsia" w:cstheme="majorBidi"/>
      <w:b/>
      <w:color w:val="2F5496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5F6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5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4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94A"/>
  </w:style>
  <w:style w:type="paragraph" w:styleId="Footer">
    <w:name w:val="footer"/>
    <w:basedOn w:val="Normal"/>
    <w:link w:val="FooterChar"/>
    <w:uiPriority w:val="99"/>
    <w:unhideWhenUsed/>
    <w:rsid w:val="00564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94A"/>
  </w:style>
  <w:style w:type="character" w:styleId="FollowedHyperlink">
    <w:name w:val="FollowedHyperlink"/>
    <w:basedOn w:val="DefaultParagraphFont"/>
    <w:uiPriority w:val="99"/>
    <w:semiHidden/>
    <w:unhideWhenUsed/>
    <w:rsid w:val="005649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cicr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icrf.dph@mass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cicr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cicrf.dph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Aynsley Chaneco</dc:creator>
  <cp:keywords/>
  <dc:description/>
  <cp:lastModifiedBy>Harrison, Deborah (EHS)</cp:lastModifiedBy>
  <cp:revision>2</cp:revision>
  <dcterms:created xsi:type="dcterms:W3CDTF">2024-08-30T17:19:00Z</dcterms:created>
  <dcterms:modified xsi:type="dcterms:W3CDTF">2024-08-30T17:19:00Z</dcterms:modified>
</cp:coreProperties>
</file>