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642" w:rsidRPr="00DC51C2" w:rsidRDefault="003B5642" w:rsidP="003B5642">
      <w:pPr>
        <w:jc w:val="center"/>
        <w:rPr>
          <w:szCs w:val="24"/>
        </w:rPr>
      </w:pPr>
    </w:p>
    <w:p w:rsidR="003B5642" w:rsidRPr="00DC51C2" w:rsidRDefault="003B5642" w:rsidP="003B5642">
      <w:pPr>
        <w:jc w:val="center"/>
        <w:rPr>
          <w:szCs w:val="24"/>
        </w:rPr>
      </w:pPr>
    </w:p>
    <w:p w:rsidR="003B5642" w:rsidRDefault="003B5642" w:rsidP="00DD05F9">
      <w:pPr>
        <w:tabs>
          <w:tab w:val="left" w:pos="7964"/>
        </w:tabs>
        <w:jc w:val="center"/>
        <w:rPr>
          <w:szCs w:val="24"/>
        </w:rPr>
      </w:pPr>
    </w:p>
    <w:p w:rsidR="003B5642" w:rsidRPr="00DC51C2" w:rsidRDefault="003B5642" w:rsidP="003B5642">
      <w:pPr>
        <w:jc w:val="center"/>
        <w:rPr>
          <w:b/>
          <w:bCs/>
          <w:szCs w:val="24"/>
        </w:rPr>
      </w:pPr>
      <w:r w:rsidRPr="00DC51C2">
        <w:rPr>
          <w:b/>
          <w:bCs/>
          <w:szCs w:val="24"/>
        </w:rPr>
        <w:t>Circular: DCP 19-</w:t>
      </w:r>
      <w:r w:rsidR="002006AD">
        <w:rPr>
          <w:b/>
          <w:bCs/>
          <w:szCs w:val="24"/>
        </w:rPr>
        <w:t>12</w:t>
      </w:r>
      <w:r w:rsidRPr="00DC51C2">
        <w:rPr>
          <w:b/>
          <w:bCs/>
          <w:szCs w:val="24"/>
        </w:rPr>
        <w:t>-</w:t>
      </w:r>
      <w:r w:rsidR="002006AD">
        <w:rPr>
          <w:b/>
          <w:bCs/>
          <w:szCs w:val="24"/>
        </w:rPr>
        <w:t>108</w:t>
      </w:r>
    </w:p>
    <w:p w:rsidR="003B5642" w:rsidRPr="00DD05F9" w:rsidRDefault="003B5642" w:rsidP="003B5642">
      <w:pPr>
        <w:jc w:val="center"/>
        <w:rPr>
          <w:szCs w:val="24"/>
        </w:rPr>
      </w:pPr>
    </w:p>
    <w:p w:rsidR="003B5642" w:rsidRPr="00DD05F9" w:rsidRDefault="003B5642" w:rsidP="003B5642">
      <w:pPr>
        <w:tabs>
          <w:tab w:val="left" w:pos="1800"/>
        </w:tabs>
        <w:rPr>
          <w:b/>
          <w:szCs w:val="24"/>
        </w:rPr>
      </w:pPr>
      <w:r w:rsidRPr="00DD05F9">
        <w:rPr>
          <w:b/>
          <w:szCs w:val="24"/>
        </w:rPr>
        <w:t>TO:</w:t>
      </w:r>
      <w:r w:rsidRPr="00DD05F9">
        <w:rPr>
          <w:b/>
          <w:szCs w:val="24"/>
        </w:rPr>
        <w:tab/>
      </w:r>
      <w:r w:rsidRPr="00DD05F9">
        <w:rPr>
          <w:szCs w:val="24"/>
        </w:rPr>
        <w:t>Massachusetts Registered Prescribers and Pharmacies</w:t>
      </w:r>
    </w:p>
    <w:p w:rsidR="003B5642" w:rsidRPr="00DD05F9" w:rsidRDefault="003B5642" w:rsidP="003B5642">
      <w:pPr>
        <w:tabs>
          <w:tab w:val="left" w:pos="1800"/>
        </w:tabs>
        <w:rPr>
          <w:szCs w:val="24"/>
        </w:rPr>
      </w:pPr>
    </w:p>
    <w:p w:rsidR="003B5642" w:rsidRPr="00DD05F9" w:rsidRDefault="003B5642" w:rsidP="003B5642">
      <w:pPr>
        <w:tabs>
          <w:tab w:val="left" w:pos="1800"/>
        </w:tabs>
        <w:rPr>
          <w:b/>
          <w:szCs w:val="24"/>
        </w:rPr>
      </w:pPr>
      <w:r w:rsidRPr="00DD05F9">
        <w:rPr>
          <w:b/>
          <w:szCs w:val="24"/>
        </w:rPr>
        <w:t>FROM:</w:t>
      </w:r>
      <w:r w:rsidRPr="00DD05F9">
        <w:rPr>
          <w:b/>
          <w:szCs w:val="24"/>
        </w:rPr>
        <w:tab/>
      </w:r>
      <w:r w:rsidRPr="00DD05F9">
        <w:rPr>
          <w:szCs w:val="24"/>
        </w:rPr>
        <w:t>James Lavery, Director, Bureau of Health Professions Licensure</w:t>
      </w:r>
    </w:p>
    <w:p w:rsidR="003B5642" w:rsidRPr="00DD05F9" w:rsidRDefault="003B5642" w:rsidP="003B5642">
      <w:pPr>
        <w:tabs>
          <w:tab w:val="left" w:pos="1800"/>
        </w:tabs>
        <w:rPr>
          <w:szCs w:val="24"/>
        </w:rPr>
      </w:pPr>
    </w:p>
    <w:p w:rsidR="003B5642" w:rsidRPr="00DD05F9" w:rsidRDefault="003B5642" w:rsidP="003B5642">
      <w:pPr>
        <w:tabs>
          <w:tab w:val="left" w:pos="1800"/>
        </w:tabs>
        <w:rPr>
          <w:b/>
          <w:szCs w:val="24"/>
        </w:rPr>
      </w:pPr>
      <w:r w:rsidRPr="00DD05F9">
        <w:rPr>
          <w:b/>
          <w:szCs w:val="24"/>
        </w:rPr>
        <w:t>DATE:</w:t>
      </w:r>
      <w:r w:rsidRPr="00DD05F9">
        <w:rPr>
          <w:b/>
          <w:szCs w:val="24"/>
        </w:rPr>
        <w:tab/>
      </w:r>
      <w:r w:rsidR="00E4076B" w:rsidRPr="00851612">
        <w:rPr>
          <w:szCs w:val="24"/>
        </w:rPr>
        <w:t xml:space="preserve">December </w:t>
      </w:r>
      <w:r w:rsidR="002006AD" w:rsidRPr="00851612">
        <w:rPr>
          <w:szCs w:val="24"/>
        </w:rPr>
        <w:t>27</w:t>
      </w:r>
      <w:r w:rsidRPr="00851612">
        <w:rPr>
          <w:szCs w:val="24"/>
        </w:rPr>
        <w:t>, 2019</w:t>
      </w:r>
    </w:p>
    <w:p w:rsidR="003B5642" w:rsidRPr="00DD05F9" w:rsidRDefault="003B5642" w:rsidP="003B5642">
      <w:pPr>
        <w:tabs>
          <w:tab w:val="left" w:pos="1800"/>
        </w:tabs>
        <w:rPr>
          <w:szCs w:val="24"/>
        </w:rPr>
      </w:pPr>
    </w:p>
    <w:p w:rsidR="003B5642" w:rsidRPr="00DD05F9" w:rsidRDefault="003B5642" w:rsidP="003B5642">
      <w:pPr>
        <w:tabs>
          <w:tab w:val="left" w:pos="1800"/>
        </w:tabs>
        <w:ind w:left="1800" w:hanging="1800"/>
        <w:rPr>
          <w:b/>
          <w:szCs w:val="24"/>
        </w:rPr>
      </w:pPr>
      <w:r w:rsidRPr="00DD05F9">
        <w:rPr>
          <w:b/>
          <w:szCs w:val="24"/>
        </w:rPr>
        <w:t>SUBJECT:</w:t>
      </w:r>
      <w:r w:rsidRPr="00DD05F9">
        <w:rPr>
          <w:b/>
          <w:szCs w:val="24"/>
        </w:rPr>
        <w:tab/>
      </w:r>
      <w:r w:rsidRPr="00DD05F9">
        <w:rPr>
          <w:szCs w:val="24"/>
        </w:rPr>
        <w:t>Electronic Prescribing and Dispensing Manual</w:t>
      </w:r>
    </w:p>
    <w:p w:rsidR="003B5642" w:rsidRPr="00DC51C2" w:rsidRDefault="003B5642" w:rsidP="003B5642">
      <w:pPr>
        <w:tabs>
          <w:tab w:val="left" w:pos="1800"/>
        </w:tabs>
        <w:rPr>
          <w:szCs w:val="24"/>
        </w:rPr>
      </w:pPr>
    </w:p>
    <w:p w:rsidR="003B5642" w:rsidRPr="00DC51C2" w:rsidRDefault="003B5642" w:rsidP="003B5642">
      <w:pPr>
        <w:pStyle w:val="Header"/>
        <w:rPr>
          <w:b/>
          <w:szCs w:val="24"/>
        </w:rPr>
      </w:pPr>
      <w:r w:rsidRPr="00DC51C2">
        <w:rPr>
          <w:b/>
          <w:szCs w:val="24"/>
        </w:rPr>
        <w:t>Purpose</w:t>
      </w:r>
    </w:p>
    <w:p w:rsidR="003B5642" w:rsidRPr="00DC51C2" w:rsidRDefault="003B5642" w:rsidP="003B5642">
      <w:pPr>
        <w:pStyle w:val="Header"/>
        <w:rPr>
          <w:szCs w:val="24"/>
        </w:rPr>
      </w:pPr>
      <w:r w:rsidRPr="00DC51C2">
        <w:rPr>
          <w:szCs w:val="24"/>
        </w:rPr>
        <w:t>The purpose of this Manual is to provide guidance to registered prescribers and pharmacies</w:t>
      </w:r>
      <w:r w:rsidRPr="00DC51C2">
        <w:rPr>
          <w:rStyle w:val="FootnoteReference"/>
          <w:szCs w:val="24"/>
        </w:rPr>
        <w:footnoteReference w:id="1"/>
      </w:r>
      <w:r w:rsidRPr="00DC51C2">
        <w:rPr>
          <w:szCs w:val="24"/>
        </w:rPr>
        <w:t xml:space="preserve"> for prescribing and dispensing </w:t>
      </w:r>
      <w:r w:rsidR="004C00AD">
        <w:rPr>
          <w:szCs w:val="24"/>
        </w:rPr>
        <w:t>controlled substances and medical devices</w:t>
      </w:r>
      <w:r w:rsidR="004C00AD" w:rsidRPr="00DC51C2">
        <w:rPr>
          <w:szCs w:val="24"/>
        </w:rPr>
        <w:t xml:space="preserve"> </w:t>
      </w:r>
      <w:r w:rsidRPr="00DC51C2">
        <w:rPr>
          <w:szCs w:val="24"/>
        </w:rPr>
        <w:t>by electronic prescription</w:t>
      </w:r>
      <w:r>
        <w:rPr>
          <w:szCs w:val="24"/>
        </w:rPr>
        <w:t xml:space="preserve"> (ePrescription</w:t>
      </w:r>
      <w:r w:rsidR="004C00AD">
        <w:rPr>
          <w:szCs w:val="24"/>
        </w:rPr>
        <w:t>)</w:t>
      </w:r>
      <w:r w:rsidR="006239CD">
        <w:rPr>
          <w:szCs w:val="24"/>
        </w:rPr>
        <w:t>, as outlined in state law</w:t>
      </w:r>
      <w:r w:rsidR="00E4076B">
        <w:rPr>
          <w:rStyle w:val="FootnoteReference"/>
          <w:szCs w:val="24"/>
        </w:rPr>
        <w:footnoteReference w:id="2"/>
      </w:r>
      <w:r w:rsidR="006239CD">
        <w:rPr>
          <w:szCs w:val="24"/>
        </w:rPr>
        <w:t xml:space="preserve"> and the Department’s ePrescribing regulation</w:t>
      </w:r>
      <w:r w:rsidR="00E4076B">
        <w:rPr>
          <w:szCs w:val="24"/>
        </w:rPr>
        <w:t>.</w:t>
      </w:r>
      <w:r w:rsidR="006239CD">
        <w:rPr>
          <w:rStyle w:val="FootnoteReference"/>
          <w:szCs w:val="24"/>
        </w:rPr>
        <w:footnoteReference w:id="3"/>
      </w:r>
    </w:p>
    <w:p w:rsidR="003B5642" w:rsidRDefault="003B5642" w:rsidP="003B5642">
      <w:pPr>
        <w:pStyle w:val="Header"/>
        <w:rPr>
          <w:szCs w:val="24"/>
        </w:rPr>
      </w:pPr>
    </w:p>
    <w:p w:rsidR="00762E73" w:rsidRDefault="007928BE" w:rsidP="00DD05F9">
      <w:pPr>
        <w:pStyle w:val="Header"/>
        <w:rPr>
          <w:szCs w:val="24"/>
        </w:rPr>
      </w:pPr>
      <w:r>
        <w:rPr>
          <w:szCs w:val="24"/>
        </w:rPr>
        <w:t>The regulation provides a one-year grace period</w:t>
      </w:r>
      <w:r>
        <w:rPr>
          <w:rStyle w:val="FootnoteReference"/>
          <w:szCs w:val="24"/>
        </w:rPr>
        <w:footnoteReference w:id="4"/>
      </w:r>
      <w:r>
        <w:rPr>
          <w:szCs w:val="24"/>
        </w:rPr>
        <w:t xml:space="preserve"> </w:t>
      </w:r>
      <w:r w:rsidR="004C00AD">
        <w:rPr>
          <w:szCs w:val="24"/>
        </w:rPr>
        <w:t>from the statutory requirements,</w:t>
      </w:r>
      <w:r w:rsidR="004C00AD">
        <w:rPr>
          <w:rStyle w:val="FootnoteReference"/>
          <w:szCs w:val="24"/>
        </w:rPr>
        <w:footnoteReference w:id="5"/>
      </w:r>
      <w:r w:rsidR="00424E56">
        <w:rPr>
          <w:szCs w:val="24"/>
        </w:rPr>
        <w:t xml:space="preserve"> and authorizes</w:t>
      </w:r>
      <w:r>
        <w:rPr>
          <w:szCs w:val="24"/>
        </w:rPr>
        <w:t xml:space="preserve"> written and oral prescriptions to be issued for all controlled substances and medical devices throughout 2020. Beginning January 1, 2021, unless covered by an exception, </w:t>
      </w:r>
      <w:r w:rsidRPr="00DC51C2">
        <w:rPr>
          <w:szCs w:val="24"/>
        </w:rPr>
        <w:t xml:space="preserve">all </w:t>
      </w:r>
      <w:r>
        <w:rPr>
          <w:szCs w:val="24"/>
        </w:rPr>
        <w:t xml:space="preserve">prescriptions for </w:t>
      </w:r>
      <w:r w:rsidRPr="00DC51C2">
        <w:rPr>
          <w:szCs w:val="24"/>
        </w:rPr>
        <w:t>controlled substances and medical devices</w:t>
      </w:r>
      <w:r>
        <w:rPr>
          <w:szCs w:val="24"/>
        </w:rPr>
        <w:t xml:space="preserve"> must be issued electronically.</w:t>
      </w:r>
      <w:r>
        <w:rPr>
          <w:rStyle w:val="FootnoteReference"/>
          <w:szCs w:val="24"/>
        </w:rPr>
        <w:footnoteReference w:id="6"/>
      </w:r>
      <w:r>
        <w:rPr>
          <w:szCs w:val="24"/>
        </w:rPr>
        <w:t xml:space="preserve"> </w:t>
      </w:r>
    </w:p>
    <w:p w:rsidR="00762E73" w:rsidRDefault="00762E73" w:rsidP="003B5642">
      <w:pPr>
        <w:pStyle w:val="Header"/>
        <w:rPr>
          <w:szCs w:val="24"/>
        </w:rPr>
      </w:pPr>
    </w:p>
    <w:p w:rsidR="009B3DD4" w:rsidRDefault="00DD05F9" w:rsidP="003B5642">
      <w:pPr>
        <w:pStyle w:val="Header"/>
        <w:rPr>
          <w:szCs w:val="24"/>
        </w:rPr>
      </w:pPr>
      <w:r>
        <w:rPr>
          <w:szCs w:val="24"/>
        </w:rPr>
        <w:t>A</w:t>
      </w:r>
      <w:r w:rsidR="00E4076B">
        <w:rPr>
          <w:szCs w:val="24"/>
        </w:rPr>
        <w:t xml:space="preserve">s </w:t>
      </w:r>
      <w:r w:rsidR="009B3DD4">
        <w:rPr>
          <w:szCs w:val="24"/>
        </w:rPr>
        <w:t>used throughout this guidance</w:t>
      </w:r>
      <w:r w:rsidR="00E4076B">
        <w:rPr>
          <w:szCs w:val="24"/>
        </w:rPr>
        <w:t>,</w:t>
      </w:r>
      <w:r w:rsidR="009B3DD4">
        <w:rPr>
          <w:szCs w:val="24"/>
        </w:rPr>
        <w:t xml:space="preserve"> </w:t>
      </w:r>
      <w:r>
        <w:rPr>
          <w:szCs w:val="24"/>
        </w:rPr>
        <w:t xml:space="preserve">the following terms shall have the </w:t>
      </w:r>
      <w:r w:rsidR="009B3DD4">
        <w:rPr>
          <w:szCs w:val="24"/>
        </w:rPr>
        <w:t>following</w:t>
      </w:r>
      <w:r>
        <w:rPr>
          <w:szCs w:val="24"/>
        </w:rPr>
        <w:t xml:space="preserve"> meaning</w:t>
      </w:r>
      <w:r w:rsidR="009B3DD4">
        <w:rPr>
          <w:szCs w:val="24"/>
        </w:rPr>
        <w:t>:</w:t>
      </w:r>
    </w:p>
    <w:p w:rsidR="009B3DD4" w:rsidRDefault="003B5642" w:rsidP="00DD05F9">
      <w:pPr>
        <w:pStyle w:val="Header"/>
        <w:numPr>
          <w:ilvl w:val="0"/>
          <w:numId w:val="35"/>
        </w:numPr>
        <w:rPr>
          <w:szCs w:val="24"/>
          <w:shd w:val="clear" w:color="auto" w:fill="FFFFFF"/>
        </w:rPr>
      </w:pPr>
      <w:r w:rsidRPr="00DC51C2">
        <w:rPr>
          <w:szCs w:val="24"/>
        </w:rPr>
        <w:t xml:space="preserve">In Massachusetts, </w:t>
      </w:r>
      <w:r w:rsidRPr="00874F99">
        <w:rPr>
          <w:szCs w:val="24"/>
          <w:u w:val="single"/>
        </w:rPr>
        <w:t>controlled substances</w:t>
      </w:r>
      <w:r w:rsidRPr="00DC51C2">
        <w:rPr>
          <w:szCs w:val="24"/>
        </w:rPr>
        <w:t xml:space="preserve"> include Federal schedules I-V </w:t>
      </w:r>
      <w:r w:rsidRPr="00DC51C2">
        <w:rPr>
          <w:szCs w:val="24"/>
          <w:shd w:val="clear" w:color="auto" w:fill="FFFFFF"/>
        </w:rPr>
        <w:t xml:space="preserve">and Massachusetts schedule VI, </w:t>
      </w:r>
      <w:r>
        <w:rPr>
          <w:szCs w:val="24"/>
          <w:shd w:val="clear" w:color="auto" w:fill="FFFFFF"/>
        </w:rPr>
        <w:t>consist</w:t>
      </w:r>
      <w:r w:rsidR="00E4076B">
        <w:rPr>
          <w:szCs w:val="24"/>
          <w:shd w:val="clear" w:color="auto" w:fill="FFFFFF"/>
        </w:rPr>
        <w:t>ing</w:t>
      </w:r>
      <w:r>
        <w:rPr>
          <w:szCs w:val="24"/>
          <w:shd w:val="clear" w:color="auto" w:fill="FFFFFF"/>
        </w:rPr>
        <w:t xml:space="preserve"> of </w:t>
      </w:r>
      <w:r w:rsidRPr="00DC51C2">
        <w:rPr>
          <w:szCs w:val="24"/>
          <w:shd w:val="clear" w:color="auto" w:fill="FFFFFF"/>
        </w:rPr>
        <w:t>all prescription drugs not included in schedules I-V.</w:t>
      </w:r>
      <w:r w:rsidRPr="00DC51C2">
        <w:rPr>
          <w:rStyle w:val="FootnoteReference"/>
          <w:szCs w:val="24"/>
          <w:shd w:val="clear" w:color="auto" w:fill="FFFFFF"/>
        </w:rPr>
        <w:footnoteReference w:id="7"/>
      </w:r>
      <w:r w:rsidRPr="00DC51C2">
        <w:rPr>
          <w:szCs w:val="24"/>
          <w:shd w:val="clear" w:color="auto" w:fill="FFFFFF"/>
        </w:rPr>
        <w:t xml:space="preserve"> </w:t>
      </w:r>
    </w:p>
    <w:p w:rsidR="00DD05F9" w:rsidRPr="00DD05F9" w:rsidRDefault="003B5642" w:rsidP="00DD05F9">
      <w:pPr>
        <w:pStyle w:val="Header"/>
        <w:numPr>
          <w:ilvl w:val="0"/>
          <w:numId w:val="35"/>
        </w:numPr>
        <w:rPr>
          <w:szCs w:val="24"/>
          <w:shd w:val="clear" w:color="auto" w:fill="FFFFFF"/>
        </w:rPr>
      </w:pPr>
      <w:r w:rsidRPr="00DD05F9">
        <w:rPr>
          <w:szCs w:val="24"/>
          <w:u w:val="single"/>
          <w:shd w:val="clear" w:color="auto" w:fill="FFFFFF"/>
        </w:rPr>
        <w:t>Medical devices</w:t>
      </w:r>
      <w:r w:rsidRPr="00DD05F9">
        <w:rPr>
          <w:szCs w:val="24"/>
          <w:shd w:val="clear" w:color="auto" w:fill="FFFFFF"/>
        </w:rPr>
        <w:t xml:space="preserve"> include those with a controlled substance component, </w:t>
      </w:r>
      <w:r w:rsidR="00AB3C03" w:rsidRPr="00DD05F9">
        <w:rPr>
          <w:szCs w:val="24"/>
          <w:shd w:val="clear" w:color="auto" w:fill="FFFFFF"/>
        </w:rPr>
        <w:t xml:space="preserve">which require a prescription, </w:t>
      </w:r>
      <w:r w:rsidRPr="00DD05F9">
        <w:rPr>
          <w:szCs w:val="24"/>
          <w:shd w:val="clear" w:color="auto" w:fill="FFFFFF"/>
        </w:rPr>
        <w:t>as well as devices and Durable Medical Equipment (DME),</w:t>
      </w:r>
      <w:r w:rsidRPr="00DC51C2">
        <w:rPr>
          <w:rStyle w:val="FootnoteReference"/>
          <w:szCs w:val="24"/>
          <w:shd w:val="clear" w:color="auto" w:fill="FFFFFF"/>
        </w:rPr>
        <w:footnoteReference w:id="8"/>
      </w:r>
      <w:r w:rsidRPr="00DD05F9">
        <w:rPr>
          <w:szCs w:val="24"/>
          <w:shd w:val="clear" w:color="auto" w:fill="FFFFFF"/>
        </w:rPr>
        <w:t xml:space="preserve"> regulated by the Federal Food and Drug Administration (FDA), which a patient may purchase without a prescription, and for which insurance coverage may be available with a prescription.</w:t>
      </w:r>
      <w:r w:rsidR="00DD05F9" w:rsidRPr="00DD05F9">
        <w:rPr>
          <w:szCs w:val="24"/>
          <w:shd w:val="clear" w:color="auto" w:fill="FFFFFF"/>
        </w:rPr>
        <w:br w:type="page"/>
      </w:r>
    </w:p>
    <w:p w:rsidR="003B5642" w:rsidRPr="003F1FA8" w:rsidRDefault="003B5642" w:rsidP="003B5642">
      <w:pPr>
        <w:pStyle w:val="Header"/>
        <w:rPr>
          <w:b/>
          <w:szCs w:val="24"/>
        </w:rPr>
      </w:pPr>
      <w:r w:rsidRPr="003F1FA8">
        <w:rPr>
          <w:b/>
          <w:szCs w:val="24"/>
        </w:rPr>
        <w:lastRenderedPageBreak/>
        <w:t>Exceptions</w:t>
      </w:r>
    </w:p>
    <w:p w:rsidR="004C00AD" w:rsidRPr="00DC51C2" w:rsidRDefault="004C00AD" w:rsidP="004C00AD">
      <w:pPr>
        <w:pStyle w:val="Header"/>
        <w:rPr>
          <w:szCs w:val="24"/>
        </w:rPr>
      </w:pPr>
      <w:r w:rsidRPr="00DC51C2">
        <w:rPr>
          <w:szCs w:val="24"/>
        </w:rPr>
        <w:t xml:space="preserve">When an exception applies, prescribers may issue written or oral prescriptions, which may be dispensed </w:t>
      </w:r>
      <w:r>
        <w:rPr>
          <w:szCs w:val="24"/>
        </w:rPr>
        <w:t xml:space="preserve">by pharmacists </w:t>
      </w:r>
      <w:r w:rsidRPr="00DC51C2">
        <w:rPr>
          <w:szCs w:val="24"/>
        </w:rPr>
        <w:t xml:space="preserve">as valid prescriptions, provided the prescription meets </w:t>
      </w:r>
      <w:r>
        <w:rPr>
          <w:szCs w:val="24"/>
        </w:rPr>
        <w:t xml:space="preserve">the </w:t>
      </w:r>
      <w:r w:rsidRPr="00DC51C2">
        <w:rPr>
          <w:szCs w:val="24"/>
        </w:rPr>
        <w:t>format and security</w:t>
      </w:r>
      <w:r>
        <w:rPr>
          <w:szCs w:val="24"/>
        </w:rPr>
        <w:t xml:space="preserve"> requirements </w:t>
      </w:r>
      <w:r w:rsidRPr="00DC51C2">
        <w:rPr>
          <w:szCs w:val="24"/>
        </w:rPr>
        <w:t xml:space="preserve">outlined in </w:t>
      </w:r>
      <w:r>
        <w:rPr>
          <w:szCs w:val="24"/>
        </w:rPr>
        <w:t>regulation</w:t>
      </w:r>
      <w:r w:rsidRPr="00DC51C2">
        <w:rPr>
          <w:szCs w:val="24"/>
        </w:rPr>
        <w:t>.</w:t>
      </w:r>
      <w:r w:rsidRPr="00DC51C2">
        <w:rPr>
          <w:rStyle w:val="FootnoteReference"/>
          <w:szCs w:val="24"/>
        </w:rPr>
        <w:footnoteReference w:id="9"/>
      </w:r>
      <w:r>
        <w:rPr>
          <w:szCs w:val="24"/>
        </w:rPr>
        <w:t xml:space="preserve"> </w:t>
      </w:r>
    </w:p>
    <w:p w:rsidR="004C00AD" w:rsidRPr="00DC51C2" w:rsidRDefault="004C00AD" w:rsidP="004C00AD">
      <w:pPr>
        <w:pStyle w:val="Header"/>
        <w:rPr>
          <w:szCs w:val="24"/>
        </w:rPr>
      </w:pPr>
    </w:p>
    <w:p w:rsidR="00A54AD3" w:rsidRDefault="004C00AD" w:rsidP="004C00AD">
      <w:pPr>
        <w:pStyle w:val="Header"/>
        <w:rPr>
          <w:szCs w:val="24"/>
        </w:rPr>
      </w:pPr>
      <w:r w:rsidRPr="00DC51C2">
        <w:rPr>
          <w:szCs w:val="24"/>
        </w:rPr>
        <w:t xml:space="preserve">An ePrescription is always permitted, even when an exception is applicable to the type of prescription or situation under which the prescription is issued. Just because a prescriber </w:t>
      </w:r>
      <w:r>
        <w:rPr>
          <w:szCs w:val="24"/>
        </w:rPr>
        <w:t xml:space="preserve">is permitted to </w:t>
      </w:r>
      <w:r w:rsidRPr="00DC51C2">
        <w:rPr>
          <w:szCs w:val="24"/>
        </w:rPr>
        <w:t xml:space="preserve">issue a written or oral prescription under a given circumstance does not mean </w:t>
      </w:r>
      <w:r>
        <w:rPr>
          <w:szCs w:val="24"/>
        </w:rPr>
        <w:t xml:space="preserve">that they are required to do so if they would prefer to ePrescribe. </w:t>
      </w:r>
      <w:r w:rsidR="003B5642" w:rsidRPr="00DC51C2">
        <w:rPr>
          <w:szCs w:val="24"/>
        </w:rPr>
        <w:t>The</w:t>
      </w:r>
      <w:r w:rsidR="003B5642">
        <w:rPr>
          <w:szCs w:val="24"/>
        </w:rPr>
        <w:t xml:space="preserve"> following</w:t>
      </w:r>
      <w:r w:rsidR="003B5642" w:rsidRPr="00DC51C2">
        <w:rPr>
          <w:szCs w:val="24"/>
        </w:rPr>
        <w:t xml:space="preserve"> </w:t>
      </w:r>
      <w:r w:rsidR="008C6EB0">
        <w:rPr>
          <w:szCs w:val="24"/>
        </w:rPr>
        <w:t xml:space="preserve">12 </w:t>
      </w:r>
      <w:r w:rsidR="00874F99">
        <w:rPr>
          <w:szCs w:val="24"/>
        </w:rPr>
        <w:t>ePrescribing</w:t>
      </w:r>
      <w:r w:rsidR="00874F99" w:rsidRPr="00DC51C2">
        <w:rPr>
          <w:szCs w:val="24"/>
        </w:rPr>
        <w:t xml:space="preserve"> </w:t>
      </w:r>
      <w:r w:rsidR="003B5642" w:rsidRPr="00DC51C2">
        <w:rPr>
          <w:szCs w:val="24"/>
        </w:rPr>
        <w:t>exceptions authorize the limited use of a written or oral prescription</w:t>
      </w:r>
      <w:r w:rsidR="00874F99">
        <w:rPr>
          <w:szCs w:val="24"/>
        </w:rPr>
        <w:t>s</w:t>
      </w:r>
      <w:r w:rsidR="003B5642" w:rsidRPr="00DC51C2">
        <w:rPr>
          <w:szCs w:val="24"/>
        </w:rPr>
        <w:t xml:space="preserve"> where appropriate</w:t>
      </w:r>
      <w:r w:rsidR="00D214E1">
        <w:rPr>
          <w:szCs w:val="24"/>
        </w:rPr>
        <w:t>:</w:t>
      </w:r>
      <w:r w:rsidR="003B5642" w:rsidRPr="00DC51C2">
        <w:rPr>
          <w:szCs w:val="24"/>
        </w:rPr>
        <w:t xml:space="preserve"> </w:t>
      </w:r>
    </w:p>
    <w:p w:rsidR="003B5642" w:rsidRPr="00DC51C2" w:rsidRDefault="003B5642" w:rsidP="003B5642">
      <w:pPr>
        <w:pStyle w:val="Header"/>
        <w:rPr>
          <w:szCs w:val="24"/>
        </w:rPr>
      </w:pPr>
    </w:p>
    <w:p w:rsidR="003B5642" w:rsidRPr="00DC51C2" w:rsidRDefault="003B5642" w:rsidP="003B5642">
      <w:pPr>
        <w:pStyle w:val="ListParagraph"/>
        <w:numPr>
          <w:ilvl w:val="0"/>
          <w:numId w:val="19"/>
        </w:numPr>
        <w:tabs>
          <w:tab w:val="left" w:pos="1555"/>
          <w:tab w:val="left" w:pos="1915"/>
          <w:tab w:val="left" w:pos="2275"/>
          <w:tab w:val="left" w:pos="2635"/>
          <w:tab w:val="left" w:pos="2995"/>
          <w:tab w:val="left" w:pos="7675"/>
        </w:tabs>
        <w:ind w:left="360"/>
        <w:rPr>
          <w:szCs w:val="24"/>
        </w:rPr>
      </w:pPr>
      <w:r>
        <w:rPr>
          <w:szCs w:val="24"/>
        </w:rPr>
        <w:t>P</w:t>
      </w:r>
      <w:r w:rsidRPr="00DC51C2">
        <w:rPr>
          <w:szCs w:val="24"/>
        </w:rPr>
        <w:t>rescriptions issued by veterinarians</w:t>
      </w:r>
      <w:r>
        <w:rPr>
          <w:szCs w:val="24"/>
        </w:rPr>
        <w:t>.</w:t>
      </w:r>
    </w:p>
    <w:p w:rsidR="003B5642" w:rsidRDefault="003B5642" w:rsidP="003B5642">
      <w:pPr>
        <w:pStyle w:val="ListParagraph"/>
        <w:tabs>
          <w:tab w:val="left" w:pos="1555"/>
          <w:tab w:val="left" w:pos="1915"/>
          <w:tab w:val="left" w:pos="2275"/>
          <w:tab w:val="left" w:pos="2635"/>
          <w:tab w:val="left" w:pos="2995"/>
          <w:tab w:val="left" w:pos="7675"/>
        </w:tabs>
        <w:rPr>
          <w:szCs w:val="24"/>
        </w:rPr>
      </w:pPr>
      <w:r w:rsidRPr="00DC51C2">
        <w:rPr>
          <w:szCs w:val="24"/>
        </w:rPr>
        <w:t>This exception is available to all licensed veterinarians</w:t>
      </w:r>
      <w:r>
        <w:rPr>
          <w:szCs w:val="24"/>
        </w:rPr>
        <w:t xml:space="preserve"> with a Massachusetts Controlled Substance Registration (MCSR)</w:t>
      </w:r>
      <w:r w:rsidRPr="00DC51C2">
        <w:rPr>
          <w:szCs w:val="24"/>
        </w:rPr>
        <w:t>.</w:t>
      </w:r>
    </w:p>
    <w:p w:rsidR="003B5642" w:rsidRPr="00DC51C2" w:rsidRDefault="003B5642" w:rsidP="003B5642">
      <w:pPr>
        <w:pStyle w:val="ListParagraph"/>
        <w:tabs>
          <w:tab w:val="left" w:pos="1555"/>
          <w:tab w:val="left" w:pos="1915"/>
          <w:tab w:val="left" w:pos="2275"/>
          <w:tab w:val="left" w:pos="2635"/>
          <w:tab w:val="left" w:pos="2995"/>
          <w:tab w:val="left" w:pos="7675"/>
        </w:tabs>
        <w:rPr>
          <w:szCs w:val="24"/>
        </w:rPr>
      </w:pPr>
    </w:p>
    <w:p w:rsidR="003B5642" w:rsidRPr="00DC51C2" w:rsidRDefault="003B5642" w:rsidP="003B5642">
      <w:pPr>
        <w:pStyle w:val="ListParagraph"/>
        <w:numPr>
          <w:ilvl w:val="0"/>
          <w:numId w:val="19"/>
        </w:numPr>
        <w:ind w:left="360"/>
        <w:rPr>
          <w:szCs w:val="24"/>
        </w:rPr>
      </w:pPr>
      <w:r>
        <w:rPr>
          <w:szCs w:val="24"/>
        </w:rPr>
        <w:t>P</w:t>
      </w:r>
      <w:r w:rsidRPr="00DC51C2">
        <w:rPr>
          <w:szCs w:val="24"/>
        </w:rPr>
        <w:t>rescriptions issued during a temporary technological or electrical failure</w:t>
      </w:r>
      <w:r>
        <w:rPr>
          <w:szCs w:val="24"/>
        </w:rPr>
        <w:t>.</w:t>
      </w:r>
      <w:r w:rsidRPr="00DC51C2">
        <w:rPr>
          <w:szCs w:val="24"/>
        </w:rPr>
        <w:t xml:space="preserve"> </w:t>
      </w:r>
    </w:p>
    <w:p w:rsidR="003B5642" w:rsidRDefault="003B5642" w:rsidP="003B5642">
      <w:pPr>
        <w:pStyle w:val="ListParagraph"/>
        <w:rPr>
          <w:szCs w:val="24"/>
        </w:rPr>
      </w:pPr>
      <w:r w:rsidRPr="00DC51C2">
        <w:rPr>
          <w:szCs w:val="24"/>
        </w:rPr>
        <w:t>This exception may apply when a prescriber is usually able to issue electronic prescriptions, but such functions are temporarily unavailable due to technological or electrical failure.</w:t>
      </w:r>
    </w:p>
    <w:p w:rsidR="003B5642" w:rsidRDefault="003B5642" w:rsidP="003B5642">
      <w:pPr>
        <w:pStyle w:val="ListParagraph"/>
        <w:rPr>
          <w:szCs w:val="24"/>
        </w:rPr>
      </w:pPr>
    </w:p>
    <w:p w:rsidR="003B5642" w:rsidRDefault="003B5642" w:rsidP="003B5642">
      <w:pPr>
        <w:pStyle w:val="ListParagraph"/>
        <w:ind w:left="1080"/>
        <w:rPr>
          <w:i/>
          <w:szCs w:val="24"/>
        </w:rPr>
      </w:pPr>
      <w:r w:rsidRPr="00DC51C2">
        <w:rPr>
          <w:i/>
          <w:szCs w:val="24"/>
        </w:rPr>
        <w:t>Examples:</w:t>
      </w:r>
    </w:p>
    <w:p w:rsidR="003B5642" w:rsidRDefault="003B5642" w:rsidP="003B5642">
      <w:pPr>
        <w:pStyle w:val="ListParagraph"/>
        <w:numPr>
          <w:ilvl w:val="1"/>
          <w:numId w:val="17"/>
        </w:numPr>
        <w:rPr>
          <w:szCs w:val="24"/>
        </w:rPr>
      </w:pPr>
      <w:r w:rsidRPr="00DC51C2">
        <w:rPr>
          <w:szCs w:val="24"/>
        </w:rPr>
        <w:t xml:space="preserve">A power outage affecting the prescriber’s or facility’s </w:t>
      </w:r>
      <w:r w:rsidR="00D214E1">
        <w:rPr>
          <w:szCs w:val="24"/>
        </w:rPr>
        <w:t>Electronic Prescription of Controlled Substances (</w:t>
      </w:r>
      <w:r w:rsidRPr="00DC51C2">
        <w:rPr>
          <w:szCs w:val="24"/>
        </w:rPr>
        <w:t>EPCS</w:t>
      </w:r>
      <w:r w:rsidR="00D214E1">
        <w:rPr>
          <w:szCs w:val="24"/>
        </w:rPr>
        <w:t>)</w:t>
      </w:r>
      <w:r w:rsidRPr="00DC51C2">
        <w:rPr>
          <w:szCs w:val="24"/>
        </w:rPr>
        <w:t xml:space="preserve"> system</w:t>
      </w:r>
      <w:r>
        <w:rPr>
          <w:szCs w:val="24"/>
        </w:rPr>
        <w:t>.</w:t>
      </w:r>
    </w:p>
    <w:p w:rsidR="003B5642" w:rsidRDefault="003B5642" w:rsidP="003B5642">
      <w:pPr>
        <w:pStyle w:val="ListParagraph"/>
        <w:numPr>
          <w:ilvl w:val="1"/>
          <w:numId w:val="17"/>
        </w:numPr>
        <w:rPr>
          <w:szCs w:val="24"/>
        </w:rPr>
      </w:pPr>
      <w:r w:rsidRPr="00DC51C2">
        <w:rPr>
          <w:szCs w:val="24"/>
        </w:rPr>
        <w:t>A transmission failure for a schedule II-V controlled substance that is returned to the prescriber for re-prescribing.</w:t>
      </w:r>
    </w:p>
    <w:p w:rsidR="003B5642" w:rsidRPr="00DC51C2" w:rsidRDefault="003B5642" w:rsidP="003B5642">
      <w:pPr>
        <w:pStyle w:val="ListParagraph"/>
        <w:rPr>
          <w:szCs w:val="24"/>
        </w:rPr>
      </w:pPr>
    </w:p>
    <w:p w:rsidR="003B5642" w:rsidRPr="00DC51C2" w:rsidRDefault="003B5642" w:rsidP="003B5642">
      <w:pPr>
        <w:pStyle w:val="ListParagraph"/>
        <w:numPr>
          <w:ilvl w:val="0"/>
          <w:numId w:val="19"/>
        </w:numPr>
        <w:ind w:left="360"/>
        <w:rPr>
          <w:szCs w:val="24"/>
        </w:rPr>
      </w:pPr>
      <w:r>
        <w:rPr>
          <w:szCs w:val="24"/>
        </w:rPr>
        <w:t>P</w:t>
      </w:r>
      <w:r w:rsidRPr="00DC51C2">
        <w:rPr>
          <w:szCs w:val="24"/>
        </w:rPr>
        <w:t>rescriptions issued by practitioners who have applied for and received a waiver</w:t>
      </w:r>
      <w:r>
        <w:rPr>
          <w:szCs w:val="24"/>
        </w:rPr>
        <w:t>.</w:t>
      </w:r>
    </w:p>
    <w:p w:rsidR="003B5642" w:rsidRPr="0089192F" w:rsidRDefault="003B5642" w:rsidP="003B5642">
      <w:pPr>
        <w:pStyle w:val="ListParagraph"/>
        <w:rPr>
          <w:szCs w:val="24"/>
        </w:rPr>
      </w:pPr>
      <w:r w:rsidRPr="0089192F">
        <w:rPr>
          <w:szCs w:val="24"/>
          <w:u w:val="single"/>
        </w:rPr>
        <w:t>See</w:t>
      </w:r>
      <w:r w:rsidRPr="0089192F">
        <w:rPr>
          <w:szCs w:val="24"/>
        </w:rPr>
        <w:t xml:space="preserve"> </w:t>
      </w:r>
      <w:r>
        <w:rPr>
          <w:szCs w:val="24"/>
        </w:rPr>
        <w:t xml:space="preserve">Time-Limited </w:t>
      </w:r>
      <w:r w:rsidRPr="0089192F">
        <w:rPr>
          <w:szCs w:val="24"/>
        </w:rPr>
        <w:t>Waiver</w:t>
      </w:r>
      <w:r w:rsidR="00CC5948">
        <w:rPr>
          <w:szCs w:val="24"/>
        </w:rPr>
        <w:t xml:space="preserve"> Request and Approval</w:t>
      </w:r>
      <w:r w:rsidRPr="0089192F">
        <w:rPr>
          <w:szCs w:val="24"/>
        </w:rPr>
        <w:t xml:space="preserve"> </w:t>
      </w:r>
      <w:r w:rsidR="00CC5948">
        <w:rPr>
          <w:szCs w:val="24"/>
        </w:rPr>
        <w:t xml:space="preserve">Process </w:t>
      </w:r>
      <w:r w:rsidRPr="0089192F">
        <w:rPr>
          <w:szCs w:val="24"/>
        </w:rPr>
        <w:t xml:space="preserve">section below on </w:t>
      </w:r>
      <w:r w:rsidRPr="00532A4B">
        <w:rPr>
          <w:szCs w:val="24"/>
        </w:rPr>
        <w:t xml:space="preserve">page </w:t>
      </w:r>
      <w:r w:rsidR="00346B4E" w:rsidRPr="00532A4B">
        <w:rPr>
          <w:szCs w:val="24"/>
        </w:rPr>
        <w:t>5</w:t>
      </w:r>
      <w:r w:rsidRPr="0089192F">
        <w:rPr>
          <w:szCs w:val="24"/>
        </w:rPr>
        <w:t>.</w:t>
      </w:r>
    </w:p>
    <w:p w:rsidR="003B5642" w:rsidRPr="0089192F" w:rsidRDefault="003B5642" w:rsidP="003B5642">
      <w:pPr>
        <w:pStyle w:val="ListParagraph"/>
        <w:rPr>
          <w:szCs w:val="24"/>
        </w:rPr>
      </w:pPr>
    </w:p>
    <w:p w:rsidR="003B5642" w:rsidRPr="0089192F" w:rsidRDefault="003B5642" w:rsidP="003B5642">
      <w:pPr>
        <w:pStyle w:val="ListParagraph"/>
        <w:numPr>
          <w:ilvl w:val="0"/>
          <w:numId w:val="19"/>
        </w:numPr>
        <w:ind w:left="360"/>
        <w:rPr>
          <w:szCs w:val="24"/>
        </w:rPr>
      </w:pPr>
      <w:r w:rsidRPr="0089192F">
        <w:rPr>
          <w:szCs w:val="24"/>
        </w:rPr>
        <w:t>Prescriptions issued or dispensed in emergency situations.</w:t>
      </w:r>
    </w:p>
    <w:p w:rsidR="003B5642" w:rsidRDefault="003B5642" w:rsidP="003B5642">
      <w:pPr>
        <w:pStyle w:val="ListParagraph"/>
        <w:rPr>
          <w:szCs w:val="24"/>
        </w:rPr>
      </w:pPr>
      <w:r w:rsidRPr="0089192F">
        <w:rPr>
          <w:szCs w:val="24"/>
          <w:u w:val="single"/>
        </w:rPr>
        <w:t>See</w:t>
      </w:r>
      <w:r w:rsidRPr="0089192F">
        <w:rPr>
          <w:szCs w:val="24"/>
        </w:rPr>
        <w:t xml:space="preserve"> Emergency Situation section below on </w:t>
      </w:r>
      <w:r w:rsidRPr="00532A4B">
        <w:rPr>
          <w:szCs w:val="24"/>
        </w:rPr>
        <w:t xml:space="preserve">page </w:t>
      </w:r>
      <w:r w:rsidR="00CC5948">
        <w:rPr>
          <w:szCs w:val="24"/>
        </w:rPr>
        <w:t>4</w:t>
      </w:r>
      <w:r w:rsidRPr="0089192F">
        <w:rPr>
          <w:szCs w:val="24"/>
        </w:rPr>
        <w:t>.</w:t>
      </w:r>
    </w:p>
    <w:p w:rsidR="00874F99" w:rsidRDefault="00874F99">
      <w:pPr>
        <w:rPr>
          <w:szCs w:val="24"/>
        </w:rPr>
      </w:pPr>
    </w:p>
    <w:p w:rsidR="003B5642" w:rsidRPr="00DC51C2" w:rsidRDefault="003B5642" w:rsidP="003B5642">
      <w:pPr>
        <w:pStyle w:val="ListParagraph"/>
        <w:numPr>
          <w:ilvl w:val="0"/>
          <w:numId w:val="19"/>
        </w:numPr>
        <w:ind w:left="360"/>
        <w:rPr>
          <w:szCs w:val="24"/>
        </w:rPr>
      </w:pPr>
      <w:r>
        <w:rPr>
          <w:szCs w:val="24"/>
        </w:rPr>
        <w:t>P</w:t>
      </w:r>
      <w:r w:rsidRPr="00DC51C2">
        <w:rPr>
          <w:szCs w:val="24"/>
        </w:rPr>
        <w:t>rescriptions that cannot be issued electronically under federal or state law or regulations</w:t>
      </w:r>
      <w:r>
        <w:rPr>
          <w:szCs w:val="24"/>
        </w:rPr>
        <w:t>.</w:t>
      </w:r>
    </w:p>
    <w:p w:rsidR="003B5642" w:rsidRDefault="003B5642" w:rsidP="003B5642">
      <w:pPr>
        <w:pStyle w:val="ListParagraph"/>
        <w:rPr>
          <w:szCs w:val="24"/>
        </w:rPr>
      </w:pPr>
      <w:r w:rsidRPr="00DC51C2">
        <w:rPr>
          <w:szCs w:val="24"/>
        </w:rPr>
        <w:t>This exception may apply when federal or state law sets requirements that prevent ePrescribing.</w:t>
      </w:r>
    </w:p>
    <w:p w:rsidR="003B5642" w:rsidRDefault="003B5642" w:rsidP="003B5642">
      <w:pPr>
        <w:pStyle w:val="ListParagraph"/>
        <w:ind w:left="1080"/>
        <w:rPr>
          <w:i/>
          <w:szCs w:val="24"/>
        </w:rPr>
      </w:pPr>
    </w:p>
    <w:p w:rsidR="003B5642" w:rsidRDefault="003B5642" w:rsidP="003B5642">
      <w:pPr>
        <w:pStyle w:val="ListParagraph"/>
        <w:ind w:left="1080"/>
        <w:rPr>
          <w:i/>
          <w:szCs w:val="24"/>
        </w:rPr>
      </w:pPr>
      <w:r w:rsidRPr="00DC51C2">
        <w:rPr>
          <w:i/>
          <w:szCs w:val="24"/>
        </w:rPr>
        <w:t>Examples:</w:t>
      </w:r>
    </w:p>
    <w:p w:rsidR="003B5642" w:rsidRDefault="003B5642" w:rsidP="003B5642">
      <w:pPr>
        <w:pStyle w:val="ListParagraph"/>
        <w:numPr>
          <w:ilvl w:val="1"/>
          <w:numId w:val="17"/>
        </w:numPr>
        <w:rPr>
          <w:szCs w:val="24"/>
        </w:rPr>
      </w:pPr>
      <w:r w:rsidRPr="00DC51C2">
        <w:rPr>
          <w:szCs w:val="24"/>
        </w:rPr>
        <w:t xml:space="preserve">The U.S. Food and Drug Administration (FDA) requires </w:t>
      </w:r>
      <w:r>
        <w:rPr>
          <w:szCs w:val="24"/>
        </w:rPr>
        <w:t xml:space="preserve">that </w:t>
      </w:r>
      <w:r w:rsidRPr="00DC51C2">
        <w:rPr>
          <w:szCs w:val="24"/>
        </w:rPr>
        <w:t xml:space="preserve">a signed certification under Risk Evaluation and Mitigation Strategies (REMS) be attached to the prescription, and the EPCS </w:t>
      </w:r>
      <w:r w:rsidR="00480A4E">
        <w:rPr>
          <w:szCs w:val="24"/>
        </w:rPr>
        <w:t xml:space="preserve">system </w:t>
      </w:r>
      <w:r w:rsidRPr="00DC51C2">
        <w:rPr>
          <w:szCs w:val="24"/>
        </w:rPr>
        <w:t>does not permit the attachment of documents</w:t>
      </w:r>
      <w:r>
        <w:rPr>
          <w:szCs w:val="24"/>
        </w:rPr>
        <w:t>.</w:t>
      </w:r>
    </w:p>
    <w:p w:rsidR="003B5642" w:rsidRDefault="003B5642" w:rsidP="003B5642">
      <w:pPr>
        <w:pStyle w:val="ListParagraph"/>
        <w:numPr>
          <w:ilvl w:val="1"/>
          <w:numId w:val="17"/>
        </w:numPr>
        <w:rPr>
          <w:szCs w:val="24"/>
        </w:rPr>
      </w:pPr>
      <w:r w:rsidRPr="00DC51C2">
        <w:rPr>
          <w:szCs w:val="24"/>
        </w:rPr>
        <w:t xml:space="preserve">A </w:t>
      </w:r>
      <w:r>
        <w:rPr>
          <w:szCs w:val="24"/>
        </w:rPr>
        <w:t xml:space="preserve">state or </w:t>
      </w:r>
      <w:r w:rsidRPr="00DC51C2">
        <w:rPr>
          <w:szCs w:val="24"/>
        </w:rPr>
        <w:t xml:space="preserve">federal law is passed requiring a written prescription for a </w:t>
      </w:r>
      <w:r>
        <w:rPr>
          <w:szCs w:val="24"/>
        </w:rPr>
        <w:t>new</w:t>
      </w:r>
      <w:r w:rsidRPr="00DC51C2">
        <w:rPr>
          <w:szCs w:val="24"/>
        </w:rPr>
        <w:t xml:space="preserve"> drug</w:t>
      </w:r>
      <w:r>
        <w:rPr>
          <w:szCs w:val="24"/>
        </w:rPr>
        <w:t>.</w:t>
      </w:r>
    </w:p>
    <w:p w:rsidR="003B5642" w:rsidRPr="00DC51C2" w:rsidRDefault="003B5642" w:rsidP="003B5642">
      <w:pPr>
        <w:pStyle w:val="ListParagraph"/>
        <w:rPr>
          <w:szCs w:val="24"/>
        </w:rPr>
      </w:pPr>
    </w:p>
    <w:p w:rsidR="00697D10" w:rsidRDefault="00697D10">
      <w:pPr>
        <w:rPr>
          <w:szCs w:val="24"/>
        </w:rPr>
      </w:pPr>
      <w:r>
        <w:rPr>
          <w:szCs w:val="24"/>
        </w:rPr>
        <w:br w:type="page"/>
      </w:r>
    </w:p>
    <w:p w:rsidR="003B5642" w:rsidRPr="00DC51C2" w:rsidRDefault="003B5642" w:rsidP="003B5642">
      <w:pPr>
        <w:pStyle w:val="ListParagraph"/>
        <w:numPr>
          <w:ilvl w:val="0"/>
          <w:numId w:val="19"/>
        </w:numPr>
        <w:ind w:left="360"/>
        <w:rPr>
          <w:szCs w:val="24"/>
        </w:rPr>
      </w:pPr>
      <w:r>
        <w:rPr>
          <w:szCs w:val="24"/>
        </w:rPr>
        <w:lastRenderedPageBreak/>
        <w:t>P</w:t>
      </w:r>
      <w:r w:rsidRPr="00DC51C2">
        <w:rPr>
          <w:szCs w:val="24"/>
        </w:rPr>
        <w:t>rescriptions issued outside the jurisdiction of the Commonwealth of Massachusetts</w:t>
      </w:r>
      <w:r>
        <w:rPr>
          <w:szCs w:val="24"/>
        </w:rPr>
        <w:t>.</w:t>
      </w:r>
    </w:p>
    <w:p w:rsidR="003B5642" w:rsidRDefault="003B5642" w:rsidP="003B5642">
      <w:pPr>
        <w:ind w:left="720"/>
        <w:rPr>
          <w:szCs w:val="24"/>
        </w:rPr>
      </w:pPr>
      <w:r w:rsidRPr="00DC51C2">
        <w:rPr>
          <w:szCs w:val="24"/>
        </w:rPr>
        <w:t xml:space="preserve">This exception applies to prescriptions issued </w:t>
      </w:r>
      <w:r>
        <w:rPr>
          <w:szCs w:val="24"/>
        </w:rPr>
        <w:t xml:space="preserve">from locations physically </w:t>
      </w:r>
      <w:r w:rsidRPr="00DC51C2">
        <w:rPr>
          <w:szCs w:val="24"/>
        </w:rPr>
        <w:t xml:space="preserve">outside of Massachusetts, </w:t>
      </w:r>
      <w:r>
        <w:rPr>
          <w:szCs w:val="24"/>
        </w:rPr>
        <w:t xml:space="preserve">as indicated by the address of the prescriber, </w:t>
      </w:r>
      <w:r w:rsidRPr="00DC51C2">
        <w:rPr>
          <w:szCs w:val="24"/>
        </w:rPr>
        <w:t xml:space="preserve">as well as those issued in federal facilities within Massachusetts, including </w:t>
      </w:r>
      <w:r>
        <w:rPr>
          <w:szCs w:val="24"/>
        </w:rPr>
        <w:t xml:space="preserve">those operated by </w:t>
      </w:r>
      <w:r w:rsidRPr="00DC51C2">
        <w:rPr>
          <w:szCs w:val="24"/>
        </w:rPr>
        <w:t>the Veterans’ Administration</w:t>
      </w:r>
      <w:r>
        <w:rPr>
          <w:szCs w:val="24"/>
        </w:rPr>
        <w:t xml:space="preserve"> or the Indian Health Service</w:t>
      </w:r>
      <w:r w:rsidRPr="00DC51C2">
        <w:rPr>
          <w:szCs w:val="24"/>
        </w:rPr>
        <w:t>.</w:t>
      </w:r>
    </w:p>
    <w:p w:rsidR="003B5642" w:rsidRDefault="003B5642" w:rsidP="003B5642">
      <w:pPr>
        <w:ind w:left="720"/>
        <w:rPr>
          <w:szCs w:val="24"/>
        </w:rPr>
      </w:pPr>
    </w:p>
    <w:p w:rsidR="003B5642" w:rsidRPr="00DC51C2" w:rsidRDefault="003B5642" w:rsidP="003B5642">
      <w:pPr>
        <w:pStyle w:val="ListParagraph"/>
        <w:numPr>
          <w:ilvl w:val="0"/>
          <w:numId w:val="19"/>
        </w:numPr>
        <w:ind w:left="360"/>
        <w:rPr>
          <w:szCs w:val="24"/>
        </w:rPr>
      </w:pPr>
      <w:r>
        <w:rPr>
          <w:szCs w:val="24"/>
        </w:rPr>
        <w:t>P</w:t>
      </w:r>
      <w:r w:rsidRPr="00DC51C2">
        <w:rPr>
          <w:szCs w:val="24"/>
        </w:rPr>
        <w:t>rescriptions issued for expedited partner therapy for treatment of chlamydia</w:t>
      </w:r>
      <w:r>
        <w:rPr>
          <w:szCs w:val="24"/>
        </w:rPr>
        <w:t>.</w:t>
      </w:r>
    </w:p>
    <w:p w:rsidR="003B5642" w:rsidRPr="00DC51C2" w:rsidRDefault="003B5642" w:rsidP="003B5642">
      <w:pPr>
        <w:ind w:left="720"/>
        <w:rPr>
          <w:szCs w:val="24"/>
        </w:rPr>
      </w:pPr>
      <w:r w:rsidRPr="00DC51C2">
        <w:rPr>
          <w:szCs w:val="24"/>
        </w:rPr>
        <w:t xml:space="preserve">This exception is </w:t>
      </w:r>
      <w:r>
        <w:rPr>
          <w:szCs w:val="24"/>
        </w:rPr>
        <w:t>necessary</w:t>
      </w:r>
      <w:r w:rsidRPr="00DC51C2">
        <w:rPr>
          <w:szCs w:val="24"/>
        </w:rPr>
        <w:t xml:space="preserve"> to allow prescribers to issue prescriptions that are intended for dispensing to the patient’s partner(s) without requiring the partner’s identification</w:t>
      </w:r>
      <w:r>
        <w:rPr>
          <w:szCs w:val="24"/>
        </w:rPr>
        <w:t>, as authorized by law</w:t>
      </w:r>
      <w:r w:rsidRPr="00DC51C2">
        <w:rPr>
          <w:szCs w:val="24"/>
        </w:rPr>
        <w:t>.</w:t>
      </w:r>
      <w:r>
        <w:rPr>
          <w:rStyle w:val="FootnoteReference"/>
          <w:szCs w:val="24"/>
        </w:rPr>
        <w:footnoteReference w:id="10"/>
      </w:r>
    </w:p>
    <w:p w:rsidR="003B5642" w:rsidRDefault="003B5642">
      <w:pPr>
        <w:rPr>
          <w:szCs w:val="24"/>
        </w:rPr>
      </w:pPr>
    </w:p>
    <w:p w:rsidR="003B5642" w:rsidRPr="00DC51C2" w:rsidRDefault="003B5642" w:rsidP="003B5642">
      <w:pPr>
        <w:pStyle w:val="ListParagraph"/>
        <w:numPr>
          <w:ilvl w:val="0"/>
          <w:numId w:val="19"/>
        </w:numPr>
        <w:ind w:left="360"/>
        <w:rPr>
          <w:szCs w:val="24"/>
        </w:rPr>
      </w:pPr>
      <w:r>
        <w:rPr>
          <w:szCs w:val="24"/>
        </w:rPr>
        <w:t>P</w:t>
      </w:r>
      <w:r w:rsidRPr="00DC51C2">
        <w:rPr>
          <w:szCs w:val="24"/>
        </w:rPr>
        <w:t>rescriptions for compounded drug preparations</w:t>
      </w:r>
      <w:r>
        <w:rPr>
          <w:szCs w:val="24"/>
        </w:rPr>
        <w:t>.</w:t>
      </w:r>
      <w:r w:rsidRPr="00DC51C2">
        <w:rPr>
          <w:szCs w:val="24"/>
        </w:rPr>
        <w:t xml:space="preserve"> </w:t>
      </w:r>
    </w:p>
    <w:p w:rsidR="003B5642" w:rsidRPr="00C864C3" w:rsidRDefault="003B5642" w:rsidP="003B5642">
      <w:pPr>
        <w:pStyle w:val="ListParagraph"/>
        <w:rPr>
          <w:szCs w:val="24"/>
        </w:rPr>
      </w:pPr>
      <w:r>
        <w:rPr>
          <w:szCs w:val="24"/>
        </w:rPr>
        <w:t>A</w:t>
      </w:r>
      <w:r w:rsidRPr="00C864C3">
        <w:rPr>
          <w:szCs w:val="24"/>
        </w:rPr>
        <w:t xml:space="preserve"> compounded drug preparation is a preparation created through mixing, assembling, altering, packaging</w:t>
      </w:r>
      <w:r>
        <w:rPr>
          <w:szCs w:val="24"/>
        </w:rPr>
        <w:t>,</w:t>
      </w:r>
      <w:r w:rsidRPr="00C864C3">
        <w:rPr>
          <w:szCs w:val="24"/>
        </w:rPr>
        <w:t xml:space="preserve"> and </w:t>
      </w:r>
      <w:r>
        <w:rPr>
          <w:szCs w:val="24"/>
        </w:rPr>
        <w:t xml:space="preserve">labeling </w:t>
      </w:r>
      <w:r w:rsidRPr="00C864C3">
        <w:rPr>
          <w:szCs w:val="24"/>
        </w:rPr>
        <w:t>as a result of a practitioner’s order or in anticipation of such an order based on routine, regularly observed prescribing patterns.</w:t>
      </w:r>
    </w:p>
    <w:p w:rsidR="003B5642" w:rsidRDefault="003B5642" w:rsidP="003B5642">
      <w:pPr>
        <w:pStyle w:val="ListParagraph"/>
        <w:rPr>
          <w:szCs w:val="24"/>
        </w:rPr>
      </w:pPr>
    </w:p>
    <w:p w:rsidR="003B5642" w:rsidRPr="00C864C3" w:rsidRDefault="003B5642" w:rsidP="003B5642">
      <w:pPr>
        <w:pStyle w:val="ListParagraph"/>
        <w:rPr>
          <w:szCs w:val="24"/>
        </w:rPr>
      </w:pPr>
      <w:r>
        <w:rPr>
          <w:szCs w:val="24"/>
        </w:rPr>
        <w:t>Nothing should prevent a prescriber from issuing an ePrescription for a compounded drug preparation if the technology is available to do so. This exception is available for those limited instances when the technology is unsuitable for the complexity, length</w:t>
      </w:r>
      <w:r w:rsidR="00D214E1">
        <w:rPr>
          <w:szCs w:val="24"/>
        </w:rPr>
        <w:t xml:space="preserve"> or</w:t>
      </w:r>
      <w:r w:rsidR="00D26A68">
        <w:rPr>
          <w:szCs w:val="24"/>
        </w:rPr>
        <w:t xml:space="preserve"> </w:t>
      </w:r>
      <w:r>
        <w:rPr>
          <w:szCs w:val="24"/>
        </w:rPr>
        <w:t>urgency of the particular preparation, or other specialized reason.</w:t>
      </w:r>
    </w:p>
    <w:p w:rsidR="003B5642" w:rsidRPr="00DC51C2" w:rsidRDefault="003B5642" w:rsidP="003B5642">
      <w:pPr>
        <w:pStyle w:val="ListParagraph"/>
        <w:rPr>
          <w:szCs w:val="24"/>
        </w:rPr>
      </w:pPr>
    </w:p>
    <w:p w:rsidR="003B5642" w:rsidRPr="00DC51C2" w:rsidRDefault="003B5642" w:rsidP="003B5642">
      <w:pPr>
        <w:pStyle w:val="ListParagraph"/>
        <w:numPr>
          <w:ilvl w:val="0"/>
          <w:numId w:val="19"/>
        </w:numPr>
        <w:ind w:left="360"/>
        <w:rPr>
          <w:szCs w:val="24"/>
        </w:rPr>
      </w:pPr>
      <w:r>
        <w:rPr>
          <w:szCs w:val="24"/>
        </w:rPr>
        <w:t>P</w:t>
      </w:r>
      <w:r w:rsidRPr="00DC51C2">
        <w:rPr>
          <w:szCs w:val="24"/>
        </w:rPr>
        <w:t>rescriptions issued for controlled substances in schedule VI</w:t>
      </w:r>
      <w:r>
        <w:rPr>
          <w:szCs w:val="24"/>
        </w:rPr>
        <w:t>.</w:t>
      </w:r>
    </w:p>
    <w:p w:rsidR="00D214E1" w:rsidRDefault="003B5642" w:rsidP="003B5642">
      <w:pPr>
        <w:ind w:left="720"/>
        <w:rPr>
          <w:szCs w:val="24"/>
        </w:rPr>
      </w:pPr>
      <w:r w:rsidRPr="00315655">
        <w:rPr>
          <w:szCs w:val="24"/>
        </w:rPr>
        <w:t xml:space="preserve">This exception authorizes oral and written prescriptions for all non-federally controlled substances, </w:t>
      </w:r>
      <w:r>
        <w:rPr>
          <w:szCs w:val="24"/>
        </w:rPr>
        <w:t>also referred to as Schedule V</w:t>
      </w:r>
      <w:r w:rsidR="00480A4E">
        <w:rPr>
          <w:szCs w:val="24"/>
        </w:rPr>
        <w:t>I</w:t>
      </w:r>
      <w:r>
        <w:rPr>
          <w:szCs w:val="24"/>
        </w:rPr>
        <w:t xml:space="preserve"> substances,</w:t>
      </w:r>
      <w:r w:rsidR="00480A4E">
        <w:rPr>
          <w:szCs w:val="24"/>
        </w:rPr>
        <w:t xml:space="preserve"> </w:t>
      </w:r>
      <w:r w:rsidRPr="00315655">
        <w:rPr>
          <w:szCs w:val="24"/>
        </w:rPr>
        <w:t>which have a lower potential for abuse and misuse than other controlled substances</w:t>
      </w:r>
      <w:r w:rsidR="00480A4E">
        <w:rPr>
          <w:szCs w:val="24"/>
        </w:rPr>
        <w:t>,</w:t>
      </w:r>
      <w:r w:rsidR="00480A4E" w:rsidRPr="00480A4E">
        <w:rPr>
          <w:szCs w:val="24"/>
        </w:rPr>
        <w:t xml:space="preserve"> </w:t>
      </w:r>
      <w:r w:rsidR="00480A4E" w:rsidRPr="00315655">
        <w:rPr>
          <w:szCs w:val="24"/>
        </w:rPr>
        <w:t>but does not prohibit ePrescriptions for these medications</w:t>
      </w:r>
      <w:r w:rsidR="00480A4E">
        <w:rPr>
          <w:szCs w:val="24"/>
        </w:rPr>
        <w:t>.</w:t>
      </w:r>
    </w:p>
    <w:p w:rsidR="00762E73" w:rsidRDefault="00762E73" w:rsidP="003B5642">
      <w:pPr>
        <w:ind w:left="720"/>
        <w:rPr>
          <w:szCs w:val="24"/>
        </w:rPr>
      </w:pPr>
    </w:p>
    <w:p w:rsidR="003B5642" w:rsidRPr="00315655" w:rsidRDefault="003B5642" w:rsidP="003B5642">
      <w:pPr>
        <w:ind w:left="720"/>
        <w:rPr>
          <w:szCs w:val="24"/>
        </w:rPr>
      </w:pPr>
      <w:r w:rsidRPr="00315655">
        <w:rPr>
          <w:szCs w:val="24"/>
        </w:rPr>
        <w:t xml:space="preserve">Prescribers choosing to </w:t>
      </w:r>
      <w:r>
        <w:rPr>
          <w:szCs w:val="24"/>
        </w:rPr>
        <w:t xml:space="preserve">issue, and pharmacists receiving, </w:t>
      </w:r>
      <w:r w:rsidRPr="00315655">
        <w:rPr>
          <w:szCs w:val="24"/>
        </w:rPr>
        <w:t xml:space="preserve">schedule VI </w:t>
      </w:r>
      <w:r>
        <w:rPr>
          <w:szCs w:val="24"/>
        </w:rPr>
        <w:t xml:space="preserve">ePrescriptions </w:t>
      </w:r>
      <w:r w:rsidRPr="00315655">
        <w:rPr>
          <w:szCs w:val="24"/>
        </w:rPr>
        <w:t xml:space="preserve">should </w:t>
      </w:r>
      <w:r>
        <w:rPr>
          <w:szCs w:val="24"/>
        </w:rPr>
        <w:t>refer to</w:t>
      </w:r>
      <w:r w:rsidRPr="00315655">
        <w:rPr>
          <w:szCs w:val="24"/>
        </w:rPr>
        <w:t xml:space="preserve"> </w:t>
      </w:r>
      <w:r w:rsidRPr="00346B4E">
        <w:rPr>
          <w:szCs w:val="24"/>
        </w:rPr>
        <w:t>Dispensing of Schedule VI ePrescriptions</w:t>
      </w:r>
      <w:r w:rsidR="00D214E1" w:rsidRPr="00346B4E">
        <w:rPr>
          <w:szCs w:val="24"/>
        </w:rPr>
        <w:t xml:space="preserve"> – Failover</w:t>
      </w:r>
      <w:r w:rsidRPr="00315655">
        <w:rPr>
          <w:szCs w:val="24"/>
        </w:rPr>
        <w:t xml:space="preserve"> </w:t>
      </w:r>
      <w:r w:rsidR="00346B4E">
        <w:rPr>
          <w:szCs w:val="24"/>
        </w:rPr>
        <w:t xml:space="preserve">section </w:t>
      </w:r>
      <w:r w:rsidRPr="00DC435D">
        <w:rPr>
          <w:szCs w:val="24"/>
        </w:rPr>
        <w:t xml:space="preserve">on </w:t>
      </w:r>
      <w:r w:rsidRPr="00532A4B">
        <w:rPr>
          <w:szCs w:val="24"/>
        </w:rPr>
        <w:t xml:space="preserve">page </w:t>
      </w:r>
      <w:r w:rsidR="00CC5948">
        <w:rPr>
          <w:szCs w:val="24"/>
        </w:rPr>
        <w:t>6</w:t>
      </w:r>
      <w:r w:rsidRPr="00DC435D">
        <w:rPr>
          <w:szCs w:val="24"/>
        </w:rPr>
        <w:t xml:space="preserve"> </w:t>
      </w:r>
      <w:r w:rsidRPr="00315655">
        <w:rPr>
          <w:szCs w:val="24"/>
        </w:rPr>
        <w:t>for further guidance.</w:t>
      </w:r>
    </w:p>
    <w:p w:rsidR="00874F99" w:rsidRDefault="00874F99">
      <w:pPr>
        <w:rPr>
          <w:szCs w:val="24"/>
        </w:rPr>
      </w:pPr>
    </w:p>
    <w:p w:rsidR="003B5642" w:rsidRPr="00DC51C2" w:rsidRDefault="003B5642" w:rsidP="003B5642">
      <w:pPr>
        <w:pStyle w:val="ListParagraph"/>
        <w:numPr>
          <w:ilvl w:val="0"/>
          <w:numId w:val="19"/>
        </w:numPr>
        <w:ind w:left="360"/>
        <w:rPr>
          <w:szCs w:val="24"/>
        </w:rPr>
      </w:pPr>
      <w:r>
        <w:rPr>
          <w:szCs w:val="24"/>
        </w:rPr>
        <w:t>P</w:t>
      </w:r>
      <w:r w:rsidRPr="00DC51C2">
        <w:rPr>
          <w:szCs w:val="24"/>
        </w:rPr>
        <w:t>rescriptions for durable medical equipment</w:t>
      </w:r>
      <w:r>
        <w:rPr>
          <w:szCs w:val="24"/>
        </w:rPr>
        <w:t>.</w:t>
      </w:r>
    </w:p>
    <w:p w:rsidR="003B5642" w:rsidRPr="00315655" w:rsidRDefault="003B5642" w:rsidP="003B5642">
      <w:pPr>
        <w:pStyle w:val="ListParagraph"/>
        <w:rPr>
          <w:szCs w:val="24"/>
        </w:rPr>
      </w:pPr>
      <w:r w:rsidRPr="00315655">
        <w:rPr>
          <w:szCs w:val="24"/>
        </w:rPr>
        <w:t>Although a prescription is generally not needed for medical devices, this exception recognizes that patients may request a prescription in order to secure insurance coverage for the item, and that DME</w:t>
      </w:r>
      <w:r w:rsidRPr="00315655">
        <w:rPr>
          <w:rStyle w:val="FootnoteReference"/>
          <w:szCs w:val="24"/>
        </w:rPr>
        <w:footnoteReference w:id="11"/>
      </w:r>
      <w:r w:rsidRPr="00315655">
        <w:rPr>
          <w:szCs w:val="24"/>
        </w:rPr>
        <w:t xml:space="preserve"> suppliers are typically not capable of receiving ePrescriptions. </w:t>
      </w:r>
    </w:p>
    <w:p w:rsidR="003B5642" w:rsidRPr="00DC51C2" w:rsidRDefault="003B5642" w:rsidP="003B5642">
      <w:pPr>
        <w:pStyle w:val="ListParagraph"/>
        <w:rPr>
          <w:szCs w:val="24"/>
        </w:rPr>
      </w:pPr>
    </w:p>
    <w:p w:rsidR="003B5642" w:rsidRPr="00DC51C2" w:rsidRDefault="003B5642" w:rsidP="003B5642">
      <w:pPr>
        <w:pStyle w:val="ListParagraph"/>
        <w:numPr>
          <w:ilvl w:val="0"/>
          <w:numId w:val="19"/>
        </w:numPr>
        <w:ind w:left="360"/>
        <w:rPr>
          <w:szCs w:val="24"/>
        </w:rPr>
      </w:pPr>
      <w:r>
        <w:rPr>
          <w:szCs w:val="24"/>
        </w:rPr>
        <w:t>P</w:t>
      </w:r>
      <w:r w:rsidRPr="00DC51C2">
        <w:rPr>
          <w:szCs w:val="24"/>
        </w:rPr>
        <w:t>rescriptions issued prior to January 1, 2023 to nursing home residents</w:t>
      </w:r>
      <w:r>
        <w:rPr>
          <w:szCs w:val="24"/>
        </w:rPr>
        <w:t xml:space="preserve">. </w:t>
      </w:r>
    </w:p>
    <w:p w:rsidR="003B5642" w:rsidRPr="005E0FA7" w:rsidRDefault="003B5642" w:rsidP="003B5642">
      <w:pPr>
        <w:ind w:left="720"/>
        <w:rPr>
          <w:szCs w:val="24"/>
        </w:rPr>
      </w:pPr>
      <w:r w:rsidRPr="005E0FA7">
        <w:rPr>
          <w:szCs w:val="24"/>
        </w:rPr>
        <w:t>This exception is limited in duration until January 1, 2023, or such later date as determined by the Department. The exception applies to Level I, II, or III Long-Term Care Facilities, as defined in regulation.</w:t>
      </w:r>
      <w:r>
        <w:rPr>
          <w:rStyle w:val="FootnoteReference"/>
          <w:szCs w:val="24"/>
        </w:rPr>
        <w:footnoteReference w:id="12"/>
      </w:r>
    </w:p>
    <w:p w:rsidR="003B5642" w:rsidRPr="00DC51C2" w:rsidRDefault="003B5642" w:rsidP="003B5642">
      <w:pPr>
        <w:ind w:left="720"/>
        <w:rPr>
          <w:szCs w:val="24"/>
        </w:rPr>
      </w:pPr>
    </w:p>
    <w:p w:rsidR="00697D10" w:rsidRDefault="00697D10">
      <w:pPr>
        <w:rPr>
          <w:szCs w:val="24"/>
        </w:rPr>
      </w:pPr>
      <w:r>
        <w:rPr>
          <w:szCs w:val="24"/>
        </w:rPr>
        <w:br w:type="page"/>
      </w:r>
    </w:p>
    <w:p w:rsidR="003B5642" w:rsidRPr="00DC51C2" w:rsidRDefault="003B5642" w:rsidP="003B5642">
      <w:pPr>
        <w:pStyle w:val="ListParagraph"/>
        <w:numPr>
          <w:ilvl w:val="0"/>
          <w:numId w:val="19"/>
        </w:numPr>
        <w:ind w:left="270"/>
        <w:rPr>
          <w:szCs w:val="24"/>
        </w:rPr>
      </w:pPr>
      <w:r>
        <w:rPr>
          <w:szCs w:val="24"/>
        </w:rPr>
        <w:lastRenderedPageBreak/>
        <w:t>P</w:t>
      </w:r>
      <w:r w:rsidRPr="00DC51C2">
        <w:rPr>
          <w:szCs w:val="24"/>
        </w:rPr>
        <w:t>rescriptions issued in response to urgent public health matters.</w:t>
      </w:r>
    </w:p>
    <w:p w:rsidR="003B5642" w:rsidRPr="005E0FA7" w:rsidRDefault="003B5642" w:rsidP="003B5642">
      <w:pPr>
        <w:ind w:left="720"/>
        <w:rPr>
          <w:szCs w:val="24"/>
        </w:rPr>
      </w:pPr>
      <w:r w:rsidRPr="005E0FA7">
        <w:rPr>
          <w:szCs w:val="24"/>
        </w:rPr>
        <w:t>This section anticipates the unanticipated by allowing written and oral prescriptions to be issued in rare circumstances when the state acts:</w:t>
      </w:r>
    </w:p>
    <w:p w:rsidR="003B5642" w:rsidRPr="005E0FA7" w:rsidRDefault="003B5642" w:rsidP="003B5642">
      <w:pPr>
        <w:pStyle w:val="ListParagraph"/>
        <w:numPr>
          <w:ilvl w:val="0"/>
          <w:numId w:val="28"/>
        </w:numPr>
        <w:rPr>
          <w:bCs/>
          <w:szCs w:val="24"/>
        </w:rPr>
      </w:pPr>
      <w:r w:rsidRPr="005E0FA7">
        <w:rPr>
          <w:szCs w:val="24"/>
        </w:rPr>
        <w:t>in response to a public health emergency</w:t>
      </w:r>
      <w:r>
        <w:rPr>
          <w:szCs w:val="24"/>
        </w:rPr>
        <w:t>;</w:t>
      </w:r>
      <w:r>
        <w:rPr>
          <w:rStyle w:val="FootnoteReference"/>
          <w:szCs w:val="24"/>
        </w:rPr>
        <w:footnoteReference w:id="13"/>
      </w:r>
    </w:p>
    <w:p w:rsidR="003B5642" w:rsidRPr="005E0FA7" w:rsidRDefault="003B5642" w:rsidP="003B5642">
      <w:pPr>
        <w:pStyle w:val="ListParagraph"/>
        <w:numPr>
          <w:ilvl w:val="0"/>
          <w:numId w:val="28"/>
        </w:numPr>
        <w:rPr>
          <w:bCs/>
          <w:szCs w:val="24"/>
        </w:rPr>
      </w:pPr>
      <w:r w:rsidRPr="005E0FA7">
        <w:rPr>
          <w:szCs w:val="24"/>
        </w:rPr>
        <w:t>for the treatment, control and prevention of diseases</w:t>
      </w:r>
      <w:r w:rsidRPr="005E0FA7">
        <w:rPr>
          <w:bCs/>
          <w:szCs w:val="24"/>
        </w:rPr>
        <w:t xml:space="preserve"> </w:t>
      </w:r>
      <w:r w:rsidRPr="005E0FA7">
        <w:rPr>
          <w:szCs w:val="24"/>
        </w:rPr>
        <w:t xml:space="preserve">dangerous to public health, </w:t>
      </w:r>
      <w:r w:rsidRPr="005E0FA7">
        <w:rPr>
          <w:bCs/>
          <w:szCs w:val="24"/>
        </w:rPr>
        <w:t>including sexually transmitted infections</w:t>
      </w:r>
      <w:r>
        <w:rPr>
          <w:bCs/>
          <w:szCs w:val="24"/>
        </w:rPr>
        <w:t>;</w:t>
      </w:r>
      <w:r>
        <w:rPr>
          <w:rStyle w:val="FootnoteReference"/>
          <w:bCs/>
          <w:szCs w:val="24"/>
        </w:rPr>
        <w:footnoteReference w:id="14"/>
      </w:r>
      <w:r>
        <w:rPr>
          <w:bCs/>
          <w:szCs w:val="24"/>
        </w:rPr>
        <w:t xml:space="preserve"> or</w:t>
      </w:r>
    </w:p>
    <w:p w:rsidR="003B5642" w:rsidRPr="005E0FA7" w:rsidRDefault="003B5642" w:rsidP="003B5642">
      <w:pPr>
        <w:pStyle w:val="ListParagraph"/>
        <w:numPr>
          <w:ilvl w:val="0"/>
          <w:numId w:val="28"/>
        </w:numPr>
        <w:rPr>
          <w:szCs w:val="24"/>
        </w:rPr>
      </w:pPr>
      <w:r w:rsidRPr="005E0FA7">
        <w:rPr>
          <w:szCs w:val="24"/>
        </w:rPr>
        <w:t>in response to urgent public health matters</w:t>
      </w:r>
      <w:r>
        <w:rPr>
          <w:szCs w:val="24"/>
        </w:rPr>
        <w:t>.</w:t>
      </w:r>
    </w:p>
    <w:p w:rsidR="003B5642" w:rsidRDefault="003B5642" w:rsidP="003B5642">
      <w:pPr>
        <w:ind w:left="720"/>
        <w:rPr>
          <w:szCs w:val="24"/>
        </w:rPr>
      </w:pPr>
    </w:p>
    <w:p w:rsidR="003B5642" w:rsidRDefault="003B5642" w:rsidP="003B5642">
      <w:pPr>
        <w:ind w:left="720"/>
        <w:rPr>
          <w:szCs w:val="24"/>
        </w:rPr>
      </w:pPr>
      <w:r>
        <w:rPr>
          <w:szCs w:val="24"/>
        </w:rPr>
        <w:t>These urgent situations may require the immediate prescription of controlled substances to unidentified patients or to large numbers of patients, making ePrescribing impractical or impossible given emergency constraints, such as limited time or geographic difficulties.</w:t>
      </w:r>
    </w:p>
    <w:p w:rsidR="003B5642" w:rsidRPr="00DC51C2" w:rsidRDefault="003B5642" w:rsidP="003B5642">
      <w:pPr>
        <w:ind w:left="720"/>
        <w:rPr>
          <w:szCs w:val="24"/>
        </w:rPr>
      </w:pPr>
    </w:p>
    <w:p w:rsidR="003B5642" w:rsidRPr="00DC51C2" w:rsidRDefault="003B5642" w:rsidP="003B5642">
      <w:pPr>
        <w:pStyle w:val="Header"/>
        <w:rPr>
          <w:szCs w:val="24"/>
          <w:u w:val="single"/>
        </w:rPr>
      </w:pPr>
      <w:r w:rsidRPr="00DC51C2">
        <w:rPr>
          <w:szCs w:val="24"/>
          <w:u w:val="single"/>
        </w:rPr>
        <w:t>Written or Electronic Follow-Up Prescription</w:t>
      </w:r>
    </w:p>
    <w:p w:rsidR="003B5642" w:rsidRPr="00DC51C2" w:rsidRDefault="003B5642" w:rsidP="003B5642">
      <w:pPr>
        <w:pStyle w:val="Header"/>
        <w:rPr>
          <w:szCs w:val="24"/>
        </w:rPr>
      </w:pPr>
      <w:r w:rsidRPr="00DC51C2">
        <w:rPr>
          <w:szCs w:val="24"/>
        </w:rPr>
        <w:t xml:space="preserve">If an oral prescription is issued </w:t>
      </w:r>
      <w:r>
        <w:rPr>
          <w:szCs w:val="24"/>
        </w:rPr>
        <w:t>for a controlled substance in Schedule II-V</w:t>
      </w:r>
      <w:r w:rsidRPr="00DC51C2">
        <w:rPr>
          <w:szCs w:val="24"/>
        </w:rPr>
        <w:t xml:space="preserve"> under one of the exceptions discussed </w:t>
      </w:r>
      <w:r>
        <w:rPr>
          <w:szCs w:val="24"/>
        </w:rPr>
        <w:t>above</w:t>
      </w:r>
      <w:r w:rsidRPr="00DC51C2">
        <w:rPr>
          <w:szCs w:val="24"/>
        </w:rPr>
        <w:t xml:space="preserve">, </w:t>
      </w:r>
      <w:r w:rsidR="00D22577">
        <w:rPr>
          <w:szCs w:val="24"/>
        </w:rPr>
        <w:t>state law requires the</w:t>
      </w:r>
      <w:r w:rsidR="00D22577" w:rsidRPr="00DC51C2">
        <w:rPr>
          <w:szCs w:val="24"/>
        </w:rPr>
        <w:t xml:space="preserve"> </w:t>
      </w:r>
      <w:r w:rsidR="00161BAC">
        <w:rPr>
          <w:szCs w:val="24"/>
        </w:rPr>
        <w:t>prescriber</w:t>
      </w:r>
      <w:r w:rsidR="00D22577" w:rsidRPr="00DC51C2">
        <w:rPr>
          <w:szCs w:val="24"/>
        </w:rPr>
        <w:t xml:space="preserve"> </w:t>
      </w:r>
      <w:r w:rsidRPr="00DC51C2">
        <w:rPr>
          <w:szCs w:val="24"/>
        </w:rPr>
        <w:t xml:space="preserve">issue a written or electronic follow-up prescription to the dispensing pharmacy within </w:t>
      </w:r>
      <w:r w:rsidR="00480A4E">
        <w:rPr>
          <w:szCs w:val="24"/>
        </w:rPr>
        <w:t>seven</w:t>
      </w:r>
      <w:r w:rsidRPr="00DC51C2">
        <w:rPr>
          <w:szCs w:val="24"/>
        </w:rPr>
        <w:t xml:space="preserve"> business days. The follow-up prescription must include on its face a notation that the prescription is being issued “to document an oral prescription.” </w:t>
      </w:r>
    </w:p>
    <w:p w:rsidR="003B5642" w:rsidRPr="00DC51C2" w:rsidRDefault="003B5642" w:rsidP="003B5642">
      <w:pPr>
        <w:pStyle w:val="Header"/>
        <w:rPr>
          <w:szCs w:val="24"/>
        </w:rPr>
      </w:pPr>
    </w:p>
    <w:p w:rsidR="003B5642" w:rsidRPr="00DC51C2" w:rsidRDefault="003B5642" w:rsidP="003B5642">
      <w:pPr>
        <w:pStyle w:val="Header"/>
        <w:rPr>
          <w:szCs w:val="24"/>
        </w:rPr>
      </w:pPr>
      <w:r>
        <w:rPr>
          <w:szCs w:val="24"/>
        </w:rPr>
        <w:t>Because</w:t>
      </w:r>
      <w:r w:rsidRPr="00DC51C2">
        <w:rPr>
          <w:szCs w:val="24"/>
        </w:rPr>
        <w:t xml:space="preserve"> the original prescription will have been issued under an exception to ePrescribing, the expectation is that most follow-up prescriptions will be written</w:t>
      </w:r>
      <w:r w:rsidR="00074FD3">
        <w:rPr>
          <w:szCs w:val="24"/>
        </w:rPr>
        <w:t xml:space="preserve"> rather than electronic</w:t>
      </w:r>
      <w:r w:rsidRPr="00DC51C2">
        <w:rPr>
          <w:szCs w:val="24"/>
        </w:rPr>
        <w:t>. The written follow-up prescription may be delivered to the pharmacy in person or by mail</w:t>
      </w:r>
      <w:r>
        <w:rPr>
          <w:szCs w:val="24"/>
        </w:rPr>
        <w:t>.</w:t>
      </w:r>
      <w:r w:rsidRPr="00DC51C2">
        <w:rPr>
          <w:szCs w:val="24"/>
        </w:rPr>
        <w:t xml:space="preserve"> </w:t>
      </w:r>
      <w:r>
        <w:rPr>
          <w:szCs w:val="24"/>
        </w:rPr>
        <w:t xml:space="preserve">If mailed, the follow-up prescription </w:t>
      </w:r>
      <w:r w:rsidRPr="00DC51C2">
        <w:rPr>
          <w:szCs w:val="24"/>
        </w:rPr>
        <w:t xml:space="preserve">must be postmarked within </w:t>
      </w:r>
      <w:r>
        <w:rPr>
          <w:szCs w:val="24"/>
        </w:rPr>
        <w:t xml:space="preserve">the </w:t>
      </w:r>
      <w:r w:rsidR="00480A4E">
        <w:rPr>
          <w:szCs w:val="24"/>
        </w:rPr>
        <w:t>seven</w:t>
      </w:r>
      <w:r w:rsidRPr="00DC51C2">
        <w:rPr>
          <w:szCs w:val="24"/>
        </w:rPr>
        <w:t xml:space="preserve"> business day</w:t>
      </w:r>
      <w:r>
        <w:rPr>
          <w:szCs w:val="24"/>
        </w:rPr>
        <w:t xml:space="preserve"> timeframe</w:t>
      </w:r>
      <w:r w:rsidRPr="00DC51C2">
        <w:rPr>
          <w:szCs w:val="24"/>
        </w:rPr>
        <w:t xml:space="preserve">. </w:t>
      </w:r>
    </w:p>
    <w:p w:rsidR="003B5642" w:rsidRPr="00DC51C2" w:rsidRDefault="003B5642" w:rsidP="003B5642">
      <w:pPr>
        <w:pStyle w:val="Header"/>
        <w:rPr>
          <w:szCs w:val="24"/>
        </w:rPr>
      </w:pPr>
    </w:p>
    <w:p w:rsidR="003B5642" w:rsidRPr="00DC51C2" w:rsidRDefault="00762E73" w:rsidP="003B5642">
      <w:pPr>
        <w:pStyle w:val="Header"/>
        <w:rPr>
          <w:szCs w:val="24"/>
        </w:rPr>
      </w:pPr>
      <w:r>
        <w:rPr>
          <w:szCs w:val="24"/>
        </w:rPr>
        <w:t xml:space="preserve">No written follow-up is required for schedule VI oral prescriptions. For additional Federal follow-up requirements for schedule II prescriptions, please refer to </w:t>
      </w:r>
      <w:r w:rsidRPr="00DC51C2">
        <w:rPr>
          <w:szCs w:val="24"/>
          <w:u w:val="single"/>
        </w:rPr>
        <w:t>Emergency Prescribing of Schedule II Controlled Substances</w:t>
      </w:r>
      <w:r>
        <w:rPr>
          <w:szCs w:val="24"/>
        </w:rPr>
        <w:t xml:space="preserve"> on </w:t>
      </w:r>
      <w:r w:rsidRPr="00532A4B">
        <w:rPr>
          <w:szCs w:val="24"/>
        </w:rPr>
        <w:t xml:space="preserve">page </w:t>
      </w:r>
      <w:r w:rsidR="00346B4E" w:rsidRPr="00532A4B">
        <w:rPr>
          <w:szCs w:val="24"/>
        </w:rPr>
        <w:t>5</w:t>
      </w:r>
      <w:r w:rsidRPr="00532A4B">
        <w:rPr>
          <w:szCs w:val="24"/>
        </w:rPr>
        <w:t>.</w:t>
      </w:r>
    </w:p>
    <w:p w:rsidR="003B5642" w:rsidRPr="00DC51C2" w:rsidRDefault="003B5642" w:rsidP="003B5642">
      <w:pPr>
        <w:pStyle w:val="Header"/>
        <w:rPr>
          <w:szCs w:val="24"/>
        </w:rPr>
      </w:pPr>
    </w:p>
    <w:p w:rsidR="003B5642" w:rsidRPr="00DC51C2" w:rsidRDefault="003B5642" w:rsidP="003B5642">
      <w:pPr>
        <w:pStyle w:val="Header"/>
        <w:rPr>
          <w:b/>
          <w:szCs w:val="24"/>
        </w:rPr>
      </w:pPr>
      <w:r w:rsidRPr="00DC51C2">
        <w:rPr>
          <w:b/>
          <w:szCs w:val="24"/>
        </w:rPr>
        <w:t>Emergency Situations</w:t>
      </w:r>
    </w:p>
    <w:p w:rsidR="003B5642" w:rsidRDefault="003B5642" w:rsidP="003B5642">
      <w:pPr>
        <w:pStyle w:val="Header"/>
        <w:rPr>
          <w:szCs w:val="24"/>
        </w:rPr>
      </w:pPr>
      <w:r w:rsidRPr="00DC51C2">
        <w:rPr>
          <w:szCs w:val="24"/>
        </w:rPr>
        <w:t xml:space="preserve">The CARE Act </w:t>
      </w:r>
      <w:r>
        <w:rPr>
          <w:szCs w:val="24"/>
        </w:rPr>
        <w:t xml:space="preserve">authorizes a pharmacist to </w:t>
      </w:r>
      <w:r w:rsidRPr="00DC51C2">
        <w:rPr>
          <w:szCs w:val="24"/>
        </w:rPr>
        <w:t>dispens</w:t>
      </w:r>
      <w:r>
        <w:rPr>
          <w:szCs w:val="24"/>
        </w:rPr>
        <w:t xml:space="preserve">e </w:t>
      </w:r>
      <w:r w:rsidRPr="00DC51C2">
        <w:rPr>
          <w:szCs w:val="24"/>
        </w:rPr>
        <w:t>a schedule II-VI substance upon written or oral prescription in emergency situations. Pursuant to 105 CMR 721.001, an emergency situation arises when the immediate administration of a controlled substance is necessary for the proper treatment of the patient, and</w:t>
      </w:r>
      <w:r w:rsidR="00762E73">
        <w:rPr>
          <w:szCs w:val="24"/>
        </w:rPr>
        <w:t>-</w:t>
      </w:r>
      <w:r w:rsidRPr="00DC51C2">
        <w:rPr>
          <w:szCs w:val="24"/>
        </w:rPr>
        <w:t xml:space="preserve"> </w:t>
      </w:r>
    </w:p>
    <w:p w:rsidR="00C75456" w:rsidRPr="00DC51C2" w:rsidRDefault="00C75456" w:rsidP="003B5642">
      <w:pPr>
        <w:pStyle w:val="Header"/>
        <w:rPr>
          <w:szCs w:val="24"/>
        </w:rPr>
      </w:pPr>
    </w:p>
    <w:p w:rsidR="003B5642" w:rsidRDefault="003B5642" w:rsidP="00A54AD3">
      <w:pPr>
        <w:pStyle w:val="Header"/>
        <w:numPr>
          <w:ilvl w:val="0"/>
          <w:numId w:val="34"/>
        </w:numPr>
        <w:rPr>
          <w:szCs w:val="24"/>
        </w:rPr>
      </w:pPr>
      <w:r w:rsidRPr="00DC51C2">
        <w:rPr>
          <w:szCs w:val="24"/>
        </w:rPr>
        <w:t xml:space="preserve">it is not reasonably possible for the prescriber to generate or transmit an electronic prescription prior to dispensing; or </w:t>
      </w:r>
    </w:p>
    <w:p w:rsidR="003B5642" w:rsidRPr="00DC51C2" w:rsidRDefault="003B5642" w:rsidP="00A54AD3">
      <w:pPr>
        <w:pStyle w:val="Header"/>
        <w:numPr>
          <w:ilvl w:val="0"/>
          <w:numId w:val="34"/>
        </w:numPr>
        <w:rPr>
          <w:szCs w:val="24"/>
        </w:rPr>
      </w:pPr>
      <w:r w:rsidRPr="00DC51C2">
        <w:rPr>
          <w:szCs w:val="24"/>
        </w:rPr>
        <w:t>the prescriber determines that the electronic prescription requirement would result in a delay that would adversely impact the patient’s medical condition.</w:t>
      </w:r>
    </w:p>
    <w:p w:rsidR="003B5642" w:rsidRPr="00DC51C2" w:rsidRDefault="003B5642" w:rsidP="003B5642">
      <w:pPr>
        <w:rPr>
          <w:szCs w:val="24"/>
        </w:rPr>
      </w:pPr>
    </w:p>
    <w:p w:rsidR="003B5642" w:rsidRPr="00DC51C2" w:rsidRDefault="003B5642" w:rsidP="003B5642">
      <w:pPr>
        <w:rPr>
          <w:i/>
          <w:szCs w:val="24"/>
        </w:rPr>
      </w:pPr>
      <w:r w:rsidRPr="00DC51C2">
        <w:rPr>
          <w:i/>
          <w:szCs w:val="24"/>
        </w:rPr>
        <w:t>Examples:</w:t>
      </w:r>
    </w:p>
    <w:p w:rsidR="003B5642" w:rsidRDefault="003B5642" w:rsidP="003B5642">
      <w:pPr>
        <w:pStyle w:val="ListParagraph"/>
        <w:numPr>
          <w:ilvl w:val="0"/>
          <w:numId w:val="25"/>
        </w:numPr>
        <w:rPr>
          <w:szCs w:val="24"/>
        </w:rPr>
      </w:pPr>
      <w:r w:rsidRPr="00DC51C2">
        <w:rPr>
          <w:szCs w:val="24"/>
        </w:rPr>
        <w:t xml:space="preserve">An emergency situation may arise when a patient is discharged with from a hospital’s emergency department with a prescription at a time or in a location that does not allow the patient to visit a pharmacy with which she has a routine relationship. In such </w:t>
      </w:r>
      <w:r w:rsidRPr="00DC51C2">
        <w:rPr>
          <w:szCs w:val="24"/>
        </w:rPr>
        <w:lastRenderedPageBreak/>
        <w:t xml:space="preserve">instances, the </w:t>
      </w:r>
      <w:r>
        <w:rPr>
          <w:szCs w:val="24"/>
        </w:rPr>
        <w:t xml:space="preserve">patient’s </w:t>
      </w:r>
      <w:r w:rsidRPr="00DC51C2">
        <w:rPr>
          <w:szCs w:val="24"/>
        </w:rPr>
        <w:t>ability to take a written prescription to a 24-hour pharmacy on route to the patient’s home or temporary residence may be essential to the prompt treatment of the patient’s condition.</w:t>
      </w:r>
    </w:p>
    <w:p w:rsidR="003B5642" w:rsidRPr="00DC51C2" w:rsidRDefault="003B5642" w:rsidP="003B5642">
      <w:pPr>
        <w:pStyle w:val="ListParagraph"/>
        <w:numPr>
          <w:ilvl w:val="0"/>
          <w:numId w:val="25"/>
        </w:numPr>
        <w:rPr>
          <w:szCs w:val="24"/>
        </w:rPr>
      </w:pPr>
      <w:r w:rsidRPr="00DC51C2">
        <w:rPr>
          <w:szCs w:val="24"/>
        </w:rPr>
        <w:t>An emergency situation may arise when a hospice patient is experiencing sudden, breakthrough pain that is not relieved by previously dispensed medication, and the patient’s prescriber is on vacation</w:t>
      </w:r>
      <w:r>
        <w:rPr>
          <w:szCs w:val="24"/>
        </w:rPr>
        <w:t>,</w:t>
      </w:r>
      <w:r w:rsidRPr="00DC51C2">
        <w:rPr>
          <w:szCs w:val="24"/>
        </w:rPr>
        <w:t xml:space="preserve"> unable to log into her hospital’s EPCS system to generate an electronic prescription</w:t>
      </w:r>
      <w:r>
        <w:rPr>
          <w:szCs w:val="24"/>
        </w:rPr>
        <w:t>,</w:t>
      </w:r>
      <w:r w:rsidRPr="00DC51C2">
        <w:rPr>
          <w:szCs w:val="24"/>
        </w:rPr>
        <w:t xml:space="preserve"> </w:t>
      </w:r>
      <w:r>
        <w:rPr>
          <w:szCs w:val="24"/>
        </w:rPr>
        <w:t>and is unable</w:t>
      </w:r>
      <w:r w:rsidRPr="00DC51C2">
        <w:rPr>
          <w:szCs w:val="24"/>
        </w:rPr>
        <w:t xml:space="preserve"> to reach a covering prescriber to generate such prescription.</w:t>
      </w:r>
    </w:p>
    <w:p w:rsidR="003B5642" w:rsidRPr="00DC51C2" w:rsidRDefault="003B5642" w:rsidP="003B5642">
      <w:pPr>
        <w:rPr>
          <w:szCs w:val="24"/>
        </w:rPr>
      </w:pPr>
    </w:p>
    <w:p w:rsidR="003B5642" w:rsidRPr="00DC51C2" w:rsidRDefault="003B5642" w:rsidP="003B5642">
      <w:pPr>
        <w:rPr>
          <w:i/>
          <w:szCs w:val="24"/>
        </w:rPr>
      </w:pPr>
      <w:r w:rsidRPr="00DC51C2">
        <w:rPr>
          <w:szCs w:val="24"/>
        </w:rPr>
        <w:t xml:space="preserve">As with other exceptions discussed </w:t>
      </w:r>
      <w:r w:rsidR="00762E73">
        <w:rPr>
          <w:szCs w:val="24"/>
        </w:rPr>
        <w:t>above</w:t>
      </w:r>
      <w:r w:rsidRPr="00DC51C2">
        <w:rPr>
          <w:szCs w:val="24"/>
        </w:rPr>
        <w:t xml:space="preserve">, an oral prescription </w:t>
      </w:r>
      <w:r>
        <w:rPr>
          <w:szCs w:val="24"/>
        </w:rPr>
        <w:t>for a controlled substance in Federal schedule II-V</w:t>
      </w:r>
      <w:r w:rsidRPr="00DC51C2">
        <w:rPr>
          <w:szCs w:val="24"/>
        </w:rPr>
        <w:t xml:space="preserve"> issued in an emergency situation must be followed within </w:t>
      </w:r>
      <w:r w:rsidR="00480A4E">
        <w:rPr>
          <w:szCs w:val="24"/>
        </w:rPr>
        <w:t>seven</w:t>
      </w:r>
      <w:r w:rsidRPr="00DC51C2">
        <w:rPr>
          <w:szCs w:val="24"/>
        </w:rPr>
        <w:t xml:space="preserve"> business days by a written or electronic prescription for the emergency quantity, including the notation, </w:t>
      </w:r>
      <w:r w:rsidRPr="00DC51C2">
        <w:rPr>
          <w:i/>
          <w:szCs w:val="24"/>
        </w:rPr>
        <w:t>"Issued to Document an Oral Prescription."</w:t>
      </w:r>
    </w:p>
    <w:p w:rsidR="003B5642" w:rsidRPr="00DC51C2" w:rsidRDefault="003B5642" w:rsidP="003B5642">
      <w:pPr>
        <w:rPr>
          <w:szCs w:val="24"/>
        </w:rPr>
      </w:pPr>
    </w:p>
    <w:p w:rsidR="003B5642" w:rsidRPr="00DC51C2" w:rsidRDefault="003B5642" w:rsidP="003B5642">
      <w:pPr>
        <w:rPr>
          <w:szCs w:val="24"/>
          <w:u w:val="single"/>
        </w:rPr>
      </w:pPr>
      <w:r w:rsidRPr="00DC51C2">
        <w:rPr>
          <w:szCs w:val="24"/>
          <w:u w:val="single"/>
        </w:rPr>
        <w:t>Emergency Prescribing of Schedule II Controlled Substances</w:t>
      </w:r>
    </w:p>
    <w:p w:rsidR="004C00AD" w:rsidRPr="002A08D9" w:rsidRDefault="003B5642" w:rsidP="000F47E3">
      <w:pPr>
        <w:rPr>
          <w:szCs w:val="24"/>
        </w:rPr>
      </w:pPr>
      <w:r w:rsidRPr="00DC51C2">
        <w:rPr>
          <w:szCs w:val="24"/>
        </w:rPr>
        <w:t xml:space="preserve">Additional rules apply when issuing an oral prescription for a </w:t>
      </w:r>
      <w:r>
        <w:rPr>
          <w:szCs w:val="24"/>
        </w:rPr>
        <w:t>s</w:t>
      </w:r>
      <w:r w:rsidRPr="00DC51C2">
        <w:rPr>
          <w:szCs w:val="24"/>
        </w:rPr>
        <w:t xml:space="preserve">chedule II controlled substance in an emergency situation. The follow-up written or electronic prescription must include the additional notation, </w:t>
      </w:r>
      <w:r w:rsidRPr="00DC51C2">
        <w:rPr>
          <w:i/>
          <w:szCs w:val="24"/>
        </w:rPr>
        <w:t>"Authorization for Emergency Dispensing."</w:t>
      </w:r>
      <w:r w:rsidR="007A6BE3">
        <w:rPr>
          <w:i/>
          <w:szCs w:val="24"/>
        </w:rPr>
        <w:t xml:space="preserve"> </w:t>
      </w:r>
      <w:r w:rsidRPr="00DC51C2">
        <w:rPr>
          <w:szCs w:val="24"/>
        </w:rPr>
        <w:t xml:space="preserve">Further, if a prescriber fails to issue a follow-up written or electronic prescription within </w:t>
      </w:r>
      <w:r w:rsidR="00480A4E">
        <w:rPr>
          <w:szCs w:val="24"/>
        </w:rPr>
        <w:t>seven</w:t>
      </w:r>
      <w:r w:rsidRPr="00DC51C2">
        <w:rPr>
          <w:szCs w:val="24"/>
        </w:rPr>
        <w:t xml:space="preserve"> business days, the pharmacist is required to notify the U.S. Drug Enforcement Administration (DEA) of such failure.</w:t>
      </w:r>
    </w:p>
    <w:p w:rsidR="003B5642" w:rsidRPr="00DC51C2" w:rsidRDefault="003B5642" w:rsidP="003B5642">
      <w:pPr>
        <w:rPr>
          <w:szCs w:val="24"/>
        </w:rPr>
      </w:pPr>
    </w:p>
    <w:p w:rsidR="003B5642" w:rsidRPr="00DC51C2" w:rsidRDefault="003B5642" w:rsidP="003B5642">
      <w:pPr>
        <w:pStyle w:val="Header"/>
        <w:rPr>
          <w:b/>
          <w:szCs w:val="24"/>
        </w:rPr>
      </w:pPr>
      <w:r>
        <w:rPr>
          <w:b/>
          <w:szCs w:val="24"/>
        </w:rPr>
        <w:t>Time</w:t>
      </w:r>
      <w:r>
        <w:rPr>
          <w:b/>
          <w:szCs w:val="24"/>
        </w:rPr>
        <w:noBreakHyphen/>
        <w:t xml:space="preserve">Limited </w:t>
      </w:r>
      <w:r w:rsidRPr="00DC51C2">
        <w:rPr>
          <w:b/>
          <w:szCs w:val="24"/>
        </w:rPr>
        <w:t>Waiver</w:t>
      </w:r>
      <w:r w:rsidR="00E61D10">
        <w:rPr>
          <w:b/>
          <w:szCs w:val="24"/>
        </w:rPr>
        <w:t xml:space="preserve"> </w:t>
      </w:r>
      <w:r w:rsidR="00697D10">
        <w:rPr>
          <w:b/>
          <w:szCs w:val="24"/>
        </w:rPr>
        <w:t xml:space="preserve">Request and Approval </w:t>
      </w:r>
      <w:r w:rsidR="00E61D10">
        <w:rPr>
          <w:b/>
          <w:szCs w:val="24"/>
        </w:rPr>
        <w:t>Proces</w:t>
      </w:r>
      <w:r w:rsidRPr="00DC51C2">
        <w:rPr>
          <w:b/>
          <w:szCs w:val="24"/>
        </w:rPr>
        <w:t>s</w:t>
      </w:r>
    </w:p>
    <w:p w:rsidR="003B5642" w:rsidRDefault="00E61D10" w:rsidP="003B5642">
      <w:pPr>
        <w:pStyle w:val="Header"/>
        <w:rPr>
          <w:rFonts w:eastAsiaTheme="minorHAnsi"/>
          <w:szCs w:val="24"/>
        </w:rPr>
      </w:pPr>
      <w:r>
        <w:rPr>
          <w:rFonts w:eastAsiaTheme="minorHAnsi"/>
          <w:szCs w:val="24"/>
        </w:rPr>
        <w:t xml:space="preserve">A </w:t>
      </w:r>
      <w:r w:rsidR="003B5642" w:rsidRPr="00DC51C2">
        <w:rPr>
          <w:rFonts w:eastAsiaTheme="minorHAnsi"/>
          <w:szCs w:val="24"/>
        </w:rPr>
        <w:t xml:space="preserve">prescriber </w:t>
      </w:r>
      <w:r>
        <w:rPr>
          <w:rFonts w:eastAsiaTheme="minorHAnsi"/>
          <w:szCs w:val="24"/>
        </w:rPr>
        <w:t>m</w:t>
      </w:r>
      <w:r w:rsidR="00DD05F9">
        <w:rPr>
          <w:rFonts w:eastAsiaTheme="minorHAnsi"/>
          <w:szCs w:val="24"/>
        </w:rPr>
        <w:t xml:space="preserve">ay </w:t>
      </w:r>
      <w:r w:rsidR="003B5642" w:rsidRPr="00DC51C2">
        <w:rPr>
          <w:rFonts w:eastAsiaTheme="minorHAnsi"/>
          <w:szCs w:val="24"/>
        </w:rPr>
        <w:t xml:space="preserve">issue oral and written prescriptions for a limited time as </w:t>
      </w:r>
      <w:r w:rsidR="003B5642">
        <w:rPr>
          <w:rFonts w:eastAsiaTheme="minorHAnsi"/>
          <w:szCs w:val="24"/>
        </w:rPr>
        <w:t>authorized by</w:t>
      </w:r>
      <w:r w:rsidR="003B5642" w:rsidRPr="00DC51C2">
        <w:rPr>
          <w:rFonts w:eastAsiaTheme="minorHAnsi"/>
          <w:szCs w:val="24"/>
        </w:rPr>
        <w:t xml:space="preserve"> a</w:t>
      </w:r>
      <w:r w:rsidR="003B5642">
        <w:rPr>
          <w:rFonts w:eastAsiaTheme="minorHAnsi"/>
          <w:szCs w:val="24"/>
        </w:rPr>
        <w:t xml:space="preserve"> DPH-</w:t>
      </w:r>
      <w:r w:rsidR="003B5642" w:rsidRPr="00DC51C2">
        <w:rPr>
          <w:rFonts w:eastAsiaTheme="minorHAnsi"/>
          <w:szCs w:val="24"/>
        </w:rPr>
        <w:t xml:space="preserve">approved waiver. </w:t>
      </w:r>
      <w:r w:rsidR="003B5642">
        <w:rPr>
          <w:rFonts w:eastAsiaTheme="minorHAnsi"/>
          <w:szCs w:val="24"/>
        </w:rPr>
        <w:t>DPH may approve a</w:t>
      </w:r>
      <w:r w:rsidR="003B5642" w:rsidRPr="00DC51C2">
        <w:rPr>
          <w:rFonts w:eastAsiaTheme="minorHAnsi"/>
          <w:szCs w:val="24"/>
        </w:rPr>
        <w:t xml:space="preserve"> time</w:t>
      </w:r>
      <w:r w:rsidR="003B5642">
        <w:rPr>
          <w:rFonts w:eastAsiaTheme="minorHAnsi"/>
          <w:szCs w:val="24"/>
        </w:rPr>
        <w:noBreakHyphen/>
      </w:r>
      <w:r w:rsidR="003B5642" w:rsidRPr="00DC51C2">
        <w:rPr>
          <w:rFonts w:eastAsiaTheme="minorHAnsi"/>
          <w:szCs w:val="24"/>
        </w:rPr>
        <w:t xml:space="preserve">limited waiver </w:t>
      </w:r>
      <w:r w:rsidR="003B5642">
        <w:rPr>
          <w:rFonts w:eastAsiaTheme="minorHAnsi"/>
          <w:szCs w:val="24"/>
        </w:rPr>
        <w:t xml:space="preserve">for </w:t>
      </w:r>
      <w:r w:rsidR="003B5642" w:rsidRPr="00DC51C2">
        <w:rPr>
          <w:rFonts w:eastAsiaTheme="minorHAnsi"/>
          <w:szCs w:val="24"/>
        </w:rPr>
        <w:t xml:space="preserve">a prescriber or </w:t>
      </w:r>
      <w:r w:rsidR="003B5642">
        <w:rPr>
          <w:rFonts w:eastAsiaTheme="minorHAnsi"/>
          <w:szCs w:val="24"/>
        </w:rPr>
        <w:t xml:space="preserve">for </w:t>
      </w:r>
      <w:r w:rsidR="003B5642" w:rsidRPr="00DC51C2">
        <w:rPr>
          <w:rFonts w:eastAsiaTheme="minorHAnsi"/>
          <w:szCs w:val="24"/>
        </w:rPr>
        <w:t>a health care facility (HCF).</w:t>
      </w:r>
      <w:r w:rsidR="003B5642">
        <w:rPr>
          <w:rFonts w:eastAsiaTheme="minorHAnsi"/>
          <w:szCs w:val="24"/>
        </w:rPr>
        <w:t xml:space="preserve"> </w:t>
      </w:r>
    </w:p>
    <w:p w:rsidR="003B5642" w:rsidRDefault="003B5642" w:rsidP="003B5642">
      <w:pPr>
        <w:pStyle w:val="Header"/>
        <w:rPr>
          <w:rFonts w:eastAsiaTheme="minorHAnsi"/>
          <w:szCs w:val="24"/>
        </w:rPr>
      </w:pPr>
    </w:p>
    <w:p w:rsidR="003B5642" w:rsidRDefault="003B5642" w:rsidP="003B5642">
      <w:pPr>
        <w:pStyle w:val="Header"/>
        <w:rPr>
          <w:rFonts w:eastAsiaTheme="minorHAnsi"/>
          <w:szCs w:val="24"/>
        </w:rPr>
      </w:pPr>
      <w:r w:rsidRPr="00DC51C2">
        <w:rPr>
          <w:rFonts w:eastAsiaTheme="minorHAnsi"/>
          <w:szCs w:val="24"/>
        </w:rPr>
        <w:t xml:space="preserve">When applying for a time-limited waiver, the applicant must provide DCP with written documentation supporting its request for a waiver. Applicants should use the form provided by DCP for this purpose. The form, which is available </w:t>
      </w:r>
      <w:r w:rsidRPr="00851612">
        <w:rPr>
          <w:rFonts w:eastAsiaTheme="minorHAnsi"/>
          <w:szCs w:val="24"/>
        </w:rPr>
        <w:t xml:space="preserve">online </w:t>
      </w:r>
      <w:r w:rsidR="00851612">
        <w:rPr>
          <w:rFonts w:eastAsiaTheme="minorHAnsi"/>
          <w:szCs w:val="24"/>
        </w:rPr>
        <w:t>(</w:t>
      </w:r>
      <w:hyperlink r:id="rId9" w:history="1">
        <w:r w:rsidR="00851612" w:rsidRPr="00851612">
          <w:rPr>
            <w:rStyle w:val="Hyperlink"/>
            <w:rFonts w:eastAsiaTheme="minorHAnsi"/>
            <w:szCs w:val="24"/>
          </w:rPr>
          <w:t>waiver</w:t>
        </w:r>
      </w:hyperlink>
      <w:r w:rsidR="00851612">
        <w:rPr>
          <w:rFonts w:eastAsiaTheme="minorHAnsi"/>
          <w:szCs w:val="24"/>
        </w:rPr>
        <w:t>)</w:t>
      </w:r>
      <w:r w:rsidRPr="00851612">
        <w:rPr>
          <w:rFonts w:eastAsiaTheme="minorHAnsi"/>
          <w:szCs w:val="24"/>
        </w:rPr>
        <w:t>,</w:t>
      </w:r>
      <w:r w:rsidRPr="00DC51C2">
        <w:rPr>
          <w:rFonts w:eastAsiaTheme="minorHAnsi"/>
          <w:szCs w:val="24"/>
        </w:rPr>
        <w:t xml:space="preserve"> includes space to document support for </w:t>
      </w:r>
      <w:r w:rsidR="007A6BE3">
        <w:rPr>
          <w:rFonts w:eastAsiaTheme="minorHAnsi"/>
          <w:szCs w:val="24"/>
        </w:rPr>
        <w:t>four</w:t>
      </w:r>
      <w:r>
        <w:rPr>
          <w:rFonts w:eastAsiaTheme="minorHAnsi"/>
          <w:szCs w:val="24"/>
        </w:rPr>
        <w:t xml:space="preserve"> </w:t>
      </w:r>
      <w:r w:rsidRPr="00DC51C2">
        <w:rPr>
          <w:rFonts w:eastAsiaTheme="minorHAnsi"/>
          <w:szCs w:val="24"/>
        </w:rPr>
        <w:t>key findings that DCP must make to warrant approval:</w:t>
      </w:r>
    </w:p>
    <w:p w:rsidR="00874F99" w:rsidRPr="00DC51C2" w:rsidRDefault="00874F99" w:rsidP="003B5642">
      <w:pPr>
        <w:pStyle w:val="Header"/>
        <w:rPr>
          <w:rFonts w:eastAsiaTheme="minorHAnsi"/>
          <w:szCs w:val="24"/>
        </w:rPr>
      </w:pPr>
    </w:p>
    <w:p w:rsidR="003B5642" w:rsidRDefault="003B5642" w:rsidP="003B5642">
      <w:pPr>
        <w:pStyle w:val="Header"/>
        <w:numPr>
          <w:ilvl w:val="0"/>
          <w:numId w:val="21"/>
        </w:numPr>
        <w:ind w:left="720"/>
        <w:rPr>
          <w:rFonts w:eastAsiaTheme="minorHAnsi"/>
          <w:szCs w:val="24"/>
        </w:rPr>
      </w:pPr>
      <w:r>
        <w:rPr>
          <w:rFonts w:eastAsiaTheme="minorHAnsi"/>
          <w:szCs w:val="24"/>
        </w:rPr>
        <w:t>the time period for which the waiver is requested is fact-based and reasonable; and</w:t>
      </w:r>
    </w:p>
    <w:p w:rsidR="003B5642" w:rsidRPr="00DC51C2" w:rsidRDefault="003B5642" w:rsidP="003B5642">
      <w:pPr>
        <w:pStyle w:val="Header"/>
        <w:numPr>
          <w:ilvl w:val="0"/>
          <w:numId w:val="21"/>
        </w:numPr>
        <w:ind w:left="720"/>
        <w:rPr>
          <w:rFonts w:eastAsiaTheme="minorHAnsi"/>
          <w:szCs w:val="24"/>
        </w:rPr>
      </w:pPr>
      <w:r w:rsidRPr="00DC51C2">
        <w:rPr>
          <w:rFonts w:eastAsiaTheme="minorHAnsi"/>
          <w:szCs w:val="24"/>
        </w:rPr>
        <w:t xml:space="preserve">compliance would impose a demonstrable economic hardship on the applicant, </w:t>
      </w:r>
      <w:r w:rsidRPr="00874F99">
        <w:rPr>
          <w:rFonts w:eastAsiaTheme="minorHAnsi"/>
          <w:szCs w:val="24"/>
          <w:u w:val="single"/>
        </w:rPr>
        <w:t>or</w:t>
      </w:r>
      <w:r w:rsidRPr="00DC51C2">
        <w:rPr>
          <w:rFonts w:eastAsiaTheme="minorHAnsi"/>
          <w:szCs w:val="24"/>
        </w:rPr>
        <w:t xml:space="preserve"> the applicant is impacted by technical limitations that are not reasonably within the applicant’s control, </w:t>
      </w:r>
      <w:r w:rsidRPr="00874F99">
        <w:rPr>
          <w:rFonts w:eastAsiaTheme="minorHAnsi"/>
          <w:szCs w:val="24"/>
          <w:u w:val="single"/>
        </w:rPr>
        <w:t>or</w:t>
      </w:r>
      <w:r w:rsidRPr="00DC51C2">
        <w:rPr>
          <w:rFonts w:eastAsiaTheme="minorHAnsi"/>
          <w:szCs w:val="24"/>
        </w:rPr>
        <w:t xml:space="preserve"> other exceptional circumstances; and</w:t>
      </w:r>
    </w:p>
    <w:p w:rsidR="003B5642" w:rsidRPr="00DC51C2" w:rsidRDefault="003B5642" w:rsidP="003B5642">
      <w:pPr>
        <w:pStyle w:val="Header"/>
        <w:numPr>
          <w:ilvl w:val="0"/>
          <w:numId w:val="21"/>
        </w:numPr>
        <w:ind w:left="720"/>
        <w:rPr>
          <w:rFonts w:eastAsiaTheme="minorHAnsi"/>
          <w:szCs w:val="24"/>
        </w:rPr>
      </w:pPr>
      <w:r w:rsidRPr="00DC51C2">
        <w:rPr>
          <w:rFonts w:eastAsiaTheme="minorHAnsi"/>
          <w:szCs w:val="24"/>
        </w:rPr>
        <w:t>the applicant’s temporary non-compliance does not jeopardize the health or safety of individuals or the public; and</w:t>
      </w:r>
    </w:p>
    <w:p w:rsidR="003B5642" w:rsidRPr="00DD361B" w:rsidRDefault="003B5642" w:rsidP="003B5642">
      <w:pPr>
        <w:pStyle w:val="Header"/>
        <w:numPr>
          <w:ilvl w:val="0"/>
          <w:numId w:val="21"/>
        </w:numPr>
        <w:ind w:left="720"/>
        <w:rPr>
          <w:szCs w:val="24"/>
        </w:rPr>
      </w:pPr>
      <w:r w:rsidRPr="00DD361B">
        <w:rPr>
          <w:rFonts w:eastAsiaTheme="minorHAnsi"/>
          <w:szCs w:val="24"/>
        </w:rPr>
        <w:t>the applicant has instituted compensating measures that are acceptable to the Commissioner.</w:t>
      </w:r>
    </w:p>
    <w:p w:rsidR="003B5642" w:rsidRDefault="003B5642" w:rsidP="003B5642">
      <w:pPr>
        <w:pStyle w:val="Header"/>
        <w:rPr>
          <w:szCs w:val="24"/>
        </w:rPr>
      </w:pPr>
    </w:p>
    <w:p w:rsidR="003B5642" w:rsidRDefault="003B5642" w:rsidP="003B5642">
      <w:pPr>
        <w:pStyle w:val="Header"/>
        <w:rPr>
          <w:rFonts w:eastAsiaTheme="minorHAnsi"/>
          <w:szCs w:val="24"/>
        </w:rPr>
      </w:pPr>
      <w:r>
        <w:rPr>
          <w:rFonts w:eastAsiaTheme="minorHAnsi"/>
          <w:szCs w:val="24"/>
        </w:rPr>
        <w:t>A time-limited waiver may be requested for up to one year</w:t>
      </w:r>
      <w:r w:rsidR="00A54AD3">
        <w:rPr>
          <w:rFonts w:eastAsiaTheme="minorHAnsi"/>
          <w:szCs w:val="24"/>
        </w:rPr>
        <w:t>,</w:t>
      </w:r>
      <w:r>
        <w:rPr>
          <w:rFonts w:eastAsiaTheme="minorHAnsi"/>
          <w:szCs w:val="24"/>
        </w:rPr>
        <w:t xml:space="preserve"> and </w:t>
      </w:r>
      <w:r w:rsidR="00A54AD3">
        <w:rPr>
          <w:rFonts w:eastAsiaTheme="minorHAnsi"/>
          <w:szCs w:val="24"/>
        </w:rPr>
        <w:t>renewal may be requested,</w:t>
      </w:r>
      <w:r>
        <w:rPr>
          <w:rFonts w:eastAsiaTheme="minorHAnsi"/>
          <w:szCs w:val="24"/>
        </w:rPr>
        <w:t xml:space="preserve"> by submission and approval of a</w:t>
      </w:r>
      <w:r w:rsidR="00762E73">
        <w:rPr>
          <w:rFonts w:eastAsiaTheme="minorHAnsi"/>
          <w:szCs w:val="24"/>
        </w:rPr>
        <w:t xml:space="preserve"> </w:t>
      </w:r>
      <w:r>
        <w:rPr>
          <w:rFonts w:eastAsiaTheme="minorHAnsi"/>
          <w:szCs w:val="24"/>
        </w:rPr>
        <w:t>n</w:t>
      </w:r>
      <w:r w:rsidR="00762E73">
        <w:rPr>
          <w:rFonts w:eastAsiaTheme="minorHAnsi"/>
          <w:szCs w:val="24"/>
        </w:rPr>
        <w:t>ew</w:t>
      </w:r>
      <w:r>
        <w:rPr>
          <w:rFonts w:eastAsiaTheme="minorHAnsi"/>
          <w:szCs w:val="24"/>
        </w:rPr>
        <w:t xml:space="preserve"> application. However, this waiver provision is intended to allow only minimal interruption of compliance with ePrescribing requirements until such time as the prescriber’s barrier to compliance is relieved. Therefore, an applicant should request the briefest waiver term possible.</w:t>
      </w:r>
    </w:p>
    <w:p w:rsidR="003B5642" w:rsidRDefault="003B5642" w:rsidP="003B5642">
      <w:pPr>
        <w:pStyle w:val="Header"/>
        <w:rPr>
          <w:rFonts w:eastAsiaTheme="minorHAnsi"/>
          <w:szCs w:val="24"/>
        </w:rPr>
      </w:pPr>
    </w:p>
    <w:p w:rsidR="003B5642" w:rsidRPr="00DC51C2" w:rsidRDefault="003B5642" w:rsidP="003B5642">
      <w:pPr>
        <w:rPr>
          <w:i/>
          <w:szCs w:val="24"/>
        </w:rPr>
      </w:pPr>
      <w:r w:rsidRPr="00DC51C2">
        <w:rPr>
          <w:i/>
          <w:szCs w:val="24"/>
        </w:rPr>
        <w:lastRenderedPageBreak/>
        <w:t>Example:</w:t>
      </w:r>
    </w:p>
    <w:p w:rsidR="003B5642" w:rsidRDefault="003B5642" w:rsidP="003B5642">
      <w:pPr>
        <w:pStyle w:val="ListParagraph"/>
        <w:numPr>
          <w:ilvl w:val="0"/>
          <w:numId w:val="25"/>
        </w:numPr>
        <w:rPr>
          <w:szCs w:val="24"/>
        </w:rPr>
      </w:pPr>
      <w:r>
        <w:rPr>
          <w:szCs w:val="24"/>
        </w:rPr>
        <w:t>A mid-size adolescent psychiatry practice has been told by its vendor that the compliant EPCS system will not be available to issue schedule II-V ePrescriptions until May 2021</w:t>
      </w:r>
      <w:r w:rsidRPr="00DC51C2">
        <w:rPr>
          <w:szCs w:val="24"/>
        </w:rPr>
        <w:t>.</w:t>
      </w:r>
      <w:r>
        <w:rPr>
          <w:szCs w:val="24"/>
        </w:rPr>
        <w:t xml:space="preserve"> T</w:t>
      </w:r>
      <w:r>
        <w:rPr>
          <w:rFonts w:eastAsiaTheme="minorHAnsi"/>
          <w:szCs w:val="24"/>
        </w:rPr>
        <w:t xml:space="preserve">he applicant should request no more than a </w:t>
      </w:r>
      <w:r w:rsidR="003A1526">
        <w:rPr>
          <w:rFonts w:eastAsiaTheme="minorHAnsi"/>
          <w:szCs w:val="24"/>
        </w:rPr>
        <w:t xml:space="preserve">six </w:t>
      </w:r>
      <w:r>
        <w:rPr>
          <w:rFonts w:eastAsiaTheme="minorHAnsi"/>
          <w:szCs w:val="24"/>
        </w:rPr>
        <w:t xml:space="preserve">month waiver from 1/1/21 to 6/1/21. Prior to expiration, the </w:t>
      </w:r>
      <w:r w:rsidR="00A54AD3">
        <w:rPr>
          <w:rFonts w:eastAsiaTheme="minorHAnsi"/>
          <w:szCs w:val="24"/>
        </w:rPr>
        <w:t xml:space="preserve">practitioner may request renewal of the </w:t>
      </w:r>
      <w:r>
        <w:rPr>
          <w:rFonts w:eastAsiaTheme="minorHAnsi"/>
          <w:szCs w:val="24"/>
        </w:rPr>
        <w:t>waiver if a new application justifies such extension.</w:t>
      </w:r>
    </w:p>
    <w:p w:rsidR="003B5642" w:rsidRPr="00DC51C2" w:rsidRDefault="003B5642" w:rsidP="003B5642">
      <w:pPr>
        <w:pStyle w:val="Header"/>
        <w:rPr>
          <w:rFonts w:eastAsiaTheme="minorHAnsi"/>
          <w:szCs w:val="24"/>
        </w:rPr>
      </w:pPr>
    </w:p>
    <w:p w:rsidR="003B5642" w:rsidRDefault="003B5642" w:rsidP="003B5642">
      <w:pPr>
        <w:pStyle w:val="Header"/>
        <w:rPr>
          <w:rFonts w:eastAsiaTheme="minorHAnsi"/>
          <w:szCs w:val="24"/>
        </w:rPr>
      </w:pPr>
      <w:r>
        <w:rPr>
          <w:rFonts w:eastAsiaTheme="minorHAnsi"/>
          <w:szCs w:val="24"/>
        </w:rPr>
        <w:t>To ensure compliance with waiver terms and procedures by prescribers, including those prescribers operating under a HCF waiver, all prescriptions are subject to periodic review.</w:t>
      </w:r>
    </w:p>
    <w:p w:rsidR="003B5642" w:rsidRDefault="003B5642" w:rsidP="003B5642">
      <w:pPr>
        <w:pStyle w:val="Header"/>
        <w:rPr>
          <w:rFonts w:eastAsiaTheme="minorHAnsi"/>
          <w:szCs w:val="24"/>
        </w:rPr>
      </w:pPr>
    </w:p>
    <w:p w:rsidR="003B5642" w:rsidRPr="00DC51C2" w:rsidRDefault="003B5642" w:rsidP="003B5642">
      <w:pPr>
        <w:pStyle w:val="Header"/>
        <w:rPr>
          <w:szCs w:val="24"/>
        </w:rPr>
      </w:pPr>
      <w:r w:rsidRPr="00DC51C2">
        <w:rPr>
          <w:szCs w:val="24"/>
        </w:rPr>
        <w:t>DCP will begin accepting waiver applications on January 1, 2020. Prescribers and HCFs may submit an application any time the need arises</w:t>
      </w:r>
      <w:r>
        <w:rPr>
          <w:szCs w:val="24"/>
        </w:rPr>
        <w:t>;</w:t>
      </w:r>
      <w:r w:rsidRPr="00DC51C2">
        <w:rPr>
          <w:szCs w:val="24"/>
        </w:rPr>
        <w:t xml:space="preserve"> however, anyone wishing to have a waiver application approved by January 1, 2021, is strongly encouraged to submit an application </w:t>
      </w:r>
      <w:r>
        <w:rPr>
          <w:szCs w:val="24"/>
        </w:rPr>
        <w:t>by</w:t>
      </w:r>
      <w:r w:rsidRPr="00DC51C2">
        <w:rPr>
          <w:szCs w:val="24"/>
        </w:rPr>
        <w:t xml:space="preserve"> October 1, 2020, to provide sufficient time for processing and follow-up communication, as needed.</w:t>
      </w:r>
    </w:p>
    <w:p w:rsidR="003B5642" w:rsidRPr="00DC51C2" w:rsidRDefault="003B5642" w:rsidP="003B5642">
      <w:pPr>
        <w:pStyle w:val="Header"/>
        <w:rPr>
          <w:szCs w:val="24"/>
        </w:rPr>
      </w:pPr>
    </w:p>
    <w:p w:rsidR="003B5642" w:rsidRPr="00DC51C2" w:rsidRDefault="003B5642" w:rsidP="003B5642">
      <w:pPr>
        <w:pStyle w:val="Header"/>
        <w:rPr>
          <w:b/>
          <w:szCs w:val="24"/>
        </w:rPr>
      </w:pPr>
      <w:r w:rsidRPr="00DC51C2">
        <w:rPr>
          <w:b/>
          <w:szCs w:val="24"/>
        </w:rPr>
        <w:t>Responsibilities of Prescribers and Pharmacists</w:t>
      </w:r>
    </w:p>
    <w:p w:rsidR="003B5642" w:rsidRDefault="003B5642" w:rsidP="003B5642">
      <w:pPr>
        <w:pStyle w:val="Header"/>
        <w:rPr>
          <w:szCs w:val="24"/>
        </w:rPr>
      </w:pPr>
      <w:r w:rsidRPr="00DC51C2">
        <w:rPr>
          <w:szCs w:val="24"/>
        </w:rPr>
        <w:t>Exceptions and waivers build flexibility into the ePrescribing requirements, subject to an expectation of responsible prescribing practices. This expectation is reflected in 105 CMR 721.070(A), which states</w:t>
      </w:r>
      <w:r>
        <w:rPr>
          <w:szCs w:val="24"/>
        </w:rPr>
        <w:t>:</w:t>
      </w:r>
    </w:p>
    <w:p w:rsidR="003B5642" w:rsidRPr="0068659C" w:rsidRDefault="003B5642" w:rsidP="003B5642">
      <w:pPr>
        <w:pStyle w:val="Header"/>
        <w:ind w:left="720"/>
        <w:rPr>
          <w:i/>
          <w:szCs w:val="24"/>
        </w:rPr>
      </w:pPr>
      <w:r>
        <w:rPr>
          <w:i/>
          <w:szCs w:val="24"/>
        </w:rPr>
        <w:t>[N]</w:t>
      </w:r>
      <w:r w:rsidRPr="0068659C">
        <w:rPr>
          <w:i/>
          <w:szCs w:val="24"/>
        </w:rPr>
        <w:t>o Written or Oral Prescription may be issued under any [enumerated exception] in an effort to circumvent the requirement to issue an Electronic Prescription.</w:t>
      </w:r>
    </w:p>
    <w:p w:rsidR="00BA48B7" w:rsidRDefault="00BA48B7" w:rsidP="004A50B0">
      <w:pPr>
        <w:pStyle w:val="Header"/>
        <w:rPr>
          <w:szCs w:val="24"/>
        </w:rPr>
      </w:pPr>
    </w:p>
    <w:p w:rsidR="004A50B0" w:rsidRDefault="004A50B0" w:rsidP="004A50B0">
      <w:pPr>
        <w:pStyle w:val="Header"/>
        <w:rPr>
          <w:szCs w:val="24"/>
        </w:rPr>
      </w:pPr>
      <w:r w:rsidRPr="00DC51C2">
        <w:rPr>
          <w:szCs w:val="24"/>
        </w:rPr>
        <w:t xml:space="preserve">The pharmacy community must </w:t>
      </w:r>
      <w:r>
        <w:rPr>
          <w:szCs w:val="24"/>
        </w:rPr>
        <w:t xml:space="preserve">also </w:t>
      </w:r>
      <w:r w:rsidRPr="00DC51C2">
        <w:rPr>
          <w:szCs w:val="24"/>
        </w:rPr>
        <w:t>be able to rely on the integrity of the ePrescribing requirements, including exceptions from those requirements, to prevent needless confusion or delay that may result from attempts to subvert ePrescribing requirements. Therefore, a</w:t>
      </w:r>
      <w:r>
        <w:rPr>
          <w:szCs w:val="24"/>
        </w:rPr>
        <w:t>s stated in 105 CMR 721.070(C):</w:t>
      </w:r>
    </w:p>
    <w:p w:rsidR="004A50B0" w:rsidRPr="0068659C" w:rsidRDefault="004A50B0" w:rsidP="004A50B0">
      <w:pPr>
        <w:pStyle w:val="Header"/>
        <w:ind w:left="720"/>
        <w:rPr>
          <w:i/>
          <w:szCs w:val="24"/>
        </w:rPr>
      </w:pPr>
      <w:r w:rsidRPr="0068659C">
        <w:rPr>
          <w:i/>
          <w:szCs w:val="24"/>
        </w:rPr>
        <w:t>A pharmacist who receives an otherwise valid Written or Oral Prescription is not required to verify that such Prescription properly falls under one of the exceptions to electronically prescribe, including a waiver.</w:t>
      </w:r>
    </w:p>
    <w:p w:rsidR="004A50B0" w:rsidRDefault="004A50B0" w:rsidP="004A50B0">
      <w:pPr>
        <w:rPr>
          <w:szCs w:val="24"/>
        </w:rPr>
      </w:pPr>
    </w:p>
    <w:p w:rsidR="003B5642" w:rsidRPr="00546152" w:rsidRDefault="003B5642" w:rsidP="003B5642">
      <w:pPr>
        <w:pStyle w:val="Header"/>
        <w:rPr>
          <w:szCs w:val="24"/>
        </w:rPr>
      </w:pPr>
      <w:r w:rsidRPr="00546152">
        <w:rPr>
          <w:szCs w:val="24"/>
        </w:rPr>
        <w:t xml:space="preserve">DCP will continue </w:t>
      </w:r>
      <w:r w:rsidR="004A50B0">
        <w:rPr>
          <w:szCs w:val="24"/>
        </w:rPr>
        <w:t xml:space="preserve">to </w:t>
      </w:r>
      <w:r w:rsidRPr="00546152">
        <w:rPr>
          <w:szCs w:val="24"/>
        </w:rPr>
        <w:t>engag</w:t>
      </w:r>
      <w:r w:rsidR="004A50B0">
        <w:rPr>
          <w:szCs w:val="24"/>
        </w:rPr>
        <w:t>e</w:t>
      </w:r>
      <w:r w:rsidRPr="00546152">
        <w:rPr>
          <w:szCs w:val="24"/>
        </w:rPr>
        <w:t xml:space="preserve"> in activities to ensure safe and responsible prescribing </w:t>
      </w:r>
      <w:r w:rsidR="004A50B0">
        <w:rPr>
          <w:szCs w:val="24"/>
        </w:rPr>
        <w:t>and dispensing</w:t>
      </w:r>
      <w:r w:rsidRPr="00546152">
        <w:rPr>
          <w:szCs w:val="24"/>
        </w:rPr>
        <w:t xml:space="preserve">. </w:t>
      </w:r>
      <w:r w:rsidRPr="00546152">
        <w:t>Pr</w:t>
      </w:r>
      <w:r>
        <w:t>escribers</w:t>
      </w:r>
      <w:r w:rsidRPr="00546152">
        <w:t xml:space="preserve"> and pharmacists are encouraged to contact DCP </w:t>
      </w:r>
      <w:r w:rsidRPr="00C024B1">
        <w:t>and the Board of Registration in Pharmacy</w:t>
      </w:r>
      <w:r w:rsidRPr="00546152">
        <w:t xml:space="preserve"> to work </w:t>
      </w:r>
      <w:r w:rsidR="004A50B0">
        <w:t>through any implementation issues</w:t>
      </w:r>
      <w:r w:rsidRPr="00546152">
        <w:t xml:space="preserve">. However, a pattern of compliance and communication failures may warrant a referral to </w:t>
      </w:r>
      <w:r>
        <w:t>an</w:t>
      </w:r>
      <w:r w:rsidRPr="00546152">
        <w:t xml:space="preserve"> appropriate lice</w:t>
      </w:r>
      <w:r>
        <w:t>nsing board</w:t>
      </w:r>
      <w:r w:rsidRPr="00546152">
        <w:t xml:space="preserve"> or, if necessary, action against an MCSR.</w:t>
      </w:r>
    </w:p>
    <w:p w:rsidR="003B5642" w:rsidRPr="00DC51C2" w:rsidRDefault="003B5642" w:rsidP="003B5642">
      <w:pPr>
        <w:pStyle w:val="Header"/>
        <w:rPr>
          <w:szCs w:val="24"/>
        </w:rPr>
      </w:pPr>
    </w:p>
    <w:p w:rsidR="00AB3C03" w:rsidRPr="000F47E3" w:rsidRDefault="00AB3C03" w:rsidP="00AB3C03">
      <w:pPr>
        <w:pStyle w:val="Header"/>
        <w:rPr>
          <w:b/>
          <w:szCs w:val="24"/>
        </w:rPr>
      </w:pPr>
      <w:r w:rsidRPr="000F47E3">
        <w:rPr>
          <w:b/>
          <w:szCs w:val="24"/>
        </w:rPr>
        <w:t>Dispensing Schedule VI ePrescriptions – Failovers</w:t>
      </w:r>
    </w:p>
    <w:p w:rsidR="00AB3C03" w:rsidRPr="00DC51C2" w:rsidRDefault="008C6EB0" w:rsidP="00AB3C03">
      <w:pPr>
        <w:pStyle w:val="Header"/>
        <w:rPr>
          <w:szCs w:val="24"/>
        </w:rPr>
      </w:pPr>
      <w:r>
        <w:rPr>
          <w:szCs w:val="24"/>
        </w:rPr>
        <w:t>A Failover results when a prescriber issue</w:t>
      </w:r>
      <w:r w:rsidR="007A6BE3">
        <w:rPr>
          <w:szCs w:val="24"/>
        </w:rPr>
        <w:t>s</w:t>
      </w:r>
      <w:r>
        <w:rPr>
          <w:szCs w:val="24"/>
        </w:rPr>
        <w:t xml:space="preserve"> </w:t>
      </w:r>
      <w:r w:rsidR="00AB3C03">
        <w:rPr>
          <w:szCs w:val="24"/>
        </w:rPr>
        <w:t xml:space="preserve">an </w:t>
      </w:r>
      <w:r w:rsidR="00AB3C03" w:rsidRPr="00DC51C2">
        <w:rPr>
          <w:szCs w:val="24"/>
        </w:rPr>
        <w:t>electronic prescription for a schedule VI controlled substance</w:t>
      </w:r>
      <w:r w:rsidR="007A6BE3">
        <w:rPr>
          <w:szCs w:val="24"/>
        </w:rPr>
        <w:t xml:space="preserve"> and that electronic prescription </w:t>
      </w:r>
      <w:r w:rsidR="00AB3C03" w:rsidRPr="00DC51C2">
        <w:rPr>
          <w:szCs w:val="24"/>
        </w:rPr>
        <w:t>is converted and transmitted to a pharmacy as a computer-generated facsimile</w:t>
      </w:r>
      <w:r w:rsidR="00AB3C03">
        <w:rPr>
          <w:szCs w:val="24"/>
        </w:rPr>
        <w:t xml:space="preserve"> due to a defect in the electronic prescribing system beyond the prescriber’s control</w:t>
      </w:r>
      <w:r>
        <w:rPr>
          <w:szCs w:val="24"/>
        </w:rPr>
        <w:t xml:space="preserve"> or awareness.</w:t>
      </w:r>
      <w:r w:rsidR="00AB3C03">
        <w:rPr>
          <w:szCs w:val="24"/>
        </w:rPr>
        <w:t xml:space="preserve"> The</w:t>
      </w:r>
      <w:r w:rsidR="00AB3C03" w:rsidRPr="00DC51C2">
        <w:rPr>
          <w:szCs w:val="24"/>
        </w:rPr>
        <w:t xml:space="preserve"> </w:t>
      </w:r>
      <w:r>
        <w:rPr>
          <w:szCs w:val="24"/>
        </w:rPr>
        <w:t xml:space="preserve">resulting </w:t>
      </w:r>
      <w:r w:rsidR="00AB3C03" w:rsidRPr="00DC51C2">
        <w:rPr>
          <w:szCs w:val="24"/>
        </w:rPr>
        <w:t>computer-generated facsimile</w:t>
      </w:r>
      <w:r>
        <w:rPr>
          <w:szCs w:val="24"/>
        </w:rPr>
        <w:t>, or Failover,</w:t>
      </w:r>
      <w:r w:rsidR="00AB3C03">
        <w:rPr>
          <w:szCs w:val="24"/>
        </w:rPr>
        <w:t xml:space="preserve"> </w:t>
      </w:r>
      <w:r w:rsidR="00AB3C03" w:rsidRPr="00DC51C2">
        <w:rPr>
          <w:szCs w:val="24"/>
        </w:rPr>
        <w:t xml:space="preserve">does not qualify as an electronic prescription and frequently does not meet the signature requirements of a written prescription, because the electronic signature </w:t>
      </w:r>
      <w:r w:rsidR="00AB3C03">
        <w:rPr>
          <w:szCs w:val="24"/>
        </w:rPr>
        <w:t xml:space="preserve">appears encoded and </w:t>
      </w:r>
      <w:r w:rsidR="00AB3C03" w:rsidRPr="00DC51C2">
        <w:rPr>
          <w:szCs w:val="24"/>
        </w:rPr>
        <w:t xml:space="preserve">does not </w:t>
      </w:r>
      <w:r>
        <w:rPr>
          <w:szCs w:val="24"/>
        </w:rPr>
        <w:t>appear on the facsimile</w:t>
      </w:r>
      <w:r w:rsidR="00AB3C03" w:rsidRPr="00DC51C2">
        <w:rPr>
          <w:szCs w:val="24"/>
        </w:rPr>
        <w:t xml:space="preserve"> as an actual signature, leaving the prescription un-signed.</w:t>
      </w:r>
    </w:p>
    <w:p w:rsidR="00AB3C03" w:rsidRPr="00DC51C2" w:rsidRDefault="00AB3C03" w:rsidP="00AB3C03">
      <w:pPr>
        <w:pStyle w:val="Header"/>
        <w:rPr>
          <w:szCs w:val="24"/>
        </w:rPr>
      </w:pPr>
    </w:p>
    <w:p w:rsidR="00AB3C03" w:rsidRDefault="00AB3C03" w:rsidP="00AB3C03">
      <w:pPr>
        <w:pStyle w:val="Header"/>
        <w:rPr>
          <w:szCs w:val="24"/>
        </w:rPr>
      </w:pPr>
      <w:r>
        <w:rPr>
          <w:szCs w:val="24"/>
        </w:rPr>
        <w:lastRenderedPageBreak/>
        <w:t xml:space="preserve">To address this, the ePrescribing regulation allows a </w:t>
      </w:r>
      <w:r w:rsidR="008C6EB0">
        <w:rPr>
          <w:szCs w:val="24"/>
        </w:rPr>
        <w:t xml:space="preserve">pharmacist to dispense a </w:t>
      </w:r>
      <w:r>
        <w:rPr>
          <w:szCs w:val="24"/>
        </w:rPr>
        <w:t>Failover as a valid oral prescription if the following process is followed</w:t>
      </w:r>
      <w:r w:rsidRPr="00DC51C2">
        <w:rPr>
          <w:szCs w:val="24"/>
        </w:rPr>
        <w:t>:</w:t>
      </w:r>
      <w:r w:rsidRPr="00DC51C2">
        <w:rPr>
          <w:rStyle w:val="FootnoteReference"/>
          <w:szCs w:val="24"/>
        </w:rPr>
        <w:footnoteReference w:id="15"/>
      </w:r>
    </w:p>
    <w:p w:rsidR="001970F3" w:rsidRPr="00DC51C2" w:rsidRDefault="001970F3" w:rsidP="00AB3C03">
      <w:pPr>
        <w:pStyle w:val="Header"/>
        <w:rPr>
          <w:szCs w:val="24"/>
        </w:rPr>
      </w:pPr>
    </w:p>
    <w:p w:rsidR="00AB3C03" w:rsidRPr="00DC51C2" w:rsidRDefault="00AB3C03" w:rsidP="00AB3C03">
      <w:pPr>
        <w:pStyle w:val="Header"/>
        <w:numPr>
          <w:ilvl w:val="0"/>
          <w:numId w:val="18"/>
        </w:numPr>
        <w:rPr>
          <w:szCs w:val="24"/>
        </w:rPr>
      </w:pPr>
      <w:r w:rsidRPr="00DC51C2">
        <w:rPr>
          <w:szCs w:val="24"/>
        </w:rPr>
        <w:t xml:space="preserve">The Failover must contain all information required </w:t>
      </w:r>
      <w:r>
        <w:rPr>
          <w:szCs w:val="24"/>
        </w:rPr>
        <w:t>of an oral prescription</w:t>
      </w:r>
      <w:r w:rsidRPr="00DC51C2">
        <w:rPr>
          <w:szCs w:val="24"/>
        </w:rPr>
        <w:t>,</w:t>
      </w:r>
      <w:r>
        <w:rPr>
          <w:rStyle w:val="FootnoteReference"/>
          <w:szCs w:val="24"/>
        </w:rPr>
        <w:footnoteReference w:id="16"/>
      </w:r>
      <w:r>
        <w:rPr>
          <w:szCs w:val="24"/>
        </w:rPr>
        <w:t xml:space="preserve"> but need not contain </w:t>
      </w:r>
      <w:r w:rsidRPr="00DC51C2">
        <w:rPr>
          <w:szCs w:val="24"/>
        </w:rPr>
        <w:t>the practitioner’s signature</w:t>
      </w:r>
      <w:r>
        <w:rPr>
          <w:szCs w:val="24"/>
        </w:rPr>
        <w:t>, as required for a written prescription</w:t>
      </w:r>
      <w:r w:rsidR="00CB5AE2">
        <w:rPr>
          <w:szCs w:val="24"/>
        </w:rPr>
        <w:t>;</w:t>
      </w:r>
      <w:r>
        <w:rPr>
          <w:rStyle w:val="FootnoteReference"/>
          <w:szCs w:val="24"/>
        </w:rPr>
        <w:footnoteReference w:id="17"/>
      </w:r>
      <w:r w:rsidRPr="00DC51C2">
        <w:rPr>
          <w:szCs w:val="24"/>
        </w:rPr>
        <w:t xml:space="preserve"> </w:t>
      </w:r>
    </w:p>
    <w:p w:rsidR="00AB3C03" w:rsidRPr="00DC51C2" w:rsidRDefault="00AB3C03" w:rsidP="00AB3C03">
      <w:pPr>
        <w:pStyle w:val="Header"/>
        <w:numPr>
          <w:ilvl w:val="0"/>
          <w:numId w:val="18"/>
        </w:numPr>
        <w:rPr>
          <w:szCs w:val="24"/>
        </w:rPr>
      </w:pPr>
      <w:r w:rsidRPr="00DC51C2">
        <w:rPr>
          <w:szCs w:val="24"/>
        </w:rPr>
        <w:t xml:space="preserve">The prescription must be immediately entered into a compliant electronic pharmacy system or otherwise reduced to writing by the pharmacist; </w:t>
      </w:r>
    </w:p>
    <w:p w:rsidR="00AB3C03" w:rsidRPr="00DC51C2" w:rsidRDefault="00AB3C03" w:rsidP="00AB3C03">
      <w:pPr>
        <w:pStyle w:val="Header"/>
        <w:numPr>
          <w:ilvl w:val="0"/>
          <w:numId w:val="18"/>
        </w:numPr>
        <w:rPr>
          <w:szCs w:val="24"/>
        </w:rPr>
      </w:pPr>
      <w:r>
        <w:rPr>
          <w:szCs w:val="24"/>
          <w:shd w:val="clear" w:color="auto" w:fill="FFFFFF"/>
        </w:rPr>
        <w:t>I</w:t>
      </w:r>
      <w:r w:rsidRPr="00DC51C2">
        <w:rPr>
          <w:szCs w:val="24"/>
          <w:shd w:val="clear" w:color="auto" w:fill="FFFFFF"/>
        </w:rPr>
        <w:t xml:space="preserve">f the prescriber is </w:t>
      </w:r>
      <w:r w:rsidR="00697D10">
        <w:rPr>
          <w:szCs w:val="24"/>
          <w:shd w:val="clear" w:color="auto" w:fill="FFFFFF"/>
        </w:rPr>
        <w:t>un</w:t>
      </w:r>
      <w:r w:rsidRPr="00DC51C2">
        <w:rPr>
          <w:szCs w:val="24"/>
          <w:shd w:val="clear" w:color="auto" w:fill="FFFFFF"/>
        </w:rPr>
        <w:t>known to the pharmacist</w:t>
      </w:r>
      <w:r>
        <w:rPr>
          <w:szCs w:val="24"/>
          <w:shd w:val="clear" w:color="auto" w:fill="FFFFFF"/>
        </w:rPr>
        <w:t>,</w:t>
      </w:r>
      <w:r w:rsidRPr="00DC51C2">
        <w:rPr>
          <w:szCs w:val="24"/>
        </w:rPr>
        <w:t xml:space="preserve"> </w:t>
      </w:r>
      <w:r>
        <w:rPr>
          <w:szCs w:val="24"/>
        </w:rPr>
        <w:t>t</w:t>
      </w:r>
      <w:r w:rsidRPr="00DC51C2">
        <w:rPr>
          <w:szCs w:val="24"/>
        </w:rPr>
        <w:t>he pharmacist must make a reasonable</w:t>
      </w:r>
      <w:r>
        <w:rPr>
          <w:szCs w:val="24"/>
        </w:rPr>
        <w:t>,</w:t>
      </w:r>
      <w:r w:rsidRPr="00DC51C2">
        <w:rPr>
          <w:szCs w:val="24"/>
        </w:rPr>
        <w:t xml:space="preserve"> good faith effort to determine that </w:t>
      </w:r>
      <w:r w:rsidR="00697D10">
        <w:rPr>
          <w:szCs w:val="24"/>
        </w:rPr>
        <w:t>a</w:t>
      </w:r>
      <w:r w:rsidRPr="00DC51C2">
        <w:rPr>
          <w:szCs w:val="24"/>
        </w:rPr>
        <w:t xml:space="preserve"> Failover was issued by an authorized prescriber</w:t>
      </w:r>
      <w:r>
        <w:rPr>
          <w:szCs w:val="24"/>
          <w:shd w:val="clear" w:color="auto" w:fill="FFFFFF"/>
        </w:rPr>
        <w:t>; and</w:t>
      </w:r>
    </w:p>
    <w:p w:rsidR="00AB3C03" w:rsidRDefault="00AB3C03" w:rsidP="00AB3C03">
      <w:pPr>
        <w:pStyle w:val="Header"/>
        <w:numPr>
          <w:ilvl w:val="0"/>
          <w:numId w:val="18"/>
        </w:numPr>
        <w:rPr>
          <w:szCs w:val="24"/>
        </w:rPr>
      </w:pPr>
      <w:r>
        <w:rPr>
          <w:szCs w:val="24"/>
        </w:rPr>
        <w:t>The Failover must not be for an Additional Drug</w:t>
      </w:r>
      <w:r w:rsidRPr="00DC51C2">
        <w:rPr>
          <w:rStyle w:val="FootnoteReference"/>
          <w:szCs w:val="24"/>
        </w:rPr>
        <w:footnoteReference w:id="18"/>
      </w:r>
      <w:r>
        <w:rPr>
          <w:szCs w:val="24"/>
        </w:rPr>
        <w:t xml:space="preserve"> (e.g., gabapentin).</w:t>
      </w:r>
    </w:p>
    <w:p w:rsidR="00AB3C03" w:rsidRPr="00DC51C2" w:rsidRDefault="00AB3C03" w:rsidP="00AB3C03">
      <w:pPr>
        <w:pStyle w:val="Header"/>
        <w:rPr>
          <w:szCs w:val="24"/>
        </w:rPr>
      </w:pPr>
    </w:p>
    <w:p w:rsidR="00AB3C03" w:rsidRPr="00DC51C2" w:rsidRDefault="00AB3C03" w:rsidP="00AB3C03">
      <w:pPr>
        <w:pStyle w:val="Header"/>
        <w:rPr>
          <w:szCs w:val="24"/>
        </w:rPr>
      </w:pPr>
      <w:r w:rsidRPr="00DC51C2">
        <w:rPr>
          <w:szCs w:val="24"/>
        </w:rPr>
        <w:t xml:space="preserve">In the event that a </w:t>
      </w:r>
      <w:r>
        <w:rPr>
          <w:szCs w:val="24"/>
        </w:rPr>
        <w:t xml:space="preserve">pharmacist receives a Failover </w:t>
      </w:r>
      <w:r w:rsidRPr="00DC51C2">
        <w:rPr>
          <w:szCs w:val="24"/>
        </w:rPr>
        <w:t xml:space="preserve">prescription for gabapentin, or any other medication designated as an Additional Drug, the pharmacist may not dispense the medication, </w:t>
      </w:r>
      <w:r>
        <w:rPr>
          <w:szCs w:val="24"/>
        </w:rPr>
        <w:t>and instead</w:t>
      </w:r>
      <w:r w:rsidRPr="00DC51C2">
        <w:rPr>
          <w:szCs w:val="24"/>
        </w:rPr>
        <w:t xml:space="preserve"> must contact the prescriber for a new written</w:t>
      </w:r>
      <w:r w:rsidR="008C6EB0">
        <w:rPr>
          <w:szCs w:val="24"/>
        </w:rPr>
        <w:t xml:space="preserve"> or</w:t>
      </w:r>
      <w:r w:rsidRPr="00DC51C2">
        <w:rPr>
          <w:szCs w:val="24"/>
        </w:rPr>
        <w:t xml:space="preserve"> oral prescription. </w:t>
      </w:r>
      <w:r w:rsidR="008C6EB0">
        <w:rPr>
          <w:szCs w:val="24"/>
        </w:rPr>
        <w:t>N</w:t>
      </w:r>
      <w:r>
        <w:rPr>
          <w:szCs w:val="24"/>
        </w:rPr>
        <w:t>o additional written follow-up</w:t>
      </w:r>
      <w:r w:rsidR="008C6EB0">
        <w:rPr>
          <w:szCs w:val="24"/>
        </w:rPr>
        <w:t xml:space="preserve"> is required for a Failover dispensed as an oral prescription</w:t>
      </w:r>
      <w:r>
        <w:rPr>
          <w:szCs w:val="24"/>
        </w:rPr>
        <w:t>.</w:t>
      </w:r>
    </w:p>
    <w:p w:rsidR="000F47E3" w:rsidRDefault="000F47E3" w:rsidP="000F47E3">
      <w:pPr>
        <w:rPr>
          <w:szCs w:val="24"/>
        </w:rPr>
      </w:pPr>
    </w:p>
    <w:p w:rsidR="000F47E3" w:rsidRPr="000F47E3" w:rsidRDefault="000F47E3" w:rsidP="000F47E3">
      <w:pPr>
        <w:rPr>
          <w:b/>
          <w:szCs w:val="24"/>
        </w:rPr>
      </w:pPr>
      <w:r w:rsidRPr="000F47E3">
        <w:rPr>
          <w:b/>
          <w:szCs w:val="24"/>
        </w:rPr>
        <w:t>Dispensing Schedule II ePrescriptions – Endorsement</w:t>
      </w:r>
    </w:p>
    <w:p w:rsidR="00AB3C03" w:rsidRDefault="000F47E3" w:rsidP="000F47E3">
      <w:pPr>
        <w:pStyle w:val="Header"/>
        <w:rPr>
          <w:bCs/>
        </w:rPr>
      </w:pPr>
      <w:r w:rsidRPr="004C00AD">
        <w:rPr>
          <w:bCs/>
        </w:rPr>
        <w:t>M</w:t>
      </w:r>
      <w:r>
        <w:rPr>
          <w:bCs/>
        </w:rPr>
        <w:t>.</w:t>
      </w:r>
      <w:r w:rsidRPr="004C00AD">
        <w:rPr>
          <w:bCs/>
        </w:rPr>
        <w:t>G</w:t>
      </w:r>
      <w:r>
        <w:rPr>
          <w:bCs/>
        </w:rPr>
        <w:t>.</w:t>
      </w:r>
      <w:r w:rsidRPr="004C00AD">
        <w:rPr>
          <w:bCs/>
        </w:rPr>
        <w:t>L</w:t>
      </w:r>
      <w:r>
        <w:rPr>
          <w:bCs/>
        </w:rPr>
        <w:t>.</w:t>
      </w:r>
      <w:r w:rsidRPr="004C00AD">
        <w:rPr>
          <w:bCs/>
        </w:rPr>
        <w:t xml:space="preserve"> </w:t>
      </w:r>
      <w:r>
        <w:rPr>
          <w:bCs/>
        </w:rPr>
        <w:t xml:space="preserve">c. </w:t>
      </w:r>
      <w:r w:rsidRPr="004C00AD">
        <w:rPr>
          <w:bCs/>
        </w:rPr>
        <w:t xml:space="preserve">94C </w:t>
      </w:r>
      <w:r>
        <w:rPr>
          <w:bCs/>
        </w:rPr>
        <w:t xml:space="preserve">§ </w:t>
      </w:r>
      <w:r w:rsidRPr="004C00AD">
        <w:rPr>
          <w:bCs/>
        </w:rPr>
        <w:t>23</w:t>
      </w:r>
      <w:r w:rsidRPr="004C00AD">
        <w:rPr>
          <w:bCs/>
          <w:shd w:val="clear" w:color="auto" w:fill="FFFFFF"/>
        </w:rPr>
        <w:t>(c)</w:t>
      </w:r>
      <w:r>
        <w:rPr>
          <w:bCs/>
          <w:shd w:val="clear" w:color="auto" w:fill="FFFFFF"/>
        </w:rPr>
        <w:t xml:space="preserve"> requires a</w:t>
      </w:r>
      <w:r w:rsidRPr="004C00AD">
        <w:rPr>
          <w:bCs/>
          <w:shd w:val="clear" w:color="auto" w:fill="FFFFFF"/>
        </w:rPr>
        <w:t xml:space="preserve"> pharmacist filling a</w:t>
      </w:r>
      <w:r>
        <w:rPr>
          <w:bCs/>
          <w:shd w:val="clear" w:color="auto" w:fill="FFFFFF"/>
        </w:rPr>
        <w:t xml:space="preserve"> Schedule II</w:t>
      </w:r>
      <w:r w:rsidRPr="004C00AD">
        <w:rPr>
          <w:bCs/>
          <w:shd w:val="clear" w:color="auto" w:fill="FFFFFF"/>
        </w:rPr>
        <w:t xml:space="preserve"> e</w:t>
      </w:r>
      <w:r>
        <w:rPr>
          <w:bCs/>
          <w:shd w:val="clear" w:color="auto" w:fill="FFFFFF"/>
        </w:rPr>
        <w:t>P</w:t>
      </w:r>
      <w:r w:rsidRPr="004C00AD">
        <w:rPr>
          <w:bCs/>
          <w:shd w:val="clear" w:color="auto" w:fill="FFFFFF"/>
        </w:rPr>
        <w:t xml:space="preserve">rescription </w:t>
      </w:r>
      <w:r>
        <w:rPr>
          <w:bCs/>
          <w:shd w:val="clear" w:color="auto" w:fill="FFFFFF"/>
        </w:rPr>
        <w:t xml:space="preserve">to </w:t>
      </w:r>
      <w:r w:rsidRPr="004C00AD">
        <w:rPr>
          <w:bCs/>
          <w:shd w:val="clear" w:color="auto" w:fill="FFFFFF"/>
        </w:rPr>
        <w:t xml:space="preserve">endorse his own signature on the face thereof. </w:t>
      </w:r>
      <w:r w:rsidR="00424E56">
        <w:rPr>
          <w:bCs/>
          <w:shd w:val="clear" w:color="auto" w:fill="FFFFFF"/>
        </w:rPr>
        <w:t xml:space="preserve">A </w:t>
      </w:r>
      <w:r>
        <w:rPr>
          <w:bCs/>
        </w:rPr>
        <w:t>pharmacist</w:t>
      </w:r>
      <w:r w:rsidR="00424E56">
        <w:rPr>
          <w:bCs/>
        </w:rPr>
        <w:t>’s</w:t>
      </w:r>
      <w:r>
        <w:rPr>
          <w:bCs/>
        </w:rPr>
        <w:t xml:space="preserve"> </w:t>
      </w:r>
      <w:r w:rsidRPr="002A08D9">
        <w:rPr>
          <w:bCs/>
        </w:rPr>
        <w:t xml:space="preserve">act of final verification of </w:t>
      </w:r>
      <w:r>
        <w:rPr>
          <w:bCs/>
        </w:rPr>
        <w:t xml:space="preserve">a </w:t>
      </w:r>
      <w:r w:rsidRPr="002A08D9">
        <w:rPr>
          <w:bCs/>
        </w:rPr>
        <w:t>Schedule II e</w:t>
      </w:r>
      <w:r>
        <w:rPr>
          <w:bCs/>
        </w:rPr>
        <w:t>P</w:t>
      </w:r>
      <w:r w:rsidRPr="002A08D9">
        <w:rPr>
          <w:bCs/>
        </w:rPr>
        <w:t>rescription</w:t>
      </w:r>
      <w:r w:rsidR="00424E56">
        <w:rPr>
          <w:bCs/>
        </w:rPr>
        <w:t xml:space="preserve"> shall fulfill this endorsement requirement</w:t>
      </w:r>
      <w:r w:rsidRPr="002A08D9">
        <w:rPr>
          <w:bCs/>
        </w:rPr>
        <w:t>.</w:t>
      </w:r>
    </w:p>
    <w:p w:rsidR="000F47E3" w:rsidRPr="00DC51C2" w:rsidRDefault="000F47E3" w:rsidP="000F47E3">
      <w:pPr>
        <w:pStyle w:val="Header"/>
        <w:rPr>
          <w:i/>
          <w:szCs w:val="24"/>
        </w:rPr>
      </w:pPr>
    </w:p>
    <w:p w:rsidR="003B5642" w:rsidRPr="00DC51C2" w:rsidRDefault="003B5642" w:rsidP="003B5642">
      <w:pPr>
        <w:pStyle w:val="Header"/>
        <w:rPr>
          <w:b/>
          <w:szCs w:val="24"/>
        </w:rPr>
      </w:pPr>
      <w:r w:rsidRPr="00DC51C2">
        <w:rPr>
          <w:b/>
          <w:szCs w:val="24"/>
        </w:rPr>
        <w:t>Partial Fill</w:t>
      </w:r>
    </w:p>
    <w:p w:rsidR="003B5642" w:rsidRPr="00DC51C2" w:rsidRDefault="003B5642" w:rsidP="003B5642">
      <w:pPr>
        <w:pStyle w:val="Header"/>
        <w:rPr>
          <w:szCs w:val="24"/>
        </w:rPr>
      </w:pPr>
      <w:r w:rsidRPr="00DC51C2">
        <w:rPr>
          <w:szCs w:val="24"/>
        </w:rPr>
        <w:t>As you are aware, the requirement to include a partial fill notation on all opioid prescriptions has been in place since 2016.</w:t>
      </w:r>
      <w:r w:rsidRPr="00DC51C2">
        <w:rPr>
          <w:rStyle w:val="FootnoteReference"/>
          <w:szCs w:val="24"/>
        </w:rPr>
        <w:footnoteReference w:id="19"/>
      </w:r>
      <w:r w:rsidRPr="00DC51C2">
        <w:rPr>
          <w:szCs w:val="24"/>
        </w:rPr>
        <w:t xml:space="preserve"> This law was expanded in 2018</w:t>
      </w:r>
      <w:r w:rsidRPr="00DC51C2">
        <w:rPr>
          <w:rStyle w:val="FootnoteReference"/>
          <w:szCs w:val="24"/>
        </w:rPr>
        <w:footnoteReference w:id="20"/>
      </w:r>
      <w:r w:rsidRPr="00DC51C2">
        <w:rPr>
          <w:szCs w:val="24"/>
        </w:rPr>
        <w:t xml:space="preserve"> to apply to </w:t>
      </w:r>
      <w:r w:rsidRPr="00190F81">
        <w:rPr>
          <w:szCs w:val="24"/>
          <w:u w:val="single"/>
        </w:rPr>
        <w:t>all</w:t>
      </w:r>
      <w:r w:rsidRPr="00DC51C2">
        <w:rPr>
          <w:szCs w:val="24"/>
        </w:rPr>
        <w:t xml:space="preserve"> schedule II controlled substance prescriptions and to allow dispensing of the remainder after the initial partial fill. These updated requirements have been included in this regulation as 105 CMR 721.055.</w:t>
      </w:r>
    </w:p>
    <w:p w:rsidR="003B5642" w:rsidRPr="00DC51C2" w:rsidRDefault="003B5642" w:rsidP="003B5642">
      <w:pPr>
        <w:pStyle w:val="Header"/>
        <w:rPr>
          <w:szCs w:val="24"/>
        </w:rPr>
      </w:pPr>
    </w:p>
    <w:p w:rsidR="003B5642" w:rsidRPr="00DC51C2" w:rsidRDefault="003B5642" w:rsidP="003B5642">
      <w:pPr>
        <w:rPr>
          <w:szCs w:val="24"/>
        </w:rPr>
      </w:pPr>
      <w:r w:rsidRPr="00DC51C2">
        <w:rPr>
          <w:szCs w:val="24"/>
        </w:rPr>
        <w:t xml:space="preserve">No change has been made to the notation requirement, which continues to apply as a matter of law to written </w:t>
      </w:r>
      <w:r w:rsidRPr="00DC51C2">
        <w:rPr>
          <w:szCs w:val="24"/>
          <w:u w:val="single"/>
        </w:rPr>
        <w:t>and</w:t>
      </w:r>
      <w:r w:rsidRPr="00DC51C2">
        <w:rPr>
          <w:szCs w:val="24"/>
        </w:rPr>
        <w:t xml:space="preserve"> electronic prescriptions for schedule II </w:t>
      </w:r>
      <w:r w:rsidR="0041387E">
        <w:rPr>
          <w:szCs w:val="24"/>
        </w:rPr>
        <w:t>opioids</w:t>
      </w:r>
      <w:r w:rsidRPr="00DC51C2">
        <w:rPr>
          <w:szCs w:val="24"/>
        </w:rPr>
        <w:t>.</w:t>
      </w:r>
      <w:r w:rsidR="0041387E">
        <w:rPr>
          <w:rStyle w:val="FootnoteReference"/>
          <w:szCs w:val="24"/>
        </w:rPr>
        <w:footnoteReference w:id="21"/>
      </w:r>
      <w:r w:rsidRPr="00DC51C2">
        <w:rPr>
          <w:szCs w:val="24"/>
        </w:rPr>
        <w:t xml:space="preserve"> Prescribers and facilities are expected to make every effort to include this notation in any EPCS</w:t>
      </w:r>
      <w:r w:rsidR="007A6BE3">
        <w:rPr>
          <w:szCs w:val="24"/>
        </w:rPr>
        <w:t xml:space="preserve"> system</w:t>
      </w:r>
      <w:r w:rsidRPr="00DC51C2">
        <w:rPr>
          <w:szCs w:val="24"/>
        </w:rPr>
        <w:t xml:space="preserve"> upgrades undertaken as part of their ePrescribing implementation.</w:t>
      </w:r>
      <w:r w:rsidR="004C00AD">
        <w:rPr>
          <w:szCs w:val="24"/>
        </w:rPr>
        <w:t xml:space="preserve"> </w:t>
      </w:r>
      <w:r w:rsidRPr="00DC51C2">
        <w:rPr>
          <w:szCs w:val="24"/>
        </w:rPr>
        <w:t>Pharmacists should continue to dispense under this law pursuant to joint guidance of DCP and the Board of Registration in Pharmacy.</w:t>
      </w:r>
      <w:r w:rsidRPr="00DC51C2">
        <w:rPr>
          <w:rStyle w:val="FootnoteReference"/>
          <w:szCs w:val="24"/>
        </w:rPr>
        <w:footnoteReference w:id="22"/>
      </w:r>
    </w:p>
    <w:p w:rsidR="003B5642" w:rsidRPr="00DC51C2" w:rsidRDefault="003B5642" w:rsidP="003B5642">
      <w:pPr>
        <w:rPr>
          <w:szCs w:val="24"/>
        </w:rPr>
      </w:pPr>
    </w:p>
    <w:p w:rsidR="004B2684" w:rsidRDefault="004B2684">
      <w:pPr>
        <w:rPr>
          <w:b/>
          <w:szCs w:val="24"/>
        </w:rPr>
      </w:pPr>
      <w:r>
        <w:rPr>
          <w:b/>
          <w:szCs w:val="24"/>
        </w:rPr>
        <w:br w:type="page"/>
      </w:r>
    </w:p>
    <w:p w:rsidR="003B5642" w:rsidRPr="00DC51C2" w:rsidRDefault="003B5642" w:rsidP="003B5642">
      <w:pPr>
        <w:pStyle w:val="Header"/>
        <w:rPr>
          <w:b/>
          <w:szCs w:val="24"/>
        </w:rPr>
      </w:pPr>
      <w:bookmarkStart w:id="0" w:name="_GoBack"/>
      <w:bookmarkEnd w:id="0"/>
      <w:r w:rsidRPr="00DC51C2">
        <w:rPr>
          <w:b/>
          <w:szCs w:val="24"/>
        </w:rPr>
        <w:lastRenderedPageBreak/>
        <w:t>Contact Information</w:t>
      </w:r>
    </w:p>
    <w:p w:rsidR="00495DEF" w:rsidRDefault="003B5642" w:rsidP="003B5642">
      <w:pPr>
        <w:rPr>
          <w:color w:val="0070C0"/>
          <w:szCs w:val="24"/>
          <w:u w:val="single"/>
        </w:rPr>
      </w:pPr>
      <w:r w:rsidRPr="00DC51C2">
        <w:rPr>
          <w:szCs w:val="24"/>
        </w:rPr>
        <w:t xml:space="preserve">Questions or concerns regarding this information should be directed to </w:t>
      </w:r>
      <w:r w:rsidR="00C75456">
        <w:rPr>
          <w:szCs w:val="24"/>
        </w:rPr>
        <w:t>t</w:t>
      </w:r>
      <w:r w:rsidRPr="00DC51C2">
        <w:rPr>
          <w:szCs w:val="24"/>
        </w:rPr>
        <w:t>he Drug Control Program:</w:t>
      </w:r>
      <w:r w:rsidRPr="00DC51C2">
        <w:rPr>
          <w:color w:val="0070C0"/>
          <w:szCs w:val="24"/>
          <w:u w:val="single"/>
        </w:rPr>
        <w:t xml:space="preserve"> </w:t>
      </w:r>
      <w:hyperlink r:id="rId10" w:history="1">
        <w:r w:rsidRPr="00DC51C2">
          <w:rPr>
            <w:rStyle w:val="Hyperlink"/>
            <w:color w:val="0070C0"/>
            <w:szCs w:val="24"/>
          </w:rPr>
          <w:t>dcp.dph@state.ma.us</w:t>
        </w:r>
      </w:hyperlink>
      <w:r w:rsidRPr="00DC51C2">
        <w:rPr>
          <w:color w:val="0070C0"/>
          <w:szCs w:val="24"/>
          <w:u w:val="single"/>
        </w:rPr>
        <w:t>.</w:t>
      </w:r>
    </w:p>
    <w:p w:rsidR="003B5642" w:rsidRPr="003B5642" w:rsidRDefault="003B5642" w:rsidP="003B5642">
      <w:pPr>
        <w:rPr>
          <w:szCs w:val="24"/>
          <w:u w:val="single"/>
        </w:rPr>
      </w:pPr>
    </w:p>
    <w:p w:rsidR="003B5642" w:rsidRPr="003B5642" w:rsidRDefault="003B5642" w:rsidP="003B5642">
      <w:pPr>
        <w:rPr>
          <w:b/>
          <w:szCs w:val="24"/>
        </w:rPr>
      </w:pPr>
      <w:r w:rsidRPr="003B5642">
        <w:rPr>
          <w:b/>
          <w:szCs w:val="24"/>
        </w:rPr>
        <w:t>Resources:</w:t>
      </w:r>
    </w:p>
    <w:p w:rsidR="003B5642" w:rsidRPr="003B5642" w:rsidRDefault="003B5642" w:rsidP="003B5642">
      <w:pPr>
        <w:rPr>
          <w:szCs w:val="24"/>
        </w:rPr>
      </w:pPr>
    </w:p>
    <w:p w:rsidR="003B5642" w:rsidRDefault="003B5642" w:rsidP="003B5642">
      <w:r w:rsidRPr="003B5642">
        <w:t>For more information regarding prescription format and security, please find the relevant statutory language and approved, post-comment regulation here:</w:t>
      </w:r>
    </w:p>
    <w:p w:rsidR="003B5642" w:rsidRPr="003B5642" w:rsidRDefault="003B5642" w:rsidP="003B5642"/>
    <w:p w:rsidR="003B5642" w:rsidRDefault="004B2684" w:rsidP="003B5642">
      <w:hyperlink r:id="rId11" w:history="1">
        <w:r w:rsidR="003B5642" w:rsidRPr="003B5642">
          <w:rPr>
            <w:rStyle w:val="Hyperlink"/>
          </w:rPr>
          <w:t>https://malegislature.gov/Laws/GeneralLaws/PartI/TitleXV/Chapter94C</w:t>
        </w:r>
      </w:hyperlink>
    </w:p>
    <w:p w:rsidR="003B5642" w:rsidRPr="003B5642" w:rsidRDefault="003B5642" w:rsidP="003B5642"/>
    <w:p w:rsidR="003B5642" w:rsidRDefault="004B2684" w:rsidP="003B5642">
      <w:hyperlink r:id="rId12" w:history="1">
        <w:r w:rsidR="003B5642" w:rsidRPr="003B5642">
          <w:rPr>
            <w:rStyle w:val="Hyperlink"/>
          </w:rPr>
          <w:t>https://</w:t>
        </w:r>
      </w:hyperlink>
      <w:hyperlink r:id="rId13" w:history="1">
        <w:r w:rsidR="003B5642" w:rsidRPr="003B5642">
          <w:rPr>
            <w:rStyle w:val="Hyperlink"/>
          </w:rPr>
          <w:t>www.mass.gov/lists/standards-for-prescription-format-and-security</w:t>
        </w:r>
      </w:hyperlink>
    </w:p>
    <w:p w:rsidR="006A32ED" w:rsidRDefault="006A32ED"/>
    <w:p w:rsidR="006A32ED" w:rsidRDefault="006A32ED" w:rsidP="006A32ED">
      <w:pPr>
        <w:rPr>
          <w:szCs w:val="24"/>
        </w:rPr>
      </w:pPr>
      <w:r>
        <w:rPr>
          <w:szCs w:val="24"/>
        </w:rPr>
        <w:t xml:space="preserve">For </w:t>
      </w:r>
      <w:r w:rsidRPr="003B5642">
        <w:rPr>
          <w:szCs w:val="24"/>
        </w:rPr>
        <w:t>ePrescribing At-a-Glance</w:t>
      </w:r>
      <w:r>
        <w:rPr>
          <w:szCs w:val="24"/>
        </w:rPr>
        <w:t xml:space="preserve">, visit our webpage: </w:t>
      </w:r>
      <w:hyperlink r:id="rId14" w:history="1">
        <w:r w:rsidR="00851612">
          <w:rPr>
            <w:rStyle w:val="Hyperlink"/>
          </w:rPr>
          <w:t>https://www.mass.gov/lists/eprescribing</w:t>
        </w:r>
      </w:hyperlink>
    </w:p>
    <w:p w:rsidR="003B5642" w:rsidRPr="000A1F17" w:rsidRDefault="003B5642" w:rsidP="003B5642">
      <w:pPr>
        <w:rPr>
          <w:szCs w:val="24"/>
          <w:u w:val="single"/>
        </w:rPr>
      </w:pPr>
    </w:p>
    <w:sectPr w:rsidR="003B5642" w:rsidRPr="000A1F17" w:rsidSect="004B029D">
      <w:headerReference w:type="default" r:id="rId15"/>
      <w:footerReference w:type="default" r:id="rId16"/>
      <w:headerReference w:type="first" r:id="rId17"/>
      <w:footerReference w:type="first" r:id="rId18"/>
      <w:endnotePr>
        <w:numFmt w:val="decimal"/>
      </w:endnotePr>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536" w:rsidRDefault="00221536">
      <w:r>
        <w:separator/>
      </w:r>
    </w:p>
  </w:endnote>
  <w:endnote w:type="continuationSeparator" w:id="0">
    <w:p w:rsidR="00221536" w:rsidRDefault="00221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LinePrinter">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789796"/>
      <w:docPartObj>
        <w:docPartGallery w:val="Page Numbers (Bottom of Page)"/>
        <w:docPartUnique/>
      </w:docPartObj>
    </w:sdtPr>
    <w:sdtEndPr>
      <w:rPr>
        <w:noProof/>
      </w:rPr>
    </w:sdtEndPr>
    <w:sdtContent>
      <w:p w:rsidR="00874F99" w:rsidRDefault="00874F99" w:rsidP="00874F99">
        <w:pPr>
          <w:pStyle w:val="Footer"/>
          <w:jc w:val="center"/>
        </w:pPr>
        <w:r>
          <w:fldChar w:fldCharType="begin"/>
        </w:r>
        <w:r>
          <w:instrText xml:space="preserve"> PAGE   \* MERGEFORMAT </w:instrText>
        </w:r>
        <w:r>
          <w:fldChar w:fldCharType="separate"/>
        </w:r>
        <w:r w:rsidR="004B2684">
          <w:rPr>
            <w:noProof/>
          </w:rPr>
          <w:t>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29D" w:rsidRDefault="004B2684" w:rsidP="00DB582D">
    <w:pPr>
      <w:pStyle w:val="Footer"/>
      <w:tabs>
        <w:tab w:val="left" w:pos="0"/>
      </w:tabs>
      <w:jc w:val="center"/>
    </w:pPr>
    <w:sdt>
      <w:sdtPr>
        <w:id w:val="-595947933"/>
        <w:docPartObj>
          <w:docPartGallery w:val="Page Numbers (Bottom of Page)"/>
          <w:docPartUnique/>
        </w:docPartObj>
      </w:sdtPr>
      <w:sdtEndPr>
        <w:rPr>
          <w:noProof/>
        </w:rPr>
      </w:sdtEndPr>
      <w:sdtContent>
        <w:r w:rsidR="00243687">
          <w:fldChar w:fldCharType="begin"/>
        </w:r>
        <w:r w:rsidR="00243687">
          <w:instrText xml:space="preserve"> PAGE   \* MERGEFORMAT </w:instrText>
        </w:r>
        <w:r w:rsidR="00243687">
          <w:fldChar w:fldCharType="separate"/>
        </w:r>
        <w:r>
          <w:rPr>
            <w:noProof/>
          </w:rPr>
          <w:t>1</w:t>
        </w:r>
        <w:r w:rsidR="00243687">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536" w:rsidRDefault="00221536">
      <w:r>
        <w:separator/>
      </w:r>
    </w:p>
  </w:footnote>
  <w:footnote w:type="continuationSeparator" w:id="0">
    <w:p w:rsidR="00221536" w:rsidRDefault="00221536">
      <w:r>
        <w:continuationSeparator/>
      </w:r>
    </w:p>
  </w:footnote>
  <w:footnote w:id="1">
    <w:p w:rsidR="003B5642" w:rsidRPr="00DD05F9" w:rsidRDefault="003B5642" w:rsidP="003B5642">
      <w:pPr>
        <w:pStyle w:val="FootnoteText"/>
        <w:rPr>
          <w:sz w:val="18"/>
          <w:szCs w:val="18"/>
        </w:rPr>
      </w:pPr>
      <w:r w:rsidRPr="00DD05F9">
        <w:rPr>
          <w:rStyle w:val="FootnoteReference"/>
          <w:sz w:val="18"/>
          <w:szCs w:val="18"/>
        </w:rPr>
        <w:footnoteRef/>
      </w:r>
      <w:r w:rsidRPr="00DD05F9">
        <w:rPr>
          <w:sz w:val="18"/>
          <w:szCs w:val="18"/>
        </w:rPr>
        <w:t xml:space="preserve"> Authorized prescribers and pharmacies must possess a Massachusetts Controlled Substance Registration.</w:t>
      </w:r>
    </w:p>
  </w:footnote>
  <w:footnote w:id="2">
    <w:p w:rsidR="00E4076B" w:rsidRPr="00DD05F9" w:rsidRDefault="00E4076B">
      <w:pPr>
        <w:pStyle w:val="FootnoteText"/>
        <w:rPr>
          <w:sz w:val="18"/>
          <w:szCs w:val="18"/>
        </w:rPr>
      </w:pPr>
      <w:r w:rsidRPr="00DD05F9">
        <w:rPr>
          <w:rStyle w:val="FootnoteReference"/>
          <w:sz w:val="18"/>
          <w:szCs w:val="18"/>
        </w:rPr>
        <w:footnoteRef/>
      </w:r>
      <w:r w:rsidRPr="00DD05F9">
        <w:rPr>
          <w:sz w:val="18"/>
          <w:szCs w:val="18"/>
        </w:rPr>
        <w:t xml:space="preserve"> Electronic prescribing requirements are included in M.G.L. c. 94C, §§ 1, 17, 18, 20, and 23.</w:t>
      </w:r>
    </w:p>
  </w:footnote>
  <w:footnote w:id="3">
    <w:p w:rsidR="006239CD" w:rsidRPr="00DD05F9" w:rsidRDefault="006239CD">
      <w:pPr>
        <w:pStyle w:val="FootnoteText"/>
        <w:rPr>
          <w:i/>
          <w:sz w:val="18"/>
          <w:szCs w:val="18"/>
        </w:rPr>
      </w:pPr>
      <w:r w:rsidRPr="00DD05F9">
        <w:rPr>
          <w:rStyle w:val="FootnoteReference"/>
          <w:sz w:val="18"/>
          <w:szCs w:val="18"/>
        </w:rPr>
        <w:footnoteRef/>
      </w:r>
      <w:r w:rsidRPr="00DD05F9">
        <w:rPr>
          <w:sz w:val="18"/>
          <w:szCs w:val="18"/>
        </w:rPr>
        <w:t xml:space="preserve"> 105 CMR 721.000:  </w:t>
      </w:r>
      <w:r w:rsidRPr="00DD05F9">
        <w:rPr>
          <w:i/>
          <w:sz w:val="18"/>
          <w:szCs w:val="18"/>
        </w:rPr>
        <w:t>Standards for Prescription Format and Security in Massachusetts.</w:t>
      </w:r>
    </w:p>
  </w:footnote>
  <w:footnote w:id="4">
    <w:p w:rsidR="007928BE" w:rsidRPr="00DD05F9" w:rsidRDefault="007928BE" w:rsidP="007928BE">
      <w:pPr>
        <w:pStyle w:val="FootnoteText"/>
        <w:rPr>
          <w:sz w:val="18"/>
          <w:szCs w:val="18"/>
        </w:rPr>
      </w:pPr>
      <w:r w:rsidRPr="00DD05F9">
        <w:rPr>
          <w:rStyle w:val="FootnoteReference"/>
          <w:sz w:val="18"/>
          <w:szCs w:val="18"/>
        </w:rPr>
        <w:footnoteRef/>
      </w:r>
      <w:r w:rsidRPr="00DD05F9">
        <w:rPr>
          <w:sz w:val="18"/>
          <w:szCs w:val="18"/>
        </w:rPr>
        <w:t xml:space="preserve"> 105 CMR 700.020(H).</w:t>
      </w:r>
    </w:p>
  </w:footnote>
  <w:footnote w:id="5">
    <w:p w:rsidR="004C00AD" w:rsidRPr="00DD05F9" w:rsidRDefault="004C00AD">
      <w:pPr>
        <w:pStyle w:val="FootnoteText"/>
        <w:rPr>
          <w:sz w:val="18"/>
          <w:szCs w:val="18"/>
        </w:rPr>
      </w:pPr>
      <w:r w:rsidRPr="00DD05F9">
        <w:rPr>
          <w:rStyle w:val="FootnoteReference"/>
          <w:sz w:val="18"/>
          <w:szCs w:val="18"/>
        </w:rPr>
        <w:footnoteRef/>
      </w:r>
      <w:r w:rsidRPr="00DD05F9">
        <w:rPr>
          <w:sz w:val="18"/>
          <w:szCs w:val="18"/>
        </w:rPr>
        <w:t xml:space="preserve"> Section 110 of chapter 208 of the acts of 2018 makes the ePrescribing requirements effective on January 1, 2020.</w:t>
      </w:r>
    </w:p>
  </w:footnote>
  <w:footnote w:id="6">
    <w:p w:rsidR="007928BE" w:rsidRPr="00DD05F9" w:rsidRDefault="007928BE" w:rsidP="007928BE">
      <w:pPr>
        <w:pStyle w:val="FootnoteText"/>
        <w:rPr>
          <w:sz w:val="18"/>
          <w:szCs w:val="18"/>
        </w:rPr>
      </w:pPr>
      <w:r w:rsidRPr="00DD05F9">
        <w:rPr>
          <w:rStyle w:val="FootnoteReference"/>
          <w:sz w:val="18"/>
          <w:szCs w:val="18"/>
        </w:rPr>
        <w:footnoteRef/>
      </w:r>
      <w:r w:rsidRPr="00DD05F9">
        <w:rPr>
          <w:sz w:val="18"/>
          <w:szCs w:val="18"/>
        </w:rPr>
        <w:t xml:space="preserve"> M.G.L. c. 94C, §17, as amended by chapter 208 of the acts of 2018.</w:t>
      </w:r>
    </w:p>
  </w:footnote>
  <w:footnote w:id="7">
    <w:p w:rsidR="003B5642" w:rsidRPr="00DD05F9" w:rsidRDefault="003B5642" w:rsidP="003B5642">
      <w:pPr>
        <w:pStyle w:val="FootnoteText"/>
        <w:rPr>
          <w:sz w:val="18"/>
          <w:szCs w:val="18"/>
        </w:rPr>
      </w:pPr>
      <w:r w:rsidRPr="00DD05F9">
        <w:rPr>
          <w:rStyle w:val="FootnoteReference"/>
          <w:sz w:val="18"/>
          <w:szCs w:val="18"/>
        </w:rPr>
        <w:footnoteRef/>
      </w:r>
      <w:r w:rsidRPr="00DD05F9">
        <w:rPr>
          <w:sz w:val="18"/>
          <w:szCs w:val="18"/>
        </w:rPr>
        <w:t xml:space="preserve"> </w:t>
      </w:r>
      <w:r w:rsidRPr="00DD05F9">
        <w:rPr>
          <w:sz w:val="18"/>
          <w:szCs w:val="18"/>
          <w:shd w:val="clear" w:color="auto" w:fill="FFFFFF"/>
        </w:rPr>
        <w:t xml:space="preserve">In addition </w:t>
      </w:r>
      <w:r w:rsidR="00DD05F9">
        <w:rPr>
          <w:sz w:val="18"/>
          <w:szCs w:val="18"/>
          <w:shd w:val="clear" w:color="auto" w:fill="FFFFFF"/>
        </w:rPr>
        <w:t xml:space="preserve">[to </w:t>
      </w:r>
      <w:r w:rsidR="00DD05F9" w:rsidRPr="00DD05F9">
        <w:rPr>
          <w:sz w:val="18"/>
          <w:szCs w:val="18"/>
          <w:shd w:val="clear" w:color="auto" w:fill="FFFFFF"/>
        </w:rPr>
        <w:t>the five schedules of controlled substances under the ''Comprehensive Drug Abuse, Prevention and Control Act of 1970'' or any amendment thereof</w:t>
      </w:r>
      <w:r w:rsidR="00DD05F9">
        <w:rPr>
          <w:sz w:val="18"/>
          <w:szCs w:val="18"/>
          <w:shd w:val="clear" w:color="auto" w:fill="FFFFFF"/>
        </w:rPr>
        <w:t>]</w:t>
      </w:r>
      <w:r w:rsidR="00DD05F9" w:rsidRPr="00DD05F9">
        <w:rPr>
          <w:sz w:val="18"/>
          <w:szCs w:val="18"/>
          <w:shd w:val="clear" w:color="auto" w:fill="FFFFFF"/>
        </w:rPr>
        <w:t xml:space="preserve"> </w:t>
      </w:r>
      <w:r w:rsidRPr="00DD05F9">
        <w:rPr>
          <w:sz w:val="18"/>
          <w:szCs w:val="18"/>
          <w:shd w:val="clear" w:color="auto" w:fill="FFFFFF"/>
        </w:rPr>
        <w:t xml:space="preserve">the commissioner shall by regulation as aforesaid establish a sixth schedule which shall include all prescription drugs not included in the first five schedules. </w:t>
      </w:r>
      <w:r w:rsidRPr="00DD05F9">
        <w:rPr>
          <w:sz w:val="18"/>
          <w:szCs w:val="18"/>
        </w:rPr>
        <w:t>M.G.L. c. 94C, §</w:t>
      </w:r>
      <w:r w:rsidRPr="00DD05F9">
        <w:rPr>
          <w:sz w:val="18"/>
          <w:szCs w:val="18"/>
          <w:shd w:val="clear" w:color="auto" w:fill="FFFFFF"/>
        </w:rPr>
        <w:t xml:space="preserve"> 2(a).</w:t>
      </w:r>
    </w:p>
  </w:footnote>
  <w:footnote w:id="8">
    <w:p w:rsidR="003B5642" w:rsidRPr="00DD05F9" w:rsidRDefault="003B5642" w:rsidP="003B5642">
      <w:pPr>
        <w:pStyle w:val="FootnoteText"/>
        <w:rPr>
          <w:sz w:val="18"/>
          <w:szCs w:val="18"/>
        </w:rPr>
      </w:pPr>
      <w:r w:rsidRPr="00DD05F9">
        <w:rPr>
          <w:rStyle w:val="FootnoteReference"/>
          <w:sz w:val="18"/>
          <w:szCs w:val="18"/>
        </w:rPr>
        <w:footnoteRef/>
      </w:r>
      <w:r w:rsidRPr="00DD05F9">
        <w:rPr>
          <w:sz w:val="18"/>
          <w:szCs w:val="18"/>
        </w:rPr>
        <w:t xml:space="preserve"> </w:t>
      </w:r>
      <w:r w:rsidRPr="00DD05F9">
        <w:rPr>
          <w:color w:val="000000"/>
          <w:sz w:val="18"/>
          <w:szCs w:val="18"/>
          <w:u w:val="single"/>
          <w:shd w:val="clear" w:color="auto" w:fill="FFFFFF"/>
        </w:rPr>
        <w:t>Durable medical equipment</w:t>
      </w:r>
      <w:r w:rsidRPr="00DD05F9">
        <w:rPr>
          <w:color w:val="000000"/>
          <w:sz w:val="18"/>
          <w:szCs w:val="18"/>
          <w:shd w:val="clear" w:color="auto" w:fill="FFFFFF"/>
        </w:rPr>
        <w:t xml:space="preserve"> is equipment which can withstand repeated use, </w:t>
      </w:r>
      <w:r w:rsidRPr="00DD05F9">
        <w:rPr>
          <w:rStyle w:val="poms-italic"/>
          <w:i/>
          <w:iCs/>
          <w:color w:val="000000"/>
          <w:sz w:val="18"/>
          <w:szCs w:val="18"/>
          <w:shd w:val="clear" w:color="auto" w:fill="FFFFFF"/>
        </w:rPr>
        <w:t xml:space="preserve">and </w:t>
      </w:r>
      <w:r w:rsidRPr="00DD05F9">
        <w:rPr>
          <w:color w:val="000000"/>
          <w:sz w:val="18"/>
          <w:szCs w:val="18"/>
          <w:shd w:val="clear" w:color="auto" w:fill="FFFFFF"/>
        </w:rPr>
        <w:t xml:space="preserve">is primarily and customarily used to serve a medical purpose, </w:t>
      </w:r>
      <w:r w:rsidRPr="00DD05F9">
        <w:rPr>
          <w:rStyle w:val="poms-italic"/>
          <w:i/>
          <w:iCs/>
          <w:color w:val="000000"/>
          <w:sz w:val="18"/>
          <w:szCs w:val="18"/>
          <w:shd w:val="clear" w:color="auto" w:fill="FFFFFF"/>
        </w:rPr>
        <w:t xml:space="preserve">and </w:t>
      </w:r>
      <w:r w:rsidRPr="00DD05F9">
        <w:rPr>
          <w:color w:val="000000"/>
          <w:sz w:val="18"/>
          <w:szCs w:val="18"/>
          <w:shd w:val="clear" w:color="auto" w:fill="FFFFFF"/>
        </w:rPr>
        <w:t xml:space="preserve">generally is not useful to a person in the absence of an illness or injury, </w:t>
      </w:r>
      <w:r w:rsidRPr="00DD05F9">
        <w:rPr>
          <w:rStyle w:val="poms-italic"/>
          <w:i/>
          <w:iCs/>
          <w:color w:val="000000"/>
          <w:sz w:val="18"/>
          <w:szCs w:val="18"/>
          <w:shd w:val="clear" w:color="auto" w:fill="FFFFFF"/>
        </w:rPr>
        <w:t xml:space="preserve">and </w:t>
      </w:r>
      <w:r w:rsidRPr="00DD05F9">
        <w:rPr>
          <w:color w:val="000000"/>
          <w:sz w:val="18"/>
          <w:szCs w:val="18"/>
          <w:shd w:val="clear" w:color="auto" w:fill="FFFFFF"/>
        </w:rPr>
        <w:t>is</w:t>
      </w:r>
      <w:r w:rsidRPr="009A723D">
        <w:rPr>
          <w:color w:val="000000"/>
          <w:shd w:val="clear" w:color="auto" w:fill="FFFFFF"/>
        </w:rPr>
        <w:t xml:space="preserve"> </w:t>
      </w:r>
      <w:r w:rsidRPr="00DD05F9">
        <w:rPr>
          <w:color w:val="000000"/>
          <w:sz w:val="18"/>
          <w:szCs w:val="18"/>
          <w:shd w:val="clear" w:color="auto" w:fill="FFFFFF"/>
        </w:rPr>
        <w:t>appropriate for use in the home. HI 00610.200, U.S. Social Security Administration, Program Operations Manual System (POMS).</w:t>
      </w:r>
    </w:p>
  </w:footnote>
  <w:footnote w:id="9">
    <w:p w:rsidR="004C00AD" w:rsidRDefault="004C00AD" w:rsidP="004C00AD">
      <w:pPr>
        <w:pStyle w:val="FootnoteText"/>
      </w:pPr>
      <w:r>
        <w:rPr>
          <w:rStyle w:val="FootnoteReference"/>
        </w:rPr>
        <w:footnoteRef/>
      </w:r>
      <w:r>
        <w:t xml:space="preserve"> </w:t>
      </w:r>
      <w:r w:rsidRPr="009A723D">
        <w:t xml:space="preserve">105 CMR 721.020: </w:t>
      </w:r>
      <w:r w:rsidRPr="009A723D">
        <w:rPr>
          <w:i/>
          <w:u w:val="single"/>
        </w:rPr>
        <w:t>Prescription Formats</w:t>
      </w:r>
      <w:r>
        <w:rPr>
          <w:i/>
          <w:u w:val="single"/>
        </w:rPr>
        <w:t>.</w:t>
      </w:r>
    </w:p>
  </w:footnote>
  <w:footnote w:id="10">
    <w:p w:rsidR="003B5642" w:rsidRDefault="003B5642" w:rsidP="003B5642">
      <w:pPr>
        <w:pStyle w:val="FootnoteText"/>
      </w:pPr>
      <w:r>
        <w:rPr>
          <w:rStyle w:val="FootnoteReference"/>
        </w:rPr>
        <w:footnoteRef/>
      </w:r>
      <w:r>
        <w:t xml:space="preserve"> </w:t>
      </w:r>
      <w:r w:rsidRPr="000D3048">
        <w:t>M.G.L. c. 111, § 121B</w:t>
      </w:r>
      <w:r w:rsidR="005E3713">
        <w:t>.</w:t>
      </w:r>
    </w:p>
  </w:footnote>
  <w:footnote w:id="11">
    <w:p w:rsidR="003B5642" w:rsidRPr="00315655" w:rsidRDefault="003B5642" w:rsidP="003B5642">
      <w:pPr>
        <w:pStyle w:val="FootnoteText"/>
      </w:pPr>
      <w:r>
        <w:rPr>
          <w:rStyle w:val="FootnoteReference"/>
        </w:rPr>
        <w:footnoteRef/>
      </w:r>
      <w:r>
        <w:t xml:space="preserve"> A</w:t>
      </w:r>
      <w:r w:rsidRPr="00315655">
        <w:t>s defined in 42 U.S.C. § 1395x(n)</w:t>
      </w:r>
      <w:r>
        <w:t>.</w:t>
      </w:r>
    </w:p>
  </w:footnote>
  <w:footnote w:id="12">
    <w:p w:rsidR="003B5642" w:rsidRDefault="003B5642" w:rsidP="003B5642">
      <w:pPr>
        <w:pStyle w:val="FootnoteText"/>
      </w:pPr>
      <w:r>
        <w:rPr>
          <w:rStyle w:val="FootnoteReference"/>
        </w:rPr>
        <w:footnoteRef/>
      </w:r>
      <w:r>
        <w:t xml:space="preserve"> </w:t>
      </w:r>
      <w:r w:rsidRPr="005E0FA7">
        <w:t xml:space="preserve">105 CMR 150.000, </w:t>
      </w:r>
      <w:r w:rsidRPr="005E0FA7">
        <w:rPr>
          <w:i/>
        </w:rPr>
        <w:t>Standards for Long-Term Care Facilities</w:t>
      </w:r>
      <w:r w:rsidR="00D26A68">
        <w:rPr>
          <w:i/>
        </w:rPr>
        <w:t>.</w:t>
      </w:r>
    </w:p>
  </w:footnote>
  <w:footnote w:id="13">
    <w:p w:rsidR="003B5642" w:rsidRDefault="003B5642" w:rsidP="003B5642">
      <w:pPr>
        <w:pStyle w:val="FootnoteText"/>
      </w:pPr>
      <w:r>
        <w:rPr>
          <w:rStyle w:val="FootnoteReference"/>
        </w:rPr>
        <w:footnoteRef/>
      </w:r>
      <w:r>
        <w:t xml:space="preserve"> </w:t>
      </w:r>
      <w:r w:rsidRPr="005E0FA7">
        <w:rPr>
          <w:szCs w:val="24"/>
        </w:rPr>
        <w:t xml:space="preserve">M.G.L. c. 17, </w:t>
      </w:r>
      <w:r w:rsidRPr="005E0FA7">
        <w:rPr>
          <w:bCs/>
          <w:szCs w:val="24"/>
        </w:rPr>
        <w:t>§ 2A</w:t>
      </w:r>
      <w:r w:rsidR="00D26A68">
        <w:rPr>
          <w:bCs/>
          <w:szCs w:val="24"/>
        </w:rPr>
        <w:t>.</w:t>
      </w:r>
    </w:p>
  </w:footnote>
  <w:footnote w:id="14">
    <w:p w:rsidR="003B5642" w:rsidRDefault="003B5642" w:rsidP="003B5642">
      <w:pPr>
        <w:pStyle w:val="FootnoteText"/>
      </w:pPr>
      <w:r>
        <w:rPr>
          <w:rStyle w:val="FootnoteReference"/>
        </w:rPr>
        <w:footnoteRef/>
      </w:r>
      <w:r>
        <w:t xml:space="preserve"> </w:t>
      </w:r>
      <w:r w:rsidRPr="005E0FA7">
        <w:rPr>
          <w:bCs/>
          <w:szCs w:val="24"/>
        </w:rPr>
        <w:t>M.G.L. c. 111, § 6</w:t>
      </w:r>
      <w:r w:rsidR="00D26A68">
        <w:rPr>
          <w:bCs/>
          <w:szCs w:val="24"/>
        </w:rPr>
        <w:t>.</w:t>
      </w:r>
    </w:p>
  </w:footnote>
  <w:footnote w:id="15">
    <w:p w:rsidR="00AB3C03" w:rsidRDefault="00AB3C03" w:rsidP="00AB3C03">
      <w:pPr>
        <w:pStyle w:val="FootnoteText"/>
      </w:pPr>
      <w:r>
        <w:rPr>
          <w:rStyle w:val="FootnoteReference"/>
        </w:rPr>
        <w:footnoteRef/>
      </w:r>
      <w:r>
        <w:t xml:space="preserve"> </w:t>
      </w:r>
      <w:r w:rsidRPr="009A723D">
        <w:t>105 CMR 721.020(G)</w:t>
      </w:r>
      <w:r>
        <w:t>.</w:t>
      </w:r>
    </w:p>
  </w:footnote>
  <w:footnote w:id="16">
    <w:p w:rsidR="00AB3C03" w:rsidRDefault="00AB3C03" w:rsidP="00AB3C03">
      <w:pPr>
        <w:pStyle w:val="FootnoteText"/>
      </w:pPr>
      <w:r>
        <w:rPr>
          <w:rStyle w:val="FootnoteReference"/>
        </w:rPr>
        <w:footnoteRef/>
      </w:r>
      <w:r>
        <w:t xml:space="preserve"> </w:t>
      </w:r>
      <w:r w:rsidRPr="00DC51C2">
        <w:rPr>
          <w:szCs w:val="24"/>
        </w:rPr>
        <w:t>M.G.L. c. 94C, § 20(a)</w:t>
      </w:r>
      <w:r>
        <w:rPr>
          <w:szCs w:val="24"/>
        </w:rPr>
        <w:t>.</w:t>
      </w:r>
    </w:p>
  </w:footnote>
  <w:footnote w:id="17">
    <w:p w:rsidR="00AB3C03" w:rsidRDefault="00AB3C03" w:rsidP="00AB3C03">
      <w:pPr>
        <w:pStyle w:val="FootnoteText"/>
      </w:pPr>
      <w:r>
        <w:rPr>
          <w:rStyle w:val="FootnoteReference"/>
        </w:rPr>
        <w:footnoteRef/>
      </w:r>
      <w:r>
        <w:t xml:space="preserve"> </w:t>
      </w:r>
      <w:r w:rsidRPr="00DC51C2">
        <w:rPr>
          <w:szCs w:val="24"/>
        </w:rPr>
        <w:t>M.G.L. c. 94C, § 2</w:t>
      </w:r>
      <w:r>
        <w:rPr>
          <w:szCs w:val="24"/>
        </w:rPr>
        <w:t>3</w:t>
      </w:r>
      <w:r w:rsidRPr="00DC51C2">
        <w:rPr>
          <w:szCs w:val="24"/>
        </w:rPr>
        <w:t>(</w:t>
      </w:r>
      <w:r>
        <w:rPr>
          <w:szCs w:val="24"/>
        </w:rPr>
        <w:t>i</w:t>
      </w:r>
      <w:r w:rsidRPr="00DC51C2">
        <w:rPr>
          <w:szCs w:val="24"/>
        </w:rPr>
        <w:t>)</w:t>
      </w:r>
      <w:r>
        <w:rPr>
          <w:szCs w:val="24"/>
        </w:rPr>
        <w:t>.</w:t>
      </w:r>
    </w:p>
  </w:footnote>
  <w:footnote w:id="18">
    <w:p w:rsidR="00AB3C03" w:rsidRDefault="00AB3C03" w:rsidP="00AB3C03">
      <w:pPr>
        <w:pStyle w:val="FootnoteText"/>
      </w:pPr>
      <w:r>
        <w:rPr>
          <w:rStyle w:val="FootnoteReference"/>
        </w:rPr>
        <w:footnoteRef/>
      </w:r>
      <w:r>
        <w:t xml:space="preserve"> </w:t>
      </w:r>
      <w:r w:rsidRPr="009A723D">
        <w:rPr>
          <w:u w:val="single"/>
        </w:rPr>
        <w:t>Additional Drug</w:t>
      </w:r>
      <w:r w:rsidRPr="009A723D">
        <w:t xml:space="preserve"> means a controlled substance in </w:t>
      </w:r>
      <w:r>
        <w:t>s</w:t>
      </w:r>
      <w:r w:rsidRPr="009A723D">
        <w:t xml:space="preserve">chedule VI determined by the Department to carry a bona fide potential for abuse. 105 CMR 700.001: </w:t>
      </w:r>
      <w:r w:rsidRPr="009A723D">
        <w:rPr>
          <w:i/>
        </w:rPr>
        <w:t>Implementation of M.G.L. c. 94C.</w:t>
      </w:r>
      <w:r w:rsidRPr="009A723D">
        <w:t xml:space="preserve"> Currently, gabapentin is the only medication on this list. Circular Letter: DHCQ 17-5-101: </w:t>
      </w:r>
      <w:r w:rsidRPr="009A723D">
        <w:rPr>
          <w:i/>
        </w:rPr>
        <w:t>Requirements for Gabapentin Data Submission</w:t>
      </w:r>
      <w:r>
        <w:rPr>
          <w:i/>
        </w:rPr>
        <w:t>.</w:t>
      </w:r>
    </w:p>
  </w:footnote>
  <w:footnote w:id="19">
    <w:p w:rsidR="003B5642" w:rsidRDefault="003B5642" w:rsidP="003B5642">
      <w:pPr>
        <w:pStyle w:val="FootnoteText"/>
      </w:pPr>
      <w:r>
        <w:rPr>
          <w:rStyle w:val="FootnoteReference"/>
        </w:rPr>
        <w:footnoteRef/>
      </w:r>
      <w:r>
        <w:t xml:space="preserve"> </w:t>
      </w:r>
      <w:r w:rsidRPr="009A723D">
        <w:t>M.G.L. c. 94C, § 18(d¾), as inserted by chapter 52 of the acts of 2016.</w:t>
      </w:r>
      <w:r>
        <w:t xml:space="preserve"> </w:t>
      </w:r>
    </w:p>
  </w:footnote>
  <w:footnote w:id="20">
    <w:p w:rsidR="003B5642" w:rsidRDefault="003B5642" w:rsidP="003B5642">
      <w:pPr>
        <w:pStyle w:val="FootnoteText"/>
      </w:pPr>
      <w:r>
        <w:rPr>
          <w:rStyle w:val="FootnoteReference"/>
        </w:rPr>
        <w:footnoteRef/>
      </w:r>
      <w:r>
        <w:t xml:space="preserve"> </w:t>
      </w:r>
      <w:r w:rsidRPr="009A723D">
        <w:t xml:space="preserve">M.G.L. c. 94C, § 18(d¾), as </w:t>
      </w:r>
      <w:r>
        <w:t>amended</w:t>
      </w:r>
      <w:r w:rsidRPr="009A723D">
        <w:t xml:space="preserve"> by chapter 2</w:t>
      </w:r>
      <w:r>
        <w:t>08 of the acts of 2018</w:t>
      </w:r>
      <w:r w:rsidRPr="009A723D">
        <w:t>.</w:t>
      </w:r>
    </w:p>
  </w:footnote>
  <w:footnote w:id="21">
    <w:p w:rsidR="0041387E" w:rsidRDefault="0041387E">
      <w:pPr>
        <w:pStyle w:val="FootnoteText"/>
      </w:pPr>
      <w:r>
        <w:rPr>
          <w:rStyle w:val="FootnoteReference"/>
        </w:rPr>
        <w:footnoteRef/>
      </w:r>
      <w:r>
        <w:t xml:space="preserve"> </w:t>
      </w:r>
      <w:r w:rsidRPr="0041387E">
        <w:rPr>
          <w:shd w:val="clear" w:color="auto" w:fill="FFFFFF"/>
        </w:rPr>
        <w:t>Any prescription issued by a practitioner for an opioid substance contained in Schedule II of section 3 shall include a notation on the prescription that the patient may fill, upon request, the prescription in compliance with subsection (d 3/4) of section 18 in an amount not to exceed the full prescribed quantity. M.G.L. c. 94C, § 22(c).</w:t>
      </w:r>
    </w:p>
  </w:footnote>
  <w:footnote w:id="22">
    <w:p w:rsidR="003B5642" w:rsidRDefault="003B5642" w:rsidP="003B5642">
      <w:pPr>
        <w:pStyle w:val="FootnoteText"/>
      </w:pPr>
      <w:r>
        <w:rPr>
          <w:rStyle w:val="FootnoteReference"/>
        </w:rPr>
        <w:footnoteRef/>
      </w:r>
      <w:r>
        <w:t xml:space="preserve"> </w:t>
      </w:r>
      <w:r w:rsidRPr="00186BE4">
        <w:t>Circular Letter: DCP 18-10-104</w:t>
      </w:r>
      <w:r>
        <w:t>,</w:t>
      </w:r>
      <w:r w:rsidRPr="00186BE4">
        <w:t xml:space="preserve"> </w:t>
      </w:r>
      <w:r w:rsidRPr="00532A4B">
        <w:rPr>
          <w:i/>
        </w:rPr>
        <w:t>Patient Requests for Partial Fill of Schedule II Prescriptions</w:t>
      </w:r>
      <w:r>
        <w:t xml:space="preserve">, </w:t>
      </w:r>
      <w:r w:rsidRPr="00186BE4">
        <w:t>November 1, 2018</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82D" w:rsidRDefault="00DB582D" w:rsidP="00DB582D">
    <w:pPr>
      <w:pStyle w:val="Header"/>
      <w:tabs>
        <w:tab w:val="clear" w:pos="4320"/>
        <w:tab w:val="clear" w:pos="8640"/>
        <w:tab w:val="left" w:pos="181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FAF" w:rsidRPr="00CA45F0" w:rsidRDefault="00787FAF" w:rsidP="00787FAF">
    <w:pPr>
      <w:framePr w:w="6953" w:h="1971" w:hRule="exact" w:hSpace="187" w:wrap="notBeside" w:vAnchor="page" w:hAnchor="page" w:x="2801" w:y="711"/>
      <w:jc w:val="center"/>
      <w:rPr>
        <w:rFonts w:ascii="Arial" w:hAnsi="Arial"/>
        <w:sz w:val="36"/>
        <w:szCs w:val="36"/>
      </w:rPr>
    </w:pPr>
    <w:r w:rsidRPr="00CA45F0">
      <w:rPr>
        <w:rFonts w:ascii="Arial" w:hAnsi="Arial"/>
        <w:sz w:val="36"/>
        <w:szCs w:val="36"/>
      </w:rPr>
      <w:t>The Commonwealth of Massachusetts</w:t>
    </w:r>
  </w:p>
  <w:p w:rsidR="00787FAF" w:rsidRPr="00CA45F0" w:rsidRDefault="00787FAF" w:rsidP="00787FAF">
    <w:pPr>
      <w:pStyle w:val="ExecOffice"/>
      <w:framePr w:w="6953" w:h="1971" w:hRule="exact" w:wrap="notBeside" w:vAnchor="page" w:x="2801" w:y="711"/>
      <w:rPr>
        <w:sz w:val="24"/>
        <w:szCs w:val="24"/>
      </w:rPr>
    </w:pPr>
    <w:r w:rsidRPr="00CA45F0">
      <w:rPr>
        <w:sz w:val="24"/>
        <w:szCs w:val="24"/>
      </w:rPr>
      <w:t>Executive Office of Health and Human Services</w:t>
    </w:r>
  </w:p>
  <w:p w:rsidR="00787FAF" w:rsidRPr="00CA45F0" w:rsidRDefault="00787FAF" w:rsidP="00787FAF">
    <w:pPr>
      <w:pStyle w:val="ExecOffice"/>
      <w:framePr w:w="6953" w:h="1971" w:hRule="exact" w:wrap="notBeside" w:vAnchor="page" w:x="2801" w:y="711"/>
      <w:rPr>
        <w:sz w:val="24"/>
        <w:szCs w:val="24"/>
      </w:rPr>
    </w:pPr>
    <w:r w:rsidRPr="00CA45F0">
      <w:rPr>
        <w:sz w:val="24"/>
        <w:szCs w:val="24"/>
      </w:rPr>
      <w:t>Department of Public Health</w:t>
    </w:r>
  </w:p>
  <w:p w:rsidR="00787FAF" w:rsidRPr="00CA45F0" w:rsidRDefault="00787FAF" w:rsidP="00787FAF">
    <w:pPr>
      <w:pStyle w:val="ExecOffice"/>
      <w:framePr w:w="6953" w:h="1971" w:hRule="exact" w:wrap="notBeside" w:vAnchor="page" w:x="2801" w:y="711"/>
      <w:rPr>
        <w:sz w:val="24"/>
        <w:szCs w:val="24"/>
      </w:rPr>
    </w:pPr>
    <w:r w:rsidRPr="00CA45F0">
      <w:rPr>
        <w:sz w:val="24"/>
        <w:szCs w:val="24"/>
      </w:rPr>
      <w:t>Bureau of Health Professions Licensure</w:t>
    </w:r>
  </w:p>
  <w:p w:rsidR="00787FAF" w:rsidRPr="00CA45F0" w:rsidRDefault="00787FAF" w:rsidP="00787FAF">
    <w:pPr>
      <w:pStyle w:val="ExecOffice"/>
      <w:framePr w:w="6953" w:h="1971" w:hRule="exact" w:wrap="notBeside" w:vAnchor="page" w:x="2801" w:y="711"/>
      <w:rPr>
        <w:sz w:val="24"/>
        <w:szCs w:val="24"/>
      </w:rPr>
    </w:pPr>
    <w:r w:rsidRPr="00CA45F0">
      <w:rPr>
        <w:sz w:val="24"/>
        <w:szCs w:val="24"/>
      </w:rPr>
      <w:t>Drug Control Program</w:t>
    </w:r>
  </w:p>
  <w:p w:rsidR="00787FAF" w:rsidRPr="00CA45F0" w:rsidRDefault="00787FAF" w:rsidP="00787FAF">
    <w:pPr>
      <w:pStyle w:val="ExecOffice"/>
      <w:framePr w:w="6953" w:h="1971" w:hRule="exact" w:wrap="notBeside" w:vAnchor="page" w:x="2801" w:y="711"/>
      <w:rPr>
        <w:sz w:val="24"/>
        <w:szCs w:val="24"/>
      </w:rPr>
    </w:pPr>
    <w:r w:rsidRPr="00CA45F0">
      <w:rPr>
        <w:sz w:val="24"/>
        <w:szCs w:val="24"/>
      </w:rPr>
      <w:t>239 Causeway Street, Boston, MA 02114</w:t>
    </w:r>
  </w:p>
  <w:p w:rsidR="00787FAF" w:rsidRDefault="00787FAF" w:rsidP="00787FAF">
    <w:pPr>
      <w:pStyle w:val="Header"/>
      <w:tabs>
        <w:tab w:val="clear" w:pos="4320"/>
        <w:tab w:val="clear" w:pos="8640"/>
        <w:tab w:val="center" w:pos="4680"/>
      </w:tabs>
      <w:ind w:left="-720" w:right="-720"/>
    </w:pPr>
    <w:r>
      <w:rPr>
        <w:rFonts w:ascii="LinePrinter" w:hAnsi="LinePrinter"/>
        <w:noProof/>
      </w:rPr>
      <w:drawing>
        <wp:inline distT="0" distB="0" distL="0" distR="0" wp14:anchorId="47F4DAED" wp14:editId="177F8F44">
          <wp:extent cx="914400" cy="11525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152525"/>
                  </a:xfrm>
                  <a:prstGeom prst="rect">
                    <a:avLst/>
                  </a:prstGeom>
                  <a:noFill/>
                  <a:ln>
                    <a:noFill/>
                  </a:ln>
                </pic:spPr>
              </pic:pic>
            </a:graphicData>
          </a:graphic>
        </wp:inline>
      </w:drawing>
    </w:r>
  </w:p>
  <w:p w:rsidR="00787FAF" w:rsidRDefault="00787FAF" w:rsidP="00787FAF">
    <w:pPr>
      <w:pStyle w:val="Header"/>
      <w:tabs>
        <w:tab w:val="clear" w:pos="4320"/>
        <w:tab w:val="clear" w:pos="8640"/>
        <w:tab w:val="left" w:pos="-90"/>
        <w:tab w:val="center" w:pos="4680"/>
        <w:tab w:val="left" w:pos="7560"/>
      </w:tabs>
      <w:ind w:right="-720"/>
    </w:pPr>
    <w:r>
      <w:rPr>
        <w:noProof/>
      </w:rPr>
      <mc:AlternateContent>
        <mc:Choice Requires="wps">
          <w:drawing>
            <wp:anchor distT="0" distB="0" distL="114300" distR="114300" simplePos="0" relativeHeight="251659264" behindDoc="0" locked="0" layoutInCell="1" allowOverlap="1" wp14:anchorId="13A7DD07" wp14:editId="29D7074C">
              <wp:simplePos x="0" y="0"/>
              <wp:positionH relativeFrom="column">
                <wp:posOffset>-681104</wp:posOffset>
              </wp:positionH>
              <wp:positionV relativeFrom="paragraph">
                <wp:posOffset>140071</wp:posOffset>
              </wp:positionV>
              <wp:extent cx="1345721" cy="802005"/>
              <wp:effectExtent l="0" t="0" r="6985"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721"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FAF" w:rsidRDefault="00787FAF" w:rsidP="00787FAF">
                          <w:pPr>
                            <w:pStyle w:val="Governor"/>
                            <w:spacing w:after="0"/>
                            <w:rPr>
                              <w:sz w:val="16"/>
                            </w:rPr>
                          </w:pPr>
                          <w:r>
                            <w:rPr>
                              <w:sz w:val="16"/>
                            </w:rPr>
                            <w:t>CHARLES D. BAKER</w:t>
                          </w:r>
                        </w:p>
                        <w:p w:rsidR="00787FAF" w:rsidRDefault="00787FAF" w:rsidP="00787FAF">
                          <w:pPr>
                            <w:pStyle w:val="Governor"/>
                          </w:pPr>
                          <w:r>
                            <w:t>Governor</w:t>
                          </w:r>
                        </w:p>
                        <w:p w:rsidR="00787FAF" w:rsidRDefault="00787FAF" w:rsidP="00787FAF">
                          <w:pPr>
                            <w:pStyle w:val="Governor"/>
                            <w:spacing w:after="0"/>
                            <w:rPr>
                              <w:sz w:val="16"/>
                            </w:rPr>
                          </w:pPr>
                          <w:r>
                            <w:rPr>
                              <w:sz w:val="16"/>
                            </w:rPr>
                            <w:t>KARYN E. POLITO</w:t>
                          </w:r>
                        </w:p>
                        <w:p w:rsidR="00787FAF" w:rsidRDefault="00787FAF" w:rsidP="00787FAF">
                          <w:pPr>
                            <w:pStyle w:val="Governor"/>
                          </w:pPr>
                          <w:r>
                            <w:t>Lieutenant Governor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3A7DD07" id="_x0000_t202" coordsize="21600,21600" o:spt="202" path="m,l,21600r21600,l21600,xe">
              <v:stroke joinstyle="miter"/>
              <v:path gradientshapeok="t" o:connecttype="rect"/>
            </v:shapetype>
            <v:shape id="Text Box 6" o:spid="_x0000_s1026" type="#_x0000_t202" style="position:absolute;margin-left:-53.65pt;margin-top:11.05pt;width:105.95pt;height:6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" stroked="f">
              <v:textbox style="mso-fit-shape-to-text:t">
                <w:txbxContent>
                  <w:p w:rsidR="00787FAF" w:rsidRDefault="00787FAF" w:rsidP="00787FAF">
                    <w:pPr>
                      <w:pStyle w:val="Governor"/>
                      <w:spacing w:after="0"/>
                      <w:rPr>
                        <w:sz w:val="16"/>
                      </w:rPr>
                    </w:pPr>
                    <w:r>
                      <w:rPr>
                        <w:sz w:val="16"/>
                      </w:rPr>
                      <w:t>CHARLES D. BAKER</w:t>
                    </w:r>
                  </w:p>
                  <w:p w:rsidR="00787FAF" w:rsidRDefault="00787FAF" w:rsidP="00787FAF">
                    <w:pPr>
                      <w:pStyle w:val="Governor"/>
                    </w:pPr>
                    <w:r>
                      <w:t>Governor</w:t>
                    </w:r>
                  </w:p>
                  <w:p w:rsidR="00787FAF" w:rsidRDefault="00787FAF" w:rsidP="00787FAF">
                    <w:pPr>
                      <w:pStyle w:val="Governor"/>
                      <w:spacing w:after="0"/>
                      <w:rPr>
                        <w:sz w:val="16"/>
                      </w:rPr>
                    </w:pPr>
                    <w:r>
                      <w:rPr>
                        <w:sz w:val="16"/>
                      </w:rPr>
                      <w:t>KARYN E. POLITO</w:t>
                    </w:r>
                  </w:p>
                  <w:p w:rsidR="00787FAF" w:rsidRDefault="00787FAF" w:rsidP="00787FAF">
                    <w:pPr>
                      <w:pStyle w:val="Governor"/>
                    </w:pPr>
                    <w:r>
                      <w:t>Lieutenant Governor</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93FB977" wp14:editId="5CBACF50">
              <wp:simplePos x="0" y="0"/>
              <wp:positionH relativeFrom="column">
                <wp:posOffset>4741545</wp:posOffset>
              </wp:positionH>
              <wp:positionV relativeFrom="paragraph">
                <wp:posOffset>103505</wp:posOffset>
              </wp:positionV>
              <wp:extent cx="1572895" cy="1136015"/>
              <wp:effectExtent l="0" t="0" r="0" b="698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1136015"/>
                      </a:xfrm>
                      <a:prstGeom prst="rect">
                        <a:avLst/>
                      </a:prstGeom>
                      <a:noFill/>
                      <a:ln>
                        <a:noFill/>
                      </a:ln>
                      <a:extLst/>
                    </wps:spPr>
                    <wps:txbx>
                      <w:txbxContent>
                        <w:p w:rsidR="00787FAF" w:rsidRPr="003A7AFC" w:rsidRDefault="00787FAF" w:rsidP="00787FAF">
                          <w:pPr>
                            <w:pStyle w:val="Weld"/>
                          </w:pPr>
                          <w:r>
                            <w:t>MARYLOU SUDDERS</w:t>
                          </w:r>
                        </w:p>
                        <w:p w:rsidR="00787FAF" w:rsidRDefault="00787FAF" w:rsidP="00787FAF">
                          <w:pPr>
                            <w:pStyle w:val="Governor"/>
                          </w:pPr>
                          <w:r>
                            <w:t>Secretary</w:t>
                          </w:r>
                        </w:p>
                        <w:p w:rsidR="00787FAF" w:rsidRPr="00FC6B42" w:rsidRDefault="00787FAF" w:rsidP="00787FAF">
                          <w:pPr>
                            <w:pStyle w:val="Governor"/>
                            <w:spacing w:after="0"/>
                            <w:rPr>
                              <w:sz w:val="16"/>
                              <w:szCs w:val="16"/>
                            </w:rPr>
                          </w:pPr>
                          <w:r>
                            <w:rPr>
                              <w:sz w:val="16"/>
                              <w:szCs w:val="16"/>
                            </w:rPr>
                            <w:t>MONICA BHAREL, MD, MPH</w:t>
                          </w:r>
                        </w:p>
                        <w:p w:rsidR="00787FAF" w:rsidRDefault="00787FAF" w:rsidP="00787FAF">
                          <w:pPr>
                            <w:jc w:val="center"/>
                            <w:rPr>
                              <w:rFonts w:ascii="Arial Rounded MT Bold" w:hAnsi="Arial Rounded MT Bold"/>
                              <w:sz w:val="14"/>
                              <w:szCs w:val="14"/>
                            </w:rPr>
                          </w:pPr>
                          <w:r w:rsidRPr="00FC6B42">
                            <w:rPr>
                              <w:rFonts w:ascii="Arial Rounded MT Bold" w:hAnsi="Arial Rounded MT Bold"/>
                              <w:sz w:val="14"/>
                              <w:szCs w:val="14"/>
                            </w:rPr>
                            <w:t>Commissioner</w:t>
                          </w:r>
                        </w:p>
                        <w:p w:rsidR="00787FAF" w:rsidRDefault="00787FAF" w:rsidP="00787FAF">
                          <w:pPr>
                            <w:jc w:val="center"/>
                            <w:rPr>
                              <w:rFonts w:ascii="Arial Rounded MT Bold" w:hAnsi="Arial Rounded MT Bold"/>
                              <w:sz w:val="14"/>
                              <w:szCs w:val="14"/>
                            </w:rPr>
                          </w:pPr>
                        </w:p>
                        <w:p w:rsidR="00787FAF" w:rsidRPr="004813AC" w:rsidRDefault="00787FAF" w:rsidP="00787FAF">
                          <w:pPr>
                            <w:jc w:val="center"/>
                            <w:rPr>
                              <w:rFonts w:ascii="Arial" w:hAnsi="Arial" w:cs="Arial"/>
                              <w:b/>
                              <w:sz w:val="14"/>
                              <w:szCs w:val="14"/>
                            </w:rPr>
                          </w:pPr>
                          <w:r w:rsidRPr="004813AC">
                            <w:rPr>
                              <w:rFonts w:ascii="Arial" w:hAnsi="Arial" w:cs="Arial"/>
                              <w:b/>
                              <w:sz w:val="14"/>
                              <w:szCs w:val="14"/>
                            </w:rPr>
                            <w:t>Tel: 617-624-6000</w:t>
                          </w:r>
                        </w:p>
                        <w:p w:rsidR="00787FAF" w:rsidRPr="00787FAF" w:rsidRDefault="00787FAF" w:rsidP="00787FAF">
                          <w:pPr>
                            <w:jc w:val="center"/>
                            <w:rPr>
                              <w:rFonts w:ascii="Arial" w:hAnsi="Arial" w:cs="Arial"/>
                              <w:b/>
                              <w:sz w:val="14"/>
                              <w:szCs w:val="14"/>
                              <w:lang w:val="fr-FR"/>
                            </w:rPr>
                          </w:pPr>
                          <w:r w:rsidRPr="004813AC">
                            <w:rPr>
                              <w:rFonts w:ascii="Arial" w:hAnsi="Arial" w:cs="Arial"/>
                              <w:b/>
                              <w:sz w:val="14"/>
                              <w:szCs w:val="14"/>
                              <w:lang w:val="fr-FR"/>
                            </w:rPr>
                            <w:t>www.mass.gov/dph</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3FB977" id="Text Box 7" o:spid="_x0000_s1027" type="#_x0000_t202" style="position:absolute;margin-left:373.35pt;margin-top:8.15pt;width:123.85pt;height:8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" filled="f" stroked="f">
              <v:textbox style="mso-fit-shape-to-text:t">
                <w:txbxContent>
                  <w:p w:rsidR="00787FAF" w:rsidRPr="003A7AFC" w:rsidRDefault="00787FAF" w:rsidP="00787FAF">
                    <w:pPr>
                      <w:pStyle w:val="Weld"/>
                    </w:pPr>
                    <w:r>
                      <w:t>MARYLOU SUDDERS</w:t>
                    </w:r>
                  </w:p>
                  <w:p w:rsidR="00787FAF" w:rsidRDefault="00787FAF" w:rsidP="00787FAF">
                    <w:pPr>
                      <w:pStyle w:val="Governor"/>
                    </w:pPr>
                    <w:r>
                      <w:t>Secretary</w:t>
                    </w:r>
                  </w:p>
                  <w:p w:rsidR="00787FAF" w:rsidRPr="00FC6B42" w:rsidRDefault="00787FAF" w:rsidP="00787FAF">
                    <w:pPr>
                      <w:pStyle w:val="Governor"/>
                      <w:spacing w:after="0"/>
                      <w:rPr>
                        <w:sz w:val="16"/>
                        <w:szCs w:val="16"/>
                      </w:rPr>
                    </w:pPr>
                    <w:r>
                      <w:rPr>
                        <w:sz w:val="16"/>
                        <w:szCs w:val="16"/>
                      </w:rPr>
                      <w:t>MONICA BHAREL, MD, MPH</w:t>
                    </w:r>
                  </w:p>
                  <w:p w:rsidR="00787FAF" w:rsidRDefault="00787FAF" w:rsidP="00787FAF">
                    <w:pPr>
                      <w:jc w:val="center"/>
                      <w:rPr>
                        <w:rFonts w:ascii="Arial Rounded MT Bold" w:hAnsi="Arial Rounded MT Bold"/>
                        <w:sz w:val="14"/>
                        <w:szCs w:val="14"/>
                      </w:rPr>
                    </w:pPr>
                    <w:r w:rsidRPr="00FC6B42">
                      <w:rPr>
                        <w:rFonts w:ascii="Arial Rounded MT Bold" w:hAnsi="Arial Rounded MT Bold"/>
                        <w:sz w:val="14"/>
                        <w:szCs w:val="14"/>
                      </w:rPr>
                      <w:t>Commissioner</w:t>
                    </w:r>
                  </w:p>
                  <w:p w:rsidR="00787FAF" w:rsidRDefault="00787FAF" w:rsidP="00787FAF">
                    <w:pPr>
                      <w:jc w:val="center"/>
                      <w:rPr>
                        <w:rFonts w:ascii="Arial Rounded MT Bold" w:hAnsi="Arial Rounded MT Bold"/>
                        <w:sz w:val="14"/>
                        <w:szCs w:val="14"/>
                      </w:rPr>
                    </w:pPr>
                  </w:p>
                  <w:p w:rsidR="00787FAF" w:rsidRPr="004813AC" w:rsidRDefault="00787FAF" w:rsidP="00787FAF">
                    <w:pPr>
                      <w:jc w:val="center"/>
                      <w:rPr>
                        <w:rFonts w:ascii="Arial" w:hAnsi="Arial" w:cs="Arial"/>
                        <w:b/>
                        <w:sz w:val="14"/>
                        <w:szCs w:val="14"/>
                      </w:rPr>
                    </w:pPr>
                    <w:r w:rsidRPr="004813AC">
                      <w:rPr>
                        <w:rFonts w:ascii="Arial" w:hAnsi="Arial" w:cs="Arial"/>
                        <w:b/>
                        <w:sz w:val="14"/>
                        <w:szCs w:val="14"/>
                      </w:rPr>
                      <w:t>Tel: 617-624-6000</w:t>
                    </w:r>
                  </w:p>
                  <w:p w:rsidR="00787FAF" w:rsidRPr="00787FAF" w:rsidRDefault="00787FAF" w:rsidP="00787FAF">
                    <w:pPr>
                      <w:jc w:val="center"/>
                      <w:rPr>
                        <w:rFonts w:ascii="Arial" w:hAnsi="Arial" w:cs="Arial"/>
                        <w:b/>
                        <w:sz w:val="14"/>
                        <w:szCs w:val="14"/>
                        <w:lang w:val="fr-FR"/>
                      </w:rPr>
                    </w:pPr>
                    <w:r w:rsidRPr="004813AC">
                      <w:rPr>
                        <w:rFonts w:ascii="Arial" w:hAnsi="Arial" w:cs="Arial"/>
                        <w:b/>
                        <w:sz w:val="14"/>
                        <w:szCs w:val="14"/>
                        <w:lang w:val="fr-FR"/>
                      </w:rPr>
                      <w:t>www.mass.gov/dph</w:t>
                    </w:r>
                  </w:p>
                </w:txbxContent>
              </v:textbox>
            </v:shape>
          </w:pict>
        </mc:Fallback>
      </mc:AlternateContent>
    </w:r>
  </w:p>
  <w:p w:rsidR="00787FAF" w:rsidRDefault="00787FAF" w:rsidP="00787FAF">
    <w:pPr>
      <w:pStyle w:val="Header"/>
      <w:tabs>
        <w:tab w:val="clear" w:pos="4320"/>
        <w:tab w:val="clear" w:pos="8640"/>
        <w:tab w:val="left" w:pos="-90"/>
        <w:tab w:val="center" w:pos="4680"/>
      </w:tabs>
      <w:ind w:left="-720" w:right="-720"/>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5"/>
    <w:multiLevelType w:val="multilevel"/>
    <w:tmpl w:val="00000888"/>
    <w:lvl w:ilvl="0">
      <w:numFmt w:val="bullet"/>
      <w:lvlText w:val="o"/>
      <w:lvlJc w:val="left"/>
      <w:pPr>
        <w:ind w:hanging="360"/>
      </w:pPr>
      <w:rPr>
        <w:rFonts w:ascii="Courier New" w:hAnsi="Courier New" w:cs="Courier New"/>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4125184"/>
    <w:multiLevelType w:val="hybridMultilevel"/>
    <w:tmpl w:val="DA520B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8905D4"/>
    <w:multiLevelType w:val="hybridMultilevel"/>
    <w:tmpl w:val="77FEB5F6"/>
    <w:lvl w:ilvl="0" w:tplc="EEE8CF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393BCE"/>
    <w:multiLevelType w:val="hybridMultilevel"/>
    <w:tmpl w:val="F81A9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5544A7"/>
    <w:multiLevelType w:val="hybridMultilevel"/>
    <w:tmpl w:val="EE5CF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DC46F4"/>
    <w:multiLevelType w:val="hybridMultilevel"/>
    <w:tmpl w:val="A36A99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nsid w:val="211310A0"/>
    <w:multiLevelType w:val="multilevel"/>
    <w:tmpl w:val="E1B8F67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nsid w:val="26595F5A"/>
    <w:multiLevelType w:val="hybridMultilevel"/>
    <w:tmpl w:val="B538D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8D57DA"/>
    <w:multiLevelType w:val="hybridMultilevel"/>
    <w:tmpl w:val="4686CDE8"/>
    <w:lvl w:ilvl="0" w:tplc="0409000F">
      <w:start w:val="1"/>
      <w:numFmt w:val="decimal"/>
      <w:lvlText w:val="%1."/>
      <w:lvlJc w:val="left"/>
      <w:pPr>
        <w:ind w:left="720" w:hanging="360"/>
      </w:pPr>
      <w:rPr>
        <w:rFonts w:hint="default"/>
      </w:rPr>
    </w:lvl>
    <w:lvl w:ilvl="1" w:tplc="E02A2A32">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8D0976"/>
    <w:multiLevelType w:val="hybridMultilevel"/>
    <w:tmpl w:val="6DF27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2C6DD0"/>
    <w:multiLevelType w:val="hybridMultilevel"/>
    <w:tmpl w:val="3C6C560C"/>
    <w:lvl w:ilvl="0" w:tplc="CEA40F6A">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6833D2"/>
    <w:multiLevelType w:val="hybridMultilevel"/>
    <w:tmpl w:val="D98457CA"/>
    <w:lvl w:ilvl="0" w:tplc="CEA40F6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4A37C3C"/>
    <w:multiLevelType w:val="hybridMultilevel"/>
    <w:tmpl w:val="B50AD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A55565"/>
    <w:multiLevelType w:val="hybridMultilevel"/>
    <w:tmpl w:val="7A3A6DA2"/>
    <w:lvl w:ilvl="0" w:tplc="EEE8CFC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9A6D2E"/>
    <w:multiLevelType w:val="hybridMultilevel"/>
    <w:tmpl w:val="AD2AD95A"/>
    <w:lvl w:ilvl="0" w:tplc="CEA40F6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C2604C7"/>
    <w:multiLevelType w:val="hybridMultilevel"/>
    <w:tmpl w:val="04E04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535CEF"/>
    <w:multiLevelType w:val="hybridMultilevel"/>
    <w:tmpl w:val="0CB82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3D5988"/>
    <w:multiLevelType w:val="hybridMultilevel"/>
    <w:tmpl w:val="EEFAB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7678AC"/>
    <w:multiLevelType w:val="hybridMultilevel"/>
    <w:tmpl w:val="A0267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FF7C94"/>
    <w:multiLevelType w:val="hybridMultilevel"/>
    <w:tmpl w:val="1AB4AD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E316294"/>
    <w:multiLevelType w:val="hybridMultilevel"/>
    <w:tmpl w:val="16AC1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F74802"/>
    <w:multiLevelType w:val="hybridMultilevel"/>
    <w:tmpl w:val="B9DA8A26"/>
    <w:lvl w:ilvl="0" w:tplc="A76E9CC4">
      <w:start w:val="23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3B6E86"/>
    <w:multiLevelType w:val="hybridMultilevel"/>
    <w:tmpl w:val="C09E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EF2758"/>
    <w:multiLevelType w:val="hybridMultilevel"/>
    <w:tmpl w:val="99DC0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21F7934"/>
    <w:multiLevelType w:val="hybridMultilevel"/>
    <w:tmpl w:val="38AC71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24823D9"/>
    <w:multiLevelType w:val="hybridMultilevel"/>
    <w:tmpl w:val="FB48C1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5B100E1"/>
    <w:multiLevelType w:val="hybridMultilevel"/>
    <w:tmpl w:val="A626AA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8B839CB"/>
    <w:multiLevelType w:val="hybridMultilevel"/>
    <w:tmpl w:val="E3DCF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963594E"/>
    <w:multiLevelType w:val="hybridMultilevel"/>
    <w:tmpl w:val="D24C3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EA56C3"/>
    <w:multiLevelType w:val="hybridMultilevel"/>
    <w:tmpl w:val="6DFE4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276D68"/>
    <w:multiLevelType w:val="hybridMultilevel"/>
    <w:tmpl w:val="7A3A6DA2"/>
    <w:lvl w:ilvl="0" w:tplc="EEE8CFC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746955"/>
    <w:multiLevelType w:val="hybridMultilevel"/>
    <w:tmpl w:val="8364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52A0DED"/>
    <w:multiLevelType w:val="hybridMultilevel"/>
    <w:tmpl w:val="C1F43C08"/>
    <w:lvl w:ilvl="0" w:tplc="EEE8CF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FA71066"/>
    <w:multiLevelType w:val="hybridMultilevel"/>
    <w:tmpl w:val="4686CDE8"/>
    <w:lvl w:ilvl="0" w:tplc="0409000F">
      <w:start w:val="1"/>
      <w:numFmt w:val="decimal"/>
      <w:lvlText w:val="%1."/>
      <w:lvlJc w:val="left"/>
      <w:pPr>
        <w:ind w:left="720" w:hanging="360"/>
      </w:pPr>
      <w:rPr>
        <w:rFonts w:hint="default"/>
      </w:rPr>
    </w:lvl>
    <w:lvl w:ilvl="1" w:tplc="E02A2A32">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1"/>
  </w:num>
  <w:num w:numId="3">
    <w:abstractNumId w:val="21"/>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8"/>
  </w:num>
  <w:num w:numId="8">
    <w:abstractNumId w:val="7"/>
  </w:num>
  <w:num w:numId="9">
    <w:abstractNumId w:val="25"/>
  </w:num>
  <w:num w:numId="10">
    <w:abstractNumId w:val="16"/>
  </w:num>
  <w:num w:numId="11">
    <w:abstractNumId w:val="17"/>
  </w:num>
  <w:num w:numId="12">
    <w:abstractNumId w:val="15"/>
  </w:num>
  <w:num w:numId="13">
    <w:abstractNumId w:val="22"/>
  </w:num>
  <w:num w:numId="14">
    <w:abstractNumId w:val="10"/>
  </w:num>
  <w:num w:numId="15">
    <w:abstractNumId w:val="20"/>
  </w:num>
  <w:num w:numId="16">
    <w:abstractNumId w:val="1"/>
  </w:num>
  <w:num w:numId="17">
    <w:abstractNumId w:val="8"/>
  </w:num>
  <w:num w:numId="18">
    <w:abstractNumId w:val="18"/>
  </w:num>
  <w:num w:numId="19">
    <w:abstractNumId w:val="30"/>
  </w:num>
  <w:num w:numId="20">
    <w:abstractNumId w:val="9"/>
  </w:num>
  <w:num w:numId="21">
    <w:abstractNumId w:val="32"/>
  </w:num>
  <w:num w:numId="22">
    <w:abstractNumId w:val="2"/>
  </w:num>
  <w:num w:numId="23">
    <w:abstractNumId w:val="12"/>
  </w:num>
  <w:num w:numId="24">
    <w:abstractNumId w:val="4"/>
  </w:num>
  <w:num w:numId="25">
    <w:abstractNumId w:val="3"/>
  </w:num>
  <w:num w:numId="26">
    <w:abstractNumId w:val="24"/>
  </w:num>
  <w:num w:numId="27">
    <w:abstractNumId w:val="19"/>
  </w:num>
  <w:num w:numId="28">
    <w:abstractNumId w:val="26"/>
  </w:num>
  <w:num w:numId="29">
    <w:abstractNumId w:val="13"/>
  </w:num>
  <w:num w:numId="30">
    <w:abstractNumId w:val="5"/>
  </w:num>
  <w:num w:numId="31">
    <w:abstractNumId w:val="0"/>
  </w:num>
  <w:num w:numId="32">
    <w:abstractNumId w:val="27"/>
  </w:num>
  <w:num w:numId="33">
    <w:abstractNumId w:val="29"/>
  </w:num>
  <w:num w:numId="34">
    <w:abstractNumId w:val="33"/>
  </w:num>
  <w:num w:numId="35">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BF5"/>
    <w:rsid w:val="00000622"/>
    <w:rsid w:val="00002386"/>
    <w:rsid w:val="00002FF8"/>
    <w:rsid w:val="0000489B"/>
    <w:rsid w:val="00005231"/>
    <w:rsid w:val="000057DA"/>
    <w:rsid w:val="000079C4"/>
    <w:rsid w:val="00011173"/>
    <w:rsid w:val="00011E17"/>
    <w:rsid w:val="00013736"/>
    <w:rsid w:val="00013DBF"/>
    <w:rsid w:val="000159C9"/>
    <w:rsid w:val="00015B4E"/>
    <w:rsid w:val="0002450C"/>
    <w:rsid w:val="00025781"/>
    <w:rsid w:val="0002590E"/>
    <w:rsid w:val="0002626D"/>
    <w:rsid w:val="00026741"/>
    <w:rsid w:val="00030193"/>
    <w:rsid w:val="00034A0F"/>
    <w:rsid w:val="00035E33"/>
    <w:rsid w:val="000360CD"/>
    <w:rsid w:val="00037D90"/>
    <w:rsid w:val="00037E66"/>
    <w:rsid w:val="00040C41"/>
    <w:rsid w:val="00043952"/>
    <w:rsid w:val="00043E39"/>
    <w:rsid w:val="000457CC"/>
    <w:rsid w:val="00046473"/>
    <w:rsid w:val="000471AA"/>
    <w:rsid w:val="0005135B"/>
    <w:rsid w:val="00053D46"/>
    <w:rsid w:val="000543FC"/>
    <w:rsid w:val="00055105"/>
    <w:rsid w:val="0005588D"/>
    <w:rsid w:val="00057669"/>
    <w:rsid w:val="000626B7"/>
    <w:rsid w:val="000627CA"/>
    <w:rsid w:val="00063939"/>
    <w:rsid w:val="0006624E"/>
    <w:rsid w:val="00066779"/>
    <w:rsid w:val="000667B0"/>
    <w:rsid w:val="0006690A"/>
    <w:rsid w:val="0006726E"/>
    <w:rsid w:val="00067FE4"/>
    <w:rsid w:val="00070733"/>
    <w:rsid w:val="000719B7"/>
    <w:rsid w:val="00071A06"/>
    <w:rsid w:val="000729FB"/>
    <w:rsid w:val="00074FD3"/>
    <w:rsid w:val="000751E8"/>
    <w:rsid w:val="00075A67"/>
    <w:rsid w:val="0007797C"/>
    <w:rsid w:val="00077F57"/>
    <w:rsid w:val="0008032D"/>
    <w:rsid w:val="0008065F"/>
    <w:rsid w:val="00080874"/>
    <w:rsid w:val="000819E0"/>
    <w:rsid w:val="00081DDD"/>
    <w:rsid w:val="00083517"/>
    <w:rsid w:val="00084F3A"/>
    <w:rsid w:val="0008521A"/>
    <w:rsid w:val="00086290"/>
    <w:rsid w:val="000870FC"/>
    <w:rsid w:val="0009194E"/>
    <w:rsid w:val="00091F85"/>
    <w:rsid w:val="00092628"/>
    <w:rsid w:val="00092EA5"/>
    <w:rsid w:val="00093582"/>
    <w:rsid w:val="00096104"/>
    <w:rsid w:val="00097CCD"/>
    <w:rsid w:val="000A1613"/>
    <w:rsid w:val="000A1F17"/>
    <w:rsid w:val="000A4204"/>
    <w:rsid w:val="000A4A24"/>
    <w:rsid w:val="000A5BEE"/>
    <w:rsid w:val="000A7C72"/>
    <w:rsid w:val="000B006C"/>
    <w:rsid w:val="000B080F"/>
    <w:rsid w:val="000B1A70"/>
    <w:rsid w:val="000B366C"/>
    <w:rsid w:val="000B46EA"/>
    <w:rsid w:val="000B59A5"/>
    <w:rsid w:val="000B6ACC"/>
    <w:rsid w:val="000B7190"/>
    <w:rsid w:val="000C3BB0"/>
    <w:rsid w:val="000C3EEB"/>
    <w:rsid w:val="000C4A9C"/>
    <w:rsid w:val="000C4F33"/>
    <w:rsid w:val="000C620C"/>
    <w:rsid w:val="000C62C4"/>
    <w:rsid w:val="000C729E"/>
    <w:rsid w:val="000C7B33"/>
    <w:rsid w:val="000C7C10"/>
    <w:rsid w:val="000D2E84"/>
    <w:rsid w:val="000D3048"/>
    <w:rsid w:val="000D3099"/>
    <w:rsid w:val="000D3772"/>
    <w:rsid w:val="000D69C0"/>
    <w:rsid w:val="000D7FEF"/>
    <w:rsid w:val="000E04B8"/>
    <w:rsid w:val="000E0801"/>
    <w:rsid w:val="000E1C9B"/>
    <w:rsid w:val="000E2585"/>
    <w:rsid w:val="000E3649"/>
    <w:rsid w:val="000E5328"/>
    <w:rsid w:val="000E6E60"/>
    <w:rsid w:val="000E705F"/>
    <w:rsid w:val="000E7112"/>
    <w:rsid w:val="000F310C"/>
    <w:rsid w:val="000F3676"/>
    <w:rsid w:val="000F3DC2"/>
    <w:rsid w:val="000F46FC"/>
    <w:rsid w:val="000F47E3"/>
    <w:rsid w:val="000F6618"/>
    <w:rsid w:val="001000C0"/>
    <w:rsid w:val="00102410"/>
    <w:rsid w:val="001028E7"/>
    <w:rsid w:val="001029E8"/>
    <w:rsid w:val="0010326E"/>
    <w:rsid w:val="00105EDF"/>
    <w:rsid w:val="00107097"/>
    <w:rsid w:val="0010749B"/>
    <w:rsid w:val="00112C04"/>
    <w:rsid w:val="001137FD"/>
    <w:rsid w:val="00114DBB"/>
    <w:rsid w:val="0011553D"/>
    <w:rsid w:val="001164A3"/>
    <w:rsid w:val="0012090B"/>
    <w:rsid w:val="001209FE"/>
    <w:rsid w:val="00121EDD"/>
    <w:rsid w:val="001237AB"/>
    <w:rsid w:val="00123C39"/>
    <w:rsid w:val="001255FD"/>
    <w:rsid w:val="00126BD6"/>
    <w:rsid w:val="00127408"/>
    <w:rsid w:val="00132F79"/>
    <w:rsid w:val="00133889"/>
    <w:rsid w:val="00133A90"/>
    <w:rsid w:val="00133C05"/>
    <w:rsid w:val="00135153"/>
    <w:rsid w:val="00136520"/>
    <w:rsid w:val="001372E9"/>
    <w:rsid w:val="00137F6F"/>
    <w:rsid w:val="00141BA5"/>
    <w:rsid w:val="00143B89"/>
    <w:rsid w:val="0014431E"/>
    <w:rsid w:val="00144380"/>
    <w:rsid w:val="00144D95"/>
    <w:rsid w:val="00145195"/>
    <w:rsid w:val="00145E62"/>
    <w:rsid w:val="001460D0"/>
    <w:rsid w:val="00147975"/>
    <w:rsid w:val="00150DCB"/>
    <w:rsid w:val="00151974"/>
    <w:rsid w:val="00152113"/>
    <w:rsid w:val="001525D2"/>
    <w:rsid w:val="00153C98"/>
    <w:rsid w:val="0015564C"/>
    <w:rsid w:val="00155A41"/>
    <w:rsid w:val="00161BAC"/>
    <w:rsid w:val="00163663"/>
    <w:rsid w:val="0016412E"/>
    <w:rsid w:val="001641EE"/>
    <w:rsid w:val="00165C9D"/>
    <w:rsid w:val="001669C6"/>
    <w:rsid w:val="0017101A"/>
    <w:rsid w:val="0017427A"/>
    <w:rsid w:val="00174AE2"/>
    <w:rsid w:val="001759DB"/>
    <w:rsid w:val="00175BB0"/>
    <w:rsid w:val="00175C46"/>
    <w:rsid w:val="00176755"/>
    <w:rsid w:val="00176CB9"/>
    <w:rsid w:val="0018057B"/>
    <w:rsid w:val="001808AA"/>
    <w:rsid w:val="0018153C"/>
    <w:rsid w:val="00182147"/>
    <w:rsid w:val="001825DA"/>
    <w:rsid w:val="00183C7C"/>
    <w:rsid w:val="00186A00"/>
    <w:rsid w:val="00186BE4"/>
    <w:rsid w:val="00187C31"/>
    <w:rsid w:val="00190F81"/>
    <w:rsid w:val="00191FBA"/>
    <w:rsid w:val="00192718"/>
    <w:rsid w:val="0019301F"/>
    <w:rsid w:val="001965A2"/>
    <w:rsid w:val="001970F3"/>
    <w:rsid w:val="00197329"/>
    <w:rsid w:val="001A0BD4"/>
    <w:rsid w:val="001A2810"/>
    <w:rsid w:val="001A4665"/>
    <w:rsid w:val="001A5867"/>
    <w:rsid w:val="001A5C36"/>
    <w:rsid w:val="001B0CE8"/>
    <w:rsid w:val="001B0CF3"/>
    <w:rsid w:val="001B16A1"/>
    <w:rsid w:val="001B4D9C"/>
    <w:rsid w:val="001B530D"/>
    <w:rsid w:val="001B6590"/>
    <w:rsid w:val="001C3255"/>
    <w:rsid w:val="001C3C14"/>
    <w:rsid w:val="001C3F38"/>
    <w:rsid w:val="001C7638"/>
    <w:rsid w:val="001D0A04"/>
    <w:rsid w:val="001D0AA5"/>
    <w:rsid w:val="001D22DB"/>
    <w:rsid w:val="001D4710"/>
    <w:rsid w:val="001D5C3C"/>
    <w:rsid w:val="001D6839"/>
    <w:rsid w:val="001D6E50"/>
    <w:rsid w:val="001E18D3"/>
    <w:rsid w:val="001E2955"/>
    <w:rsid w:val="001E3A92"/>
    <w:rsid w:val="001E4465"/>
    <w:rsid w:val="001E57AF"/>
    <w:rsid w:val="001E57B6"/>
    <w:rsid w:val="001E6B48"/>
    <w:rsid w:val="001E71DF"/>
    <w:rsid w:val="001E7533"/>
    <w:rsid w:val="001F449A"/>
    <w:rsid w:val="001F66B1"/>
    <w:rsid w:val="001F6A86"/>
    <w:rsid w:val="002006AD"/>
    <w:rsid w:val="002018FD"/>
    <w:rsid w:val="00201AA6"/>
    <w:rsid w:val="002032BC"/>
    <w:rsid w:val="0020336A"/>
    <w:rsid w:val="00210260"/>
    <w:rsid w:val="00210C3F"/>
    <w:rsid w:val="002126B4"/>
    <w:rsid w:val="00212B0C"/>
    <w:rsid w:val="00212C27"/>
    <w:rsid w:val="00212E52"/>
    <w:rsid w:val="00213E9F"/>
    <w:rsid w:val="002147C5"/>
    <w:rsid w:val="0021498F"/>
    <w:rsid w:val="00217708"/>
    <w:rsid w:val="00217B40"/>
    <w:rsid w:val="002211A9"/>
    <w:rsid w:val="00221536"/>
    <w:rsid w:val="00221FC8"/>
    <w:rsid w:val="00224414"/>
    <w:rsid w:val="00226E4C"/>
    <w:rsid w:val="00235A7C"/>
    <w:rsid w:val="00235C77"/>
    <w:rsid w:val="002400CF"/>
    <w:rsid w:val="00241C35"/>
    <w:rsid w:val="00243687"/>
    <w:rsid w:val="002444FA"/>
    <w:rsid w:val="002454C4"/>
    <w:rsid w:val="00245E5E"/>
    <w:rsid w:val="00246EB6"/>
    <w:rsid w:val="002559CD"/>
    <w:rsid w:val="00257A67"/>
    <w:rsid w:val="00260CCB"/>
    <w:rsid w:val="00262CCA"/>
    <w:rsid w:val="0026386F"/>
    <w:rsid w:val="00263BE0"/>
    <w:rsid w:val="00263E35"/>
    <w:rsid w:val="002701D1"/>
    <w:rsid w:val="002704F9"/>
    <w:rsid w:val="002715E7"/>
    <w:rsid w:val="00271792"/>
    <w:rsid w:val="002720CD"/>
    <w:rsid w:val="0027321A"/>
    <w:rsid w:val="002735C4"/>
    <w:rsid w:val="00274A8D"/>
    <w:rsid w:val="002758CC"/>
    <w:rsid w:val="00275A76"/>
    <w:rsid w:val="00277212"/>
    <w:rsid w:val="0028047B"/>
    <w:rsid w:val="002809AB"/>
    <w:rsid w:val="0028394D"/>
    <w:rsid w:val="00283DFC"/>
    <w:rsid w:val="00283F5A"/>
    <w:rsid w:val="00286B3F"/>
    <w:rsid w:val="00290A84"/>
    <w:rsid w:val="00290DE7"/>
    <w:rsid w:val="002938C2"/>
    <w:rsid w:val="002941B3"/>
    <w:rsid w:val="002949CC"/>
    <w:rsid w:val="00296235"/>
    <w:rsid w:val="00296389"/>
    <w:rsid w:val="002A08D9"/>
    <w:rsid w:val="002A1C40"/>
    <w:rsid w:val="002A2B12"/>
    <w:rsid w:val="002A2B9D"/>
    <w:rsid w:val="002A7D05"/>
    <w:rsid w:val="002B0F5C"/>
    <w:rsid w:val="002B17E7"/>
    <w:rsid w:val="002B23AA"/>
    <w:rsid w:val="002B368F"/>
    <w:rsid w:val="002B3EFC"/>
    <w:rsid w:val="002B6D1E"/>
    <w:rsid w:val="002B703A"/>
    <w:rsid w:val="002B7637"/>
    <w:rsid w:val="002C05B9"/>
    <w:rsid w:val="002C25BA"/>
    <w:rsid w:val="002C3DA5"/>
    <w:rsid w:val="002C4612"/>
    <w:rsid w:val="002C51FD"/>
    <w:rsid w:val="002D03A7"/>
    <w:rsid w:val="002D0B92"/>
    <w:rsid w:val="002D1444"/>
    <w:rsid w:val="002D1F20"/>
    <w:rsid w:val="002D1FE8"/>
    <w:rsid w:val="002D329D"/>
    <w:rsid w:val="002D4795"/>
    <w:rsid w:val="002D4BB3"/>
    <w:rsid w:val="002D6AC3"/>
    <w:rsid w:val="002E1114"/>
    <w:rsid w:val="002E2410"/>
    <w:rsid w:val="002E2F23"/>
    <w:rsid w:val="002E497C"/>
    <w:rsid w:val="002E7BC5"/>
    <w:rsid w:val="002F0C26"/>
    <w:rsid w:val="002F11D6"/>
    <w:rsid w:val="002F191A"/>
    <w:rsid w:val="002F346E"/>
    <w:rsid w:val="002F460A"/>
    <w:rsid w:val="002F5CC5"/>
    <w:rsid w:val="002F745C"/>
    <w:rsid w:val="002F7B95"/>
    <w:rsid w:val="00300B64"/>
    <w:rsid w:val="00300C69"/>
    <w:rsid w:val="00301C02"/>
    <w:rsid w:val="00301F6E"/>
    <w:rsid w:val="00305A71"/>
    <w:rsid w:val="003061E1"/>
    <w:rsid w:val="00307050"/>
    <w:rsid w:val="00307FD4"/>
    <w:rsid w:val="00311A65"/>
    <w:rsid w:val="00311E16"/>
    <w:rsid w:val="003130A1"/>
    <w:rsid w:val="00315655"/>
    <w:rsid w:val="003165E9"/>
    <w:rsid w:val="00317566"/>
    <w:rsid w:val="003179DB"/>
    <w:rsid w:val="003215C8"/>
    <w:rsid w:val="00321A43"/>
    <w:rsid w:val="00322E47"/>
    <w:rsid w:val="0032362A"/>
    <w:rsid w:val="00326479"/>
    <w:rsid w:val="00326803"/>
    <w:rsid w:val="003272EE"/>
    <w:rsid w:val="00331A48"/>
    <w:rsid w:val="0033272F"/>
    <w:rsid w:val="00332B6D"/>
    <w:rsid w:val="003345EB"/>
    <w:rsid w:val="0033464B"/>
    <w:rsid w:val="0033689A"/>
    <w:rsid w:val="00336B25"/>
    <w:rsid w:val="003406A2"/>
    <w:rsid w:val="003447D4"/>
    <w:rsid w:val="00346B4E"/>
    <w:rsid w:val="00347353"/>
    <w:rsid w:val="00350DC8"/>
    <w:rsid w:val="003511AC"/>
    <w:rsid w:val="003524BD"/>
    <w:rsid w:val="003559F2"/>
    <w:rsid w:val="0035623F"/>
    <w:rsid w:val="00357365"/>
    <w:rsid w:val="003579B9"/>
    <w:rsid w:val="00361F4B"/>
    <w:rsid w:val="00362549"/>
    <w:rsid w:val="003651ED"/>
    <w:rsid w:val="003652BF"/>
    <w:rsid w:val="00365BAB"/>
    <w:rsid w:val="00370ABD"/>
    <w:rsid w:val="003714B2"/>
    <w:rsid w:val="00373B3B"/>
    <w:rsid w:val="00374F8C"/>
    <w:rsid w:val="00375301"/>
    <w:rsid w:val="003753FE"/>
    <w:rsid w:val="0037772D"/>
    <w:rsid w:val="003801FC"/>
    <w:rsid w:val="00382454"/>
    <w:rsid w:val="00383FF3"/>
    <w:rsid w:val="00384470"/>
    <w:rsid w:val="00384976"/>
    <w:rsid w:val="00386583"/>
    <w:rsid w:val="003872A4"/>
    <w:rsid w:val="00387440"/>
    <w:rsid w:val="00387DA9"/>
    <w:rsid w:val="003909C3"/>
    <w:rsid w:val="003931E2"/>
    <w:rsid w:val="00393420"/>
    <w:rsid w:val="003940F2"/>
    <w:rsid w:val="0039721B"/>
    <w:rsid w:val="00397FF5"/>
    <w:rsid w:val="003A04E6"/>
    <w:rsid w:val="003A1526"/>
    <w:rsid w:val="003A2079"/>
    <w:rsid w:val="003A221D"/>
    <w:rsid w:val="003A2269"/>
    <w:rsid w:val="003A6EFC"/>
    <w:rsid w:val="003A7AFC"/>
    <w:rsid w:val="003A7FD2"/>
    <w:rsid w:val="003B041E"/>
    <w:rsid w:val="003B1310"/>
    <w:rsid w:val="003B2CD0"/>
    <w:rsid w:val="003B308F"/>
    <w:rsid w:val="003B3577"/>
    <w:rsid w:val="003B5642"/>
    <w:rsid w:val="003B6F11"/>
    <w:rsid w:val="003C257A"/>
    <w:rsid w:val="003C5A62"/>
    <w:rsid w:val="003C77D6"/>
    <w:rsid w:val="003D4C69"/>
    <w:rsid w:val="003D64B6"/>
    <w:rsid w:val="003E05AD"/>
    <w:rsid w:val="003E1B28"/>
    <w:rsid w:val="003E262D"/>
    <w:rsid w:val="003E2BF0"/>
    <w:rsid w:val="003E3C7B"/>
    <w:rsid w:val="003E4BD2"/>
    <w:rsid w:val="003E5561"/>
    <w:rsid w:val="003E5885"/>
    <w:rsid w:val="003E5F3F"/>
    <w:rsid w:val="003F028A"/>
    <w:rsid w:val="003F14BF"/>
    <w:rsid w:val="003F3299"/>
    <w:rsid w:val="003F33E9"/>
    <w:rsid w:val="003F4105"/>
    <w:rsid w:val="003F4860"/>
    <w:rsid w:val="003F4EB5"/>
    <w:rsid w:val="003F5134"/>
    <w:rsid w:val="003F626C"/>
    <w:rsid w:val="003F630C"/>
    <w:rsid w:val="003F6EA0"/>
    <w:rsid w:val="003F6F1A"/>
    <w:rsid w:val="004041DF"/>
    <w:rsid w:val="00406D63"/>
    <w:rsid w:val="00410FA3"/>
    <w:rsid w:val="00411B80"/>
    <w:rsid w:val="00413438"/>
    <w:rsid w:val="0041387E"/>
    <w:rsid w:val="004147F4"/>
    <w:rsid w:val="00416852"/>
    <w:rsid w:val="0042061E"/>
    <w:rsid w:val="004213F9"/>
    <w:rsid w:val="00423799"/>
    <w:rsid w:val="00423E65"/>
    <w:rsid w:val="00424C7B"/>
    <w:rsid w:val="00424E56"/>
    <w:rsid w:val="00426DFC"/>
    <w:rsid w:val="004306DD"/>
    <w:rsid w:val="00430ABD"/>
    <w:rsid w:val="00431195"/>
    <w:rsid w:val="0043128D"/>
    <w:rsid w:val="004334C5"/>
    <w:rsid w:val="00434B30"/>
    <w:rsid w:val="00435DC5"/>
    <w:rsid w:val="00436A48"/>
    <w:rsid w:val="00436B1A"/>
    <w:rsid w:val="00440158"/>
    <w:rsid w:val="004410E6"/>
    <w:rsid w:val="00441285"/>
    <w:rsid w:val="0044373E"/>
    <w:rsid w:val="00444ABC"/>
    <w:rsid w:val="00445F5E"/>
    <w:rsid w:val="004466C2"/>
    <w:rsid w:val="00446C53"/>
    <w:rsid w:val="00452702"/>
    <w:rsid w:val="00454F51"/>
    <w:rsid w:val="00455E03"/>
    <w:rsid w:val="004607DE"/>
    <w:rsid w:val="00461783"/>
    <w:rsid w:val="004617E2"/>
    <w:rsid w:val="00461A12"/>
    <w:rsid w:val="004628BC"/>
    <w:rsid w:val="00463F64"/>
    <w:rsid w:val="00465D28"/>
    <w:rsid w:val="00466FE6"/>
    <w:rsid w:val="00470C41"/>
    <w:rsid w:val="004723A8"/>
    <w:rsid w:val="004727E6"/>
    <w:rsid w:val="004743D8"/>
    <w:rsid w:val="0047455D"/>
    <w:rsid w:val="00477D02"/>
    <w:rsid w:val="00480A4E"/>
    <w:rsid w:val="004813AC"/>
    <w:rsid w:val="00481E9B"/>
    <w:rsid w:val="004820B7"/>
    <w:rsid w:val="0048239D"/>
    <w:rsid w:val="004851CC"/>
    <w:rsid w:val="004908A8"/>
    <w:rsid w:val="00491C40"/>
    <w:rsid w:val="00491D63"/>
    <w:rsid w:val="00492636"/>
    <w:rsid w:val="00493C3A"/>
    <w:rsid w:val="004941F6"/>
    <w:rsid w:val="004947D0"/>
    <w:rsid w:val="00494B1D"/>
    <w:rsid w:val="00494BA7"/>
    <w:rsid w:val="00495DEF"/>
    <w:rsid w:val="0049664F"/>
    <w:rsid w:val="00496DB8"/>
    <w:rsid w:val="004A1880"/>
    <w:rsid w:val="004A1ACE"/>
    <w:rsid w:val="004A1E58"/>
    <w:rsid w:val="004A2559"/>
    <w:rsid w:val="004A25D1"/>
    <w:rsid w:val="004A2763"/>
    <w:rsid w:val="004A46A6"/>
    <w:rsid w:val="004A50B0"/>
    <w:rsid w:val="004A7099"/>
    <w:rsid w:val="004B029D"/>
    <w:rsid w:val="004B2684"/>
    <w:rsid w:val="004B2727"/>
    <w:rsid w:val="004B27DE"/>
    <w:rsid w:val="004B34A8"/>
    <w:rsid w:val="004B37E0"/>
    <w:rsid w:val="004B534A"/>
    <w:rsid w:val="004B66FE"/>
    <w:rsid w:val="004B6A79"/>
    <w:rsid w:val="004C00AD"/>
    <w:rsid w:val="004C128F"/>
    <w:rsid w:val="004C12B0"/>
    <w:rsid w:val="004C2C2A"/>
    <w:rsid w:val="004C5343"/>
    <w:rsid w:val="004C737B"/>
    <w:rsid w:val="004D29EE"/>
    <w:rsid w:val="004D3A50"/>
    <w:rsid w:val="004D3E66"/>
    <w:rsid w:val="004D7B06"/>
    <w:rsid w:val="004E068E"/>
    <w:rsid w:val="004E0B02"/>
    <w:rsid w:val="004E104E"/>
    <w:rsid w:val="004E2EB4"/>
    <w:rsid w:val="004E4541"/>
    <w:rsid w:val="004E4BBD"/>
    <w:rsid w:val="004E4C39"/>
    <w:rsid w:val="004E4EA7"/>
    <w:rsid w:val="004E580B"/>
    <w:rsid w:val="004E7B72"/>
    <w:rsid w:val="004E7FCD"/>
    <w:rsid w:val="004F2297"/>
    <w:rsid w:val="004F2FAF"/>
    <w:rsid w:val="004F3383"/>
    <w:rsid w:val="004F3C54"/>
    <w:rsid w:val="004F3E60"/>
    <w:rsid w:val="004F4D3B"/>
    <w:rsid w:val="004F56F8"/>
    <w:rsid w:val="00500265"/>
    <w:rsid w:val="005002C1"/>
    <w:rsid w:val="00501A13"/>
    <w:rsid w:val="005042E5"/>
    <w:rsid w:val="00504A68"/>
    <w:rsid w:val="00510373"/>
    <w:rsid w:val="005103E2"/>
    <w:rsid w:val="0051153A"/>
    <w:rsid w:val="00511BD6"/>
    <w:rsid w:val="00516017"/>
    <w:rsid w:val="00516622"/>
    <w:rsid w:val="00516D8B"/>
    <w:rsid w:val="00517077"/>
    <w:rsid w:val="00520CC7"/>
    <w:rsid w:val="00521547"/>
    <w:rsid w:val="00521B59"/>
    <w:rsid w:val="00523770"/>
    <w:rsid w:val="00526F1D"/>
    <w:rsid w:val="00527911"/>
    <w:rsid w:val="0053039D"/>
    <w:rsid w:val="0053289A"/>
    <w:rsid w:val="00532A4B"/>
    <w:rsid w:val="00532B16"/>
    <w:rsid w:val="005345B2"/>
    <w:rsid w:val="00535977"/>
    <w:rsid w:val="00536E0F"/>
    <w:rsid w:val="00540554"/>
    <w:rsid w:val="005414A7"/>
    <w:rsid w:val="00543B2F"/>
    <w:rsid w:val="00543BC1"/>
    <w:rsid w:val="00545BE8"/>
    <w:rsid w:val="00547662"/>
    <w:rsid w:val="00552ED8"/>
    <w:rsid w:val="0055339D"/>
    <w:rsid w:val="00553BB0"/>
    <w:rsid w:val="00554E93"/>
    <w:rsid w:val="00556B11"/>
    <w:rsid w:val="005619CD"/>
    <w:rsid w:val="00563A58"/>
    <w:rsid w:val="00564D40"/>
    <w:rsid w:val="0056614E"/>
    <w:rsid w:val="0056642F"/>
    <w:rsid w:val="00567586"/>
    <w:rsid w:val="00570B69"/>
    <w:rsid w:val="005712B2"/>
    <w:rsid w:val="0057230D"/>
    <w:rsid w:val="0057268D"/>
    <w:rsid w:val="0057434C"/>
    <w:rsid w:val="00576AD9"/>
    <w:rsid w:val="0057781E"/>
    <w:rsid w:val="0058226D"/>
    <w:rsid w:val="005834BE"/>
    <w:rsid w:val="00583D3C"/>
    <w:rsid w:val="00584CD9"/>
    <w:rsid w:val="00584DDF"/>
    <w:rsid w:val="0058699D"/>
    <w:rsid w:val="00587190"/>
    <w:rsid w:val="0059027B"/>
    <w:rsid w:val="00590C75"/>
    <w:rsid w:val="00590C97"/>
    <w:rsid w:val="00591A4E"/>
    <w:rsid w:val="00591EA1"/>
    <w:rsid w:val="005930CA"/>
    <w:rsid w:val="00593191"/>
    <w:rsid w:val="00593F81"/>
    <w:rsid w:val="00594811"/>
    <w:rsid w:val="005A0471"/>
    <w:rsid w:val="005A1157"/>
    <w:rsid w:val="005A131D"/>
    <w:rsid w:val="005A16BD"/>
    <w:rsid w:val="005A17CD"/>
    <w:rsid w:val="005A2310"/>
    <w:rsid w:val="005A2D14"/>
    <w:rsid w:val="005A3353"/>
    <w:rsid w:val="005A34CC"/>
    <w:rsid w:val="005A4638"/>
    <w:rsid w:val="005A5209"/>
    <w:rsid w:val="005A5DB8"/>
    <w:rsid w:val="005A6D0F"/>
    <w:rsid w:val="005A7E03"/>
    <w:rsid w:val="005B0691"/>
    <w:rsid w:val="005B13FE"/>
    <w:rsid w:val="005B28A5"/>
    <w:rsid w:val="005B4B12"/>
    <w:rsid w:val="005B6DE7"/>
    <w:rsid w:val="005B787A"/>
    <w:rsid w:val="005C3DE5"/>
    <w:rsid w:val="005C4AA2"/>
    <w:rsid w:val="005C4E1B"/>
    <w:rsid w:val="005C4FC3"/>
    <w:rsid w:val="005C60BF"/>
    <w:rsid w:val="005C6DF7"/>
    <w:rsid w:val="005C73DD"/>
    <w:rsid w:val="005C748A"/>
    <w:rsid w:val="005D0437"/>
    <w:rsid w:val="005D0C13"/>
    <w:rsid w:val="005D1946"/>
    <w:rsid w:val="005D539C"/>
    <w:rsid w:val="005D6E87"/>
    <w:rsid w:val="005D6F91"/>
    <w:rsid w:val="005D7458"/>
    <w:rsid w:val="005D78A8"/>
    <w:rsid w:val="005E0FA7"/>
    <w:rsid w:val="005E3713"/>
    <w:rsid w:val="005E4672"/>
    <w:rsid w:val="005F02C9"/>
    <w:rsid w:val="005F0F4C"/>
    <w:rsid w:val="005F111A"/>
    <w:rsid w:val="005F1C7B"/>
    <w:rsid w:val="005F295B"/>
    <w:rsid w:val="005F3A8B"/>
    <w:rsid w:val="005F515F"/>
    <w:rsid w:val="0060083F"/>
    <w:rsid w:val="00600852"/>
    <w:rsid w:val="006025A7"/>
    <w:rsid w:val="006026A7"/>
    <w:rsid w:val="00602C41"/>
    <w:rsid w:val="00603848"/>
    <w:rsid w:val="006046E5"/>
    <w:rsid w:val="00610F04"/>
    <w:rsid w:val="00612F1F"/>
    <w:rsid w:val="00613D7D"/>
    <w:rsid w:val="00615675"/>
    <w:rsid w:val="0061734A"/>
    <w:rsid w:val="006205FE"/>
    <w:rsid w:val="006208EA"/>
    <w:rsid w:val="00622840"/>
    <w:rsid w:val="006239CD"/>
    <w:rsid w:val="00624A9B"/>
    <w:rsid w:val="00624FB0"/>
    <w:rsid w:val="0062511B"/>
    <w:rsid w:val="00625390"/>
    <w:rsid w:val="00627310"/>
    <w:rsid w:val="00630483"/>
    <w:rsid w:val="00635AE6"/>
    <w:rsid w:val="00635CEF"/>
    <w:rsid w:val="00635F0B"/>
    <w:rsid w:val="006363A8"/>
    <w:rsid w:val="00637187"/>
    <w:rsid w:val="006423AA"/>
    <w:rsid w:val="00642575"/>
    <w:rsid w:val="00643196"/>
    <w:rsid w:val="006452E3"/>
    <w:rsid w:val="00647DA7"/>
    <w:rsid w:val="006529C7"/>
    <w:rsid w:val="00652B17"/>
    <w:rsid w:val="00653B60"/>
    <w:rsid w:val="006547D1"/>
    <w:rsid w:val="0065518B"/>
    <w:rsid w:val="006573F6"/>
    <w:rsid w:val="00660225"/>
    <w:rsid w:val="00661513"/>
    <w:rsid w:val="00662E64"/>
    <w:rsid w:val="00663C60"/>
    <w:rsid w:val="0066577A"/>
    <w:rsid w:val="006709A8"/>
    <w:rsid w:val="00671330"/>
    <w:rsid w:val="00673D9D"/>
    <w:rsid w:val="00673EB5"/>
    <w:rsid w:val="006751A1"/>
    <w:rsid w:val="00675445"/>
    <w:rsid w:val="00675BC7"/>
    <w:rsid w:val="0068110A"/>
    <w:rsid w:val="006837C0"/>
    <w:rsid w:val="00683FE4"/>
    <w:rsid w:val="006844DF"/>
    <w:rsid w:val="00690969"/>
    <w:rsid w:val="0069161B"/>
    <w:rsid w:val="006938BA"/>
    <w:rsid w:val="00694743"/>
    <w:rsid w:val="006959ED"/>
    <w:rsid w:val="0069713D"/>
    <w:rsid w:val="00697D10"/>
    <w:rsid w:val="006A10EE"/>
    <w:rsid w:val="006A2A90"/>
    <w:rsid w:val="006A3064"/>
    <w:rsid w:val="006A32ED"/>
    <w:rsid w:val="006A428D"/>
    <w:rsid w:val="006A4D08"/>
    <w:rsid w:val="006A62E5"/>
    <w:rsid w:val="006B0EB7"/>
    <w:rsid w:val="006B1F97"/>
    <w:rsid w:val="006B2B92"/>
    <w:rsid w:val="006B2C93"/>
    <w:rsid w:val="006B388D"/>
    <w:rsid w:val="006B48AA"/>
    <w:rsid w:val="006B5A59"/>
    <w:rsid w:val="006B64A3"/>
    <w:rsid w:val="006B68B4"/>
    <w:rsid w:val="006C1409"/>
    <w:rsid w:val="006C37B0"/>
    <w:rsid w:val="006C3898"/>
    <w:rsid w:val="006C3AE0"/>
    <w:rsid w:val="006C5A11"/>
    <w:rsid w:val="006C5F0A"/>
    <w:rsid w:val="006C763A"/>
    <w:rsid w:val="006D214A"/>
    <w:rsid w:val="006D322A"/>
    <w:rsid w:val="006D349F"/>
    <w:rsid w:val="006D394A"/>
    <w:rsid w:val="006D5EB6"/>
    <w:rsid w:val="006D64E2"/>
    <w:rsid w:val="006D7056"/>
    <w:rsid w:val="006D7625"/>
    <w:rsid w:val="006E09E3"/>
    <w:rsid w:val="006E0B04"/>
    <w:rsid w:val="006E0B5E"/>
    <w:rsid w:val="006E0E07"/>
    <w:rsid w:val="006E1227"/>
    <w:rsid w:val="006E207E"/>
    <w:rsid w:val="006E49AF"/>
    <w:rsid w:val="006E6547"/>
    <w:rsid w:val="006E760C"/>
    <w:rsid w:val="006E7E6E"/>
    <w:rsid w:val="006F0563"/>
    <w:rsid w:val="006F2A21"/>
    <w:rsid w:val="006F6A9F"/>
    <w:rsid w:val="006F7674"/>
    <w:rsid w:val="00701F51"/>
    <w:rsid w:val="00702EF0"/>
    <w:rsid w:val="00703194"/>
    <w:rsid w:val="00703791"/>
    <w:rsid w:val="00704145"/>
    <w:rsid w:val="0070469D"/>
    <w:rsid w:val="0070558F"/>
    <w:rsid w:val="007059F6"/>
    <w:rsid w:val="00711EF2"/>
    <w:rsid w:val="0071339A"/>
    <w:rsid w:val="0071366A"/>
    <w:rsid w:val="007149F9"/>
    <w:rsid w:val="00714EFE"/>
    <w:rsid w:val="007156D0"/>
    <w:rsid w:val="007162CE"/>
    <w:rsid w:val="0071686F"/>
    <w:rsid w:val="00717A4B"/>
    <w:rsid w:val="007202A3"/>
    <w:rsid w:val="007226D7"/>
    <w:rsid w:val="007235F1"/>
    <w:rsid w:val="007244DD"/>
    <w:rsid w:val="00724C85"/>
    <w:rsid w:val="0072579E"/>
    <w:rsid w:val="00726AA6"/>
    <w:rsid w:val="00726E81"/>
    <w:rsid w:val="007310C4"/>
    <w:rsid w:val="00731365"/>
    <w:rsid w:val="00733990"/>
    <w:rsid w:val="007350E3"/>
    <w:rsid w:val="00735681"/>
    <w:rsid w:val="0073592B"/>
    <w:rsid w:val="00735D22"/>
    <w:rsid w:val="00736009"/>
    <w:rsid w:val="00736203"/>
    <w:rsid w:val="00737732"/>
    <w:rsid w:val="00737790"/>
    <w:rsid w:val="007440EE"/>
    <w:rsid w:val="00744C22"/>
    <w:rsid w:val="00745A4F"/>
    <w:rsid w:val="00746741"/>
    <w:rsid w:val="00746FC5"/>
    <w:rsid w:val="00747E9F"/>
    <w:rsid w:val="0075039E"/>
    <w:rsid w:val="007524C7"/>
    <w:rsid w:val="00752960"/>
    <w:rsid w:val="007549AE"/>
    <w:rsid w:val="00755103"/>
    <w:rsid w:val="0075520F"/>
    <w:rsid w:val="00755CDC"/>
    <w:rsid w:val="007579D8"/>
    <w:rsid w:val="00757E47"/>
    <w:rsid w:val="00760122"/>
    <w:rsid w:val="0076093E"/>
    <w:rsid w:val="007614CB"/>
    <w:rsid w:val="00762878"/>
    <w:rsid w:val="00762E73"/>
    <w:rsid w:val="00763D25"/>
    <w:rsid w:val="00763F5A"/>
    <w:rsid w:val="00763FEE"/>
    <w:rsid w:val="0076554A"/>
    <w:rsid w:val="0076599F"/>
    <w:rsid w:val="00765A90"/>
    <w:rsid w:val="00766212"/>
    <w:rsid w:val="00766D31"/>
    <w:rsid w:val="00766E9C"/>
    <w:rsid w:val="00771514"/>
    <w:rsid w:val="007727DE"/>
    <w:rsid w:val="00775EFA"/>
    <w:rsid w:val="00776844"/>
    <w:rsid w:val="00776D39"/>
    <w:rsid w:val="007770ED"/>
    <w:rsid w:val="00780831"/>
    <w:rsid w:val="007809AB"/>
    <w:rsid w:val="007815E9"/>
    <w:rsid w:val="00782158"/>
    <w:rsid w:val="00783623"/>
    <w:rsid w:val="007846F5"/>
    <w:rsid w:val="00785CC9"/>
    <w:rsid w:val="00787FAF"/>
    <w:rsid w:val="0079110E"/>
    <w:rsid w:val="007928BE"/>
    <w:rsid w:val="007934F4"/>
    <w:rsid w:val="00794188"/>
    <w:rsid w:val="007A09E0"/>
    <w:rsid w:val="007A09E7"/>
    <w:rsid w:val="007A1C57"/>
    <w:rsid w:val="007A3C77"/>
    <w:rsid w:val="007A45CB"/>
    <w:rsid w:val="007A5F1E"/>
    <w:rsid w:val="007A6671"/>
    <w:rsid w:val="007A6BE3"/>
    <w:rsid w:val="007B0D6E"/>
    <w:rsid w:val="007B3159"/>
    <w:rsid w:val="007B328A"/>
    <w:rsid w:val="007B37C1"/>
    <w:rsid w:val="007B45E2"/>
    <w:rsid w:val="007B54FC"/>
    <w:rsid w:val="007B568D"/>
    <w:rsid w:val="007B5C36"/>
    <w:rsid w:val="007B7522"/>
    <w:rsid w:val="007C16CC"/>
    <w:rsid w:val="007C1C81"/>
    <w:rsid w:val="007C1FD8"/>
    <w:rsid w:val="007C2754"/>
    <w:rsid w:val="007C4FF6"/>
    <w:rsid w:val="007C5F49"/>
    <w:rsid w:val="007C6733"/>
    <w:rsid w:val="007C744D"/>
    <w:rsid w:val="007D028F"/>
    <w:rsid w:val="007D18EB"/>
    <w:rsid w:val="007D1B2D"/>
    <w:rsid w:val="007D227D"/>
    <w:rsid w:val="007D3246"/>
    <w:rsid w:val="007D6B91"/>
    <w:rsid w:val="007D7405"/>
    <w:rsid w:val="007E0656"/>
    <w:rsid w:val="007E1E26"/>
    <w:rsid w:val="007E2377"/>
    <w:rsid w:val="007E346F"/>
    <w:rsid w:val="007E6285"/>
    <w:rsid w:val="007E744E"/>
    <w:rsid w:val="007F0891"/>
    <w:rsid w:val="007F1B97"/>
    <w:rsid w:val="007F21B7"/>
    <w:rsid w:val="007F441A"/>
    <w:rsid w:val="007F4BFF"/>
    <w:rsid w:val="007F4FD2"/>
    <w:rsid w:val="00800BCF"/>
    <w:rsid w:val="0080116C"/>
    <w:rsid w:val="00801F2C"/>
    <w:rsid w:val="00801F63"/>
    <w:rsid w:val="008040CA"/>
    <w:rsid w:val="0080456C"/>
    <w:rsid w:val="00810219"/>
    <w:rsid w:val="00810591"/>
    <w:rsid w:val="008118E8"/>
    <w:rsid w:val="00811ED9"/>
    <w:rsid w:val="008145FD"/>
    <w:rsid w:val="00814F14"/>
    <w:rsid w:val="00816D67"/>
    <w:rsid w:val="00817D1B"/>
    <w:rsid w:val="00820EB4"/>
    <w:rsid w:val="008216AC"/>
    <w:rsid w:val="0082315F"/>
    <w:rsid w:val="00823A86"/>
    <w:rsid w:val="00824320"/>
    <w:rsid w:val="008270B8"/>
    <w:rsid w:val="008307E4"/>
    <w:rsid w:val="00830D74"/>
    <w:rsid w:val="00831C4D"/>
    <w:rsid w:val="008339C9"/>
    <w:rsid w:val="00834CCD"/>
    <w:rsid w:val="00835B75"/>
    <w:rsid w:val="00837864"/>
    <w:rsid w:val="00841071"/>
    <w:rsid w:val="00842490"/>
    <w:rsid w:val="008425DA"/>
    <w:rsid w:val="0084369D"/>
    <w:rsid w:val="00844628"/>
    <w:rsid w:val="008450B8"/>
    <w:rsid w:val="00845660"/>
    <w:rsid w:val="008508A8"/>
    <w:rsid w:val="0085154D"/>
    <w:rsid w:val="00851612"/>
    <w:rsid w:val="00852693"/>
    <w:rsid w:val="00855943"/>
    <w:rsid w:val="00855F07"/>
    <w:rsid w:val="00855F34"/>
    <w:rsid w:val="0086273E"/>
    <w:rsid w:val="00865294"/>
    <w:rsid w:val="00865F72"/>
    <w:rsid w:val="00870B42"/>
    <w:rsid w:val="00871918"/>
    <w:rsid w:val="00874F99"/>
    <w:rsid w:val="008771B9"/>
    <w:rsid w:val="00881600"/>
    <w:rsid w:val="00881D00"/>
    <w:rsid w:val="00883BDA"/>
    <w:rsid w:val="00884957"/>
    <w:rsid w:val="00885E50"/>
    <w:rsid w:val="00886803"/>
    <w:rsid w:val="008904AD"/>
    <w:rsid w:val="0089114E"/>
    <w:rsid w:val="00891869"/>
    <w:rsid w:val="00891C25"/>
    <w:rsid w:val="008927E2"/>
    <w:rsid w:val="00894545"/>
    <w:rsid w:val="00895CDD"/>
    <w:rsid w:val="00897901"/>
    <w:rsid w:val="00897D5D"/>
    <w:rsid w:val="008A0C88"/>
    <w:rsid w:val="008A129F"/>
    <w:rsid w:val="008A12A6"/>
    <w:rsid w:val="008A2EB3"/>
    <w:rsid w:val="008A3C07"/>
    <w:rsid w:val="008A52B2"/>
    <w:rsid w:val="008A580E"/>
    <w:rsid w:val="008A6452"/>
    <w:rsid w:val="008A6C1B"/>
    <w:rsid w:val="008B01C8"/>
    <w:rsid w:val="008B6B87"/>
    <w:rsid w:val="008B6D0E"/>
    <w:rsid w:val="008B794E"/>
    <w:rsid w:val="008C14A1"/>
    <w:rsid w:val="008C1DC1"/>
    <w:rsid w:val="008C3B28"/>
    <w:rsid w:val="008C48CE"/>
    <w:rsid w:val="008C4FE2"/>
    <w:rsid w:val="008C535B"/>
    <w:rsid w:val="008C6CE8"/>
    <w:rsid w:val="008C6EB0"/>
    <w:rsid w:val="008C7FC0"/>
    <w:rsid w:val="008D02E5"/>
    <w:rsid w:val="008D1F23"/>
    <w:rsid w:val="008D2431"/>
    <w:rsid w:val="008D2603"/>
    <w:rsid w:val="008D3315"/>
    <w:rsid w:val="008D78EE"/>
    <w:rsid w:val="008D79B7"/>
    <w:rsid w:val="008E2040"/>
    <w:rsid w:val="008E2ECD"/>
    <w:rsid w:val="008E4242"/>
    <w:rsid w:val="008E43F7"/>
    <w:rsid w:val="008E4664"/>
    <w:rsid w:val="008E544A"/>
    <w:rsid w:val="008E5A09"/>
    <w:rsid w:val="008F10BA"/>
    <w:rsid w:val="008F17AF"/>
    <w:rsid w:val="008F43DA"/>
    <w:rsid w:val="008F5314"/>
    <w:rsid w:val="008F55E1"/>
    <w:rsid w:val="008F5CD9"/>
    <w:rsid w:val="008F76CF"/>
    <w:rsid w:val="0090071F"/>
    <w:rsid w:val="00900A88"/>
    <w:rsid w:val="00903BCD"/>
    <w:rsid w:val="0090595F"/>
    <w:rsid w:val="009066D6"/>
    <w:rsid w:val="00907671"/>
    <w:rsid w:val="00907E45"/>
    <w:rsid w:val="009112F0"/>
    <w:rsid w:val="00913F12"/>
    <w:rsid w:val="0091526C"/>
    <w:rsid w:val="0091557C"/>
    <w:rsid w:val="009159E9"/>
    <w:rsid w:val="00915F68"/>
    <w:rsid w:val="00917308"/>
    <w:rsid w:val="009201B4"/>
    <w:rsid w:val="009207B5"/>
    <w:rsid w:val="00921065"/>
    <w:rsid w:val="0092306C"/>
    <w:rsid w:val="00926499"/>
    <w:rsid w:val="00926B1B"/>
    <w:rsid w:val="00930C90"/>
    <w:rsid w:val="00931785"/>
    <w:rsid w:val="0093264B"/>
    <w:rsid w:val="00932858"/>
    <w:rsid w:val="00934EA6"/>
    <w:rsid w:val="00941341"/>
    <w:rsid w:val="00942166"/>
    <w:rsid w:val="0094455D"/>
    <w:rsid w:val="009459F1"/>
    <w:rsid w:val="00947426"/>
    <w:rsid w:val="009479DD"/>
    <w:rsid w:val="0095081C"/>
    <w:rsid w:val="00950C99"/>
    <w:rsid w:val="00951C16"/>
    <w:rsid w:val="009528D0"/>
    <w:rsid w:val="00952967"/>
    <w:rsid w:val="009558F2"/>
    <w:rsid w:val="009565D6"/>
    <w:rsid w:val="00956B59"/>
    <w:rsid w:val="00956B5E"/>
    <w:rsid w:val="00956D29"/>
    <w:rsid w:val="00957736"/>
    <w:rsid w:val="009602F5"/>
    <w:rsid w:val="0096081C"/>
    <w:rsid w:val="00961778"/>
    <w:rsid w:val="00962D4F"/>
    <w:rsid w:val="00966592"/>
    <w:rsid w:val="00967260"/>
    <w:rsid w:val="009677B7"/>
    <w:rsid w:val="009711F1"/>
    <w:rsid w:val="00971224"/>
    <w:rsid w:val="00971BE9"/>
    <w:rsid w:val="00973B58"/>
    <w:rsid w:val="00974301"/>
    <w:rsid w:val="00977354"/>
    <w:rsid w:val="009811C2"/>
    <w:rsid w:val="0098251C"/>
    <w:rsid w:val="00982A1A"/>
    <w:rsid w:val="0098326E"/>
    <w:rsid w:val="00984BE4"/>
    <w:rsid w:val="00986B5E"/>
    <w:rsid w:val="0098703F"/>
    <w:rsid w:val="00990467"/>
    <w:rsid w:val="009908FF"/>
    <w:rsid w:val="00991012"/>
    <w:rsid w:val="00991799"/>
    <w:rsid w:val="00991BC1"/>
    <w:rsid w:val="00992DE9"/>
    <w:rsid w:val="00994240"/>
    <w:rsid w:val="009944EF"/>
    <w:rsid w:val="0099587E"/>
    <w:rsid w:val="00995D71"/>
    <w:rsid w:val="00995DE3"/>
    <w:rsid w:val="00996F70"/>
    <w:rsid w:val="00997227"/>
    <w:rsid w:val="009A0004"/>
    <w:rsid w:val="009A06AE"/>
    <w:rsid w:val="009A222D"/>
    <w:rsid w:val="009A318D"/>
    <w:rsid w:val="009A597E"/>
    <w:rsid w:val="009A6082"/>
    <w:rsid w:val="009A6960"/>
    <w:rsid w:val="009A723D"/>
    <w:rsid w:val="009B008D"/>
    <w:rsid w:val="009B04A2"/>
    <w:rsid w:val="009B1889"/>
    <w:rsid w:val="009B3DD4"/>
    <w:rsid w:val="009B4074"/>
    <w:rsid w:val="009B4A94"/>
    <w:rsid w:val="009B57E4"/>
    <w:rsid w:val="009B5BB1"/>
    <w:rsid w:val="009B5D4A"/>
    <w:rsid w:val="009B5E82"/>
    <w:rsid w:val="009B69E6"/>
    <w:rsid w:val="009B7C4E"/>
    <w:rsid w:val="009C0D03"/>
    <w:rsid w:val="009C0E52"/>
    <w:rsid w:val="009C21A8"/>
    <w:rsid w:val="009C2AD3"/>
    <w:rsid w:val="009C3866"/>
    <w:rsid w:val="009C54E2"/>
    <w:rsid w:val="009C579C"/>
    <w:rsid w:val="009C7D29"/>
    <w:rsid w:val="009D00A2"/>
    <w:rsid w:val="009D266E"/>
    <w:rsid w:val="009D444F"/>
    <w:rsid w:val="009D50B6"/>
    <w:rsid w:val="009D5DAF"/>
    <w:rsid w:val="009D5DB3"/>
    <w:rsid w:val="009D7CE8"/>
    <w:rsid w:val="009E04FD"/>
    <w:rsid w:val="009E0FC8"/>
    <w:rsid w:val="009E1268"/>
    <w:rsid w:val="009E18A8"/>
    <w:rsid w:val="009E2538"/>
    <w:rsid w:val="009E255A"/>
    <w:rsid w:val="009E48B9"/>
    <w:rsid w:val="009E4AF6"/>
    <w:rsid w:val="009E5C79"/>
    <w:rsid w:val="009E5CD0"/>
    <w:rsid w:val="009E6077"/>
    <w:rsid w:val="009E69CC"/>
    <w:rsid w:val="009F0E99"/>
    <w:rsid w:val="009F267E"/>
    <w:rsid w:val="009F3EF9"/>
    <w:rsid w:val="009F53C2"/>
    <w:rsid w:val="009F5937"/>
    <w:rsid w:val="009F5CA5"/>
    <w:rsid w:val="009F5DE5"/>
    <w:rsid w:val="009F6A84"/>
    <w:rsid w:val="009F7C3A"/>
    <w:rsid w:val="00A008E1"/>
    <w:rsid w:val="00A00EBB"/>
    <w:rsid w:val="00A01295"/>
    <w:rsid w:val="00A02881"/>
    <w:rsid w:val="00A02D79"/>
    <w:rsid w:val="00A03298"/>
    <w:rsid w:val="00A04F54"/>
    <w:rsid w:val="00A06FD5"/>
    <w:rsid w:val="00A07CDA"/>
    <w:rsid w:val="00A10DE3"/>
    <w:rsid w:val="00A122AB"/>
    <w:rsid w:val="00A12BED"/>
    <w:rsid w:val="00A171E4"/>
    <w:rsid w:val="00A1745E"/>
    <w:rsid w:val="00A20FCC"/>
    <w:rsid w:val="00A212C0"/>
    <w:rsid w:val="00A23155"/>
    <w:rsid w:val="00A2671D"/>
    <w:rsid w:val="00A26F10"/>
    <w:rsid w:val="00A27197"/>
    <w:rsid w:val="00A3113E"/>
    <w:rsid w:val="00A312C2"/>
    <w:rsid w:val="00A32C28"/>
    <w:rsid w:val="00A3484F"/>
    <w:rsid w:val="00A35EC6"/>
    <w:rsid w:val="00A37614"/>
    <w:rsid w:val="00A37F35"/>
    <w:rsid w:val="00A4009E"/>
    <w:rsid w:val="00A40362"/>
    <w:rsid w:val="00A409D4"/>
    <w:rsid w:val="00A40AEA"/>
    <w:rsid w:val="00A40CCD"/>
    <w:rsid w:val="00A479B8"/>
    <w:rsid w:val="00A523C6"/>
    <w:rsid w:val="00A54354"/>
    <w:rsid w:val="00A54559"/>
    <w:rsid w:val="00A548B1"/>
    <w:rsid w:val="00A54AD3"/>
    <w:rsid w:val="00A55163"/>
    <w:rsid w:val="00A6070F"/>
    <w:rsid w:val="00A60B80"/>
    <w:rsid w:val="00A616B5"/>
    <w:rsid w:val="00A62DF0"/>
    <w:rsid w:val="00A62F0A"/>
    <w:rsid w:val="00A63442"/>
    <w:rsid w:val="00A642BE"/>
    <w:rsid w:val="00A6467A"/>
    <w:rsid w:val="00A64B09"/>
    <w:rsid w:val="00A653D9"/>
    <w:rsid w:val="00A666F4"/>
    <w:rsid w:val="00A66B80"/>
    <w:rsid w:val="00A67D3F"/>
    <w:rsid w:val="00A728B8"/>
    <w:rsid w:val="00A73BC4"/>
    <w:rsid w:val="00A73DB4"/>
    <w:rsid w:val="00A770CB"/>
    <w:rsid w:val="00A86EA4"/>
    <w:rsid w:val="00A878E9"/>
    <w:rsid w:val="00A9046A"/>
    <w:rsid w:val="00A9245C"/>
    <w:rsid w:val="00A97F17"/>
    <w:rsid w:val="00AA136B"/>
    <w:rsid w:val="00AA7E09"/>
    <w:rsid w:val="00AB1FC6"/>
    <w:rsid w:val="00AB3193"/>
    <w:rsid w:val="00AB3C03"/>
    <w:rsid w:val="00AB574E"/>
    <w:rsid w:val="00AB7848"/>
    <w:rsid w:val="00AC1624"/>
    <w:rsid w:val="00AC2687"/>
    <w:rsid w:val="00AC3902"/>
    <w:rsid w:val="00AC410F"/>
    <w:rsid w:val="00AC489E"/>
    <w:rsid w:val="00AC578C"/>
    <w:rsid w:val="00AC6BE9"/>
    <w:rsid w:val="00AC72F7"/>
    <w:rsid w:val="00AD005A"/>
    <w:rsid w:val="00AD1BCE"/>
    <w:rsid w:val="00AD3302"/>
    <w:rsid w:val="00AD3609"/>
    <w:rsid w:val="00AD4DDA"/>
    <w:rsid w:val="00AE1D7B"/>
    <w:rsid w:val="00AE3B53"/>
    <w:rsid w:val="00AE5D69"/>
    <w:rsid w:val="00AE5DD9"/>
    <w:rsid w:val="00AE7751"/>
    <w:rsid w:val="00AF0061"/>
    <w:rsid w:val="00AF1CCE"/>
    <w:rsid w:val="00AF2634"/>
    <w:rsid w:val="00AF3F2F"/>
    <w:rsid w:val="00AF49D5"/>
    <w:rsid w:val="00AF4EB3"/>
    <w:rsid w:val="00AF5360"/>
    <w:rsid w:val="00AF67B1"/>
    <w:rsid w:val="00B005E1"/>
    <w:rsid w:val="00B014F5"/>
    <w:rsid w:val="00B03057"/>
    <w:rsid w:val="00B0427D"/>
    <w:rsid w:val="00B05551"/>
    <w:rsid w:val="00B05D6B"/>
    <w:rsid w:val="00B05E14"/>
    <w:rsid w:val="00B064DF"/>
    <w:rsid w:val="00B06FE1"/>
    <w:rsid w:val="00B10F7C"/>
    <w:rsid w:val="00B11B2C"/>
    <w:rsid w:val="00B12813"/>
    <w:rsid w:val="00B1333B"/>
    <w:rsid w:val="00B14823"/>
    <w:rsid w:val="00B14870"/>
    <w:rsid w:val="00B156CF"/>
    <w:rsid w:val="00B16278"/>
    <w:rsid w:val="00B1754D"/>
    <w:rsid w:val="00B17DC7"/>
    <w:rsid w:val="00B20365"/>
    <w:rsid w:val="00B2219A"/>
    <w:rsid w:val="00B22841"/>
    <w:rsid w:val="00B2313B"/>
    <w:rsid w:val="00B24318"/>
    <w:rsid w:val="00B266B4"/>
    <w:rsid w:val="00B27709"/>
    <w:rsid w:val="00B33388"/>
    <w:rsid w:val="00B3417C"/>
    <w:rsid w:val="00B36E04"/>
    <w:rsid w:val="00B4059B"/>
    <w:rsid w:val="00B408A8"/>
    <w:rsid w:val="00B423E9"/>
    <w:rsid w:val="00B4359C"/>
    <w:rsid w:val="00B4373E"/>
    <w:rsid w:val="00B437E1"/>
    <w:rsid w:val="00B438BA"/>
    <w:rsid w:val="00B446E8"/>
    <w:rsid w:val="00B451FE"/>
    <w:rsid w:val="00B46726"/>
    <w:rsid w:val="00B5069B"/>
    <w:rsid w:val="00B50CC7"/>
    <w:rsid w:val="00B515EA"/>
    <w:rsid w:val="00B52546"/>
    <w:rsid w:val="00B54556"/>
    <w:rsid w:val="00B567BA"/>
    <w:rsid w:val="00B635BA"/>
    <w:rsid w:val="00B65C73"/>
    <w:rsid w:val="00B65F73"/>
    <w:rsid w:val="00B6688B"/>
    <w:rsid w:val="00B70591"/>
    <w:rsid w:val="00B72A8B"/>
    <w:rsid w:val="00B74641"/>
    <w:rsid w:val="00B831EE"/>
    <w:rsid w:val="00B84070"/>
    <w:rsid w:val="00B841A7"/>
    <w:rsid w:val="00B84216"/>
    <w:rsid w:val="00B86895"/>
    <w:rsid w:val="00B86BB5"/>
    <w:rsid w:val="00B86ECF"/>
    <w:rsid w:val="00B86EDD"/>
    <w:rsid w:val="00B903B4"/>
    <w:rsid w:val="00B9041B"/>
    <w:rsid w:val="00B90446"/>
    <w:rsid w:val="00B91281"/>
    <w:rsid w:val="00B91548"/>
    <w:rsid w:val="00B924B7"/>
    <w:rsid w:val="00B954EA"/>
    <w:rsid w:val="00B9752E"/>
    <w:rsid w:val="00B97F7C"/>
    <w:rsid w:val="00BA0C30"/>
    <w:rsid w:val="00BA188A"/>
    <w:rsid w:val="00BA1E85"/>
    <w:rsid w:val="00BA438E"/>
    <w:rsid w:val="00BA45CA"/>
    <w:rsid w:val="00BA48B7"/>
    <w:rsid w:val="00BA7668"/>
    <w:rsid w:val="00BB04FE"/>
    <w:rsid w:val="00BB095E"/>
    <w:rsid w:val="00BB21BE"/>
    <w:rsid w:val="00BB5123"/>
    <w:rsid w:val="00BB534C"/>
    <w:rsid w:val="00BB6B2A"/>
    <w:rsid w:val="00BC1258"/>
    <w:rsid w:val="00BC126D"/>
    <w:rsid w:val="00BC2585"/>
    <w:rsid w:val="00BC2774"/>
    <w:rsid w:val="00BC27AA"/>
    <w:rsid w:val="00BC37FA"/>
    <w:rsid w:val="00BC5DAB"/>
    <w:rsid w:val="00BC60EA"/>
    <w:rsid w:val="00BC74F6"/>
    <w:rsid w:val="00BD038F"/>
    <w:rsid w:val="00BD0B72"/>
    <w:rsid w:val="00BD0D28"/>
    <w:rsid w:val="00BD3C3C"/>
    <w:rsid w:val="00BD578A"/>
    <w:rsid w:val="00BD5DA5"/>
    <w:rsid w:val="00BD6317"/>
    <w:rsid w:val="00BE110C"/>
    <w:rsid w:val="00BE12ED"/>
    <w:rsid w:val="00BE13D6"/>
    <w:rsid w:val="00BE6385"/>
    <w:rsid w:val="00BE6678"/>
    <w:rsid w:val="00BE760D"/>
    <w:rsid w:val="00BE762A"/>
    <w:rsid w:val="00BE7FFD"/>
    <w:rsid w:val="00BF0C41"/>
    <w:rsid w:val="00BF0D71"/>
    <w:rsid w:val="00BF1B3A"/>
    <w:rsid w:val="00BF3467"/>
    <w:rsid w:val="00BF5DD4"/>
    <w:rsid w:val="00C00537"/>
    <w:rsid w:val="00C02276"/>
    <w:rsid w:val="00C02FB7"/>
    <w:rsid w:val="00C038CC"/>
    <w:rsid w:val="00C05A62"/>
    <w:rsid w:val="00C07C15"/>
    <w:rsid w:val="00C15228"/>
    <w:rsid w:val="00C15F7D"/>
    <w:rsid w:val="00C17339"/>
    <w:rsid w:val="00C21274"/>
    <w:rsid w:val="00C249A3"/>
    <w:rsid w:val="00C26065"/>
    <w:rsid w:val="00C26B19"/>
    <w:rsid w:val="00C326E6"/>
    <w:rsid w:val="00C35519"/>
    <w:rsid w:val="00C3575E"/>
    <w:rsid w:val="00C37D34"/>
    <w:rsid w:val="00C426E5"/>
    <w:rsid w:val="00C43041"/>
    <w:rsid w:val="00C43C8B"/>
    <w:rsid w:val="00C441E5"/>
    <w:rsid w:val="00C45246"/>
    <w:rsid w:val="00C46955"/>
    <w:rsid w:val="00C472D5"/>
    <w:rsid w:val="00C50070"/>
    <w:rsid w:val="00C51385"/>
    <w:rsid w:val="00C51880"/>
    <w:rsid w:val="00C518F4"/>
    <w:rsid w:val="00C52720"/>
    <w:rsid w:val="00C52998"/>
    <w:rsid w:val="00C53611"/>
    <w:rsid w:val="00C5427B"/>
    <w:rsid w:val="00C54DBA"/>
    <w:rsid w:val="00C55904"/>
    <w:rsid w:val="00C607FB"/>
    <w:rsid w:val="00C6083F"/>
    <w:rsid w:val="00C60C44"/>
    <w:rsid w:val="00C63C7D"/>
    <w:rsid w:val="00C63E77"/>
    <w:rsid w:val="00C64239"/>
    <w:rsid w:val="00C65CCF"/>
    <w:rsid w:val="00C670ED"/>
    <w:rsid w:val="00C711F9"/>
    <w:rsid w:val="00C712A9"/>
    <w:rsid w:val="00C7193F"/>
    <w:rsid w:val="00C72BD5"/>
    <w:rsid w:val="00C7304F"/>
    <w:rsid w:val="00C733C0"/>
    <w:rsid w:val="00C73917"/>
    <w:rsid w:val="00C74FBB"/>
    <w:rsid w:val="00C75456"/>
    <w:rsid w:val="00C76A61"/>
    <w:rsid w:val="00C76E3D"/>
    <w:rsid w:val="00C77399"/>
    <w:rsid w:val="00C80A28"/>
    <w:rsid w:val="00C813DB"/>
    <w:rsid w:val="00C8583E"/>
    <w:rsid w:val="00C860FA"/>
    <w:rsid w:val="00C87016"/>
    <w:rsid w:val="00C87232"/>
    <w:rsid w:val="00C87E7A"/>
    <w:rsid w:val="00C87F7D"/>
    <w:rsid w:val="00C91AD5"/>
    <w:rsid w:val="00C924EC"/>
    <w:rsid w:val="00C9465A"/>
    <w:rsid w:val="00C94951"/>
    <w:rsid w:val="00C961E6"/>
    <w:rsid w:val="00CA0DA9"/>
    <w:rsid w:val="00CA182C"/>
    <w:rsid w:val="00CA4718"/>
    <w:rsid w:val="00CA4C03"/>
    <w:rsid w:val="00CA51DF"/>
    <w:rsid w:val="00CA5A3D"/>
    <w:rsid w:val="00CA61E5"/>
    <w:rsid w:val="00CA7929"/>
    <w:rsid w:val="00CA7A74"/>
    <w:rsid w:val="00CB0DBF"/>
    <w:rsid w:val="00CB1305"/>
    <w:rsid w:val="00CB267C"/>
    <w:rsid w:val="00CB5AE2"/>
    <w:rsid w:val="00CC084E"/>
    <w:rsid w:val="00CC1B85"/>
    <w:rsid w:val="00CC24C5"/>
    <w:rsid w:val="00CC29EA"/>
    <w:rsid w:val="00CC42E5"/>
    <w:rsid w:val="00CC4AF0"/>
    <w:rsid w:val="00CC4F27"/>
    <w:rsid w:val="00CC5948"/>
    <w:rsid w:val="00CC785B"/>
    <w:rsid w:val="00CD0597"/>
    <w:rsid w:val="00CD22B4"/>
    <w:rsid w:val="00CD32CE"/>
    <w:rsid w:val="00CD3308"/>
    <w:rsid w:val="00CD7077"/>
    <w:rsid w:val="00CD7558"/>
    <w:rsid w:val="00CD7A77"/>
    <w:rsid w:val="00CE0955"/>
    <w:rsid w:val="00CE1919"/>
    <w:rsid w:val="00CE1DA8"/>
    <w:rsid w:val="00CE2C0E"/>
    <w:rsid w:val="00CE41D4"/>
    <w:rsid w:val="00CE5AF4"/>
    <w:rsid w:val="00CE7ED5"/>
    <w:rsid w:val="00CF058B"/>
    <w:rsid w:val="00CF2C36"/>
    <w:rsid w:val="00CF2F74"/>
    <w:rsid w:val="00CF3D30"/>
    <w:rsid w:val="00CF44FC"/>
    <w:rsid w:val="00CF500E"/>
    <w:rsid w:val="00CF670C"/>
    <w:rsid w:val="00CF69AE"/>
    <w:rsid w:val="00CF6A03"/>
    <w:rsid w:val="00CF6E82"/>
    <w:rsid w:val="00CF6EC5"/>
    <w:rsid w:val="00CF6F63"/>
    <w:rsid w:val="00CF72C0"/>
    <w:rsid w:val="00D00A7C"/>
    <w:rsid w:val="00D01774"/>
    <w:rsid w:val="00D02535"/>
    <w:rsid w:val="00D04359"/>
    <w:rsid w:val="00D05786"/>
    <w:rsid w:val="00D06400"/>
    <w:rsid w:val="00D06848"/>
    <w:rsid w:val="00D07553"/>
    <w:rsid w:val="00D07B84"/>
    <w:rsid w:val="00D10456"/>
    <w:rsid w:val="00D13E8A"/>
    <w:rsid w:val="00D214E1"/>
    <w:rsid w:val="00D222F0"/>
    <w:rsid w:val="00D223B3"/>
    <w:rsid w:val="00D22577"/>
    <w:rsid w:val="00D22678"/>
    <w:rsid w:val="00D22CB0"/>
    <w:rsid w:val="00D24A2F"/>
    <w:rsid w:val="00D255C9"/>
    <w:rsid w:val="00D26A68"/>
    <w:rsid w:val="00D27FDC"/>
    <w:rsid w:val="00D32077"/>
    <w:rsid w:val="00D33C65"/>
    <w:rsid w:val="00D35224"/>
    <w:rsid w:val="00D35DE1"/>
    <w:rsid w:val="00D407AF"/>
    <w:rsid w:val="00D421D9"/>
    <w:rsid w:val="00D436D5"/>
    <w:rsid w:val="00D44B37"/>
    <w:rsid w:val="00D46EA6"/>
    <w:rsid w:val="00D540BA"/>
    <w:rsid w:val="00D55DAD"/>
    <w:rsid w:val="00D56110"/>
    <w:rsid w:val="00D56AD7"/>
    <w:rsid w:val="00D578CB"/>
    <w:rsid w:val="00D60864"/>
    <w:rsid w:val="00D65DA3"/>
    <w:rsid w:val="00D660F6"/>
    <w:rsid w:val="00D71B3C"/>
    <w:rsid w:val="00D724B1"/>
    <w:rsid w:val="00D74282"/>
    <w:rsid w:val="00D74944"/>
    <w:rsid w:val="00D74B44"/>
    <w:rsid w:val="00D76B3A"/>
    <w:rsid w:val="00D770D5"/>
    <w:rsid w:val="00D818CC"/>
    <w:rsid w:val="00D82522"/>
    <w:rsid w:val="00D837A3"/>
    <w:rsid w:val="00D83B59"/>
    <w:rsid w:val="00D83BDD"/>
    <w:rsid w:val="00D840E5"/>
    <w:rsid w:val="00D847D5"/>
    <w:rsid w:val="00D85201"/>
    <w:rsid w:val="00D853CB"/>
    <w:rsid w:val="00D86E83"/>
    <w:rsid w:val="00D90B6A"/>
    <w:rsid w:val="00D92899"/>
    <w:rsid w:val="00D95F17"/>
    <w:rsid w:val="00D9606F"/>
    <w:rsid w:val="00DA1FFE"/>
    <w:rsid w:val="00DA32D5"/>
    <w:rsid w:val="00DA6B3E"/>
    <w:rsid w:val="00DA7DA9"/>
    <w:rsid w:val="00DB1AAF"/>
    <w:rsid w:val="00DB1B3D"/>
    <w:rsid w:val="00DB46B2"/>
    <w:rsid w:val="00DB582D"/>
    <w:rsid w:val="00DC136D"/>
    <w:rsid w:val="00DC215F"/>
    <w:rsid w:val="00DC3368"/>
    <w:rsid w:val="00DC51C2"/>
    <w:rsid w:val="00DC60EB"/>
    <w:rsid w:val="00DD05F9"/>
    <w:rsid w:val="00DD361B"/>
    <w:rsid w:val="00DD46A1"/>
    <w:rsid w:val="00DE01BA"/>
    <w:rsid w:val="00DE23CE"/>
    <w:rsid w:val="00DE25A3"/>
    <w:rsid w:val="00DE26EF"/>
    <w:rsid w:val="00DE3BCC"/>
    <w:rsid w:val="00DE3F0B"/>
    <w:rsid w:val="00DE516E"/>
    <w:rsid w:val="00DE54E6"/>
    <w:rsid w:val="00DE77B3"/>
    <w:rsid w:val="00DF2648"/>
    <w:rsid w:val="00DF34E1"/>
    <w:rsid w:val="00DF352A"/>
    <w:rsid w:val="00DF5552"/>
    <w:rsid w:val="00DF6403"/>
    <w:rsid w:val="00DF7184"/>
    <w:rsid w:val="00DF71E3"/>
    <w:rsid w:val="00DF7638"/>
    <w:rsid w:val="00E007E5"/>
    <w:rsid w:val="00E00AFB"/>
    <w:rsid w:val="00E01263"/>
    <w:rsid w:val="00E01A60"/>
    <w:rsid w:val="00E02028"/>
    <w:rsid w:val="00E021EC"/>
    <w:rsid w:val="00E04110"/>
    <w:rsid w:val="00E048B7"/>
    <w:rsid w:val="00E06FBA"/>
    <w:rsid w:val="00E10ED7"/>
    <w:rsid w:val="00E13E11"/>
    <w:rsid w:val="00E13E26"/>
    <w:rsid w:val="00E151E0"/>
    <w:rsid w:val="00E15781"/>
    <w:rsid w:val="00E16159"/>
    <w:rsid w:val="00E161F7"/>
    <w:rsid w:val="00E16A9F"/>
    <w:rsid w:val="00E16C7B"/>
    <w:rsid w:val="00E16C7D"/>
    <w:rsid w:val="00E17480"/>
    <w:rsid w:val="00E20DA2"/>
    <w:rsid w:val="00E224C4"/>
    <w:rsid w:val="00E2356D"/>
    <w:rsid w:val="00E23E2A"/>
    <w:rsid w:val="00E24FD8"/>
    <w:rsid w:val="00E25B47"/>
    <w:rsid w:val="00E32485"/>
    <w:rsid w:val="00E32BE0"/>
    <w:rsid w:val="00E32BF5"/>
    <w:rsid w:val="00E34BBB"/>
    <w:rsid w:val="00E3513F"/>
    <w:rsid w:val="00E35DF3"/>
    <w:rsid w:val="00E36240"/>
    <w:rsid w:val="00E37B4B"/>
    <w:rsid w:val="00E4076B"/>
    <w:rsid w:val="00E4273B"/>
    <w:rsid w:val="00E45268"/>
    <w:rsid w:val="00E45454"/>
    <w:rsid w:val="00E45990"/>
    <w:rsid w:val="00E46C4D"/>
    <w:rsid w:val="00E46DE0"/>
    <w:rsid w:val="00E47601"/>
    <w:rsid w:val="00E50A75"/>
    <w:rsid w:val="00E52639"/>
    <w:rsid w:val="00E52B0C"/>
    <w:rsid w:val="00E53231"/>
    <w:rsid w:val="00E548D7"/>
    <w:rsid w:val="00E54ED6"/>
    <w:rsid w:val="00E55FEE"/>
    <w:rsid w:val="00E57A8B"/>
    <w:rsid w:val="00E6079C"/>
    <w:rsid w:val="00E608BB"/>
    <w:rsid w:val="00E61ACF"/>
    <w:rsid w:val="00E61D10"/>
    <w:rsid w:val="00E7270A"/>
    <w:rsid w:val="00E72D85"/>
    <w:rsid w:val="00E739B8"/>
    <w:rsid w:val="00E742AD"/>
    <w:rsid w:val="00E7437C"/>
    <w:rsid w:val="00E74D5B"/>
    <w:rsid w:val="00E76C68"/>
    <w:rsid w:val="00E80B90"/>
    <w:rsid w:val="00E80D76"/>
    <w:rsid w:val="00E84730"/>
    <w:rsid w:val="00E86C78"/>
    <w:rsid w:val="00E872AA"/>
    <w:rsid w:val="00E87D68"/>
    <w:rsid w:val="00E87DFF"/>
    <w:rsid w:val="00E90F47"/>
    <w:rsid w:val="00E913DC"/>
    <w:rsid w:val="00E9296C"/>
    <w:rsid w:val="00E93291"/>
    <w:rsid w:val="00E935E1"/>
    <w:rsid w:val="00E93D78"/>
    <w:rsid w:val="00E94A0F"/>
    <w:rsid w:val="00E957B3"/>
    <w:rsid w:val="00E96465"/>
    <w:rsid w:val="00E97A00"/>
    <w:rsid w:val="00E97E5E"/>
    <w:rsid w:val="00EA1569"/>
    <w:rsid w:val="00EA1D0B"/>
    <w:rsid w:val="00EA26DC"/>
    <w:rsid w:val="00EA287D"/>
    <w:rsid w:val="00EA2BEA"/>
    <w:rsid w:val="00EA3A5F"/>
    <w:rsid w:val="00EA3E50"/>
    <w:rsid w:val="00EA4771"/>
    <w:rsid w:val="00EA5853"/>
    <w:rsid w:val="00EA5AD6"/>
    <w:rsid w:val="00EA5FA7"/>
    <w:rsid w:val="00EA6C6B"/>
    <w:rsid w:val="00EA73AA"/>
    <w:rsid w:val="00EA7B77"/>
    <w:rsid w:val="00EA7C3B"/>
    <w:rsid w:val="00EB05BE"/>
    <w:rsid w:val="00EB0963"/>
    <w:rsid w:val="00EB0E0D"/>
    <w:rsid w:val="00EB1CC7"/>
    <w:rsid w:val="00EB250A"/>
    <w:rsid w:val="00EB2813"/>
    <w:rsid w:val="00EB2FB5"/>
    <w:rsid w:val="00EB3B77"/>
    <w:rsid w:val="00EB5794"/>
    <w:rsid w:val="00EC067C"/>
    <w:rsid w:val="00EC0B00"/>
    <w:rsid w:val="00EC3503"/>
    <w:rsid w:val="00EC7ACD"/>
    <w:rsid w:val="00ED09E1"/>
    <w:rsid w:val="00ED2A91"/>
    <w:rsid w:val="00ED4263"/>
    <w:rsid w:val="00ED5EC8"/>
    <w:rsid w:val="00ED6BDE"/>
    <w:rsid w:val="00EE03AD"/>
    <w:rsid w:val="00EE2FCC"/>
    <w:rsid w:val="00EE3DCB"/>
    <w:rsid w:val="00EE6FA7"/>
    <w:rsid w:val="00EE7594"/>
    <w:rsid w:val="00EF0C68"/>
    <w:rsid w:val="00EF1062"/>
    <w:rsid w:val="00EF13E6"/>
    <w:rsid w:val="00EF13EB"/>
    <w:rsid w:val="00EF3EE1"/>
    <w:rsid w:val="00EF4163"/>
    <w:rsid w:val="00EF5D3E"/>
    <w:rsid w:val="00EF64B1"/>
    <w:rsid w:val="00EF7305"/>
    <w:rsid w:val="00EF7874"/>
    <w:rsid w:val="00EF7A84"/>
    <w:rsid w:val="00F0137C"/>
    <w:rsid w:val="00F01726"/>
    <w:rsid w:val="00F01ADC"/>
    <w:rsid w:val="00F02004"/>
    <w:rsid w:val="00F0269C"/>
    <w:rsid w:val="00F032F2"/>
    <w:rsid w:val="00F03DC2"/>
    <w:rsid w:val="00F04689"/>
    <w:rsid w:val="00F04F01"/>
    <w:rsid w:val="00F10041"/>
    <w:rsid w:val="00F1169E"/>
    <w:rsid w:val="00F1172F"/>
    <w:rsid w:val="00F1177A"/>
    <w:rsid w:val="00F11857"/>
    <w:rsid w:val="00F11D38"/>
    <w:rsid w:val="00F12E46"/>
    <w:rsid w:val="00F13A96"/>
    <w:rsid w:val="00F13F41"/>
    <w:rsid w:val="00F15B23"/>
    <w:rsid w:val="00F15BBC"/>
    <w:rsid w:val="00F16E5E"/>
    <w:rsid w:val="00F16EBD"/>
    <w:rsid w:val="00F1744C"/>
    <w:rsid w:val="00F20725"/>
    <w:rsid w:val="00F2265B"/>
    <w:rsid w:val="00F24054"/>
    <w:rsid w:val="00F258DF"/>
    <w:rsid w:val="00F26F84"/>
    <w:rsid w:val="00F275F9"/>
    <w:rsid w:val="00F27B96"/>
    <w:rsid w:val="00F27C0E"/>
    <w:rsid w:val="00F27CB6"/>
    <w:rsid w:val="00F303B9"/>
    <w:rsid w:val="00F31ABF"/>
    <w:rsid w:val="00F33B5E"/>
    <w:rsid w:val="00F341F4"/>
    <w:rsid w:val="00F40CFE"/>
    <w:rsid w:val="00F4151A"/>
    <w:rsid w:val="00F4344F"/>
    <w:rsid w:val="00F43456"/>
    <w:rsid w:val="00F45A1C"/>
    <w:rsid w:val="00F47884"/>
    <w:rsid w:val="00F5143E"/>
    <w:rsid w:val="00F53485"/>
    <w:rsid w:val="00F53FE4"/>
    <w:rsid w:val="00F542F2"/>
    <w:rsid w:val="00F555EA"/>
    <w:rsid w:val="00F55A98"/>
    <w:rsid w:val="00F57650"/>
    <w:rsid w:val="00F57A07"/>
    <w:rsid w:val="00F60011"/>
    <w:rsid w:val="00F62213"/>
    <w:rsid w:val="00F632B6"/>
    <w:rsid w:val="00F64C85"/>
    <w:rsid w:val="00F655DC"/>
    <w:rsid w:val="00F66C58"/>
    <w:rsid w:val="00F707F0"/>
    <w:rsid w:val="00F73695"/>
    <w:rsid w:val="00F73B77"/>
    <w:rsid w:val="00F757FC"/>
    <w:rsid w:val="00F75A26"/>
    <w:rsid w:val="00F76784"/>
    <w:rsid w:val="00F81BBA"/>
    <w:rsid w:val="00F822A8"/>
    <w:rsid w:val="00F83FEF"/>
    <w:rsid w:val="00F841CE"/>
    <w:rsid w:val="00F843FB"/>
    <w:rsid w:val="00F85A72"/>
    <w:rsid w:val="00F91195"/>
    <w:rsid w:val="00F9264F"/>
    <w:rsid w:val="00F9277C"/>
    <w:rsid w:val="00F92B96"/>
    <w:rsid w:val="00F95579"/>
    <w:rsid w:val="00F958E2"/>
    <w:rsid w:val="00F9593F"/>
    <w:rsid w:val="00F96BDD"/>
    <w:rsid w:val="00F97D28"/>
    <w:rsid w:val="00FA139E"/>
    <w:rsid w:val="00FA2256"/>
    <w:rsid w:val="00FA30F5"/>
    <w:rsid w:val="00FA347E"/>
    <w:rsid w:val="00FA34EE"/>
    <w:rsid w:val="00FA5D0C"/>
    <w:rsid w:val="00FB1E17"/>
    <w:rsid w:val="00FB3265"/>
    <w:rsid w:val="00FB3589"/>
    <w:rsid w:val="00FB4E6C"/>
    <w:rsid w:val="00FB65DF"/>
    <w:rsid w:val="00FB71B2"/>
    <w:rsid w:val="00FB763C"/>
    <w:rsid w:val="00FB7B8B"/>
    <w:rsid w:val="00FC1AD5"/>
    <w:rsid w:val="00FC1F9D"/>
    <w:rsid w:val="00FC427F"/>
    <w:rsid w:val="00FC67FE"/>
    <w:rsid w:val="00FC6B42"/>
    <w:rsid w:val="00FC7B66"/>
    <w:rsid w:val="00FD0A4D"/>
    <w:rsid w:val="00FD22C0"/>
    <w:rsid w:val="00FD2584"/>
    <w:rsid w:val="00FD66C3"/>
    <w:rsid w:val="00FD6D51"/>
    <w:rsid w:val="00FD74DA"/>
    <w:rsid w:val="00FE0D1A"/>
    <w:rsid w:val="00FE218C"/>
    <w:rsid w:val="00FE5172"/>
    <w:rsid w:val="00FF1513"/>
    <w:rsid w:val="00FF1F1D"/>
    <w:rsid w:val="00FF1F3B"/>
    <w:rsid w:val="00FF3452"/>
    <w:rsid w:val="00FF5A65"/>
    <w:rsid w:val="00FF7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32BF5"/>
    <w:rPr>
      <w:sz w:val="24"/>
      <w:szCs w:val="20"/>
    </w:rPr>
  </w:style>
  <w:style w:type="paragraph" w:styleId="Heading2">
    <w:name w:val="heading 2"/>
    <w:basedOn w:val="Normal"/>
    <w:next w:val="Normal"/>
    <w:link w:val="Heading2Char"/>
    <w:uiPriority w:val="99"/>
    <w:qFormat/>
    <w:rsid w:val="00E32BF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E32BF5"/>
    <w:rPr>
      <w:rFonts w:ascii="Arial" w:hAnsi="Arial" w:cs="Times New Roman"/>
      <w:b/>
      <w:i/>
      <w:sz w:val="28"/>
      <w:lang w:val="en-US" w:eastAsia="en-US"/>
    </w:rPr>
  </w:style>
  <w:style w:type="paragraph" w:styleId="BalloonText">
    <w:name w:val="Balloon Text"/>
    <w:basedOn w:val="Normal"/>
    <w:link w:val="BalloonTextChar"/>
    <w:uiPriority w:val="99"/>
    <w:semiHidden/>
    <w:rsid w:val="00DC215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273B"/>
    <w:rPr>
      <w:rFonts w:cs="Times New Roman"/>
      <w:sz w:val="2"/>
    </w:rPr>
  </w:style>
  <w:style w:type="paragraph" w:customStyle="1" w:styleId="ExecOffice">
    <w:name w:val="Exec Office"/>
    <w:basedOn w:val="Normal"/>
    <w:uiPriority w:val="99"/>
    <w:rsid w:val="00E32BF5"/>
    <w:pPr>
      <w:framePr w:w="6927" w:hSpace="187" w:wrap="notBeside" w:vAnchor="text" w:hAnchor="page" w:x="3594" w:y="1"/>
      <w:jc w:val="center"/>
    </w:pPr>
    <w:rPr>
      <w:rFonts w:ascii="Arial" w:hAnsi="Arial"/>
      <w:sz w:val="28"/>
    </w:rPr>
  </w:style>
  <w:style w:type="paragraph" w:customStyle="1" w:styleId="Weld">
    <w:name w:val="Weld"/>
    <w:basedOn w:val="Normal"/>
    <w:uiPriority w:val="99"/>
    <w:rsid w:val="00E32BF5"/>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uiPriority w:val="99"/>
    <w:rsid w:val="00E32BF5"/>
    <w:pPr>
      <w:framePr w:hSpace="187" w:wrap="notBeside" w:vAnchor="text" w:hAnchor="page" w:x="546" w:y="141"/>
      <w:spacing w:after="120"/>
      <w:jc w:val="center"/>
    </w:pPr>
    <w:rPr>
      <w:rFonts w:ascii="Arial Rounded MT Bold" w:hAnsi="Arial Rounded MT Bold"/>
      <w:sz w:val="14"/>
    </w:rPr>
  </w:style>
  <w:style w:type="paragraph" w:styleId="Caption">
    <w:name w:val="caption"/>
    <w:basedOn w:val="Normal"/>
    <w:next w:val="Normal"/>
    <w:uiPriority w:val="99"/>
    <w:qFormat/>
    <w:rsid w:val="00E32BF5"/>
    <w:pPr>
      <w:jc w:val="center"/>
    </w:pPr>
    <w:rPr>
      <w:rFonts w:ascii="Arial" w:hAnsi="Arial"/>
      <w:b/>
      <w:sz w:val="22"/>
    </w:rPr>
  </w:style>
  <w:style w:type="paragraph" w:styleId="NormalWeb">
    <w:name w:val="Normal (Web)"/>
    <w:basedOn w:val="Normal"/>
    <w:uiPriority w:val="99"/>
    <w:rsid w:val="00E32BF5"/>
    <w:pPr>
      <w:spacing w:before="100" w:beforeAutospacing="1" w:after="100" w:afterAutospacing="1"/>
    </w:pPr>
    <w:rPr>
      <w:szCs w:val="24"/>
    </w:rPr>
  </w:style>
  <w:style w:type="paragraph" w:styleId="EndnoteText">
    <w:name w:val="endnote text"/>
    <w:basedOn w:val="Normal"/>
    <w:link w:val="EndnoteTextChar"/>
    <w:uiPriority w:val="99"/>
    <w:semiHidden/>
    <w:rsid w:val="00E32BF5"/>
    <w:rPr>
      <w:rFonts w:ascii="Arial" w:eastAsia="Batang" w:hAnsi="Arial"/>
      <w:sz w:val="20"/>
    </w:rPr>
  </w:style>
  <w:style w:type="character" w:customStyle="1" w:styleId="EndnoteTextChar">
    <w:name w:val="Endnote Text Char"/>
    <w:basedOn w:val="DefaultParagraphFont"/>
    <w:link w:val="EndnoteText"/>
    <w:uiPriority w:val="99"/>
    <w:semiHidden/>
    <w:locked/>
    <w:rsid w:val="00E4273B"/>
    <w:rPr>
      <w:rFonts w:cs="Times New Roman"/>
      <w:sz w:val="20"/>
      <w:szCs w:val="20"/>
    </w:rPr>
  </w:style>
  <w:style w:type="character" w:styleId="EndnoteReference">
    <w:name w:val="endnote reference"/>
    <w:basedOn w:val="DefaultParagraphFont"/>
    <w:uiPriority w:val="99"/>
    <w:semiHidden/>
    <w:rsid w:val="00E32BF5"/>
    <w:rPr>
      <w:rFonts w:cs="Times New Roman"/>
      <w:vertAlign w:val="superscript"/>
    </w:rPr>
  </w:style>
  <w:style w:type="table" w:styleId="TableGrid">
    <w:name w:val="Table Grid"/>
    <w:basedOn w:val="TableNormal"/>
    <w:uiPriority w:val="59"/>
    <w:rsid w:val="00EB1CC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A7E09"/>
    <w:pPr>
      <w:tabs>
        <w:tab w:val="center" w:pos="4320"/>
        <w:tab w:val="right" w:pos="8640"/>
      </w:tabs>
    </w:pPr>
  </w:style>
  <w:style w:type="character" w:customStyle="1" w:styleId="HeaderChar">
    <w:name w:val="Header Char"/>
    <w:basedOn w:val="DefaultParagraphFont"/>
    <w:link w:val="Header"/>
    <w:uiPriority w:val="99"/>
    <w:locked/>
    <w:rsid w:val="00E4273B"/>
    <w:rPr>
      <w:rFonts w:cs="Times New Roman"/>
      <w:sz w:val="20"/>
      <w:szCs w:val="20"/>
    </w:rPr>
  </w:style>
  <w:style w:type="paragraph" w:styleId="Footer">
    <w:name w:val="footer"/>
    <w:basedOn w:val="Normal"/>
    <w:link w:val="FooterChar"/>
    <w:uiPriority w:val="99"/>
    <w:rsid w:val="00AA7E09"/>
    <w:pPr>
      <w:tabs>
        <w:tab w:val="center" w:pos="4320"/>
        <w:tab w:val="right" w:pos="8640"/>
      </w:tabs>
    </w:pPr>
  </w:style>
  <w:style w:type="character" w:customStyle="1" w:styleId="FooterChar">
    <w:name w:val="Footer Char"/>
    <w:basedOn w:val="DefaultParagraphFont"/>
    <w:link w:val="Footer"/>
    <w:uiPriority w:val="99"/>
    <w:locked/>
    <w:rsid w:val="00E4273B"/>
    <w:rPr>
      <w:rFonts w:cs="Times New Roman"/>
      <w:sz w:val="20"/>
      <w:szCs w:val="20"/>
    </w:rPr>
  </w:style>
  <w:style w:type="paragraph" w:styleId="FootnoteText">
    <w:name w:val="footnote text"/>
    <w:basedOn w:val="Normal"/>
    <w:link w:val="FootnoteTextChar"/>
    <w:uiPriority w:val="99"/>
    <w:semiHidden/>
    <w:rsid w:val="00E548D7"/>
    <w:rPr>
      <w:sz w:val="20"/>
    </w:rPr>
  </w:style>
  <w:style w:type="character" w:customStyle="1" w:styleId="FootnoteTextChar">
    <w:name w:val="Footnote Text Char"/>
    <w:basedOn w:val="DefaultParagraphFont"/>
    <w:link w:val="FootnoteText"/>
    <w:uiPriority w:val="99"/>
    <w:semiHidden/>
    <w:locked/>
    <w:rsid w:val="00E4273B"/>
    <w:rPr>
      <w:rFonts w:cs="Times New Roman"/>
      <w:sz w:val="20"/>
      <w:szCs w:val="20"/>
    </w:rPr>
  </w:style>
  <w:style w:type="character" w:styleId="FootnoteReference">
    <w:name w:val="footnote reference"/>
    <w:basedOn w:val="DefaultParagraphFont"/>
    <w:uiPriority w:val="99"/>
    <w:semiHidden/>
    <w:rsid w:val="00E548D7"/>
    <w:rPr>
      <w:rFonts w:cs="Times New Roman"/>
      <w:vertAlign w:val="superscript"/>
    </w:rPr>
  </w:style>
  <w:style w:type="character" w:styleId="CommentReference">
    <w:name w:val="annotation reference"/>
    <w:basedOn w:val="DefaultParagraphFont"/>
    <w:uiPriority w:val="99"/>
    <w:semiHidden/>
    <w:rsid w:val="00DC215F"/>
    <w:rPr>
      <w:rFonts w:cs="Times New Roman"/>
      <w:sz w:val="16"/>
    </w:rPr>
  </w:style>
  <w:style w:type="paragraph" w:styleId="CommentText">
    <w:name w:val="annotation text"/>
    <w:basedOn w:val="Normal"/>
    <w:link w:val="CommentTextChar"/>
    <w:uiPriority w:val="99"/>
    <w:semiHidden/>
    <w:rsid w:val="00DC215F"/>
    <w:rPr>
      <w:sz w:val="20"/>
    </w:rPr>
  </w:style>
  <w:style w:type="character" w:customStyle="1" w:styleId="CommentTextChar">
    <w:name w:val="Comment Text Char"/>
    <w:basedOn w:val="DefaultParagraphFont"/>
    <w:link w:val="CommentText"/>
    <w:uiPriority w:val="99"/>
    <w:semiHidden/>
    <w:locked/>
    <w:rsid w:val="00E4273B"/>
    <w:rPr>
      <w:rFonts w:cs="Times New Roman"/>
      <w:sz w:val="20"/>
      <w:szCs w:val="20"/>
    </w:rPr>
  </w:style>
  <w:style w:type="paragraph" w:styleId="CommentSubject">
    <w:name w:val="annotation subject"/>
    <w:basedOn w:val="CommentText"/>
    <w:next w:val="CommentText"/>
    <w:link w:val="CommentSubjectChar"/>
    <w:uiPriority w:val="99"/>
    <w:semiHidden/>
    <w:rsid w:val="00DC215F"/>
    <w:rPr>
      <w:b/>
      <w:bCs/>
    </w:rPr>
  </w:style>
  <w:style w:type="character" w:customStyle="1" w:styleId="CommentSubjectChar">
    <w:name w:val="Comment Subject Char"/>
    <w:basedOn w:val="CommentTextChar"/>
    <w:link w:val="CommentSubject"/>
    <w:uiPriority w:val="99"/>
    <w:semiHidden/>
    <w:locked/>
    <w:rsid w:val="00E4273B"/>
    <w:rPr>
      <w:rFonts w:cs="Times New Roman"/>
      <w:b/>
      <w:bCs/>
      <w:sz w:val="20"/>
      <w:szCs w:val="20"/>
    </w:rPr>
  </w:style>
  <w:style w:type="paragraph" w:styleId="DocumentMap">
    <w:name w:val="Document Map"/>
    <w:basedOn w:val="Normal"/>
    <w:link w:val="DocumentMapChar"/>
    <w:uiPriority w:val="99"/>
    <w:semiHidden/>
    <w:rsid w:val="00300C69"/>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E4273B"/>
    <w:rPr>
      <w:rFonts w:cs="Times New Roman"/>
      <w:sz w:val="2"/>
    </w:rPr>
  </w:style>
  <w:style w:type="paragraph" w:customStyle="1" w:styleId="Default">
    <w:name w:val="Default"/>
    <w:uiPriority w:val="99"/>
    <w:rsid w:val="00775EFA"/>
    <w:pPr>
      <w:autoSpaceDE w:val="0"/>
      <w:autoSpaceDN w:val="0"/>
      <w:adjustRightInd w:val="0"/>
    </w:pPr>
    <w:rPr>
      <w:color w:val="000000"/>
      <w:sz w:val="24"/>
      <w:szCs w:val="24"/>
    </w:rPr>
  </w:style>
  <w:style w:type="character" w:styleId="PageNumber">
    <w:name w:val="page number"/>
    <w:basedOn w:val="DefaultParagraphFont"/>
    <w:uiPriority w:val="99"/>
    <w:rsid w:val="00703194"/>
    <w:rPr>
      <w:rFonts w:cs="Times New Roman"/>
    </w:rPr>
  </w:style>
  <w:style w:type="paragraph" w:customStyle="1" w:styleId="CM30">
    <w:name w:val="CM30"/>
    <w:basedOn w:val="Default"/>
    <w:next w:val="Default"/>
    <w:uiPriority w:val="99"/>
    <w:rsid w:val="00BD0D28"/>
    <w:rPr>
      <w:color w:val="auto"/>
    </w:rPr>
  </w:style>
  <w:style w:type="paragraph" w:customStyle="1" w:styleId="CM6">
    <w:name w:val="CM6"/>
    <w:basedOn w:val="Default"/>
    <w:next w:val="Default"/>
    <w:uiPriority w:val="99"/>
    <w:rsid w:val="00BD0D28"/>
    <w:pPr>
      <w:spacing w:line="278" w:lineRule="atLeast"/>
    </w:pPr>
    <w:rPr>
      <w:color w:val="auto"/>
    </w:rPr>
  </w:style>
  <w:style w:type="paragraph" w:customStyle="1" w:styleId="CM7">
    <w:name w:val="CM7"/>
    <w:basedOn w:val="Default"/>
    <w:next w:val="Default"/>
    <w:uiPriority w:val="99"/>
    <w:rsid w:val="00BD0D28"/>
    <w:pPr>
      <w:spacing w:line="276" w:lineRule="atLeast"/>
    </w:pPr>
    <w:rPr>
      <w:color w:val="auto"/>
    </w:rPr>
  </w:style>
  <w:style w:type="paragraph" w:customStyle="1" w:styleId="CM12">
    <w:name w:val="CM12"/>
    <w:basedOn w:val="Default"/>
    <w:next w:val="Default"/>
    <w:uiPriority w:val="99"/>
    <w:rsid w:val="007A45CB"/>
    <w:rPr>
      <w:color w:val="auto"/>
    </w:rPr>
  </w:style>
  <w:style w:type="paragraph" w:styleId="ListParagraph">
    <w:name w:val="List Paragraph"/>
    <w:basedOn w:val="Normal"/>
    <w:uiPriority w:val="34"/>
    <w:qFormat/>
    <w:rsid w:val="00053D46"/>
    <w:pPr>
      <w:ind w:left="720"/>
      <w:contextualSpacing/>
    </w:pPr>
  </w:style>
  <w:style w:type="paragraph" w:styleId="PlainText">
    <w:name w:val="Plain Text"/>
    <w:basedOn w:val="Normal"/>
    <w:link w:val="PlainTextChar"/>
    <w:uiPriority w:val="99"/>
    <w:rsid w:val="00B635BA"/>
    <w:rPr>
      <w:rFonts w:ascii="Calibri" w:hAnsi="Calibri"/>
      <w:sz w:val="22"/>
      <w:szCs w:val="21"/>
    </w:rPr>
  </w:style>
  <w:style w:type="character" w:customStyle="1" w:styleId="PlainTextChar">
    <w:name w:val="Plain Text Char"/>
    <w:basedOn w:val="DefaultParagraphFont"/>
    <w:link w:val="PlainText"/>
    <w:uiPriority w:val="99"/>
    <w:locked/>
    <w:rsid w:val="00B635BA"/>
    <w:rPr>
      <w:rFonts w:ascii="Calibri" w:hAnsi="Calibri" w:cs="Times New Roman"/>
      <w:sz w:val="21"/>
      <w:szCs w:val="21"/>
    </w:rPr>
  </w:style>
  <w:style w:type="character" w:styleId="Hyperlink">
    <w:name w:val="Hyperlink"/>
    <w:basedOn w:val="DefaultParagraphFont"/>
    <w:uiPriority w:val="99"/>
    <w:semiHidden/>
    <w:rsid w:val="00CA61E5"/>
    <w:rPr>
      <w:rFonts w:cs="Times New Roman"/>
      <w:color w:val="07459A"/>
      <w:u w:val="single"/>
    </w:rPr>
  </w:style>
  <w:style w:type="paragraph" w:styleId="NoSpacing">
    <w:name w:val="No Spacing"/>
    <w:uiPriority w:val="99"/>
    <w:qFormat/>
    <w:rsid w:val="006208EA"/>
    <w:rPr>
      <w:rFonts w:ascii="Calibri" w:hAnsi="Calibri"/>
    </w:rPr>
  </w:style>
  <w:style w:type="table" w:styleId="LightShading-Accent1">
    <w:name w:val="Light Shading Accent 1"/>
    <w:basedOn w:val="TableNormal"/>
    <w:uiPriority w:val="99"/>
    <w:rsid w:val="004F4D3B"/>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LightList">
    <w:name w:val="Light List"/>
    <w:basedOn w:val="TableNormal"/>
    <w:uiPriority w:val="99"/>
    <w:rsid w:val="004F4D3B"/>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styleId="FollowedHyperlink">
    <w:name w:val="FollowedHyperlink"/>
    <w:basedOn w:val="DefaultParagraphFont"/>
    <w:uiPriority w:val="99"/>
    <w:semiHidden/>
    <w:rsid w:val="00F27B96"/>
    <w:rPr>
      <w:rFonts w:cs="Times New Roman"/>
      <w:color w:val="800080"/>
      <w:u w:val="single"/>
    </w:rPr>
  </w:style>
  <w:style w:type="character" w:styleId="Emphasis">
    <w:name w:val="Emphasis"/>
    <w:basedOn w:val="DefaultParagraphFont"/>
    <w:uiPriority w:val="99"/>
    <w:qFormat/>
    <w:locked/>
    <w:rsid w:val="00B91281"/>
    <w:rPr>
      <w:rFonts w:cs="Times New Roman"/>
      <w:i/>
      <w:iCs/>
    </w:rPr>
  </w:style>
  <w:style w:type="character" w:customStyle="1" w:styleId="EmailStyle561">
    <w:name w:val="EmailStyle561"/>
    <w:basedOn w:val="DefaultParagraphFont"/>
    <w:uiPriority w:val="99"/>
    <w:semiHidden/>
    <w:rsid w:val="007809AB"/>
    <w:rPr>
      <w:rFonts w:ascii="Calibri" w:hAnsi="Calibri" w:cs="Arial"/>
      <w:color w:val="000080"/>
      <w:sz w:val="20"/>
      <w:szCs w:val="20"/>
      <w:u w:val="none"/>
      <w:effect w:val="none"/>
    </w:rPr>
  </w:style>
  <w:style w:type="paragraph" w:styleId="Revision">
    <w:name w:val="Revision"/>
    <w:hidden/>
    <w:uiPriority w:val="99"/>
    <w:semiHidden/>
    <w:rsid w:val="008D78EE"/>
    <w:rPr>
      <w:sz w:val="24"/>
      <w:szCs w:val="20"/>
    </w:rPr>
  </w:style>
  <w:style w:type="character" w:customStyle="1" w:styleId="poms-italic">
    <w:name w:val="poms-italic"/>
    <w:basedOn w:val="DefaultParagraphFont"/>
    <w:rsid w:val="00891C25"/>
  </w:style>
  <w:style w:type="character" w:customStyle="1" w:styleId="UnresolvedMention">
    <w:name w:val="Unresolved Mention"/>
    <w:basedOn w:val="DefaultParagraphFont"/>
    <w:uiPriority w:val="99"/>
    <w:semiHidden/>
    <w:unhideWhenUsed/>
    <w:rsid w:val="00851612"/>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32BF5"/>
    <w:rPr>
      <w:sz w:val="24"/>
      <w:szCs w:val="20"/>
    </w:rPr>
  </w:style>
  <w:style w:type="paragraph" w:styleId="Heading2">
    <w:name w:val="heading 2"/>
    <w:basedOn w:val="Normal"/>
    <w:next w:val="Normal"/>
    <w:link w:val="Heading2Char"/>
    <w:uiPriority w:val="99"/>
    <w:qFormat/>
    <w:rsid w:val="00E32BF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E32BF5"/>
    <w:rPr>
      <w:rFonts w:ascii="Arial" w:hAnsi="Arial" w:cs="Times New Roman"/>
      <w:b/>
      <w:i/>
      <w:sz w:val="28"/>
      <w:lang w:val="en-US" w:eastAsia="en-US"/>
    </w:rPr>
  </w:style>
  <w:style w:type="paragraph" w:styleId="BalloonText">
    <w:name w:val="Balloon Text"/>
    <w:basedOn w:val="Normal"/>
    <w:link w:val="BalloonTextChar"/>
    <w:uiPriority w:val="99"/>
    <w:semiHidden/>
    <w:rsid w:val="00DC215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273B"/>
    <w:rPr>
      <w:rFonts w:cs="Times New Roman"/>
      <w:sz w:val="2"/>
    </w:rPr>
  </w:style>
  <w:style w:type="paragraph" w:customStyle="1" w:styleId="ExecOffice">
    <w:name w:val="Exec Office"/>
    <w:basedOn w:val="Normal"/>
    <w:uiPriority w:val="99"/>
    <w:rsid w:val="00E32BF5"/>
    <w:pPr>
      <w:framePr w:w="6927" w:hSpace="187" w:wrap="notBeside" w:vAnchor="text" w:hAnchor="page" w:x="3594" w:y="1"/>
      <w:jc w:val="center"/>
    </w:pPr>
    <w:rPr>
      <w:rFonts w:ascii="Arial" w:hAnsi="Arial"/>
      <w:sz w:val="28"/>
    </w:rPr>
  </w:style>
  <w:style w:type="paragraph" w:customStyle="1" w:styleId="Weld">
    <w:name w:val="Weld"/>
    <w:basedOn w:val="Normal"/>
    <w:uiPriority w:val="99"/>
    <w:rsid w:val="00E32BF5"/>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uiPriority w:val="99"/>
    <w:rsid w:val="00E32BF5"/>
    <w:pPr>
      <w:framePr w:hSpace="187" w:wrap="notBeside" w:vAnchor="text" w:hAnchor="page" w:x="546" w:y="141"/>
      <w:spacing w:after="120"/>
      <w:jc w:val="center"/>
    </w:pPr>
    <w:rPr>
      <w:rFonts w:ascii="Arial Rounded MT Bold" w:hAnsi="Arial Rounded MT Bold"/>
      <w:sz w:val="14"/>
    </w:rPr>
  </w:style>
  <w:style w:type="paragraph" w:styleId="Caption">
    <w:name w:val="caption"/>
    <w:basedOn w:val="Normal"/>
    <w:next w:val="Normal"/>
    <w:uiPriority w:val="99"/>
    <w:qFormat/>
    <w:rsid w:val="00E32BF5"/>
    <w:pPr>
      <w:jc w:val="center"/>
    </w:pPr>
    <w:rPr>
      <w:rFonts w:ascii="Arial" w:hAnsi="Arial"/>
      <w:b/>
      <w:sz w:val="22"/>
    </w:rPr>
  </w:style>
  <w:style w:type="paragraph" w:styleId="NormalWeb">
    <w:name w:val="Normal (Web)"/>
    <w:basedOn w:val="Normal"/>
    <w:uiPriority w:val="99"/>
    <w:rsid w:val="00E32BF5"/>
    <w:pPr>
      <w:spacing w:before="100" w:beforeAutospacing="1" w:after="100" w:afterAutospacing="1"/>
    </w:pPr>
    <w:rPr>
      <w:szCs w:val="24"/>
    </w:rPr>
  </w:style>
  <w:style w:type="paragraph" w:styleId="EndnoteText">
    <w:name w:val="endnote text"/>
    <w:basedOn w:val="Normal"/>
    <w:link w:val="EndnoteTextChar"/>
    <w:uiPriority w:val="99"/>
    <w:semiHidden/>
    <w:rsid w:val="00E32BF5"/>
    <w:rPr>
      <w:rFonts w:ascii="Arial" w:eastAsia="Batang" w:hAnsi="Arial"/>
      <w:sz w:val="20"/>
    </w:rPr>
  </w:style>
  <w:style w:type="character" w:customStyle="1" w:styleId="EndnoteTextChar">
    <w:name w:val="Endnote Text Char"/>
    <w:basedOn w:val="DefaultParagraphFont"/>
    <w:link w:val="EndnoteText"/>
    <w:uiPriority w:val="99"/>
    <w:semiHidden/>
    <w:locked/>
    <w:rsid w:val="00E4273B"/>
    <w:rPr>
      <w:rFonts w:cs="Times New Roman"/>
      <w:sz w:val="20"/>
      <w:szCs w:val="20"/>
    </w:rPr>
  </w:style>
  <w:style w:type="character" w:styleId="EndnoteReference">
    <w:name w:val="endnote reference"/>
    <w:basedOn w:val="DefaultParagraphFont"/>
    <w:uiPriority w:val="99"/>
    <w:semiHidden/>
    <w:rsid w:val="00E32BF5"/>
    <w:rPr>
      <w:rFonts w:cs="Times New Roman"/>
      <w:vertAlign w:val="superscript"/>
    </w:rPr>
  </w:style>
  <w:style w:type="table" w:styleId="TableGrid">
    <w:name w:val="Table Grid"/>
    <w:basedOn w:val="TableNormal"/>
    <w:uiPriority w:val="59"/>
    <w:rsid w:val="00EB1CC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A7E09"/>
    <w:pPr>
      <w:tabs>
        <w:tab w:val="center" w:pos="4320"/>
        <w:tab w:val="right" w:pos="8640"/>
      </w:tabs>
    </w:pPr>
  </w:style>
  <w:style w:type="character" w:customStyle="1" w:styleId="HeaderChar">
    <w:name w:val="Header Char"/>
    <w:basedOn w:val="DefaultParagraphFont"/>
    <w:link w:val="Header"/>
    <w:uiPriority w:val="99"/>
    <w:locked/>
    <w:rsid w:val="00E4273B"/>
    <w:rPr>
      <w:rFonts w:cs="Times New Roman"/>
      <w:sz w:val="20"/>
      <w:szCs w:val="20"/>
    </w:rPr>
  </w:style>
  <w:style w:type="paragraph" w:styleId="Footer">
    <w:name w:val="footer"/>
    <w:basedOn w:val="Normal"/>
    <w:link w:val="FooterChar"/>
    <w:uiPriority w:val="99"/>
    <w:rsid w:val="00AA7E09"/>
    <w:pPr>
      <w:tabs>
        <w:tab w:val="center" w:pos="4320"/>
        <w:tab w:val="right" w:pos="8640"/>
      </w:tabs>
    </w:pPr>
  </w:style>
  <w:style w:type="character" w:customStyle="1" w:styleId="FooterChar">
    <w:name w:val="Footer Char"/>
    <w:basedOn w:val="DefaultParagraphFont"/>
    <w:link w:val="Footer"/>
    <w:uiPriority w:val="99"/>
    <w:locked/>
    <w:rsid w:val="00E4273B"/>
    <w:rPr>
      <w:rFonts w:cs="Times New Roman"/>
      <w:sz w:val="20"/>
      <w:szCs w:val="20"/>
    </w:rPr>
  </w:style>
  <w:style w:type="paragraph" w:styleId="FootnoteText">
    <w:name w:val="footnote text"/>
    <w:basedOn w:val="Normal"/>
    <w:link w:val="FootnoteTextChar"/>
    <w:uiPriority w:val="99"/>
    <w:semiHidden/>
    <w:rsid w:val="00E548D7"/>
    <w:rPr>
      <w:sz w:val="20"/>
    </w:rPr>
  </w:style>
  <w:style w:type="character" w:customStyle="1" w:styleId="FootnoteTextChar">
    <w:name w:val="Footnote Text Char"/>
    <w:basedOn w:val="DefaultParagraphFont"/>
    <w:link w:val="FootnoteText"/>
    <w:uiPriority w:val="99"/>
    <w:semiHidden/>
    <w:locked/>
    <w:rsid w:val="00E4273B"/>
    <w:rPr>
      <w:rFonts w:cs="Times New Roman"/>
      <w:sz w:val="20"/>
      <w:szCs w:val="20"/>
    </w:rPr>
  </w:style>
  <w:style w:type="character" w:styleId="FootnoteReference">
    <w:name w:val="footnote reference"/>
    <w:basedOn w:val="DefaultParagraphFont"/>
    <w:uiPriority w:val="99"/>
    <w:semiHidden/>
    <w:rsid w:val="00E548D7"/>
    <w:rPr>
      <w:rFonts w:cs="Times New Roman"/>
      <w:vertAlign w:val="superscript"/>
    </w:rPr>
  </w:style>
  <w:style w:type="character" w:styleId="CommentReference">
    <w:name w:val="annotation reference"/>
    <w:basedOn w:val="DefaultParagraphFont"/>
    <w:uiPriority w:val="99"/>
    <w:semiHidden/>
    <w:rsid w:val="00DC215F"/>
    <w:rPr>
      <w:rFonts w:cs="Times New Roman"/>
      <w:sz w:val="16"/>
    </w:rPr>
  </w:style>
  <w:style w:type="paragraph" w:styleId="CommentText">
    <w:name w:val="annotation text"/>
    <w:basedOn w:val="Normal"/>
    <w:link w:val="CommentTextChar"/>
    <w:uiPriority w:val="99"/>
    <w:semiHidden/>
    <w:rsid w:val="00DC215F"/>
    <w:rPr>
      <w:sz w:val="20"/>
    </w:rPr>
  </w:style>
  <w:style w:type="character" w:customStyle="1" w:styleId="CommentTextChar">
    <w:name w:val="Comment Text Char"/>
    <w:basedOn w:val="DefaultParagraphFont"/>
    <w:link w:val="CommentText"/>
    <w:uiPriority w:val="99"/>
    <w:semiHidden/>
    <w:locked/>
    <w:rsid w:val="00E4273B"/>
    <w:rPr>
      <w:rFonts w:cs="Times New Roman"/>
      <w:sz w:val="20"/>
      <w:szCs w:val="20"/>
    </w:rPr>
  </w:style>
  <w:style w:type="paragraph" w:styleId="CommentSubject">
    <w:name w:val="annotation subject"/>
    <w:basedOn w:val="CommentText"/>
    <w:next w:val="CommentText"/>
    <w:link w:val="CommentSubjectChar"/>
    <w:uiPriority w:val="99"/>
    <w:semiHidden/>
    <w:rsid w:val="00DC215F"/>
    <w:rPr>
      <w:b/>
      <w:bCs/>
    </w:rPr>
  </w:style>
  <w:style w:type="character" w:customStyle="1" w:styleId="CommentSubjectChar">
    <w:name w:val="Comment Subject Char"/>
    <w:basedOn w:val="CommentTextChar"/>
    <w:link w:val="CommentSubject"/>
    <w:uiPriority w:val="99"/>
    <w:semiHidden/>
    <w:locked/>
    <w:rsid w:val="00E4273B"/>
    <w:rPr>
      <w:rFonts w:cs="Times New Roman"/>
      <w:b/>
      <w:bCs/>
      <w:sz w:val="20"/>
      <w:szCs w:val="20"/>
    </w:rPr>
  </w:style>
  <w:style w:type="paragraph" w:styleId="DocumentMap">
    <w:name w:val="Document Map"/>
    <w:basedOn w:val="Normal"/>
    <w:link w:val="DocumentMapChar"/>
    <w:uiPriority w:val="99"/>
    <w:semiHidden/>
    <w:rsid w:val="00300C69"/>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E4273B"/>
    <w:rPr>
      <w:rFonts w:cs="Times New Roman"/>
      <w:sz w:val="2"/>
    </w:rPr>
  </w:style>
  <w:style w:type="paragraph" w:customStyle="1" w:styleId="Default">
    <w:name w:val="Default"/>
    <w:uiPriority w:val="99"/>
    <w:rsid w:val="00775EFA"/>
    <w:pPr>
      <w:autoSpaceDE w:val="0"/>
      <w:autoSpaceDN w:val="0"/>
      <w:adjustRightInd w:val="0"/>
    </w:pPr>
    <w:rPr>
      <w:color w:val="000000"/>
      <w:sz w:val="24"/>
      <w:szCs w:val="24"/>
    </w:rPr>
  </w:style>
  <w:style w:type="character" w:styleId="PageNumber">
    <w:name w:val="page number"/>
    <w:basedOn w:val="DefaultParagraphFont"/>
    <w:uiPriority w:val="99"/>
    <w:rsid w:val="00703194"/>
    <w:rPr>
      <w:rFonts w:cs="Times New Roman"/>
    </w:rPr>
  </w:style>
  <w:style w:type="paragraph" w:customStyle="1" w:styleId="CM30">
    <w:name w:val="CM30"/>
    <w:basedOn w:val="Default"/>
    <w:next w:val="Default"/>
    <w:uiPriority w:val="99"/>
    <w:rsid w:val="00BD0D28"/>
    <w:rPr>
      <w:color w:val="auto"/>
    </w:rPr>
  </w:style>
  <w:style w:type="paragraph" w:customStyle="1" w:styleId="CM6">
    <w:name w:val="CM6"/>
    <w:basedOn w:val="Default"/>
    <w:next w:val="Default"/>
    <w:uiPriority w:val="99"/>
    <w:rsid w:val="00BD0D28"/>
    <w:pPr>
      <w:spacing w:line="278" w:lineRule="atLeast"/>
    </w:pPr>
    <w:rPr>
      <w:color w:val="auto"/>
    </w:rPr>
  </w:style>
  <w:style w:type="paragraph" w:customStyle="1" w:styleId="CM7">
    <w:name w:val="CM7"/>
    <w:basedOn w:val="Default"/>
    <w:next w:val="Default"/>
    <w:uiPriority w:val="99"/>
    <w:rsid w:val="00BD0D28"/>
    <w:pPr>
      <w:spacing w:line="276" w:lineRule="atLeast"/>
    </w:pPr>
    <w:rPr>
      <w:color w:val="auto"/>
    </w:rPr>
  </w:style>
  <w:style w:type="paragraph" w:customStyle="1" w:styleId="CM12">
    <w:name w:val="CM12"/>
    <w:basedOn w:val="Default"/>
    <w:next w:val="Default"/>
    <w:uiPriority w:val="99"/>
    <w:rsid w:val="007A45CB"/>
    <w:rPr>
      <w:color w:val="auto"/>
    </w:rPr>
  </w:style>
  <w:style w:type="paragraph" w:styleId="ListParagraph">
    <w:name w:val="List Paragraph"/>
    <w:basedOn w:val="Normal"/>
    <w:uiPriority w:val="34"/>
    <w:qFormat/>
    <w:rsid w:val="00053D46"/>
    <w:pPr>
      <w:ind w:left="720"/>
      <w:contextualSpacing/>
    </w:pPr>
  </w:style>
  <w:style w:type="paragraph" w:styleId="PlainText">
    <w:name w:val="Plain Text"/>
    <w:basedOn w:val="Normal"/>
    <w:link w:val="PlainTextChar"/>
    <w:uiPriority w:val="99"/>
    <w:rsid w:val="00B635BA"/>
    <w:rPr>
      <w:rFonts w:ascii="Calibri" w:hAnsi="Calibri"/>
      <w:sz w:val="22"/>
      <w:szCs w:val="21"/>
    </w:rPr>
  </w:style>
  <w:style w:type="character" w:customStyle="1" w:styleId="PlainTextChar">
    <w:name w:val="Plain Text Char"/>
    <w:basedOn w:val="DefaultParagraphFont"/>
    <w:link w:val="PlainText"/>
    <w:uiPriority w:val="99"/>
    <w:locked/>
    <w:rsid w:val="00B635BA"/>
    <w:rPr>
      <w:rFonts w:ascii="Calibri" w:hAnsi="Calibri" w:cs="Times New Roman"/>
      <w:sz w:val="21"/>
      <w:szCs w:val="21"/>
    </w:rPr>
  </w:style>
  <w:style w:type="character" w:styleId="Hyperlink">
    <w:name w:val="Hyperlink"/>
    <w:basedOn w:val="DefaultParagraphFont"/>
    <w:uiPriority w:val="99"/>
    <w:semiHidden/>
    <w:rsid w:val="00CA61E5"/>
    <w:rPr>
      <w:rFonts w:cs="Times New Roman"/>
      <w:color w:val="07459A"/>
      <w:u w:val="single"/>
    </w:rPr>
  </w:style>
  <w:style w:type="paragraph" w:styleId="NoSpacing">
    <w:name w:val="No Spacing"/>
    <w:uiPriority w:val="99"/>
    <w:qFormat/>
    <w:rsid w:val="006208EA"/>
    <w:rPr>
      <w:rFonts w:ascii="Calibri" w:hAnsi="Calibri"/>
    </w:rPr>
  </w:style>
  <w:style w:type="table" w:styleId="LightShading-Accent1">
    <w:name w:val="Light Shading Accent 1"/>
    <w:basedOn w:val="TableNormal"/>
    <w:uiPriority w:val="99"/>
    <w:rsid w:val="004F4D3B"/>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LightList">
    <w:name w:val="Light List"/>
    <w:basedOn w:val="TableNormal"/>
    <w:uiPriority w:val="99"/>
    <w:rsid w:val="004F4D3B"/>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styleId="FollowedHyperlink">
    <w:name w:val="FollowedHyperlink"/>
    <w:basedOn w:val="DefaultParagraphFont"/>
    <w:uiPriority w:val="99"/>
    <w:semiHidden/>
    <w:rsid w:val="00F27B96"/>
    <w:rPr>
      <w:rFonts w:cs="Times New Roman"/>
      <w:color w:val="800080"/>
      <w:u w:val="single"/>
    </w:rPr>
  </w:style>
  <w:style w:type="character" w:styleId="Emphasis">
    <w:name w:val="Emphasis"/>
    <w:basedOn w:val="DefaultParagraphFont"/>
    <w:uiPriority w:val="99"/>
    <w:qFormat/>
    <w:locked/>
    <w:rsid w:val="00B91281"/>
    <w:rPr>
      <w:rFonts w:cs="Times New Roman"/>
      <w:i/>
      <w:iCs/>
    </w:rPr>
  </w:style>
  <w:style w:type="character" w:customStyle="1" w:styleId="EmailStyle561">
    <w:name w:val="EmailStyle561"/>
    <w:basedOn w:val="DefaultParagraphFont"/>
    <w:uiPriority w:val="99"/>
    <w:semiHidden/>
    <w:rsid w:val="007809AB"/>
    <w:rPr>
      <w:rFonts w:ascii="Calibri" w:hAnsi="Calibri" w:cs="Arial"/>
      <w:color w:val="000080"/>
      <w:sz w:val="20"/>
      <w:szCs w:val="20"/>
      <w:u w:val="none"/>
      <w:effect w:val="none"/>
    </w:rPr>
  </w:style>
  <w:style w:type="paragraph" w:styleId="Revision">
    <w:name w:val="Revision"/>
    <w:hidden/>
    <w:uiPriority w:val="99"/>
    <w:semiHidden/>
    <w:rsid w:val="008D78EE"/>
    <w:rPr>
      <w:sz w:val="24"/>
      <w:szCs w:val="20"/>
    </w:rPr>
  </w:style>
  <w:style w:type="character" w:customStyle="1" w:styleId="poms-italic">
    <w:name w:val="poms-italic"/>
    <w:basedOn w:val="DefaultParagraphFont"/>
    <w:rsid w:val="00891C25"/>
  </w:style>
  <w:style w:type="character" w:customStyle="1" w:styleId="UnresolvedMention">
    <w:name w:val="Unresolved Mention"/>
    <w:basedOn w:val="DefaultParagraphFont"/>
    <w:uiPriority w:val="99"/>
    <w:semiHidden/>
    <w:unhideWhenUsed/>
    <w:rsid w:val="0085161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68840">
      <w:bodyDiv w:val="1"/>
      <w:marLeft w:val="0"/>
      <w:marRight w:val="0"/>
      <w:marTop w:val="0"/>
      <w:marBottom w:val="0"/>
      <w:divBdr>
        <w:top w:val="none" w:sz="0" w:space="0" w:color="auto"/>
        <w:left w:val="none" w:sz="0" w:space="0" w:color="auto"/>
        <w:bottom w:val="none" w:sz="0" w:space="0" w:color="auto"/>
        <w:right w:val="none" w:sz="0" w:space="0" w:color="auto"/>
      </w:divBdr>
    </w:div>
    <w:div w:id="677076500">
      <w:marLeft w:val="0"/>
      <w:marRight w:val="0"/>
      <w:marTop w:val="0"/>
      <w:marBottom w:val="0"/>
      <w:divBdr>
        <w:top w:val="none" w:sz="0" w:space="0" w:color="auto"/>
        <w:left w:val="none" w:sz="0" w:space="0" w:color="auto"/>
        <w:bottom w:val="none" w:sz="0" w:space="0" w:color="auto"/>
        <w:right w:val="none" w:sz="0" w:space="0" w:color="auto"/>
      </w:divBdr>
    </w:div>
    <w:div w:id="733354825">
      <w:bodyDiv w:val="1"/>
      <w:marLeft w:val="0"/>
      <w:marRight w:val="0"/>
      <w:marTop w:val="0"/>
      <w:marBottom w:val="0"/>
      <w:divBdr>
        <w:top w:val="none" w:sz="0" w:space="0" w:color="auto"/>
        <w:left w:val="none" w:sz="0" w:space="0" w:color="auto"/>
        <w:bottom w:val="none" w:sz="0" w:space="0" w:color="auto"/>
        <w:right w:val="none" w:sz="0" w:space="0" w:color="auto"/>
      </w:divBdr>
    </w:div>
    <w:div w:id="909729323">
      <w:marLeft w:val="0"/>
      <w:marRight w:val="0"/>
      <w:marTop w:val="0"/>
      <w:marBottom w:val="0"/>
      <w:divBdr>
        <w:top w:val="none" w:sz="0" w:space="0" w:color="auto"/>
        <w:left w:val="none" w:sz="0" w:space="0" w:color="auto"/>
        <w:bottom w:val="none" w:sz="0" w:space="0" w:color="auto"/>
        <w:right w:val="none" w:sz="0" w:space="0" w:color="auto"/>
      </w:divBdr>
      <w:divsChild>
        <w:div w:id="909729322">
          <w:marLeft w:val="0"/>
          <w:marRight w:val="0"/>
          <w:marTop w:val="0"/>
          <w:marBottom w:val="0"/>
          <w:divBdr>
            <w:top w:val="none" w:sz="0" w:space="0" w:color="auto"/>
            <w:left w:val="none" w:sz="0" w:space="0" w:color="auto"/>
            <w:bottom w:val="none" w:sz="0" w:space="0" w:color="auto"/>
            <w:right w:val="none" w:sz="0" w:space="0" w:color="auto"/>
          </w:divBdr>
          <w:divsChild>
            <w:div w:id="909729412">
              <w:marLeft w:val="0"/>
              <w:marRight w:val="0"/>
              <w:marTop w:val="0"/>
              <w:marBottom w:val="0"/>
              <w:divBdr>
                <w:top w:val="none" w:sz="0" w:space="0" w:color="auto"/>
                <w:left w:val="none" w:sz="0" w:space="0" w:color="auto"/>
                <w:bottom w:val="none" w:sz="0" w:space="0" w:color="auto"/>
                <w:right w:val="none" w:sz="0" w:space="0" w:color="auto"/>
              </w:divBdr>
              <w:divsChild>
                <w:div w:id="90972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729324">
      <w:marLeft w:val="0"/>
      <w:marRight w:val="0"/>
      <w:marTop w:val="0"/>
      <w:marBottom w:val="0"/>
      <w:divBdr>
        <w:top w:val="none" w:sz="0" w:space="0" w:color="auto"/>
        <w:left w:val="none" w:sz="0" w:space="0" w:color="auto"/>
        <w:bottom w:val="none" w:sz="0" w:space="0" w:color="auto"/>
        <w:right w:val="none" w:sz="0" w:space="0" w:color="auto"/>
      </w:divBdr>
    </w:div>
    <w:div w:id="909729330">
      <w:marLeft w:val="0"/>
      <w:marRight w:val="0"/>
      <w:marTop w:val="0"/>
      <w:marBottom w:val="0"/>
      <w:divBdr>
        <w:top w:val="none" w:sz="0" w:space="0" w:color="auto"/>
        <w:left w:val="none" w:sz="0" w:space="0" w:color="auto"/>
        <w:bottom w:val="none" w:sz="0" w:space="0" w:color="auto"/>
        <w:right w:val="none" w:sz="0" w:space="0" w:color="auto"/>
      </w:divBdr>
      <w:divsChild>
        <w:div w:id="909729371">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41">
              <w:marLeft w:val="0"/>
              <w:marRight w:val="0"/>
              <w:marTop w:val="0"/>
              <w:marBottom w:val="0"/>
              <w:divBdr>
                <w:top w:val="none" w:sz="0" w:space="0" w:color="auto"/>
                <w:left w:val="none" w:sz="0" w:space="0" w:color="auto"/>
                <w:bottom w:val="none" w:sz="0" w:space="0" w:color="auto"/>
                <w:right w:val="none" w:sz="0" w:space="0" w:color="auto"/>
              </w:divBdr>
              <w:divsChild>
                <w:div w:id="909729335">
                  <w:marLeft w:val="0"/>
                  <w:marRight w:val="0"/>
                  <w:marTop w:val="0"/>
                  <w:marBottom w:val="0"/>
                  <w:divBdr>
                    <w:top w:val="none" w:sz="0" w:space="0" w:color="auto"/>
                    <w:left w:val="none" w:sz="0" w:space="0" w:color="auto"/>
                    <w:bottom w:val="none" w:sz="0" w:space="0" w:color="auto"/>
                    <w:right w:val="none" w:sz="0" w:space="0" w:color="auto"/>
                  </w:divBdr>
                  <w:divsChild>
                    <w:div w:id="909729375">
                      <w:marLeft w:val="0"/>
                      <w:marRight w:val="0"/>
                      <w:marTop w:val="0"/>
                      <w:marBottom w:val="0"/>
                      <w:divBdr>
                        <w:top w:val="none" w:sz="0" w:space="0" w:color="auto"/>
                        <w:left w:val="none" w:sz="0" w:space="0" w:color="auto"/>
                        <w:bottom w:val="none" w:sz="0" w:space="0" w:color="auto"/>
                        <w:right w:val="none" w:sz="0" w:space="0" w:color="auto"/>
                      </w:divBdr>
                      <w:divsChild>
                        <w:div w:id="909729326">
                          <w:marLeft w:val="0"/>
                          <w:marRight w:val="0"/>
                          <w:marTop w:val="0"/>
                          <w:marBottom w:val="0"/>
                          <w:divBdr>
                            <w:top w:val="none" w:sz="0" w:space="0" w:color="auto"/>
                            <w:left w:val="none" w:sz="0" w:space="0" w:color="auto"/>
                            <w:bottom w:val="none" w:sz="0" w:space="0" w:color="auto"/>
                            <w:right w:val="none" w:sz="0" w:space="0" w:color="auto"/>
                          </w:divBdr>
                          <w:divsChild>
                            <w:div w:id="909729334">
                              <w:marLeft w:val="0"/>
                              <w:marRight w:val="0"/>
                              <w:marTop w:val="0"/>
                              <w:marBottom w:val="0"/>
                              <w:divBdr>
                                <w:top w:val="none" w:sz="0" w:space="0" w:color="auto"/>
                                <w:left w:val="none" w:sz="0" w:space="0" w:color="auto"/>
                                <w:bottom w:val="none" w:sz="0" w:space="0" w:color="auto"/>
                                <w:right w:val="none" w:sz="0" w:space="0" w:color="auto"/>
                              </w:divBdr>
                              <w:divsChild>
                                <w:div w:id="909729370">
                                  <w:marLeft w:val="0"/>
                                  <w:marRight w:val="0"/>
                                  <w:marTop w:val="0"/>
                                  <w:marBottom w:val="0"/>
                                  <w:divBdr>
                                    <w:top w:val="none" w:sz="0" w:space="0" w:color="auto"/>
                                    <w:left w:val="none" w:sz="0" w:space="0" w:color="auto"/>
                                    <w:bottom w:val="none" w:sz="0" w:space="0" w:color="auto"/>
                                    <w:right w:val="none" w:sz="0" w:space="0" w:color="auto"/>
                                  </w:divBdr>
                                  <w:divsChild>
                                    <w:div w:id="909729362">
                                      <w:marLeft w:val="0"/>
                                      <w:marRight w:val="0"/>
                                      <w:marTop w:val="0"/>
                                      <w:marBottom w:val="0"/>
                                      <w:divBdr>
                                        <w:top w:val="none" w:sz="0" w:space="0" w:color="auto"/>
                                        <w:left w:val="none" w:sz="0" w:space="0" w:color="auto"/>
                                        <w:bottom w:val="none" w:sz="0" w:space="0" w:color="auto"/>
                                        <w:right w:val="none" w:sz="0" w:space="0" w:color="auto"/>
                                      </w:divBdr>
                                      <w:divsChild>
                                        <w:div w:id="909729389">
                                          <w:marLeft w:val="0"/>
                                          <w:marRight w:val="0"/>
                                          <w:marTop w:val="0"/>
                                          <w:marBottom w:val="300"/>
                                          <w:divBdr>
                                            <w:top w:val="none" w:sz="0" w:space="0" w:color="auto"/>
                                            <w:left w:val="none" w:sz="0" w:space="0" w:color="auto"/>
                                            <w:bottom w:val="none" w:sz="0" w:space="0" w:color="auto"/>
                                            <w:right w:val="none" w:sz="0" w:space="0" w:color="auto"/>
                                          </w:divBdr>
                                          <w:divsChild>
                                            <w:div w:id="909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32">
      <w:marLeft w:val="0"/>
      <w:marRight w:val="0"/>
      <w:marTop w:val="0"/>
      <w:marBottom w:val="0"/>
      <w:divBdr>
        <w:top w:val="none" w:sz="0" w:space="0" w:color="auto"/>
        <w:left w:val="none" w:sz="0" w:space="0" w:color="auto"/>
        <w:bottom w:val="none" w:sz="0" w:space="0" w:color="auto"/>
        <w:right w:val="none" w:sz="0" w:space="0" w:color="auto"/>
      </w:divBdr>
      <w:divsChild>
        <w:div w:id="909729349">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90">
              <w:marLeft w:val="0"/>
              <w:marRight w:val="0"/>
              <w:marTop w:val="0"/>
              <w:marBottom w:val="0"/>
              <w:divBdr>
                <w:top w:val="none" w:sz="0" w:space="0" w:color="auto"/>
                <w:left w:val="none" w:sz="0" w:space="0" w:color="auto"/>
                <w:bottom w:val="none" w:sz="0" w:space="0" w:color="auto"/>
                <w:right w:val="none" w:sz="0" w:space="0" w:color="auto"/>
              </w:divBdr>
              <w:divsChild>
                <w:div w:id="909729345">
                  <w:marLeft w:val="0"/>
                  <w:marRight w:val="0"/>
                  <w:marTop w:val="0"/>
                  <w:marBottom w:val="0"/>
                  <w:divBdr>
                    <w:top w:val="none" w:sz="0" w:space="0" w:color="auto"/>
                    <w:left w:val="none" w:sz="0" w:space="0" w:color="auto"/>
                    <w:bottom w:val="none" w:sz="0" w:space="0" w:color="auto"/>
                    <w:right w:val="none" w:sz="0" w:space="0" w:color="auto"/>
                  </w:divBdr>
                  <w:divsChild>
                    <w:div w:id="909729329">
                      <w:marLeft w:val="0"/>
                      <w:marRight w:val="0"/>
                      <w:marTop w:val="0"/>
                      <w:marBottom w:val="0"/>
                      <w:divBdr>
                        <w:top w:val="none" w:sz="0" w:space="0" w:color="auto"/>
                        <w:left w:val="none" w:sz="0" w:space="0" w:color="auto"/>
                        <w:bottom w:val="none" w:sz="0" w:space="0" w:color="auto"/>
                        <w:right w:val="none" w:sz="0" w:space="0" w:color="auto"/>
                      </w:divBdr>
                      <w:divsChild>
                        <w:div w:id="909729378">
                          <w:marLeft w:val="0"/>
                          <w:marRight w:val="0"/>
                          <w:marTop w:val="0"/>
                          <w:marBottom w:val="0"/>
                          <w:divBdr>
                            <w:top w:val="none" w:sz="0" w:space="0" w:color="auto"/>
                            <w:left w:val="none" w:sz="0" w:space="0" w:color="auto"/>
                            <w:bottom w:val="none" w:sz="0" w:space="0" w:color="auto"/>
                            <w:right w:val="none" w:sz="0" w:space="0" w:color="auto"/>
                          </w:divBdr>
                          <w:divsChild>
                            <w:div w:id="909729385">
                              <w:marLeft w:val="0"/>
                              <w:marRight w:val="0"/>
                              <w:marTop w:val="0"/>
                              <w:marBottom w:val="0"/>
                              <w:divBdr>
                                <w:top w:val="none" w:sz="0" w:space="0" w:color="auto"/>
                                <w:left w:val="none" w:sz="0" w:space="0" w:color="auto"/>
                                <w:bottom w:val="none" w:sz="0" w:space="0" w:color="auto"/>
                                <w:right w:val="none" w:sz="0" w:space="0" w:color="auto"/>
                              </w:divBdr>
                              <w:divsChild>
                                <w:div w:id="909729380">
                                  <w:marLeft w:val="0"/>
                                  <w:marRight w:val="0"/>
                                  <w:marTop w:val="0"/>
                                  <w:marBottom w:val="0"/>
                                  <w:divBdr>
                                    <w:top w:val="none" w:sz="0" w:space="0" w:color="auto"/>
                                    <w:left w:val="none" w:sz="0" w:space="0" w:color="auto"/>
                                    <w:bottom w:val="none" w:sz="0" w:space="0" w:color="auto"/>
                                    <w:right w:val="none" w:sz="0" w:space="0" w:color="auto"/>
                                  </w:divBdr>
                                  <w:divsChild>
                                    <w:div w:id="909729373">
                                      <w:marLeft w:val="0"/>
                                      <w:marRight w:val="0"/>
                                      <w:marTop w:val="0"/>
                                      <w:marBottom w:val="0"/>
                                      <w:divBdr>
                                        <w:top w:val="none" w:sz="0" w:space="0" w:color="auto"/>
                                        <w:left w:val="none" w:sz="0" w:space="0" w:color="auto"/>
                                        <w:bottom w:val="none" w:sz="0" w:space="0" w:color="auto"/>
                                        <w:right w:val="none" w:sz="0" w:space="0" w:color="auto"/>
                                      </w:divBdr>
                                      <w:divsChild>
                                        <w:div w:id="909729397">
                                          <w:marLeft w:val="0"/>
                                          <w:marRight w:val="0"/>
                                          <w:marTop w:val="0"/>
                                          <w:marBottom w:val="300"/>
                                          <w:divBdr>
                                            <w:top w:val="none" w:sz="0" w:space="0" w:color="auto"/>
                                            <w:left w:val="none" w:sz="0" w:space="0" w:color="auto"/>
                                            <w:bottom w:val="none" w:sz="0" w:space="0" w:color="auto"/>
                                            <w:right w:val="none" w:sz="0" w:space="0" w:color="auto"/>
                                          </w:divBdr>
                                          <w:divsChild>
                                            <w:div w:id="90972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33">
      <w:marLeft w:val="0"/>
      <w:marRight w:val="0"/>
      <w:marTop w:val="0"/>
      <w:marBottom w:val="0"/>
      <w:divBdr>
        <w:top w:val="none" w:sz="0" w:space="0" w:color="auto"/>
        <w:left w:val="none" w:sz="0" w:space="0" w:color="auto"/>
        <w:bottom w:val="none" w:sz="0" w:space="0" w:color="auto"/>
        <w:right w:val="none" w:sz="0" w:space="0" w:color="auto"/>
      </w:divBdr>
    </w:div>
    <w:div w:id="909729336">
      <w:marLeft w:val="0"/>
      <w:marRight w:val="0"/>
      <w:marTop w:val="0"/>
      <w:marBottom w:val="0"/>
      <w:divBdr>
        <w:top w:val="none" w:sz="0" w:space="0" w:color="auto"/>
        <w:left w:val="none" w:sz="0" w:space="0" w:color="auto"/>
        <w:bottom w:val="none" w:sz="0" w:space="0" w:color="auto"/>
        <w:right w:val="none" w:sz="0" w:space="0" w:color="auto"/>
      </w:divBdr>
      <w:divsChild>
        <w:div w:id="909729402">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60">
              <w:marLeft w:val="0"/>
              <w:marRight w:val="0"/>
              <w:marTop w:val="0"/>
              <w:marBottom w:val="0"/>
              <w:divBdr>
                <w:top w:val="none" w:sz="0" w:space="0" w:color="auto"/>
                <w:left w:val="none" w:sz="0" w:space="0" w:color="auto"/>
                <w:bottom w:val="none" w:sz="0" w:space="0" w:color="auto"/>
                <w:right w:val="none" w:sz="0" w:space="0" w:color="auto"/>
              </w:divBdr>
              <w:divsChild>
                <w:div w:id="909729399">
                  <w:marLeft w:val="0"/>
                  <w:marRight w:val="0"/>
                  <w:marTop w:val="0"/>
                  <w:marBottom w:val="0"/>
                  <w:divBdr>
                    <w:top w:val="none" w:sz="0" w:space="0" w:color="auto"/>
                    <w:left w:val="none" w:sz="0" w:space="0" w:color="auto"/>
                    <w:bottom w:val="none" w:sz="0" w:space="0" w:color="auto"/>
                    <w:right w:val="none" w:sz="0" w:space="0" w:color="auto"/>
                  </w:divBdr>
                  <w:divsChild>
                    <w:div w:id="909729404">
                      <w:marLeft w:val="0"/>
                      <w:marRight w:val="0"/>
                      <w:marTop w:val="0"/>
                      <w:marBottom w:val="0"/>
                      <w:divBdr>
                        <w:top w:val="none" w:sz="0" w:space="0" w:color="auto"/>
                        <w:left w:val="none" w:sz="0" w:space="0" w:color="auto"/>
                        <w:bottom w:val="none" w:sz="0" w:space="0" w:color="auto"/>
                        <w:right w:val="none" w:sz="0" w:space="0" w:color="auto"/>
                      </w:divBdr>
                      <w:divsChild>
                        <w:div w:id="909729353">
                          <w:marLeft w:val="0"/>
                          <w:marRight w:val="0"/>
                          <w:marTop w:val="0"/>
                          <w:marBottom w:val="0"/>
                          <w:divBdr>
                            <w:top w:val="none" w:sz="0" w:space="0" w:color="auto"/>
                            <w:left w:val="none" w:sz="0" w:space="0" w:color="auto"/>
                            <w:bottom w:val="none" w:sz="0" w:space="0" w:color="auto"/>
                            <w:right w:val="none" w:sz="0" w:space="0" w:color="auto"/>
                          </w:divBdr>
                          <w:divsChild>
                            <w:div w:id="909729363">
                              <w:marLeft w:val="0"/>
                              <w:marRight w:val="0"/>
                              <w:marTop w:val="0"/>
                              <w:marBottom w:val="0"/>
                              <w:divBdr>
                                <w:top w:val="none" w:sz="0" w:space="0" w:color="auto"/>
                                <w:left w:val="none" w:sz="0" w:space="0" w:color="auto"/>
                                <w:bottom w:val="none" w:sz="0" w:space="0" w:color="auto"/>
                                <w:right w:val="none" w:sz="0" w:space="0" w:color="auto"/>
                              </w:divBdr>
                              <w:divsChild>
                                <w:div w:id="909729379">
                                  <w:marLeft w:val="0"/>
                                  <w:marRight w:val="0"/>
                                  <w:marTop w:val="0"/>
                                  <w:marBottom w:val="0"/>
                                  <w:divBdr>
                                    <w:top w:val="none" w:sz="0" w:space="0" w:color="auto"/>
                                    <w:left w:val="none" w:sz="0" w:space="0" w:color="auto"/>
                                    <w:bottom w:val="none" w:sz="0" w:space="0" w:color="auto"/>
                                    <w:right w:val="none" w:sz="0" w:space="0" w:color="auto"/>
                                  </w:divBdr>
                                  <w:divsChild>
                                    <w:div w:id="909729357">
                                      <w:marLeft w:val="0"/>
                                      <w:marRight w:val="0"/>
                                      <w:marTop w:val="0"/>
                                      <w:marBottom w:val="0"/>
                                      <w:divBdr>
                                        <w:top w:val="none" w:sz="0" w:space="0" w:color="auto"/>
                                        <w:left w:val="none" w:sz="0" w:space="0" w:color="auto"/>
                                        <w:bottom w:val="none" w:sz="0" w:space="0" w:color="auto"/>
                                        <w:right w:val="none" w:sz="0" w:space="0" w:color="auto"/>
                                      </w:divBdr>
                                      <w:divsChild>
                                        <w:div w:id="909729401">
                                          <w:marLeft w:val="0"/>
                                          <w:marRight w:val="0"/>
                                          <w:marTop w:val="0"/>
                                          <w:marBottom w:val="300"/>
                                          <w:divBdr>
                                            <w:top w:val="none" w:sz="0" w:space="0" w:color="auto"/>
                                            <w:left w:val="none" w:sz="0" w:space="0" w:color="auto"/>
                                            <w:bottom w:val="none" w:sz="0" w:space="0" w:color="auto"/>
                                            <w:right w:val="none" w:sz="0" w:space="0" w:color="auto"/>
                                          </w:divBdr>
                                          <w:divsChild>
                                            <w:div w:id="90972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38">
      <w:marLeft w:val="0"/>
      <w:marRight w:val="0"/>
      <w:marTop w:val="0"/>
      <w:marBottom w:val="0"/>
      <w:divBdr>
        <w:top w:val="none" w:sz="0" w:space="0" w:color="auto"/>
        <w:left w:val="none" w:sz="0" w:space="0" w:color="auto"/>
        <w:bottom w:val="none" w:sz="0" w:space="0" w:color="auto"/>
        <w:right w:val="none" w:sz="0" w:space="0" w:color="auto"/>
      </w:divBdr>
      <w:divsChild>
        <w:div w:id="909729342">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76">
              <w:marLeft w:val="0"/>
              <w:marRight w:val="0"/>
              <w:marTop w:val="0"/>
              <w:marBottom w:val="0"/>
              <w:divBdr>
                <w:top w:val="none" w:sz="0" w:space="0" w:color="auto"/>
                <w:left w:val="none" w:sz="0" w:space="0" w:color="auto"/>
                <w:bottom w:val="none" w:sz="0" w:space="0" w:color="auto"/>
                <w:right w:val="none" w:sz="0" w:space="0" w:color="auto"/>
              </w:divBdr>
              <w:divsChild>
                <w:div w:id="909729383">
                  <w:marLeft w:val="0"/>
                  <w:marRight w:val="0"/>
                  <w:marTop w:val="0"/>
                  <w:marBottom w:val="0"/>
                  <w:divBdr>
                    <w:top w:val="none" w:sz="0" w:space="0" w:color="auto"/>
                    <w:left w:val="none" w:sz="0" w:space="0" w:color="auto"/>
                    <w:bottom w:val="none" w:sz="0" w:space="0" w:color="auto"/>
                    <w:right w:val="none" w:sz="0" w:space="0" w:color="auto"/>
                  </w:divBdr>
                  <w:divsChild>
                    <w:div w:id="909729337">
                      <w:marLeft w:val="0"/>
                      <w:marRight w:val="0"/>
                      <w:marTop w:val="0"/>
                      <w:marBottom w:val="0"/>
                      <w:divBdr>
                        <w:top w:val="none" w:sz="0" w:space="0" w:color="auto"/>
                        <w:left w:val="none" w:sz="0" w:space="0" w:color="auto"/>
                        <w:bottom w:val="none" w:sz="0" w:space="0" w:color="auto"/>
                        <w:right w:val="none" w:sz="0" w:space="0" w:color="auto"/>
                      </w:divBdr>
                      <w:divsChild>
                        <w:div w:id="909729348">
                          <w:marLeft w:val="0"/>
                          <w:marRight w:val="0"/>
                          <w:marTop w:val="0"/>
                          <w:marBottom w:val="0"/>
                          <w:divBdr>
                            <w:top w:val="none" w:sz="0" w:space="0" w:color="auto"/>
                            <w:left w:val="none" w:sz="0" w:space="0" w:color="auto"/>
                            <w:bottom w:val="none" w:sz="0" w:space="0" w:color="auto"/>
                            <w:right w:val="none" w:sz="0" w:space="0" w:color="auto"/>
                          </w:divBdr>
                          <w:divsChild>
                            <w:div w:id="909729368">
                              <w:marLeft w:val="0"/>
                              <w:marRight w:val="0"/>
                              <w:marTop w:val="0"/>
                              <w:marBottom w:val="0"/>
                              <w:divBdr>
                                <w:top w:val="none" w:sz="0" w:space="0" w:color="auto"/>
                                <w:left w:val="none" w:sz="0" w:space="0" w:color="auto"/>
                                <w:bottom w:val="none" w:sz="0" w:space="0" w:color="auto"/>
                                <w:right w:val="none" w:sz="0" w:space="0" w:color="auto"/>
                              </w:divBdr>
                              <w:divsChild>
                                <w:div w:id="909729391">
                                  <w:marLeft w:val="0"/>
                                  <w:marRight w:val="0"/>
                                  <w:marTop w:val="0"/>
                                  <w:marBottom w:val="0"/>
                                  <w:divBdr>
                                    <w:top w:val="none" w:sz="0" w:space="0" w:color="auto"/>
                                    <w:left w:val="none" w:sz="0" w:space="0" w:color="auto"/>
                                    <w:bottom w:val="none" w:sz="0" w:space="0" w:color="auto"/>
                                    <w:right w:val="none" w:sz="0" w:space="0" w:color="auto"/>
                                  </w:divBdr>
                                  <w:divsChild>
                                    <w:div w:id="909729365">
                                      <w:marLeft w:val="0"/>
                                      <w:marRight w:val="0"/>
                                      <w:marTop w:val="0"/>
                                      <w:marBottom w:val="0"/>
                                      <w:divBdr>
                                        <w:top w:val="none" w:sz="0" w:space="0" w:color="auto"/>
                                        <w:left w:val="none" w:sz="0" w:space="0" w:color="auto"/>
                                        <w:bottom w:val="none" w:sz="0" w:space="0" w:color="auto"/>
                                        <w:right w:val="none" w:sz="0" w:space="0" w:color="auto"/>
                                      </w:divBdr>
                                      <w:divsChild>
                                        <w:div w:id="909729327">
                                          <w:marLeft w:val="0"/>
                                          <w:marRight w:val="0"/>
                                          <w:marTop w:val="0"/>
                                          <w:marBottom w:val="300"/>
                                          <w:divBdr>
                                            <w:top w:val="none" w:sz="0" w:space="0" w:color="auto"/>
                                            <w:left w:val="none" w:sz="0" w:space="0" w:color="auto"/>
                                            <w:bottom w:val="none" w:sz="0" w:space="0" w:color="auto"/>
                                            <w:right w:val="none" w:sz="0" w:space="0" w:color="auto"/>
                                          </w:divBdr>
                                          <w:divsChild>
                                            <w:div w:id="90972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40">
      <w:marLeft w:val="0"/>
      <w:marRight w:val="0"/>
      <w:marTop w:val="0"/>
      <w:marBottom w:val="0"/>
      <w:divBdr>
        <w:top w:val="none" w:sz="0" w:space="0" w:color="auto"/>
        <w:left w:val="none" w:sz="0" w:space="0" w:color="auto"/>
        <w:bottom w:val="none" w:sz="0" w:space="0" w:color="auto"/>
        <w:right w:val="none" w:sz="0" w:space="0" w:color="auto"/>
      </w:divBdr>
      <w:divsChild>
        <w:div w:id="909729361">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39">
              <w:marLeft w:val="0"/>
              <w:marRight w:val="0"/>
              <w:marTop w:val="0"/>
              <w:marBottom w:val="0"/>
              <w:divBdr>
                <w:top w:val="none" w:sz="0" w:space="0" w:color="auto"/>
                <w:left w:val="none" w:sz="0" w:space="0" w:color="auto"/>
                <w:bottom w:val="none" w:sz="0" w:space="0" w:color="auto"/>
                <w:right w:val="none" w:sz="0" w:space="0" w:color="auto"/>
              </w:divBdr>
              <w:divsChild>
                <w:div w:id="909729396">
                  <w:marLeft w:val="0"/>
                  <w:marRight w:val="0"/>
                  <w:marTop w:val="0"/>
                  <w:marBottom w:val="0"/>
                  <w:divBdr>
                    <w:top w:val="none" w:sz="0" w:space="0" w:color="auto"/>
                    <w:left w:val="none" w:sz="0" w:space="0" w:color="auto"/>
                    <w:bottom w:val="none" w:sz="0" w:space="0" w:color="auto"/>
                    <w:right w:val="none" w:sz="0" w:space="0" w:color="auto"/>
                  </w:divBdr>
                  <w:divsChild>
                    <w:div w:id="909729392">
                      <w:marLeft w:val="0"/>
                      <w:marRight w:val="0"/>
                      <w:marTop w:val="0"/>
                      <w:marBottom w:val="0"/>
                      <w:divBdr>
                        <w:top w:val="none" w:sz="0" w:space="0" w:color="auto"/>
                        <w:left w:val="none" w:sz="0" w:space="0" w:color="auto"/>
                        <w:bottom w:val="none" w:sz="0" w:space="0" w:color="auto"/>
                        <w:right w:val="none" w:sz="0" w:space="0" w:color="auto"/>
                      </w:divBdr>
                      <w:divsChild>
                        <w:div w:id="909729405">
                          <w:marLeft w:val="0"/>
                          <w:marRight w:val="0"/>
                          <w:marTop w:val="0"/>
                          <w:marBottom w:val="0"/>
                          <w:divBdr>
                            <w:top w:val="none" w:sz="0" w:space="0" w:color="auto"/>
                            <w:left w:val="none" w:sz="0" w:space="0" w:color="auto"/>
                            <w:bottom w:val="none" w:sz="0" w:space="0" w:color="auto"/>
                            <w:right w:val="none" w:sz="0" w:space="0" w:color="auto"/>
                          </w:divBdr>
                          <w:divsChild>
                            <w:div w:id="909729407">
                              <w:marLeft w:val="0"/>
                              <w:marRight w:val="0"/>
                              <w:marTop w:val="0"/>
                              <w:marBottom w:val="0"/>
                              <w:divBdr>
                                <w:top w:val="none" w:sz="0" w:space="0" w:color="auto"/>
                                <w:left w:val="none" w:sz="0" w:space="0" w:color="auto"/>
                                <w:bottom w:val="none" w:sz="0" w:space="0" w:color="auto"/>
                                <w:right w:val="none" w:sz="0" w:space="0" w:color="auto"/>
                              </w:divBdr>
                              <w:divsChild>
                                <w:div w:id="909729406">
                                  <w:marLeft w:val="0"/>
                                  <w:marRight w:val="0"/>
                                  <w:marTop w:val="0"/>
                                  <w:marBottom w:val="0"/>
                                  <w:divBdr>
                                    <w:top w:val="none" w:sz="0" w:space="0" w:color="auto"/>
                                    <w:left w:val="none" w:sz="0" w:space="0" w:color="auto"/>
                                    <w:bottom w:val="none" w:sz="0" w:space="0" w:color="auto"/>
                                    <w:right w:val="none" w:sz="0" w:space="0" w:color="auto"/>
                                  </w:divBdr>
                                  <w:divsChild>
                                    <w:div w:id="909729398">
                                      <w:marLeft w:val="0"/>
                                      <w:marRight w:val="0"/>
                                      <w:marTop w:val="0"/>
                                      <w:marBottom w:val="0"/>
                                      <w:divBdr>
                                        <w:top w:val="none" w:sz="0" w:space="0" w:color="auto"/>
                                        <w:left w:val="none" w:sz="0" w:space="0" w:color="auto"/>
                                        <w:bottom w:val="none" w:sz="0" w:space="0" w:color="auto"/>
                                        <w:right w:val="none" w:sz="0" w:space="0" w:color="auto"/>
                                      </w:divBdr>
                                      <w:divsChild>
                                        <w:div w:id="909729403">
                                          <w:marLeft w:val="0"/>
                                          <w:marRight w:val="0"/>
                                          <w:marTop w:val="0"/>
                                          <w:marBottom w:val="300"/>
                                          <w:divBdr>
                                            <w:top w:val="none" w:sz="0" w:space="0" w:color="auto"/>
                                            <w:left w:val="none" w:sz="0" w:space="0" w:color="auto"/>
                                            <w:bottom w:val="none" w:sz="0" w:space="0" w:color="auto"/>
                                            <w:right w:val="none" w:sz="0" w:space="0" w:color="auto"/>
                                          </w:divBdr>
                                          <w:divsChild>
                                            <w:div w:id="90972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54">
      <w:marLeft w:val="0"/>
      <w:marRight w:val="0"/>
      <w:marTop w:val="0"/>
      <w:marBottom w:val="0"/>
      <w:divBdr>
        <w:top w:val="none" w:sz="0" w:space="0" w:color="auto"/>
        <w:left w:val="none" w:sz="0" w:space="0" w:color="auto"/>
        <w:bottom w:val="none" w:sz="0" w:space="0" w:color="auto"/>
        <w:right w:val="none" w:sz="0" w:space="0" w:color="auto"/>
      </w:divBdr>
      <w:divsChild>
        <w:div w:id="909729343">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52">
              <w:marLeft w:val="0"/>
              <w:marRight w:val="0"/>
              <w:marTop w:val="0"/>
              <w:marBottom w:val="0"/>
              <w:divBdr>
                <w:top w:val="none" w:sz="0" w:space="0" w:color="auto"/>
                <w:left w:val="none" w:sz="0" w:space="0" w:color="auto"/>
                <w:bottom w:val="none" w:sz="0" w:space="0" w:color="auto"/>
                <w:right w:val="none" w:sz="0" w:space="0" w:color="auto"/>
              </w:divBdr>
              <w:divsChild>
                <w:div w:id="909729393">
                  <w:marLeft w:val="0"/>
                  <w:marRight w:val="0"/>
                  <w:marTop w:val="0"/>
                  <w:marBottom w:val="0"/>
                  <w:divBdr>
                    <w:top w:val="none" w:sz="0" w:space="0" w:color="auto"/>
                    <w:left w:val="none" w:sz="0" w:space="0" w:color="auto"/>
                    <w:bottom w:val="none" w:sz="0" w:space="0" w:color="auto"/>
                    <w:right w:val="none" w:sz="0" w:space="0" w:color="auto"/>
                  </w:divBdr>
                  <w:divsChild>
                    <w:div w:id="909729364">
                      <w:marLeft w:val="0"/>
                      <w:marRight w:val="0"/>
                      <w:marTop w:val="0"/>
                      <w:marBottom w:val="0"/>
                      <w:divBdr>
                        <w:top w:val="none" w:sz="0" w:space="0" w:color="auto"/>
                        <w:left w:val="none" w:sz="0" w:space="0" w:color="auto"/>
                        <w:bottom w:val="none" w:sz="0" w:space="0" w:color="auto"/>
                        <w:right w:val="none" w:sz="0" w:space="0" w:color="auto"/>
                      </w:divBdr>
                      <w:divsChild>
                        <w:div w:id="909729394">
                          <w:marLeft w:val="0"/>
                          <w:marRight w:val="0"/>
                          <w:marTop w:val="0"/>
                          <w:marBottom w:val="0"/>
                          <w:divBdr>
                            <w:top w:val="none" w:sz="0" w:space="0" w:color="auto"/>
                            <w:left w:val="none" w:sz="0" w:space="0" w:color="auto"/>
                            <w:bottom w:val="none" w:sz="0" w:space="0" w:color="auto"/>
                            <w:right w:val="none" w:sz="0" w:space="0" w:color="auto"/>
                          </w:divBdr>
                          <w:divsChild>
                            <w:div w:id="909729358">
                              <w:marLeft w:val="0"/>
                              <w:marRight w:val="0"/>
                              <w:marTop w:val="0"/>
                              <w:marBottom w:val="0"/>
                              <w:divBdr>
                                <w:top w:val="none" w:sz="0" w:space="0" w:color="auto"/>
                                <w:left w:val="none" w:sz="0" w:space="0" w:color="auto"/>
                                <w:bottom w:val="none" w:sz="0" w:space="0" w:color="auto"/>
                                <w:right w:val="none" w:sz="0" w:space="0" w:color="auto"/>
                              </w:divBdr>
                              <w:divsChild>
                                <w:div w:id="909729382">
                                  <w:marLeft w:val="0"/>
                                  <w:marRight w:val="0"/>
                                  <w:marTop w:val="0"/>
                                  <w:marBottom w:val="0"/>
                                  <w:divBdr>
                                    <w:top w:val="none" w:sz="0" w:space="0" w:color="auto"/>
                                    <w:left w:val="none" w:sz="0" w:space="0" w:color="auto"/>
                                    <w:bottom w:val="none" w:sz="0" w:space="0" w:color="auto"/>
                                    <w:right w:val="none" w:sz="0" w:space="0" w:color="auto"/>
                                  </w:divBdr>
                                  <w:divsChild>
                                    <w:div w:id="909729350">
                                      <w:marLeft w:val="0"/>
                                      <w:marRight w:val="0"/>
                                      <w:marTop w:val="0"/>
                                      <w:marBottom w:val="0"/>
                                      <w:divBdr>
                                        <w:top w:val="none" w:sz="0" w:space="0" w:color="auto"/>
                                        <w:left w:val="none" w:sz="0" w:space="0" w:color="auto"/>
                                        <w:bottom w:val="none" w:sz="0" w:space="0" w:color="auto"/>
                                        <w:right w:val="none" w:sz="0" w:space="0" w:color="auto"/>
                                      </w:divBdr>
                                      <w:divsChild>
                                        <w:div w:id="909729387">
                                          <w:marLeft w:val="0"/>
                                          <w:marRight w:val="0"/>
                                          <w:marTop w:val="0"/>
                                          <w:marBottom w:val="300"/>
                                          <w:divBdr>
                                            <w:top w:val="none" w:sz="0" w:space="0" w:color="auto"/>
                                            <w:left w:val="none" w:sz="0" w:space="0" w:color="auto"/>
                                            <w:bottom w:val="none" w:sz="0" w:space="0" w:color="auto"/>
                                            <w:right w:val="none" w:sz="0" w:space="0" w:color="auto"/>
                                          </w:divBdr>
                                          <w:divsChild>
                                            <w:div w:id="9097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55">
      <w:marLeft w:val="0"/>
      <w:marRight w:val="0"/>
      <w:marTop w:val="0"/>
      <w:marBottom w:val="0"/>
      <w:divBdr>
        <w:top w:val="none" w:sz="0" w:space="0" w:color="auto"/>
        <w:left w:val="none" w:sz="0" w:space="0" w:color="auto"/>
        <w:bottom w:val="none" w:sz="0" w:space="0" w:color="auto"/>
        <w:right w:val="none" w:sz="0" w:space="0" w:color="auto"/>
      </w:divBdr>
    </w:div>
    <w:div w:id="909729367">
      <w:marLeft w:val="0"/>
      <w:marRight w:val="0"/>
      <w:marTop w:val="0"/>
      <w:marBottom w:val="0"/>
      <w:divBdr>
        <w:top w:val="none" w:sz="0" w:space="0" w:color="auto"/>
        <w:left w:val="none" w:sz="0" w:space="0" w:color="auto"/>
        <w:bottom w:val="none" w:sz="0" w:space="0" w:color="auto"/>
        <w:right w:val="none" w:sz="0" w:space="0" w:color="auto"/>
      </w:divBdr>
      <w:divsChild>
        <w:div w:id="909729408">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86">
              <w:marLeft w:val="0"/>
              <w:marRight w:val="0"/>
              <w:marTop w:val="0"/>
              <w:marBottom w:val="0"/>
              <w:divBdr>
                <w:top w:val="none" w:sz="0" w:space="0" w:color="auto"/>
                <w:left w:val="none" w:sz="0" w:space="0" w:color="auto"/>
                <w:bottom w:val="none" w:sz="0" w:space="0" w:color="auto"/>
                <w:right w:val="none" w:sz="0" w:space="0" w:color="auto"/>
              </w:divBdr>
              <w:divsChild>
                <w:div w:id="909729331">
                  <w:marLeft w:val="0"/>
                  <w:marRight w:val="0"/>
                  <w:marTop w:val="0"/>
                  <w:marBottom w:val="0"/>
                  <w:divBdr>
                    <w:top w:val="none" w:sz="0" w:space="0" w:color="auto"/>
                    <w:left w:val="none" w:sz="0" w:space="0" w:color="auto"/>
                    <w:bottom w:val="none" w:sz="0" w:space="0" w:color="auto"/>
                    <w:right w:val="none" w:sz="0" w:space="0" w:color="auto"/>
                  </w:divBdr>
                  <w:divsChild>
                    <w:div w:id="909729351">
                      <w:marLeft w:val="0"/>
                      <w:marRight w:val="0"/>
                      <w:marTop w:val="0"/>
                      <w:marBottom w:val="0"/>
                      <w:divBdr>
                        <w:top w:val="none" w:sz="0" w:space="0" w:color="auto"/>
                        <w:left w:val="none" w:sz="0" w:space="0" w:color="auto"/>
                        <w:bottom w:val="none" w:sz="0" w:space="0" w:color="auto"/>
                        <w:right w:val="none" w:sz="0" w:space="0" w:color="auto"/>
                      </w:divBdr>
                      <w:divsChild>
                        <w:div w:id="909729381">
                          <w:marLeft w:val="0"/>
                          <w:marRight w:val="0"/>
                          <w:marTop w:val="0"/>
                          <w:marBottom w:val="0"/>
                          <w:divBdr>
                            <w:top w:val="none" w:sz="0" w:space="0" w:color="auto"/>
                            <w:left w:val="none" w:sz="0" w:space="0" w:color="auto"/>
                            <w:bottom w:val="none" w:sz="0" w:space="0" w:color="auto"/>
                            <w:right w:val="none" w:sz="0" w:space="0" w:color="auto"/>
                          </w:divBdr>
                          <w:divsChild>
                            <w:div w:id="909729356">
                              <w:marLeft w:val="0"/>
                              <w:marRight w:val="0"/>
                              <w:marTop w:val="0"/>
                              <w:marBottom w:val="0"/>
                              <w:divBdr>
                                <w:top w:val="none" w:sz="0" w:space="0" w:color="auto"/>
                                <w:left w:val="none" w:sz="0" w:space="0" w:color="auto"/>
                                <w:bottom w:val="none" w:sz="0" w:space="0" w:color="auto"/>
                                <w:right w:val="none" w:sz="0" w:space="0" w:color="auto"/>
                              </w:divBdr>
                              <w:divsChild>
                                <w:div w:id="909729346">
                                  <w:marLeft w:val="0"/>
                                  <w:marRight w:val="0"/>
                                  <w:marTop w:val="0"/>
                                  <w:marBottom w:val="0"/>
                                  <w:divBdr>
                                    <w:top w:val="none" w:sz="0" w:space="0" w:color="auto"/>
                                    <w:left w:val="none" w:sz="0" w:space="0" w:color="auto"/>
                                    <w:bottom w:val="none" w:sz="0" w:space="0" w:color="auto"/>
                                    <w:right w:val="none" w:sz="0" w:space="0" w:color="auto"/>
                                  </w:divBdr>
                                  <w:divsChild>
                                    <w:div w:id="909729359">
                                      <w:marLeft w:val="0"/>
                                      <w:marRight w:val="0"/>
                                      <w:marTop w:val="0"/>
                                      <w:marBottom w:val="0"/>
                                      <w:divBdr>
                                        <w:top w:val="none" w:sz="0" w:space="0" w:color="auto"/>
                                        <w:left w:val="none" w:sz="0" w:space="0" w:color="auto"/>
                                        <w:bottom w:val="none" w:sz="0" w:space="0" w:color="auto"/>
                                        <w:right w:val="none" w:sz="0" w:space="0" w:color="auto"/>
                                      </w:divBdr>
                                      <w:divsChild>
                                        <w:div w:id="909729377">
                                          <w:marLeft w:val="0"/>
                                          <w:marRight w:val="0"/>
                                          <w:marTop w:val="0"/>
                                          <w:marBottom w:val="300"/>
                                          <w:divBdr>
                                            <w:top w:val="none" w:sz="0" w:space="0" w:color="auto"/>
                                            <w:left w:val="none" w:sz="0" w:space="0" w:color="auto"/>
                                            <w:bottom w:val="none" w:sz="0" w:space="0" w:color="auto"/>
                                            <w:right w:val="none" w:sz="0" w:space="0" w:color="auto"/>
                                          </w:divBdr>
                                          <w:divsChild>
                                            <w:div w:id="90972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69">
      <w:marLeft w:val="0"/>
      <w:marRight w:val="0"/>
      <w:marTop w:val="0"/>
      <w:marBottom w:val="0"/>
      <w:divBdr>
        <w:top w:val="none" w:sz="0" w:space="0" w:color="auto"/>
        <w:left w:val="none" w:sz="0" w:space="0" w:color="auto"/>
        <w:bottom w:val="none" w:sz="0" w:space="0" w:color="auto"/>
        <w:right w:val="none" w:sz="0" w:space="0" w:color="auto"/>
      </w:divBdr>
    </w:div>
    <w:div w:id="909729374">
      <w:marLeft w:val="0"/>
      <w:marRight w:val="0"/>
      <w:marTop w:val="0"/>
      <w:marBottom w:val="0"/>
      <w:divBdr>
        <w:top w:val="none" w:sz="0" w:space="0" w:color="auto"/>
        <w:left w:val="none" w:sz="0" w:space="0" w:color="auto"/>
        <w:bottom w:val="none" w:sz="0" w:space="0" w:color="auto"/>
        <w:right w:val="none" w:sz="0" w:space="0" w:color="auto"/>
      </w:divBdr>
    </w:div>
    <w:div w:id="909729384">
      <w:marLeft w:val="0"/>
      <w:marRight w:val="0"/>
      <w:marTop w:val="0"/>
      <w:marBottom w:val="0"/>
      <w:divBdr>
        <w:top w:val="none" w:sz="0" w:space="0" w:color="auto"/>
        <w:left w:val="none" w:sz="0" w:space="0" w:color="auto"/>
        <w:bottom w:val="none" w:sz="0" w:space="0" w:color="auto"/>
        <w:right w:val="none" w:sz="0" w:space="0" w:color="auto"/>
      </w:divBdr>
    </w:div>
    <w:div w:id="909729388">
      <w:marLeft w:val="0"/>
      <w:marRight w:val="0"/>
      <w:marTop w:val="0"/>
      <w:marBottom w:val="0"/>
      <w:divBdr>
        <w:top w:val="none" w:sz="0" w:space="0" w:color="auto"/>
        <w:left w:val="none" w:sz="0" w:space="0" w:color="auto"/>
        <w:bottom w:val="none" w:sz="0" w:space="0" w:color="auto"/>
        <w:right w:val="none" w:sz="0" w:space="0" w:color="auto"/>
      </w:divBdr>
    </w:div>
    <w:div w:id="909729409">
      <w:marLeft w:val="0"/>
      <w:marRight w:val="0"/>
      <w:marTop w:val="0"/>
      <w:marBottom w:val="0"/>
      <w:divBdr>
        <w:top w:val="none" w:sz="0" w:space="0" w:color="auto"/>
        <w:left w:val="none" w:sz="0" w:space="0" w:color="auto"/>
        <w:bottom w:val="none" w:sz="0" w:space="0" w:color="auto"/>
        <w:right w:val="none" w:sz="0" w:space="0" w:color="auto"/>
      </w:divBdr>
      <w:divsChild>
        <w:div w:id="909729325">
          <w:marLeft w:val="0"/>
          <w:marRight w:val="0"/>
          <w:marTop w:val="0"/>
          <w:marBottom w:val="0"/>
          <w:divBdr>
            <w:top w:val="none" w:sz="0" w:space="0" w:color="auto"/>
            <w:left w:val="none" w:sz="0" w:space="0" w:color="auto"/>
            <w:bottom w:val="none" w:sz="0" w:space="0" w:color="auto"/>
            <w:right w:val="none" w:sz="0" w:space="0" w:color="auto"/>
          </w:divBdr>
        </w:div>
      </w:divsChild>
    </w:div>
    <w:div w:id="909729411">
      <w:marLeft w:val="0"/>
      <w:marRight w:val="0"/>
      <w:marTop w:val="0"/>
      <w:marBottom w:val="0"/>
      <w:divBdr>
        <w:top w:val="none" w:sz="0" w:space="0" w:color="auto"/>
        <w:left w:val="none" w:sz="0" w:space="0" w:color="auto"/>
        <w:bottom w:val="none" w:sz="0" w:space="0" w:color="auto"/>
        <w:right w:val="none" w:sz="0" w:space="0" w:color="auto"/>
      </w:divBdr>
    </w:div>
    <w:div w:id="909729413">
      <w:marLeft w:val="0"/>
      <w:marRight w:val="0"/>
      <w:marTop w:val="0"/>
      <w:marBottom w:val="0"/>
      <w:divBdr>
        <w:top w:val="none" w:sz="0" w:space="0" w:color="auto"/>
        <w:left w:val="none" w:sz="0" w:space="0" w:color="auto"/>
        <w:bottom w:val="none" w:sz="0" w:space="0" w:color="auto"/>
        <w:right w:val="none" w:sz="0" w:space="0" w:color="auto"/>
      </w:divBdr>
    </w:div>
    <w:div w:id="1310675170">
      <w:bodyDiv w:val="1"/>
      <w:marLeft w:val="0"/>
      <w:marRight w:val="0"/>
      <w:marTop w:val="0"/>
      <w:marBottom w:val="0"/>
      <w:divBdr>
        <w:top w:val="none" w:sz="0" w:space="0" w:color="auto"/>
        <w:left w:val="none" w:sz="0" w:space="0" w:color="auto"/>
        <w:bottom w:val="none" w:sz="0" w:space="0" w:color="auto"/>
        <w:right w:val="none" w:sz="0" w:space="0" w:color="auto"/>
      </w:divBdr>
    </w:div>
    <w:div w:id="1532573341">
      <w:bodyDiv w:val="1"/>
      <w:marLeft w:val="0"/>
      <w:marRight w:val="0"/>
      <w:marTop w:val="0"/>
      <w:marBottom w:val="0"/>
      <w:divBdr>
        <w:top w:val="none" w:sz="0" w:space="0" w:color="auto"/>
        <w:left w:val="none" w:sz="0" w:space="0" w:color="auto"/>
        <w:bottom w:val="none" w:sz="0" w:space="0" w:color="auto"/>
        <w:right w:val="none" w:sz="0" w:space="0" w:color="auto"/>
      </w:divBdr>
    </w:div>
    <w:div w:id="1614625807">
      <w:bodyDiv w:val="1"/>
      <w:marLeft w:val="0"/>
      <w:marRight w:val="0"/>
      <w:marTop w:val="0"/>
      <w:marBottom w:val="0"/>
      <w:divBdr>
        <w:top w:val="none" w:sz="0" w:space="0" w:color="auto"/>
        <w:left w:val="none" w:sz="0" w:space="0" w:color="auto"/>
        <w:bottom w:val="none" w:sz="0" w:space="0" w:color="auto"/>
        <w:right w:val="none" w:sz="0" w:space="0" w:color="auto"/>
      </w:divBdr>
    </w:div>
    <w:div w:id="17481879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lists/standards-for-prescription-format-and-securit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ass.gov/lists/standards-for-prescription-format-and-security"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legislature.gov/Laws/GeneralLaws/PartI/TitleXV/Chapter94C"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dcp.dph@state.ma.us"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mass.gov/doc/eprescribing-waiver-application/download" TargetMode="External"/><Relationship Id="rId14" Type="http://schemas.openxmlformats.org/officeDocument/2006/relationships/hyperlink" Target="https://www.mass.gov/lists/eprescrib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B5829-5E7F-484F-ADB8-76D6B9EEC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2519</Words>
  <Characters>15400</Characters>
  <Application>Microsoft Office Word</Application>
  <DocSecurity>4</DocSecurity>
  <Lines>128</Lines>
  <Paragraphs>35</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DPH</Company>
  <LinksUpToDate>false</LinksUpToDate>
  <CharactersWithSpaces>17884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Mangan, Thomas (DPH)</dc:creator>
  <cp:lastModifiedBy> Lauren Nelson</cp:lastModifiedBy>
  <cp:revision>2</cp:revision>
  <cp:lastPrinted>2019-12-24T20:26:00Z</cp:lastPrinted>
  <dcterms:created xsi:type="dcterms:W3CDTF">2019-12-26T14:16:00Z</dcterms:created>
  <dcterms:modified xsi:type="dcterms:W3CDTF">2019-12-26T14:16:00Z</dcterms:modified>
</cp:coreProperties>
</file>