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p>
    <w:p w:rsidR="00730145" w:rsidRDefault="00730145" w:rsidP="000F315B">
      <w:pPr>
        <w:pStyle w:val="ExecOffice"/>
        <w:framePr w:w="6926" w:wrap="notBeside" w:vAnchor="page" w:x="2884" w:y="711"/>
      </w:pPr>
      <w:r>
        <w:t>Bureau of Health Care Safety and Quality</w:t>
      </w:r>
    </w:p>
    <w:p w:rsidR="006D06D9" w:rsidRDefault="00B81A18" w:rsidP="000F315B">
      <w:pPr>
        <w:pStyle w:val="ExecOffice"/>
        <w:framePr w:w="6926" w:wrap="notBeside" w:vAnchor="page" w:x="2884" w:y="711"/>
      </w:pPr>
      <w:r>
        <w:t>99 Chauncy Street, Boston, MA 02111</w:t>
      </w:r>
    </w:p>
    <w:p w:rsidR="00BA4055" w:rsidRDefault="00B12CA8" w:rsidP="00BA4055">
      <w:pPr>
        <w:framePr w:w="1927" w:hSpace="180" w:wrap="auto" w:vAnchor="text" w:hAnchor="page" w:x="940" w:y="-951"/>
        <w:rPr>
          <w:rFonts w:ascii="LinePrinter" w:hAnsi="LinePrinter"/>
        </w:rPr>
      </w:pPr>
      <w:r>
        <w:rPr>
          <w:rFonts w:ascii="LinePrinter" w:hAnsi="LinePrinter"/>
        </w:rPr>
        <w:pict w14:anchorId="0ED00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05pt;height:91pt" fillcolor="window">
            <v:imagedata r:id="rId9" o:title=""/>
          </v:shape>
        </w:pict>
      </w:r>
    </w:p>
    <w:p w:rsidR="009908FF" w:rsidRDefault="00B12CA8" w:rsidP="0072610D">
      <w:r>
        <w:rPr>
          <w:noProof/>
        </w:rPr>
        <w:pict w14:anchorId="54B8CA2D">
          <v:shapetype id="_x0000_t202" coordsize="21600,21600" o:spt="202" path="m,l,21600r21600,l21600,xe">
            <v:stroke joinstyle="miter"/>
            <v:path gradientshapeok="t" o:connecttype="rect"/>
          </v:shapetype>
          <v:shape id="_x0000_s1028" type="#_x0000_t202" style="position:absolute;margin-left:-67.85pt;margin-top:57pt;width:123.85pt;height:63.1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8;mso-fit-shape-to-text:t">
              <w:txbxContent>
                <w:p w:rsidR="00EF1318" w:rsidRDefault="00EF1318" w:rsidP="00FC6B42">
                  <w:pPr>
                    <w:pStyle w:val="Governor"/>
                    <w:spacing w:after="0"/>
                    <w:rPr>
                      <w:sz w:val="16"/>
                    </w:rPr>
                  </w:pPr>
                </w:p>
                <w:p w:rsidR="00EF1318" w:rsidRDefault="00EF1318" w:rsidP="00FC6B42">
                  <w:pPr>
                    <w:pStyle w:val="Governor"/>
                    <w:spacing w:after="0"/>
                    <w:rPr>
                      <w:sz w:val="16"/>
                    </w:rPr>
                  </w:pPr>
                  <w:r>
                    <w:rPr>
                      <w:sz w:val="16"/>
                    </w:rPr>
                    <w:t>CHARLES D. BAKER</w:t>
                  </w:r>
                </w:p>
                <w:p w:rsidR="00EF1318" w:rsidRDefault="00EF1318" w:rsidP="00FC6B42">
                  <w:pPr>
                    <w:pStyle w:val="Governor"/>
                  </w:pPr>
                  <w:r>
                    <w:t>Governor</w:t>
                  </w:r>
                </w:p>
                <w:p w:rsidR="00EF1318" w:rsidRDefault="00EF1318" w:rsidP="00FC6B42">
                  <w:pPr>
                    <w:pStyle w:val="Governor"/>
                    <w:spacing w:after="0"/>
                    <w:rPr>
                      <w:sz w:val="16"/>
                    </w:rPr>
                  </w:pPr>
                  <w:r>
                    <w:rPr>
                      <w:sz w:val="16"/>
                    </w:rPr>
                    <w:t>KARYN E. POLITO</w:t>
                  </w:r>
                </w:p>
                <w:p w:rsidR="00EF1318" w:rsidRDefault="00EF1318" w:rsidP="00FC6B42">
                  <w:pPr>
                    <w:pStyle w:val="Governor"/>
                  </w:pPr>
                  <w:r>
                    <w:t>Lieutenant Governor</w:t>
                  </w:r>
                </w:p>
              </w:txbxContent>
            </v:textbox>
          </v:shape>
        </w:pict>
      </w:r>
      <w:r>
        <w:rPr>
          <w:noProof/>
        </w:rPr>
        <w:pict>
          <v:shape id="Text Box 2" o:spid="_x0000_s1026" type="#_x0000_t202" style="position:absolute;margin-left:-67.85pt;margin-top:57pt;width:123.85pt;height:63.1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mso-fit-shape-to-text:t">
              <w:txbxContent>
                <w:p w:rsidR="00EF1318" w:rsidRDefault="00EF1318" w:rsidP="00FC6B42">
                  <w:pPr>
                    <w:pStyle w:val="Governor"/>
                    <w:spacing w:after="0"/>
                    <w:rPr>
                      <w:sz w:val="16"/>
                    </w:rPr>
                  </w:pPr>
                </w:p>
                <w:p w:rsidR="00EF1318" w:rsidRDefault="00EF1318" w:rsidP="00FC6B42">
                  <w:pPr>
                    <w:pStyle w:val="Governor"/>
                    <w:spacing w:after="0"/>
                    <w:rPr>
                      <w:sz w:val="16"/>
                    </w:rPr>
                  </w:pPr>
                  <w:r>
                    <w:rPr>
                      <w:sz w:val="16"/>
                    </w:rPr>
                    <w:t>CHARLES D. BAKER</w:t>
                  </w:r>
                </w:p>
                <w:p w:rsidR="00EF1318" w:rsidRDefault="00EF1318" w:rsidP="00FC6B42">
                  <w:pPr>
                    <w:pStyle w:val="Governor"/>
                  </w:pPr>
                  <w:r>
                    <w:t>Governor</w:t>
                  </w:r>
                </w:p>
                <w:p w:rsidR="00EF1318" w:rsidRDefault="00EF1318" w:rsidP="00FC6B42">
                  <w:pPr>
                    <w:pStyle w:val="Governor"/>
                    <w:spacing w:after="0"/>
                    <w:rPr>
                      <w:sz w:val="16"/>
                    </w:rPr>
                  </w:pPr>
                  <w:r>
                    <w:rPr>
                      <w:sz w:val="16"/>
                    </w:rPr>
                    <w:t>KARYN E. POLITO</w:t>
                  </w:r>
                </w:p>
                <w:p w:rsidR="00EF1318" w:rsidRDefault="00EF1318" w:rsidP="00FC6B42">
                  <w:pPr>
                    <w:pStyle w:val="Governor"/>
                  </w:pPr>
                  <w:r>
                    <w:t>Lieutenant Governor</w:t>
                  </w:r>
                </w:p>
              </w:txbxContent>
            </v:textbox>
          </v:shape>
        </w:pict>
      </w:r>
      <w:r>
        <w:rPr>
          <w:noProof/>
        </w:rPr>
        <w:pict>
          <v:shape id="_x0000_s1027" type="#_x0000_t202" style="position:absolute;margin-left:359.1pt;margin-top:52.3pt;width:123.85pt;height:89.4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7;mso-fit-shape-to-text:t">
              <w:txbxContent>
                <w:p w:rsidR="00EF1318" w:rsidRDefault="00EF1318" w:rsidP="00FC6B42">
                  <w:pPr>
                    <w:pStyle w:val="Governor"/>
                    <w:spacing w:after="0"/>
                    <w:rPr>
                      <w:sz w:val="16"/>
                    </w:rPr>
                  </w:pPr>
                </w:p>
                <w:p w:rsidR="00EF1318" w:rsidRPr="003A7AFC" w:rsidRDefault="00EF1318" w:rsidP="00FC6B42">
                  <w:pPr>
                    <w:pStyle w:val="Weld"/>
                  </w:pPr>
                  <w:r>
                    <w:t>MARYLOU SUDDERS</w:t>
                  </w:r>
                </w:p>
                <w:p w:rsidR="00EF1318" w:rsidRDefault="00EF1318" w:rsidP="00FC6B42">
                  <w:pPr>
                    <w:pStyle w:val="Governor"/>
                  </w:pPr>
                  <w:r>
                    <w:t>Secretary</w:t>
                  </w:r>
                </w:p>
                <w:p w:rsidR="00EF1318" w:rsidRPr="00FC6B42" w:rsidRDefault="00EF1318" w:rsidP="00FC6B42">
                  <w:pPr>
                    <w:pStyle w:val="Governor"/>
                    <w:spacing w:after="0"/>
                    <w:rPr>
                      <w:sz w:val="16"/>
                      <w:szCs w:val="16"/>
                    </w:rPr>
                  </w:pPr>
                  <w:r>
                    <w:rPr>
                      <w:sz w:val="16"/>
                      <w:szCs w:val="16"/>
                    </w:rPr>
                    <w:t>MONICA BHAREL, MD, MPH</w:t>
                  </w:r>
                </w:p>
                <w:p w:rsidR="00EF1318" w:rsidRDefault="00EF1318" w:rsidP="00FC6B42">
                  <w:pPr>
                    <w:jc w:val="center"/>
                    <w:rPr>
                      <w:rFonts w:ascii="Arial Rounded MT Bold" w:hAnsi="Arial Rounded MT Bold"/>
                      <w:sz w:val="14"/>
                      <w:szCs w:val="14"/>
                    </w:rPr>
                  </w:pPr>
                  <w:r w:rsidRPr="00FC6B42">
                    <w:rPr>
                      <w:rFonts w:ascii="Arial Rounded MT Bold" w:hAnsi="Arial Rounded MT Bold"/>
                      <w:sz w:val="14"/>
                      <w:szCs w:val="14"/>
                    </w:rPr>
                    <w:t>Commissioner</w:t>
                  </w:r>
                </w:p>
                <w:p w:rsidR="00EF1318" w:rsidRDefault="00EF1318" w:rsidP="00FC6B42">
                  <w:pPr>
                    <w:jc w:val="center"/>
                    <w:rPr>
                      <w:rFonts w:ascii="Arial Rounded MT Bold" w:hAnsi="Arial Rounded MT Bold"/>
                      <w:sz w:val="14"/>
                      <w:szCs w:val="14"/>
                    </w:rPr>
                  </w:pPr>
                </w:p>
                <w:p w:rsidR="00EF1318" w:rsidRPr="004813AC" w:rsidRDefault="00EF1318" w:rsidP="004813AC">
                  <w:pPr>
                    <w:jc w:val="center"/>
                    <w:rPr>
                      <w:rFonts w:ascii="Arial" w:hAnsi="Arial" w:cs="Arial"/>
                      <w:b/>
                      <w:sz w:val="14"/>
                      <w:szCs w:val="14"/>
                    </w:rPr>
                  </w:pPr>
                  <w:r w:rsidRPr="004813AC">
                    <w:rPr>
                      <w:rFonts w:ascii="Arial" w:hAnsi="Arial" w:cs="Arial"/>
                      <w:b/>
                      <w:sz w:val="14"/>
                      <w:szCs w:val="14"/>
                    </w:rPr>
                    <w:t>Tel: 617-624-6000</w:t>
                  </w:r>
                </w:p>
                <w:p w:rsidR="00EF1318" w:rsidRPr="004813AC" w:rsidRDefault="00EF1318"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EF1318" w:rsidRPr="00FC6B42" w:rsidRDefault="00EF1318" w:rsidP="00FC6B42">
                  <w:pPr>
                    <w:jc w:val="center"/>
                    <w:rPr>
                      <w:rFonts w:ascii="Arial Rounded MT Bold" w:hAnsi="Arial Rounded MT Bold"/>
                      <w:sz w:val="14"/>
                      <w:szCs w:val="14"/>
                    </w:rPr>
                  </w:pPr>
                </w:p>
              </w:txbxContent>
            </v:textbox>
          </v:shape>
        </w:pict>
      </w:r>
    </w:p>
    <w:p w:rsidR="00FC6B42" w:rsidRDefault="00FC6B42" w:rsidP="0072610D"/>
    <w:p w:rsidR="00FC6B42" w:rsidRDefault="00FC6B42" w:rsidP="0072610D"/>
    <w:p w:rsidR="00BD5303" w:rsidRDefault="00BD5303" w:rsidP="0072610D"/>
    <w:p w:rsidR="00BD5303" w:rsidRDefault="00BD5303" w:rsidP="0072610D"/>
    <w:p w:rsidR="00BD5303" w:rsidRDefault="00BD5303" w:rsidP="0072610D"/>
    <w:p w:rsidR="00281CB4" w:rsidRDefault="00281CB4" w:rsidP="0072610D"/>
    <w:p w:rsidR="002C7D0E" w:rsidRPr="008C3C5C" w:rsidRDefault="002C7D0E" w:rsidP="002C7D0E">
      <w:pPr>
        <w:autoSpaceDE w:val="0"/>
        <w:autoSpaceDN w:val="0"/>
        <w:adjustRightInd w:val="0"/>
        <w:jc w:val="center"/>
        <w:rPr>
          <w:b/>
          <w:bCs/>
          <w:sz w:val="22"/>
          <w:szCs w:val="22"/>
        </w:rPr>
      </w:pPr>
      <w:r w:rsidRPr="008C3C5C">
        <w:rPr>
          <w:b/>
          <w:bCs/>
          <w:sz w:val="22"/>
          <w:szCs w:val="22"/>
        </w:rPr>
        <w:t xml:space="preserve">CIRCULAR LETTER </w:t>
      </w:r>
      <w:r w:rsidR="00F62BA4">
        <w:rPr>
          <w:b/>
          <w:bCs/>
          <w:sz w:val="22"/>
          <w:szCs w:val="22"/>
        </w:rPr>
        <w:t>17-2-699</w:t>
      </w:r>
    </w:p>
    <w:p w:rsidR="002C7D0E" w:rsidRDefault="002C7D0E" w:rsidP="002C7D0E">
      <w:pPr>
        <w:autoSpaceDE w:val="0"/>
        <w:autoSpaceDN w:val="0"/>
        <w:adjustRightInd w:val="0"/>
        <w:jc w:val="center"/>
        <w:rPr>
          <w:b/>
          <w:bCs/>
          <w:sz w:val="22"/>
          <w:szCs w:val="22"/>
        </w:rPr>
      </w:pPr>
    </w:p>
    <w:p w:rsidR="002C7D0E" w:rsidRPr="002D187E" w:rsidRDefault="002C7D0E" w:rsidP="00F62BA4">
      <w:pPr>
        <w:tabs>
          <w:tab w:val="left" w:pos="1170"/>
        </w:tabs>
        <w:autoSpaceDE w:val="0"/>
        <w:autoSpaceDN w:val="0"/>
        <w:adjustRightInd w:val="0"/>
        <w:rPr>
          <w:sz w:val="22"/>
        </w:rPr>
      </w:pPr>
      <w:r w:rsidRPr="002D187E">
        <w:rPr>
          <w:b/>
          <w:sz w:val="22"/>
        </w:rPr>
        <w:t xml:space="preserve">TO: </w:t>
      </w:r>
      <w:r w:rsidRPr="002D187E">
        <w:rPr>
          <w:b/>
          <w:sz w:val="22"/>
        </w:rPr>
        <w:tab/>
      </w:r>
      <w:r w:rsidRPr="002D187E">
        <w:rPr>
          <w:sz w:val="22"/>
        </w:rPr>
        <w:t>Long-Term Care Facility Administrators</w:t>
      </w:r>
    </w:p>
    <w:p w:rsidR="002C7D0E" w:rsidRPr="002D187E" w:rsidRDefault="002C7D0E" w:rsidP="00F62BA4">
      <w:pPr>
        <w:tabs>
          <w:tab w:val="left" w:pos="1170"/>
        </w:tabs>
        <w:autoSpaceDE w:val="0"/>
        <w:autoSpaceDN w:val="0"/>
        <w:adjustRightInd w:val="0"/>
        <w:ind w:left="1440" w:hanging="1440"/>
        <w:rPr>
          <w:sz w:val="22"/>
        </w:rPr>
      </w:pPr>
      <w:r w:rsidRPr="002D187E">
        <w:rPr>
          <w:b/>
          <w:sz w:val="22"/>
        </w:rPr>
        <w:t xml:space="preserve">FROM: </w:t>
      </w:r>
      <w:r w:rsidRPr="002D187E">
        <w:rPr>
          <w:b/>
          <w:sz w:val="22"/>
        </w:rPr>
        <w:tab/>
      </w:r>
      <w:r w:rsidR="007E6415" w:rsidRPr="002D187E">
        <w:rPr>
          <w:sz w:val="22"/>
        </w:rPr>
        <w:t xml:space="preserve">Eric Sheehan, </w:t>
      </w:r>
      <w:r w:rsidR="00730145" w:rsidRPr="002D187E">
        <w:rPr>
          <w:sz w:val="22"/>
        </w:rPr>
        <w:t>J.D</w:t>
      </w:r>
      <w:r w:rsidR="00730145" w:rsidRPr="008C3C5C">
        <w:rPr>
          <w:bCs/>
          <w:sz w:val="22"/>
          <w:szCs w:val="22"/>
        </w:rPr>
        <w:t>.</w:t>
      </w:r>
      <w:r w:rsidR="00DA3E8B">
        <w:rPr>
          <w:bCs/>
          <w:sz w:val="22"/>
          <w:szCs w:val="22"/>
        </w:rPr>
        <w:t>,</w:t>
      </w:r>
      <w:r w:rsidR="00730145" w:rsidRPr="002D187E">
        <w:rPr>
          <w:sz w:val="22"/>
        </w:rPr>
        <w:t xml:space="preserve"> </w:t>
      </w:r>
      <w:r w:rsidR="007E6415" w:rsidRPr="002D187E">
        <w:rPr>
          <w:sz w:val="22"/>
        </w:rPr>
        <w:t>Director</w:t>
      </w:r>
      <w:r w:rsidR="00730145" w:rsidRPr="008C3C5C">
        <w:rPr>
          <w:bCs/>
          <w:sz w:val="22"/>
          <w:szCs w:val="22"/>
        </w:rPr>
        <w:t>,</w:t>
      </w:r>
      <w:r w:rsidR="00730145" w:rsidRPr="002D187E">
        <w:rPr>
          <w:sz w:val="22"/>
        </w:rPr>
        <w:t xml:space="preserve"> </w:t>
      </w:r>
      <w:r w:rsidR="007E6415" w:rsidRPr="002D187E">
        <w:rPr>
          <w:sz w:val="22"/>
        </w:rPr>
        <w:t xml:space="preserve">Bureau of Health Care Safety and Quality </w:t>
      </w:r>
      <w:r w:rsidR="00F62BA4" w:rsidRPr="00025EA5">
        <w:rPr>
          <w:noProof/>
        </w:rPr>
        <w:drawing>
          <wp:inline distT="0" distB="0" distL="0" distR="0" wp14:anchorId="5824F4DC" wp14:editId="1CD28220">
            <wp:extent cx="1111910" cy="3462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14594" cy="347059"/>
                    </a:xfrm>
                    <a:prstGeom prst="rect">
                      <a:avLst/>
                    </a:prstGeom>
                  </pic:spPr>
                </pic:pic>
              </a:graphicData>
            </a:graphic>
          </wp:inline>
        </w:drawing>
      </w:r>
    </w:p>
    <w:p w:rsidR="00730145" w:rsidRPr="002D187E" w:rsidRDefault="00730145" w:rsidP="00F62BA4">
      <w:pPr>
        <w:tabs>
          <w:tab w:val="left" w:pos="1170"/>
        </w:tabs>
        <w:autoSpaceDE w:val="0"/>
        <w:autoSpaceDN w:val="0"/>
        <w:adjustRightInd w:val="0"/>
        <w:ind w:left="1440" w:hanging="1440"/>
        <w:rPr>
          <w:sz w:val="22"/>
        </w:rPr>
      </w:pPr>
    </w:p>
    <w:p w:rsidR="00DA3E8B" w:rsidRPr="002D187E" w:rsidRDefault="00DA3E8B" w:rsidP="00F62BA4">
      <w:pPr>
        <w:tabs>
          <w:tab w:val="left" w:pos="1170"/>
        </w:tabs>
        <w:autoSpaceDE w:val="0"/>
        <w:autoSpaceDN w:val="0"/>
        <w:adjustRightInd w:val="0"/>
        <w:ind w:left="1440" w:hanging="1440"/>
        <w:rPr>
          <w:sz w:val="22"/>
        </w:rPr>
      </w:pPr>
      <w:r>
        <w:rPr>
          <w:sz w:val="22"/>
          <w:szCs w:val="22"/>
        </w:rPr>
        <w:tab/>
        <w:t>James Lavery</w:t>
      </w:r>
      <w:r w:rsidRPr="002D187E">
        <w:rPr>
          <w:sz w:val="22"/>
        </w:rPr>
        <w:t>, J.D</w:t>
      </w:r>
      <w:r>
        <w:rPr>
          <w:sz w:val="22"/>
          <w:szCs w:val="22"/>
        </w:rPr>
        <w:t>.,</w:t>
      </w:r>
      <w:r w:rsidRPr="002D187E">
        <w:rPr>
          <w:sz w:val="22"/>
        </w:rPr>
        <w:t xml:space="preserve"> Director, </w:t>
      </w:r>
      <w:r>
        <w:rPr>
          <w:sz w:val="22"/>
          <w:szCs w:val="22"/>
        </w:rPr>
        <w:t>Bureau</w:t>
      </w:r>
      <w:r w:rsidRPr="002D187E">
        <w:rPr>
          <w:sz w:val="22"/>
        </w:rPr>
        <w:t xml:space="preserve"> of Health </w:t>
      </w:r>
      <w:r>
        <w:rPr>
          <w:sz w:val="22"/>
          <w:szCs w:val="22"/>
        </w:rPr>
        <w:t>Professions</w:t>
      </w:r>
      <w:r w:rsidRPr="002D187E">
        <w:rPr>
          <w:sz w:val="22"/>
        </w:rPr>
        <w:t xml:space="preserve"> Licensure</w:t>
      </w:r>
      <w:r w:rsidR="00F62BA4">
        <w:rPr>
          <w:sz w:val="22"/>
        </w:rPr>
        <w:t xml:space="preserve"> </w:t>
      </w:r>
      <w:r w:rsidR="00F62BA4">
        <w:rPr>
          <w:noProof/>
        </w:rPr>
        <w:drawing>
          <wp:inline distT="0" distB="0" distL="0" distR="0" wp14:anchorId="52D6D62C" wp14:editId="16E339F1">
            <wp:extent cx="1265555" cy="2120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5555" cy="212090"/>
                    </a:xfrm>
                    <a:prstGeom prst="rect">
                      <a:avLst/>
                    </a:prstGeom>
                    <a:noFill/>
                    <a:ln>
                      <a:noFill/>
                    </a:ln>
                  </pic:spPr>
                </pic:pic>
              </a:graphicData>
            </a:graphic>
          </wp:inline>
        </w:drawing>
      </w:r>
    </w:p>
    <w:p w:rsidR="00730145" w:rsidRPr="002D187E" w:rsidRDefault="00730145" w:rsidP="00F62BA4">
      <w:pPr>
        <w:tabs>
          <w:tab w:val="left" w:pos="1170"/>
        </w:tabs>
        <w:autoSpaceDE w:val="0"/>
        <w:autoSpaceDN w:val="0"/>
        <w:adjustRightInd w:val="0"/>
        <w:ind w:left="1440" w:hanging="1440"/>
        <w:rPr>
          <w:sz w:val="22"/>
        </w:rPr>
      </w:pPr>
    </w:p>
    <w:p w:rsidR="002C7D0E" w:rsidRPr="002D187E" w:rsidRDefault="002C7D0E" w:rsidP="00F62BA4">
      <w:pPr>
        <w:tabs>
          <w:tab w:val="left" w:pos="1170"/>
        </w:tabs>
        <w:autoSpaceDE w:val="0"/>
        <w:autoSpaceDN w:val="0"/>
        <w:adjustRightInd w:val="0"/>
        <w:rPr>
          <w:sz w:val="22"/>
        </w:rPr>
      </w:pPr>
      <w:r w:rsidRPr="002D187E">
        <w:rPr>
          <w:b/>
          <w:sz w:val="22"/>
        </w:rPr>
        <w:t>DATE:</w:t>
      </w:r>
      <w:r w:rsidRPr="002D187E">
        <w:rPr>
          <w:b/>
          <w:sz w:val="22"/>
        </w:rPr>
        <w:tab/>
      </w:r>
      <w:r w:rsidR="00F62BA4">
        <w:rPr>
          <w:b/>
          <w:bCs/>
          <w:sz w:val="22"/>
          <w:szCs w:val="22"/>
        </w:rPr>
        <w:t>February 1, 2017</w:t>
      </w:r>
    </w:p>
    <w:p w:rsidR="002C7D0E" w:rsidRPr="002D187E" w:rsidRDefault="002C7D0E" w:rsidP="00F62BA4">
      <w:pPr>
        <w:tabs>
          <w:tab w:val="left" w:pos="1170"/>
        </w:tabs>
        <w:autoSpaceDE w:val="0"/>
        <w:autoSpaceDN w:val="0"/>
        <w:adjustRightInd w:val="0"/>
        <w:rPr>
          <w:sz w:val="22"/>
        </w:rPr>
      </w:pPr>
    </w:p>
    <w:p w:rsidR="002C7D0E" w:rsidRPr="002D187E" w:rsidRDefault="002C7D0E" w:rsidP="00F62BA4">
      <w:pPr>
        <w:tabs>
          <w:tab w:val="left" w:pos="1170"/>
        </w:tabs>
        <w:autoSpaceDE w:val="0"/>
        <w:autoSpaceDN w:val="0"/>
        <w:adjustRightInd w:val="0"/>
        <w:ind w:left="1440" w:hanging="1440"/>
        <w:rPr>
          <w:sz w:val="22"/>
        </w:rPr>
      </w:pPr>
      <w:r w:rsidRPr="002D187E">
        <w:rPr>
          <w:b/>
          <w:sz w:val="22"/>
        </w:rPr>
        <w:t xml:space="preserve">SUBJECT: </w:t>
      </w:r>
      <w:r w:rsidRPr="002D187E">
        <w:rPr>
          <w:b/>
          <w:sz w:val="22"/>
        </w:rPr>
        <w:tab/>
      </w:r>
      <w:r w:rsidR="00281CB4">
        <w:rPr>
          <w:b/>
          <w:bCs/>
          <w:sz w:val="22"/>
          <w:szCs w:val="22"/>
        </w:rPr>
        <w:t xml:space="preserve">REVISED </w:t>
      </w:r>
      <w:r w:rsidR="00B832B6" w:rsidRPr="002D187E">
        <w:rPr>
          <w:sz w:val="22"/>
        </w:rPr>
        <w:t xml:space="preserve">Informed </w:t>
      </w:r>
      <w:r w:rsidR="00073BFE">
        <w:rPr>
          <w:bCs/>
          <w:sz w:val="22"/>
          <w:szCs w:val="22"/>
        </w:rPr>
        <w:t xml:space="preserve">Written </w:t>
      </w:r>
      <w:r w:rsidR="00B832B6" w:rsidRPr="002D187E">
        <w:rPr>
          <w:sz w:val="22"/>
        </w:rPr>
        <w:t xml:space="preserve">Consent for </w:t>
      </w:r>
      <w:r w:rsidRPr="002D187E">
        <w:rPr>
          <w:sz w:val="22"/>
        </w:rPr>
        <w:t>Use of Ps</w:t>
      </w:r>
      <w:r w:rsidR="007A37FF" w:rsidRPr="002D187E">
        <w:rPr>
          <w:sz w:val="22"/>
        </w:rPr>
        <w:t>ychotropic Medications in Long-</w:t>
      </w:r>
      <w:r w:rsidR="007A37FF" w:rsidRPr="008C3C5C">
        <w:rPr>
          <w:sz w:val="22"/>
          <w:szCs w:val="22"/>
        </w:rPr>
        <w:t>T</w:t>
      </w:r>
      <w:r w:rsidRPr="008C3C5C">
        <w:rPr>
          <w:sz w:val="22"/>
          <w:szCs w:val="22"/>
        </w:rPr>
        <w:t>erm</w:t>
      </w:r>
      <w:r w:rsidRPr="002D187E">
        <w:rPr>
          <w:sz w:val="22"/>
        </w:rPr>
        <w:t xml:space="preserve"> Care Facilities.</w:t>
      </w:r>
    </w:p>
    <w:p w:rsidR="002C7D0E" w:rsidRDefault="002C7D0E" w:rsidP="002C7D0E">
      <w:pPr>
        <w:autoSpaceDE w:val="0"/>
        <w:autoSpaceDN w:val="0"/>
        <w:adjustRightInd w:val="0"/>
        <w:rPr>
          <w:sz w:val="22"/>
          <w:szCs w:val="22"/>
        </w:rPr>
      </w:pPr>
    </w:p>
    <w:p w:rsidR="00281CB4" w:rsidRPr="008C3C5C" w:rsidRDefault="00281CB4" w:rsidP="002C7D0E">
      <w:pPr>
        <w:autoSpaceDE w:val="0"/>
        <w:autoSpaceDN w:val="0"/>
        <w:adjustRightInd w:val="0"/>
        <w:rPr>
          <w:sz w:val="22"/>
          <w:szCs w:val="22"/>
        </w:rPr>
      </w:pPr>
    </w:p>
    <w:p w:rsidR="00281CB4" w:rsidRPr="00E327DE" w:rsidRDefault="00281CB4" w:rsidP="00A0515B">
      <w:pPr>
        <w:rPr>
          <w:sz w:val="22"/>
          <w:szCs w:val="22"/>
        </w:rPr>
      </w:pPr>
      <w:r>
        <w:rPr>
          <w:sz w:val="22"/>
          <w:szCs w:val="22"/>
        </w:rPr>
        <w:t xml:space="preserve">The purpose of this letter is to revise, update and replace the policies and guidance published in the February 1, 2016 </w:t>
      </w:r>
      <w:r w:rsidRPr="00E327DE">
        <w:rPr>
          <w:sz w:val="22"/>
          <w:szCs w:val="22"/>
        </w:rPr>
        <w:t xml:space="preserve">Circular Letter: </w:t>
      </w:r>
      <w:hyperlink r:id="rId12" w:history="1">
        <w:r w:rsidRPr="00E327DE">
          <w:rPr>
            <w:rStyle w:val="Hyperlink"/>
            <w:sz w:val="22"/>
            <w:szCs w:val="22"/>
          </w:rPr>
          <w:t>DHCQ 16-2-653</w:t>
        </w:r>
      </w:hyperlink>
      <w:r w:rsidRPr="00E327DE">
        <w:rPr>
          <w:sz w:val="22"/>
          <w:szCs w:val="22"/>
        </w:rPr>
        <w:t xml:space="preserve">. </w:t>
      </w:r>
    </w:p>
    <w:p w:rsidR="00281CB4" w:rsidRPr="00E327DE" w:rsidRDefault="00281CB4" w:rsidP="002D187E">
      <w:pPr>
        <w:rPr>
          <w:sz w:val="22"/>
          <w:szCs w:val="22"/>
        </w:rPr>
      </w:pPr>
    </w:p>
    <w:p w:rsidR="002C7D0E" w:rsidRPr="002D187E" w:rsidRDefault="00B832B6" w:rsidP="00A0515B">
      <w:pPr>
        <w:rPr>
          <w:sz w:val="22"/>
        </w:rPr>
      </w:pPr>
      <w:r w:rsidRPr="002D187E">
        <w:rPr>
          <w:sz w:val="22"/>
        </w:rPr>
        <w:t xml:space="preserve">Section 72BB </w:t>
      </w:r>
      <w:r w:rsidR="004E281C" w:rsidRPr="002D187E">
        <w:rPr>
          <w:sz w:val="22"/>
        </w:rPr>
        <w:t xml:space="preserve">of chapter 111 of the General Laws (Section 72BB) </w:t>
      </w:r>
      <w:r w:rsidRPr="002D187E">
        <w:rPr>
          <w:sz w:val="22"/>
        </w:rPr>
        <w:t>was enacted by section 140 of chapter 165</w:t>
      </w:r>
      <w:r w:rsidR="004E281C" w:rsidRPr="002D187E">
        <w:rPr>
          <w:sz w:val="22"/>
        </w:rPr>
        <w:t xml:space="preserve"> of the acts of 2014 (FY2015 General Appropriations Act), becoming effective </w:t>
      </w:r>
      <w:r w:rsidR="006A1CF8" w:rsidRPr="002D187E">
        <w:rPr>
          <w:sz w:val="22"/>
        </w:rPr>
        <w:t>July</w:t>
      </w:r>
      <w:r w:rsidR="00AD750E" w:rsidRPr="002D187E">
        <w:rPr>
          <w:sz w:val="22"/>
        </w:rPr>
        <w:t xml:space="preserve"> </w:t>
      </w:r>
      <w:r w:rsidR="004E281C" w:rsidRPr="002D187E">
        <w:rPr>
          <w:sz w:val="22"/>
        </w:rPr>
        <w:t xml:space="preserve">1, 2014. This section relates to </w:t>
      </w:r>
      <w:r w:rsidR="006A1CF8" w:rsidRPr="002D187E">
        <w:rPr>
          <w:sz w:val="22"/>
        </w:rPr>
        <w:t xml:space="preserve">documentation of </w:t>
      </w:r>
      <w:r w:rsidR="004E281C" w:rsidRPr="002D187E">
        <w:rPr>
          <w:sz w:val="22"/>
        </w:rPr>
        <w:t xml:space="preserve">informed consent prior to the administration of </w:t>
      </w:r>
      <w:r w:rsidR="002C7D0E" w:rsidRPr="002D187E">
        <w:rPr>
          <w:sz w:val="22"/>
        </w:rPr>
        <w:t xml:space="preserve">psychotropic </w:t>
      </w:r>
      <w:r w:rsidR="004E281C" w:rsidRPr="002D187E">
        <w:rPr>
          <w:sz w:val="22"/>
        </w:rPr>
        <w:t xml:space="preserve">medications, including </w:t>
      </w:r>
      <w:r w:rsidR="002C7D0E" w:rsidRPr="002D187E">
        <w:rPr>
          <w:sz w:val="22"/>
        </w:rPr>
        <w:t>antipsychotic medications</w:t>
      </w:r>
      <w:r w:rsidR="004E281C" w:rsidRPr="002D187E">
        <w:rPr>
          <w:sz w:val="22"/>
        </w:rPr>
        <w:t>,</w:t>
      </w:r>
      <w:r w:rsidR="002C7D0E" w:rsidRPr="002D187E">
        <w:rPr>
          <w:sz w:val="22"/>
        </w:rPr>
        <w:t xml:space="preserve"> in Massachusetts</w:t>
      </w:r>
      <w:r w:rsidR="006A1CF8" w:rsidRPr="002D187E">
        <w:rPr>
          <w:sz w:val="22"/>
        </w:rPr>
        <w:t>-licensed</w:t>
      </w:r>
      <w:r w:rsidR="002C7D0E" w:rsidRPr="002D187E">
        <w:rPr>
          <w:sz w:val="22"/>
        </w:rPr>
        <w:t xml:space="preserve"> long- term care facilities. </w:t>
      </w:r>
    </w:p>
    <w:p w:rsidR="002C7D0E" w:rsidRPr="002D187E" w:rsidRDefault="002C7D0E" w:rsidP="00A0515B">
      <w:pPr>
        <w:rPr>
          <w:sz w:val="22"/>
        </w:rPr>
      </w:pPr>
    </w:p>
    <w:p w:rsidR="00CA52BF" w:rsidRPr="002D187E" w:rsidRDefault="00A14F9E" w:rsidP="00A0515B">
      <w:pPr>
        <w:rPr>
          <w:sz w:val="22"/>
        </w:rPr>
      </w:pPr>
      <w:r w:rsidRPr="002D187E">
        <w:rPr>
          <w:sz w:val="22"/>
        </w:rPr>
        <w:t xml:space="preserve">As </w:t>
      </w:r>
      <w:r w:rsidR="006A745D" w:rsidRPr="002D187E">
        <w:rPr>
          <w:sz w:val="22"/>
        </w:rPr>
        <w:t xml:space="preserve">a Medicare condition of participation, federal law requires that long-term care facilities document informed consent to the extent provided by state law, and Massachusetts </w:t>
      </w:r>
      <w:r w:rsidR="006A1CF8" w:rsidRPr="002D187E">
        <w:rPr>
          <w:sz w:val="22"/>
        </w:rPr>
        <w:t>long-</w:t>
      </w:r>
      <w:r w:rsidR="006A745D" w:rsidRPr="002D187E">
        <w:rPr>
          <w:sz w:val="22"/>
        </w:rPr>
        <w:t xml:space="preserve">term care regulations, </w:t>
      </w:r>
      <w:r w:rsidR="00A0515B" w:rsidRPr="002D187E">
        <w:rPr>
          <w:sz w:val="22"/>
        </w:rPr>
        <w:t xml:space="preserve">105 </w:t>
      </w:r>
      <w:r w:rsidRPr="002D187E">
        <w:rPr>
          <w:sz w:val="22"/>
        </w:rPr>
        <w:t>CMR 150.008(A)(4)</w:t>
      </w:r>
      <w:r w:rsidR="006A745D" w:rsidRPr="002D187E">
        <w:rPr>
          <w:sz w:val="22"/>
        </w:rPr>
        <w:t>,</w:t>
      </w:r>
      <w:r w:rsidRPr="002D187E">
        <w:rPr>
          <w:sz w:val="22"/>
        </w:rPr>
        <w:t xml:space="preserve"> require facilities to “comply with all Federal and State laws and regulations relating to the procurement, storage, dispensing, administration, recording and disposal of drugs</w:t>
      </w:r>
      <w:r w:rsidR="00EE3B1A" w:rsidRPr="002D187E">
        <w:rPr>
          <w:sz w:val="22"/>
        </w:rPr>
        <w:t>.</w:t>
      </w:r>
      <w:r w:rsidRPr="002D187E">
        <w:rPr>
          <w:sz w:val="22"/>
        </w:rPr>
        <w:t xml:space="preserve">” </w:t>
      </w:r>
    </w:p>
    <w:p w:rsidR="00E37FA2" w:rsidRPr="002D187E" w:rsidRDefault="00E37FA2" w:rsidP="00A0515B">
      <w:pPr>
        <w:rPr>
          <w:sz w:val="22"/>
        </w:rPr>
      </w:pPr>
    </w:p>
    <w:p w:rsidR="004E281C" w:rsidRPr="002D187E" w:rsidRDefault="004E281C" w:rsidP="00970F9F">
      <w:pPr>
        <w:rPr>
          <w:sz w:val="22"/>
        </w:rPr>
      </w:pPr>
      <w:r w:rsidRPr="002D187E">
        <w:rPr>
          <w:sz w:val="22"/>
        </w:rPr>
        <w:t>This</w:t>
      </w:r>
      <w:r w:rsidRPr="002D187E">
        <w:rPr>
          <w:w w:val="101"/>
          <w:sz w:val="22"/>
        </w:rPr>
        <w:t xml:space="preserve"> </w:t>
      </w:r>
      <w:r w:rsidRPr="002D187E">
        <w:rPr>
          <w:sz w:val="22"/>
        </w:rPr>
        <w:t>circular</w:t>
      </w:r>
      <w:r w:rsidRPr="002D187E">
        <w:rPr>
          <w:spacing w:val="19"/>
          <w:sz w:val="22"/>
        </w:rPr>
        <w:t xml:space="preserve"> </w:t>
      </w:r>
      <w:r w:rsidRPr="002D187E">
        <w:rPr>
          <w:sz w:val="22"/>
        </w:rPr>
        <w:t>letter</w:t>
      </w:r>
      <w:r w:rsidRPr="002D187E">
        <w:rPr>
          <w:spacing w:val="22"/>
          <w:sz w:val="22"/>
        </w:rPr>
        <w:t xml:space="preserve"> </w:t>
      </w:r>
      <w:r w:rsidRPr="002D187E">
        <w:rPr>
          <w:sz w:val="22"/>
        </w:rPr>
        <w:t>outlines</w:t>
      </w:r>
      <w:r w:rsidRPr="002D187E">
        <w:rPr>
          <w:spacing w:val="22"/>
          <w:sz w:val="22"/>
        </w:rPr>
        <w:t xml:space="preserve"> </w:t>
      </w:r>
      <w:r w:rsidRPr="002D187E">
        <w:rPr>
          <w:sz w:val="22"/>
        </w:rPr>
        <w:t>the</w:t>
      </w:r>
      <w:r w:rsidRPr="002D187E">
        <w:rPr>
          <w:spacing w:val="14"/>
          <w:sz w:val="22"/>
        </w:rPr>
        <w:t xml:space="preserve"> </w:t>
      </w:r>
      <w:r w:rsidRPr="002D187E">
        <w:rPr>
          <w:sz w:val="22"/>
        </w:rPr>
        <w:t>requirements</w:t>
      </w:r>
      <w:r w:rsidRPr="002D187E">
        <w:rPr>
          <w:spacing w:val="32"/>
          <w:sz w:val="22"/>
        </w:rPr>
        <w:t xml:space="preserve"> </w:t>
      </w:r>
      <w:r w:rsidRPr="002D187E">
        <w:rPr>
          <w:sz w:val="22"/>
        </w:rPr>
        <w:t xml:space="preserve">for </w:t>
      </w:r>
      <w:r w:rsidR="006A1CF8" w:rsidRPr="002D187E">
        <w:rPr>
          <w:sz w:val="22"/>
        </w:rPr>
        <w:t>long-</w:t>
      </w:r>
      <w:r w:rsidRPr="002D187E">
        <w:rPr>
          <w:sz w:val="22"/>
        </w:rPr>
        <w:t xml:space="preserve">term care facilities under section 72BB, including guidance for the documentation of informed consent </w:t>
      </w:r>
      <w:r w:rsidR="00A14F9E" w:rsidRPr="002D187E">
        <w:rPr>
          <w:sz w:val="22"/>
        </w:rPr>
        <w:t xml:space="preserve">and </w:t>
      </w:r>
      <w:r w:rsidR="00CA52BF" w:rsidRPr="002D187E">
        <w:rPr>
          <w:sz w:val="22"/>
        </w:rPr>
        <w:t xml:space="preserve">the provision of </w:t>
      </w:r>
      <w:r w:rsidR="00A14F9E" w:rsidRPr="002D187E">
        <w:rPr>
          <w:sz w:val="22"/>
        </w:rPr>
        <w:t xml:space="preserve">a schedule of </w:t>
      </w:r>
      <w:r w:rsidR="00DA3E8B">
        <w:rPr>
          <w:sz w:val="22"/>
          <w:szCs w:val="22"/>
        </w:rPr>
        <w:t xml:space="preserve">psychotropic </w:t>
      </w:r>
      <w:r w:rsidR="00A14F9E" w:rsidRPr="002D187E">
        <w:rPr>
          <w:sz w:val="22"/>
        </w:rPr>
        <w:t>medications</w:t>
      </w:r>
      <w:r w:rsidR="00A14F9E" w:rsidRPr="008C3C5C">
        <w:rPr>
          <w:sz w:val="22"/>
          <w:szCs w:val="22"/>
        </w:rPr>
        <w:t xml:space="preserve"> </w:t>
      </w:r>
      <w:r w:rsidR="00DA3E8B">
        <w:rPr>
          <w:sz w:val="22"/>
          <w:szCs w:val="22"/>
        </w:rPr>
        <w:t>(Attachment A)</w:t>
      </w:r>
      <w:r w:rsidR="00DA3E8B" w:rsidRPr="002D187E">
        <w:rPr>
          <w:sz w:val="22"/>
        </w:rPr>
        <w:t xml:space="preserve"> </w:t>
      </w:r>
      <w:r w:rsidR="00A14F9E" w:rsidRPr="002D187E">
        <w:rPr>
          <w:sz w:val="22"/>
        </w:rPr>
        <w:t>for which these procedures must be completed.</w:t>
      </w:r>
    </w:p>
    <w:p w:rsidR="004E281C" w:rsidRPr="002D187E" w:rsidRDefault="004E281C" w:rsidP="00A0515B">
      <w:pPr>
        <w:rPr>
          <w:sz w:val="22"/>
        </w:rPr>
      </w:pPr>
    </w:p>
    <w:p w:rsidR="00EE3B1A" w:rsidRPr="002D187E" w:rsidRDefault="004E281C" w:rsidP="00A0515B">
      <w:pPr>
        <w:rPr>
          <w:b/>
          <w:sz w:val="22"/>
        </w:rPr>
      </w:pPr>
      <w:r w:rsidRPr="002D187E">
        <w:rPr>
          <w:b/>
          <w:sz w:val="22"/>
        </w:rPr>
        <w:t xml:space="preserve">Section </w:t>
      </w:r>
      <w:r w:rsidR="002C7D0E" w:rsidRPr="002D187E" w:rsidDel="00487949">
        <w:rPr>
          <w:b/>
          <w:sz w:val="22"/>
        </w:rPr>
        <w:t xml:space="preserve">72BB </w:t>
      </w:r>
      <w:r w:rsidR="002C7D0E" w:rsidRPr="002D187E">
        <w:rPr>
          <w:b/>
          <w:sz w:val="22"/>
        </w:rPr>
        <w:t>states as follows:</w:t>
      </w:r>
    </w:p>
    <w:p w:rsidR="002C7D0E" w:rsidRPr="002D187E" w:rsidRDefault="002C7D0E" w:rsidP="00A0515B">
      <w:pPr>
        <w:rPr>
          <w:sz w:val="22"/>
        </w:rPr>
      </w:pPr>
    </w:p>
    <w:p w:rsidR="002C7D0E" w:rsidRPr="002D187E" w:rsidRDefault="002C7D0E" w:rsidP="00A0515B">
      <w:pPr>
        <w:ind w:left="720" w:hanging="360"/>
        <w:rPr>
          <w:i/>
          <w:sz w:val="22"/>
        </w:rPr>
      </w:pPr>
      <w:r w:rsidRPr="002D187E">
        <w:rPr>
          <w:i/>
          <w:sz w:val="22"/>
        </w:rPr>
        <w:t xml:space="preserve">(a) For the purposes of this section, the term ‘facility’ shall mean a nursing home, rest home or other long-term care facility. </w:t>
      </w:r>
    </w:p>
    <w:p w:rsidR="002C7D0E" w:rsidRPr="002D187E" w:rsidRDefault="002C7D0E" w:rsidP="00A0515B">
      <w:pPr>
        <w:ind w:left="720" w:hanging="360"/>
        <w:rPr>
          <w:i/>
          <w:sz w:val="22"/>
        </w:rPr>
      </w:pPr>
      <w:r w:rsidRPr="002D187E">
        <w:rPr>
          <w:i/>
          <w:sz w:val="22"/>
        </w:rPr>
        <w:t xml:space="preserve">(b) The department shall establish a schedule of psychotropic medications that shall not be administered to a resident by a facility without informed written consent. </w:t>
      </w:r>
    </w:p>
    <w:p w:rsidR="002C7D0E" w:rsidRPr="002D187E" w:rsidRDefault="002C7D0E" w:rsidP="00A0515B">
      <w:pPr>
        <w:ind w:left="720" w:hanging="360"/>
        <w:rPr>
          <w:i/>
          <w:sz w:val="22"/>
        </w:rPr>
      </w:pPr>
      <w:r w:rsidRPr="002D187E">
        <w:rPr>
          <w:i/>
          <w:sz w:val="22"/>
        </w:rPr>
        <w:lastRenderedPageBreak/>
        <w:t>(c) Prior to administering psychotropic medication listed on the schedule created under subsection (b), a facility shall obtain the informed written consent of the resident, the resident’s health care proxy or the resident’s guardian. Informed written consent shall be obtained on a form approved by the department, which shall include, at a minimum, the following information: (i) the purpose for administering the listed psychotropic drug; (ii) the prescribed dosage; and (iii) any known effect or side effect of the psychotropic medication. The written consent form shall be kept in the resident’s medical record</w:t>
      </w:r>
      <w:r w:rsidR="00EE3B1A" w:rsidRPr="002D187E">
        <w:rPr>
          <w:i/>
          <w:sz w:val="22"/>
        </w:rPr>
        <w:t>.</w:t>
      </w:r>
    </w:p>
    <w:p w:rsidR="006A745D" w:rsidRPr="002D187E" w:rsidRDefault="006A745D" w:rsidP="00A0515B">
      <w:pPr>
        <w:rPr>
          <w:sz w:val="22"/>
        </w:rPr>
      </w:pPr>
    </w:p>
    <w:p w:rsidR="008742A5" w:rsidRPr="008C3C5C" w:rsidRDefault="008742A5" w:rsidP="00A0515B">
      <w:pPr>
        <w:rPr>
          <w:sz w:val="22"/>
          <w:szCs w:val="22"/>
        </w:rPr>
      </w:pPr>
      <w:r w:rsidRPr="008C3C5C">
        <w:rPr>
          <w:sz w:val="22"/>
          <w:szCs w:val="22"/>
        </w:rPr>
        <w:t>As indicated in subsection (</w:t>
      </w:r>
      <w:r w:rsidR="00EA31EA">
        <w:rPr>
          <w:sz w:val="22"/>
          <w:szCs w:val="22"/>
        </w:rPr>
        <w:t>c</w:t>
      </w:r>
      <w:r w:rsidRPr="008C3C5C">
        <w:rPr>
          <w:sz w:val="22"/>
          <w:szCs w:val="22"/>
        </w:rPr>
        <w:t xml:space="preserve">) above, informed written consent must be obtained prior to administration using the Department’s form at Attachment B, below.  Written consent can be obtained in person, by fax or by means of a scanned and emailed copy of the consent form.  </w:t>
      </w:r>
      <w:r w:rsidR="001013DF" w:rsidRPr="008C3C5C">
        <w:rPr>
          <w:sz w:val="22"/>
          <w:szCs w:val="22"/>
        </w:rPr>
        <w:t>Verbal consent by telephone, even if witnessed by a second staff member of the facility, does not constitute written consent.</w:t>
      </w:r>
    </w:p>
    <w:p w:rsidR="008742A5" w:rsidRPr="008C3C5C" w:rsidRDefault="008742A5" w:rsidP="00A0515B">
      <w:pPr>
        <w:rPr>
          <w:sz w:val="22"/>
          <w:szCs w:val="22"/>
        </w:rPr>
      </w:pPr>
    </w:p>
    <w:p w:rsidR="006A745D" w:rsidRPr="002D187E" w:rsidRDefault="006A745D" w:rsidP="00A0515B">
      <w:pPr>
        <w:rPr>
          <w:sz w:val="22"/>
        </w:rPr>
      </w:pPr>
      <w:r w:rsidRPr="002D187E">
        <w:rPr>
          <w:sz w:val="22"/>
        </w:rPr>
        <w:t xml:space="preserve">The Department will consider a </w:t>
      </w:r>
      <w:r w:rsidR="00BE2E0C" w:rsidRPr="002D187E">
        <w:rPr>
          <w:sz w:val="22"/>
        </w:rPr>
        <w:t>long term care</w:t>
      </w:r>
      <w:r w:rsidRPr="002D187E">
        <w:rPr>
          <w:sz w:val="22"/>
        </w:rPr>
        <w:t xml:space="preserve"> facility to be in compliance with Section 72BB if the facility has policies and procedures that document the following:</w:t>
      </w:r>
    </w:p>
    <w:p w:rsidR="006A745D" w:rsidRPr="002D187E" w:rsidRDefault="006A745D" w:rsidP="00A0515B">
      <w:pPr>
        <w:rPr>
          <w:sz w:val="22"/>
        </w:rPr>
      </w:pPr>
    </w:p>
    <w:p w:rsidR="00A0515B" w:rsidRPr="002D187E" w:rsidRDefault="00CA52BF" w:rsidP="00A0515B">
      <w:pPr>
        <w:numPr>
          <w:ilvl w:val="0"/>
          <w:numId w:val="7"/>
        </w:numPr>
        <w:rPr>
          <w:sz w:val="22"/>
        </w:rPr>
      </w:pPr>
      <w:r w:rsidRPr="002D187E">
        <w:rPr>
          <w:sz w:val="22"/>
        </w:rPr>
        <w:t>D</w:t>
      </w:r>
      <w:r w:rsidR="00EE3B1A" w:rsidRPr="002D187E">
        <w:rPr>
          <w:sz w:val="22"/>
        </w:rPr>
        <w:t>ocumentation of informed consent for prescribing psychotropic medications</w:t>
      </w:r>
      <w:r w:rsidR="003D32E8" w:rsidRPr="002D187E">
        <w:rPr>
          <w:sz w:val="22"/>
        </w:rPr>
        <w:t xml:space="preserve"> (as specified below)</w:t>
      </w:r>
      <w:r w:rsidR="00EE3B1A" w:rsidRPr="002D187E">
        <w:rPr>
          <w:sz w:val="22"/>
        </w:rPr>
        <w:t>, including but not limited to, drugs that treat depression, anxiety disorders, or attention deficit/hyperactivity disorder (</w:t>
      </w:r>
      <w:r w:rsidR="00DA3E8B">
        <w:rPr>
          <w:sz w:val="22"/>
          <w:szCs w:val="22"/>
        </w:rPr>
        <w:t>See</w:t>
      </w:r>
      <w:r w:rsidR="00A54052" w:rsidRPr="002D187E">
        <w:rPr>
          <w:sz w:val="22"/>
        </w:rPr>
        <w:t xml:space="preserve"> Attachment </w:t>
      </w:r>
      <w:r w:rsidRPr="002D187E">
        <w:rPr>
          <w:sz w:val="22"/>
        </w:rPr>
        <w:t>A</w:t>
      </w:r>
      <w:r w:rsidR="00A54052" w:rsidRPr="002D187E">
        <w:rPr>
          <w:sz w:val="22"/>
        </w:rPr>
        <w:t>)</w:t>
      </w:r>
      <w:r w:rsidR="00EE3B1A" w:rsidRPr="002D187E">
        <w:rPr>
          <w:sz w:val="22"/>
        </w:rPr>
        <w:t>;</w:t>
      </w:r>
    </w:p>
    <w:p w:rsidR="000E1287" w:rsidRDefault="00EE3B1A" w:rsidP="000E1287">
      <w:pPr>
        <w:numPr>
          <w:ilvl w:val="0"/>
          <w:numId w:val="7"/>
        </w:numPr>
        <w:rPr>
          <w:sz w:val="22"/>
        </w:rPr>
      </w:pPr>
      <w:r w:rsidRPr="002D187E">
        <w:rPr>
          <w:sz w:val="22"/>
        </w:rPr>
        <w:t>Appropriate training of staff regarding the requirements</w:t>
      </w:r>
      <w:r w:rsidR="002B1FC5" w:rsidRPr="008C3C5C">
        <w:rPr>
          <w:sz w:val="22"/>
          <w:szCs w:val="22"/>
        </w:rPr>
        <w:t xml:space="preserve"> </w:t>
      </w:r>
      <w:r w:rsidR="00DA3E8B" w:rsidRPr="00DA3E8B">
        <w:rPr>
          <w:sz w:val="22"/>
          <w:szCs w:val="22"/>
        </w:rPr>
        <w:t xml:space="preserve">of </w:t>
      </w:r>
      <w:r w:rsidR="00DA3E8B" w:rsidRPr="00DA3E8B">
        <w:rPr>
          <w:i/>
          <w:sz w:val="22"/>
          <w:szCs w:val="22"/>
        </w:rPr>
        <w:t>R</w:t>
      </w:r>
      <w:r w:rsidR="00DA3E8B" w:rsidRPr="00DA3E8B">
        <w:rPr>
          <w:i/>
          <w:color w:val="333333"/>
          <w:sz w:val="22"/>
          <w:szCs w:val="22"/>
          <w:shd w:val="clear" w:color="auto" w:fill="FFFFFF"/>
        </w:rPr>
        <w:t>ogers v. Commissioner of the Department of Mental Health</w:t>
      </w:r>
      <w:r w:rsidR="00DA3E8B" w:rsidRPr="00DA3E8B">
        <w:rPr>
          <w:color w:val="333333"/>
          <w:sz w:val="22"/>
          <w:szCs w:val="22"/>
          <w:shd w:val="clear" w:color="auto" w:fill="FFFFFF"/>
        </w:rPr>
        <w:t>, 390 Mass. 489 (1983)</w:t>
      </w:r>
      <w:r w:rsidR="00DA3E8B" w:rsidRPr="002D187E">
        <w:rPr>
          <w:sz w:val="22"/>
        </w:rPr>
        <w:t xml:space="preserve"> </w:t>
      </w:r>
      <w:r w:rsidR="002B1FC5" w:rsidRPr="002D187E">
        <w:rPr>
          <w:sz w:val="22"/>
        </w:rPr>
        <w:t>(discussed below)</w:t>
      </w:r>
      <w:r w:rsidRPr="002D187E">
        <w:rPr>
          <w:sz w:val="22"/>
        </w:rPr>
        <w:t xml:space="preserve">, including the acknowledgment that, consistent with </w:t>
      </w:r>
      <w:r w:rsidRPr="002D187E">
        <w:rPr>
          <w:i/>
          <w:sz w:val="22"/>
        </w:rPr>
        <w:t>Rogers</w:t>
      </w:r>
      <w:r w:rsidRPr="002D187E">
        <w:rPr>
          <w:sz w:val="22"/>
        </w:rPr>
        <w:t>, guardians may not consent to the administration of antipsychotic medications.</w:t>
      </w:r>
    </w:p>
    <w:p w:rsidR="000E1287" w:rsidRPr="000E1287" w:rsidRDefault="000E1287" w:rsidP="00A03659">
      <w:pPr>
        <w:ind w:left="360"/>
        <w:rPr>
          <w:sz w:val="22"/>
        </w:rPr>
      </w:pPr>
    </w:p>
    <w:p w:rsidR="000E1287" w:rsidRDefault="000E1287" w:rsidP="00A0515B">
      <w:pPr>
        <w:rPr>
          <w:b/>
          <w:sz w:val="22"/>
          <w:u w:val="single"/>
        </w:rPr>
      </w:pPr>
      <w:r>
        <w:rPr>
          <w:b/>
          <w:sz w:val="22"/>
          <w:u w:val="single"/>
        </w:rPr>
        <w:t>Documenting Informed Consent</w:t>
      </w:r>
    </w:p>
    <w:p w:rsidR="000E1287" w:rsidRPr="00A03659" w:rsidRDefault="000E1287" w:rsidP="00A0515B">
      <w:pPr>
        <w:rPr>
          <w:b/>
          <w:sz w:val="22"/>
          <w:u w:val="single"/>
        </w:rPr>
      </w:pPr>
    </w:p>
    <w:p w:rsidR="006A745D" w:rsidRPr="002D187E" w:rsidRDefault="006A745D" w:rsidP="00A0515B">
      <w:pPr>
        <w:rPr>
          <w:sz w:val="22"/>
        </w:rPr>
      </w:pPr>
      <w:r w:rsidRPr="002D187E">
        <w:rPr>
          <w:sz w:val="22"/>
        </w:rPr>
        <w:t>In order to meet Section 72BB’s requirements for document</w:t>
      </w:r>
      <w:r w:rsidR="000E1287">
        <w:rPr>
          <w:sz w:val="22"/>
        </w:rPr>
        <w:t xml:space="preserve">ing </w:t>
      </w:r>
      <w:r w:rsidRPr="002D187E">
        <w:rPr>
          <w:sz w:val="22"/>
        </w:rPr>
        <w:t xml:space="preserve">informed consent, </w:t>
      </w:r>
      <w:r w:rsidR="008742A5" w:rsidRPr="008C3C5C">
        <w:rPr>
          <w:sz w:val="22"/>
          <w:szCs w:val="22"/>
        </w:rPr>
        <w:t>prior to the</w:t>
      </w:r>
      <w:r w:rsidR="008742A5" w:rsidRPr="002D187E">
        <w:rPr>
          <w:sz w:val="22"/>
        </w:rPr>
        <w:t xml:space="preserve"> </w:t>
      </w:r>
      <w:r w:rsidR="00A54052" w:rsidRPr="002D187E">
        <w:rPr>
          <w:sz w:val="22"/>
        </w:rPr>
        <w:t xml:space="preserve">administration of any drug included on </w:t>
      </w:r>
      <w:r w:rsidR="00CA52BF" w:rsidRPr="002D187E">
        <w:rPr>
          <w:sz w:val="22"/>
        </w:rPr>
        <w:t>A</w:t>
      </w:r>
      <w:r w:rsidR="00A54052" w:rsidRPr="002D187E">
        <w:rPr>
          <w:sz w:val="22"/>
        </w:rPr>
        <w:t>ttachment A</w:t>
      </w:r>
      <w:r w:rsidR="00A54052" w:rsidRPr="008C3C5C">
        <w:rPr>
          <w:sz w:val="22"/>
          <w:szCs w:val="22"/>
        </w:rPr>
        <w:t>,</w:t>
      </w:r>
      <w:r w:rsidR="00A54052" w:rsidRPr="002D187E">
        <w:rPr>
          <w:sz w:val="22"/>
        </w:rPr>
        <w:t xml:space="preserve"> </w:t>
      </w:r>
      <w:r w:rsidR="00BE2E0C" w:rsidRPr="002D187E">
        <w:rPr>
          <w:sz w:val="22"/>
        </w:rPr>
        <w:t>long term care</w:t>
      </w:r>
      <w:r w:rsidRPr="002D187E">
        <w:rPr>
          <w:sz w:val="22"/>
        </w:rPr>
        <w:t xml:space="preserve"> facilities must </w:t>
      </w:r>
      <w:r w:rsidR="00EE3B1A" w:rsidRPr="002D187E">
        <w:rPr>
          <w:sz w:val="22"/>
        </w:rPr>
        <w:t xml:space="preserve">complete the Department’s prescribed form (Attachment B), </w:t>
      </w:r>
      <w:r w:rsidR="00A54052" w:rsidRPr="002D187E">
        <w:rPr>
          <w:sz w:val="22"/>
        </w:rPr>
        <w:t>and</w:t>
      </w:r>
      <w:r w:rsidRPr="002D187E">
        <w:rPr>
          <w:sz w:val="22"/>
        </w:rPr>
        <w:t xml:space="preserve"> </w:t>
      </w:r>
      <w:r w:rsidR="008742A5" w:rsidRPr="008C3C5C">
        <w:rPr>
          <w:sz w:val="22"/>
          <w:szCs w:val="22"/>
        </w:rPr>
        <w:t>prior to or upon administration</w:t>
      </w:r>
      <w:r w:rsidR="00BD6ECF">
        <w:rPr>
          <w:sz w:val="22"/>
          <w:szCs w:val="22"/>
        </w:rPr>
        <w:t>,</w:t>
      </w:r>
      <w:r w:rsidR="008742A5" w:rsidRPr="008C3C5C">
        <w:rPr>
          <w:sz w:val="22"/>
          <w:szCs w:val="22"/>
        </w:rPr>
        <w:t xml:space="preserve"> </w:t>
      </w:r>
      <w:r w:rsidR="00A54052" w:rsidRPr="002D187E">
        <w:rPr>
          <w:sz w:val="22"/>
        </w:rPr>
        <w:t xml:space="preserve">include the completed form </w:t>
      </w:r>
      <w:r w:rsidRPr="002D187E">
        <w:rPr>
          <w:sz w:val="22"/>
        </w:rPr>
        <w:t>in the resident’s medical record</w:t>
      </w:r>
      <w:r w:rsidR="00A54052" w:rsidRPr="002D187E">
        <w:rPr>
          <w:sz w:val="22"/>
        </w:rPr>
        <w:t xml:space="preserve">. </w:t>
      </w:r>
      <w:r w:rsidR="007804A4">
        <w:rPr>
          <w:sz w:val="22"/>
        </w:rPr>
        <w:t xml:space="preserve">In order to complete the form, the drug’s </w:t>
      </w:r>
      <w:r w:rsidR="00BD6ECF">
        <w:rPr>
          <w:sz w:val="22"/>
          <w:szCs w:val="22"/>
        </w:rPr>
        <w:t>prescriber</w:t>
      </w:r>
      <w:r w:rsidR="007804A4">
        <w:rPr>
          <w:sz w:val="22"/>
          <w:szCs w:val="22"/>
        </w:rPr>
        <w:t xml:space="preserve"> must</w:t>
      </w:r>
      <w:r w:rsidR="00BD6ECF" w:rsidRPr="002D187E">
        <w:rPr>
          <w:sz w:val="22"/>
        </w:rPr>
        <w:t xml:space="preserve"> discuss </w:t>
      </w:r>
      <w:r w:rsidR="00BD6ECF">
        <w:rPr>
          <w:sz w:val="22"/>
          <w:szCs w:val="22"/>
        </w:rPr>
        <w:t xml:space="preserve">the </w:t>
      </w:r>
      <w:r w:rsidRPr="008C3C5C">
        <w:rPr>
          <w:sz w:val="22"/>
          <w:szCs w:val="22"/>
        </w:rPr>
        <w:t xml:space="preserve">following </w:t>
      </w:r>
      <w:r w:rsidRPr="002D187E">
        <w:rPr>
          <w:sz w:val="22"/>
        </w:rPr>
        <w:t>with the resident or the resident’s</w:t>
      </w:r>
      <w:r w:rsidRPr="008C3C5C">
        <w:rPr>
          <w:sz w:val="22"/>
          <w:szCs w:val="22"/>
        </w:rPr>
        <w:t xml:space="preserve"> </w:t>
      </w:r>
      <w:r w:rsidR="00BD6ECF">
        <w:rPr>
          <w:sz w:val="22"/>
          <w:szCs w:val="22"/>
        </w:rPr>
        <w:t>legal</w:t>
      </w:r>
      <w:r w:rsidR="00BD6ECF" w:rsidRPr="002D187E">
        <w:rPr>
          <w:sz w:val="22"/>
        </w:rPr>
        <w:t xml:space="preserve"> </w:t>
      </w:r>
      <w:r w:rsidRPr="002D187E">
        <w:rPr>
          <w:sz w:val="22"/>
        </w:rPr>
        <w:t>representative:</w:t>
      </w:r>
    </w:p>
    <w:p w:rsidR="006A745D" w:rsidRPr="002D187E" w:rsidRDefault="006A745D" w:rsidP="00A0515B">
      <w:pPr>
        <w:rPr>
          <w:sz w:val="22"/>
        </w:rPr>
      </w:pPr>
    </w:p>
    <w:p w:rsidR="006A745D" w:rsidRPr="002D187E" w:rsidRDefault="00A0515B" w:rsidP="00A0515B">
      <w:pPr>
        <w:numPr>
          <w:ilvl w:val="0"/>
          <w:numId w:val="8"/>
        </w:numPr>
        <w:rPr>
          <w:sz w:val="22"/>
        </w:rPr>
      </w:pPr>
      <w:r w:rsidRPr="002D187E">
        <w:rPr>
          <w:sz w:val="22"/>
        </w:rPr>
        <w:t xml:space="preserve"> </w:t>
      </w:r>
      <w:r w:rsidR="006A745D" w:rsidRPr="002D187E">
        <w:rPr>
          <w:sz w:val="22"/>
        </w:rPr>
        <w:t>the purpose for administering the psychotropic drug</w:t>
      </w:r>
      <w:r w:rsidR="00DA3E8B">
        <w:rPr>
          <w:sz w:val="22"/>
          <w:szCs w:val="22"/>
        </w:rPr>
        <w:t xml:space="preserve"> listed on Attachment A</w:t>
      </w:r>
      <w:r w:rsidR="006A745D" w:rsidRPr="002D187E">
        <w:rPr>
          <w:sz w:val="22"/>
        </w:rPr>
        <w:t xml:space="preserve">; </w:t>
      </w:r>
    </w:p>
    <w:p w:rsidR="00A0515B" w:rsidRPr="002D187E" w:rsidRDefault="00A0515B" w:rsidP="00A0515B">
      <w:pPr>
        <w:numPr>
          <w:ilvl w:val="0"/>
          <w:numId w:val="8"/>
        </w:numPr>
        <w:rPr>
          <w:sz w:val="22"/>
        </w:rPr>
      </w:pPr>
      <w:r w:rsidRPr="002D187E">
        <w:rPr>
          <w:sz w:val="22"/>
        </w:rPr>
        <w:t xml:space="preserve"> the prescribed dosage; and</w:t>
      </w:r>
    </w:p>
    <w:p w:rsidR="00224F06" w:rsidRPr="002D187E" w:rsidRDefault="00A0515B" w:rsidP="002D187E">
      <w:pPr>
        <w:numPr>
          <w:ilvl w:val="0"/>
          <w:numId w:val="8"/>
        </w:numPr>
        <w:ind w:left="720" w:hanging="360"/>
        <w:rPr>
          <w:sz w:val="22"/>
        </w:rPr>
      </w:pPr>
      <w:r w:rsidRPr="002D187E">
        <w:rPr>
          <w:sz w:val="22"/>
        </w:rPr>
        <w:t xml:space="preserve"> any known effect or side effect of the psychotropic medication</w:t>
      </w:r>
      <w:r w:rsidR="00E87C72" w:rsidRPr="002D187E">
        <w:rPr>
          <w:sz w:val="22"/>
        </w:rPr>
        <w:t>.</w:t>
      </w:r>
    </w:p>
    <w:p w:rsidR="00A0515B" w:rsidRDefault="00224F06" w:rsidP="00224F06">
      <w:pPr>
        <w:numPr>
          <w:ilvl w:val="1"/>
          <w:numId w:val="8"/>
        </w:numPr>
        <w:ind w:left="1080"/>
        <w:rPr>
          <w:sz w:val="22"/>
          <w:szCs w:val="22"/>
        </w:rPr>
      </w:pPr>
      <w:r>
        <w:rPr>
          <w:sz w:val="22"/>
          <w:szCs w:val="22"/>
        </w:rPr>
        <w:t>A separate document with this information may be attached to the form, provided that each attached page is numbered (e.g. 2 of 5), initialed by the resident or the resident’s legal representative, and dated contemporaneously with the form itself</w:t>
      </w:r>
      <w:r w:rsidR="00A0515B" w:rsidRPr="008C3C5C">
        <w:rPr>
          <w:sz w:val="22"/>
          <w:szCs w:val="22"/>
        </w:rPr>
        <w:t>.</w:t>
      </w:r>
    </w:p>
    <w:p w:rsidR="00224F06" w:rsidRPr="008C3C5C" w:rsidRDefault="00E87C72" w:rsidP="00A03659">
      <w:pPr>
        <w:numPr>
          <w:ilvl w:val="1"/>
          <w:numId w:val="8"/>
        </w:numPr>
        <w:ind w:left="1080"/>
        <w:rPr>
          <w:sz w:val="22"/>
          <w:szCs w:val="22"/>
        </w:rPr>
      </w:pPr>
      <w:r>
        <w:rPr>
          <w:sz w:val="22"/>
          <w:szCs w:val="22"/>
        </w:rPr>
        <w:t xml:space="preserve">Printer-friendly versions of package inserts for FDA-approved drugs can be found </w:t>
      </w:r>
      <w:hyperlink r:id="rId13" w:history="1">
        <w:r w:rsidRPr="00E87C72">
          <w:rPr>
            <w:rStyle w:val="Hyperlink"/>
            <w:sz w:val="22"/>
            <w:szCs w:val="22"/>
          </w:rPr>
          <w:t>here</w:t>
        </w:r>
      </w:hyperlink>
      <w:r w:rsidR="00B72519">
        <w:rPr>
          <w:sz w:val="22"/>
          <w:szCs w:val="22"/>
        </w:rPr>
        <w:t xml:space="preserve">:  </w:t>
      </w:r>
      <w:r w:rsidR="00B72519" w:rsidRPr="00B72519">
        <w:rPr>
          <w:sz w:val="22"/>
          <w:szCs w:val="22"/>
        </w:rPr>
        <w:t>https://medlineplus.gov/druginformation.html</w:t>
      </w:r>
      <w:r>
        <w:rPr>
          <w:sz w:val="22"/>
          <w:szCs w:val="22"/>
        </w:rPr>
        <w:t>.</w:t>
      </w:r>
    </w:p>
    <w:p w:rsidR="006A745D" w:rsidRPr="008C3C5C" w:rsidRDefault="006A745D" w:rsidP="00A0515B">
      <w:pPr>
        <w:rPr>
          <w:sz w:val="22"/>
          <w:szCs w:val="22"/>
        </w:rPr>
      </w:pPr>
    </w:p>
    <w:p w:rsidR="00224F06" w:rsidRDefault="00BD6ECF" w:rsidP="00A0515B">
      <w:pPr>
        <w:rPr>
          <w:sz w:val="22"/>
          <w:szCs w:val="22"/>
        </w:rPr>
      </w:pPr>
      <w:r>
        <w:rPr>
          <w:sz w:val="22"/>
          <w:szCs w:val="22"/>
        </w:rPr>
        <w:t xml:space="preserve">The discussion between the prescriber and the </w:t>
      </w:r>
      <w:r w:rsidRPr="008C3C5C">
        <w:rPr>
          <w:sz w:val="22"/>
          <w:szCs w:val="22"/>
        </w:rPr>
        <w:t xml:space="preserve">resident or the resident’s </w:t>
      </w:r>
      <w:r>
        <w:rPr>
          <w:sz w:val="22"/>
          <w:szCs w:val="22"/>
        </w:rPr>
        <w:t xml:space="preserve">legal </w:t>
      </w:r>
      <w:r w:rsidRPr="008C3C5C">
        <w:rPr>
          <w:sz w:val="22"/>
          <w:szCs w:val="22"/>
        </w:rPr>
        <w:t xml:space="preserve">representative </w:t>
      </w:r>
      <w:r>
        <w:rPr>
          <w:sz w:val="22"/>
          <w:szCs w:val="22"/>
        </w:rPr>
        <w:t xml:space="preserve">may take place </w:t>
      </w:r>
      <w:r w:rsidR="00273458">
        <w:rPr>
          <w:sz w:val="22"/>
          <w:szCs w:val="22"/>
        </w:rPr>
        <w:t>by phone.</w:t>
      </w:r>
      <w:r>
        <w:rPr>
          <w:sz w:val="22"/>
          <w:szCs w:val="22"/>
        </w:rPr>
        <w:t xml:space="preserve"> </w:t>
      </w:r>
      <w:r w:rsidR="00273458">
        <w:rPr>
          <w:sz w:val="22"/>
          <w:szCs w:val="22"/>
        </w:rPr>
        <w:t xml:space="preserve"> A</w:t>
      </w:r>
      <w:r>
        <w:rPr>
          <w:sz w:val="22"/>
          <w:szCs w:val="22"/>
        </w:rPr>
        <w:t xml:space="preserve"> facility representative</w:t>
      </w:r>
      <w:r w:rsidR="00273458">
        <w:rPr>
          <w:sz w:val="22"/>
          <w:szCs w:val="22"/>
        </w:rPr>
        <w:t xml:space="preserve"> must then document this discussion by</w:t>
      </w:r>
      <w:r>
        <w:rPr>
          <w:sz w:val="22"/>
          <w:szCs w:val="22"/>
        </w:rPr>
        <w:t xml:space="preserve"> completi</w:t>
      </w:r>
      <w:r w:rsidR="00273458">
        <w:rPr>
          <w:sz w:val="22"/>
          <w:szCs w:val="22"/>
        </w:rPr>
        <w:t>ng</w:t>
      </w:r>
      <w:r>
        <w:rPr>
          <w:sz w:val="22"/>
          <w:szCs w:val="22"/>
        </w:rPr>
        <w:t xml:space="preserve"> the form, including </w:t>
      </w:r>
      <w:r w:rsidR="00224F06">
        <w:rPr>
          <w:sz w:val="22"/>
          <w:szCs w:val="22"/>
        </w:rPr>
        <w:t>all necessary signatures</w:t>
      </w:r>
      <w:r w:rsidR="00E20644">
        <w:rPr>
          <w:sz w:val="22"/>
          <w:szCs w:val="22"/>
        </w:rPr>
        <w:t xml:space="preserve"> within a reasonably proximate time period, so as not </w:t>
      </w:r>
      <w:r w:rsidR="00FC398B">
        <w:rPr>
          <w:sz w:val="22"/>
          <w:szCs w:val="22"/>
        </w:rPr>
        <w:t xml:space="preserve">to </w:t>
      </w:r>
      <w:r w:rsidR="00224F06" w:rsidRPr="00FC398B">
        <w:rPr>
          <w:sz w:val="22"/>
          <w:szCs w:val="22"/>
        </w:rPr>
        <w:t>negate informed consent.</w:t>
      </w:r>
      <w:r w:rsidR="00224F06">
        <w:rPr>
          <w:sz w:val="22"/>
          <w:szCs w:val="22"/>
        </w:rPr>
        <w:t xml:space="preserve"> </w:t>
      </w:r>
    </w:p>
    <w:p w:rsidR="00224F06" w:rsidRPr="002D187E" w:rsidRDefault="003A6928" w:rsidP="00A03659">
      <w:pPr>
        <w:tabs>
          <w:tab w:val="left" w:pos="2970"/>
        </w:tabs>
        <w:rPr>
          <w:sz w:val="22"/>
        </w:rPr>
      </w:pPr>
      <w:r>
        <w:rPr>
          <w:sz w:val="22"/>
        </w:rPr>
        <w:tab/>
      </w:r>
    </w:p>
    <w:p w:rsidR="00A54052" w:rsidRPr="002D187E" w:rsidRDefault="00A54052" w:rsidP="00A0515B">
      <w:pPr>
        <w:rPr>
          <w:sz w:val="22"/>
        </w:rPr>
      </w:pPr>
      <w:r w:rsidRPr="002D187E">
        <w:rPr>
          <w:sz w:val="22"/>
        </w:rPr>
        <w:t xml:space="preserve">While prescribers are not required to complete this process each and every time a resident is administered a </w:t>
      </w:r>
      <w:r w:rsidR="009F602D" w:rsidRPr="002D187E">
        <w:rPr>
          <w:sz w:val="22"/>
        </w:rPr>
        <w:t>dose of psychotropic medication</w:t>
      </w:r>
      <w:r w:rsidRPr="002D187E">
        <w:rPr>
          <w:sz w:val="22"/>
        </w:rPr>
        <w:t xml:space="preserve">, </w:t>
      </w:r>
      <w:r w:rsidR="003A6928">
        <w:rPr>
          <w:sz w:val="22"/>
        </w:rPr>
        <w:t>written informed consent must be obtained</w:t>
      </w:r>
      <w:r w:rsidRPr="002D187E">
        <w:rPr>
          <w:sz w:val="22"/>
        </w:rPr>
        <w:t xml:space="preserve"> each time a new </w:t>
      </w:r>
      <w:r w:rsidR="009F602D" w:rsidRPr="002D187E">
        <w:rPr>
          <w:sz w:val="22"/>
        </w:rPr>
        <w:t xml:space="preserve">or renewed </w:t>
      </w:r>
      <w:r w:rsidRPr="002D187E">
        <w:rPr>
          <w:sz w:val="22"/>
        </w:rPr>
        <w:t xml:space="preserve">prescription falls outside the dosage </w:t>
      </w:r>
      <w:r w:rsidRPr="008C3C5C">
        <w:rPr>
          <w:sz w:val="22"/>
          <w:szCs w:val="22"/>
        </w:rPr>
        <w:t xml:space="preserve">to which the resident </w:t>
      </w:r>
      <w:r w:rsidR="009F602D" w:rsidRPr="008C3C5C">
        <w:rPr>
          <w:sz w:val="22"/>
          <w:szCs w:val="22"/>
        </w:rPr>
        <w:t xml:space="preserve">or the resident’s </w:t>
      </w:r>
      <w:r w:rsidR="00C3241B">
        <w:rPr>
          <w:sz w:val="22"/>
          <w:szCs w:val="22"/>
        </w:rPr>
        <w:t xml:space="preserve">legal </w:t>
      </w:r>
      <w:r w:rsidR="009F602D" w:rsidRPr="008C3C5C">
        <w:rPr>
          <w:sz w:val="22"/>
          <w:szCs w:val="22"/>
        </w:rPr>
        <w:t xml:space="preserve">representative </w:t>
      </w:r>
      <w:r w:rsidRPr="008C3C5C">
        <w:rPr>
          <w:sz w:val="22"/>
          <w:szCs w:val="22"/>
        </w:rPr>
        <w:t>previously consented</w:t>
      </w:r>
      <w:r w:rsidR="00D8395D" w:rsidRPr="008C3C5C">
        <w:rPr>
          <w:sz w:val="22"/>
          <w:szCs w:val="22"/>
        </w:rPr>
        <w:t>, or once a year, whichever is shorter.</w:t>
      </w:r>
      <w:r w:rsidR="00D41FD5" w:rsidRPr="008C3C5C">
        <w:rPr>
          <w:sz w:val="22"/>
          <w:szCs w:val="22"/>
        </w:rPr>
        <w:t xml:space="preserve"> </w:t>
      </w:r>
      <w:r w:rsidR="00D41FD5" w:rsidRPr="00274E10">
        <w:rPr>
          <w:sz w:val="22"/>
          <w:szCs w:val="22"/>
        </w:rPr>
        <w:t xml:space="preserve">In the event that the medication will continue to be administered in the following year without a change in dosage, the facility may re-use the form so </w:t>
      </w:r>
      <w:r w:rsidR="00D41FD5" w:rsidRPr="00274E10">
        <w:rPr>
          <w:sz w:val="22"/>
          <w:szCs w:val="22"/>
        </w:rPr>
        <w:lastRenderedPageBreak/>
        <w:t xml:space="preserve">long as </w:t>
      </w:r>
      <w:r w:rsidR="00E87C72">
        <w:rPr>
          <w:sz w:val="22"/>
          <w:szCs w:val="22"/>
        </w:rPr>
        <w:t xml:space="preserve">the prescriber explains again </w:t>
      </w:r>
      <w:r w:rsidR="00D41FD5" w:rsidRPr="00274E10">
        <w:rPr>
          <w:sz w:val="22"/>
          <w:szCs w:val="22"/>
        </w:rPr>
        <w:t>the risk</w:t>
      </w:r>
      <w:r w:rsidR="00E87C72">
        <w:rPr>
          <w:sz w:val="22"/>
          <w:szCs w:val="22"/>
        </w:rPr>
        <w:t>s</w:t>
      </w:r>
      <w:r w:rsidR="00D41FD5" w:rsidRPr="00274E10">
        <w:rPr>
          <w:sz w:val="22"/>
          <w:szCs w:val="22"/>
        </w:rPr>
        <w:t xml:space="preserve"> and benefits to the resident or his or her legal representative, </w:t>
      </w:r>
      <w:r w:rsidR="00E87C72">
        <w:rPr>
          <w:sz w:val="22"/>
          <w:szCs w:val="22"/>
        </w:rPr>
        <w:t>and the facility representative updates the</w:t>
      </w:r>
      <w:r w:rsidR="00D41FD5" w:rsidRPr="00274E10">
        <w:rPr>
          <w:sz w:val="22"/>
          <w:szCs w:val="22"/>
        </w:rPr>
        <w:t xml:space="preserve"> signature</w:t>
      </w:r>
      <w:r w:rsidR="00BD6ECF">
        <w:rPr>
          <w:sz w:val="22"/>
          <w:szCs w:val="22"/>
        </w:rPr>
        <w:t>s</w:t>
      </w:r>
      <w:r w:rsidR="00D41FD5" w:rsidRPr="00274E10">
        <w:rPr>
          <w:sz w:val="22"/>
          <w:szCs w:val="22"/>
        </w:rPr>
        <w:t xml:space="preserve"> and date</w:t>
      </w:r>
      <w:r w:rsidR="00BD6ECF">
        <w:rPr>
          <w:sz w:val="22"/>
          <w:szCs w:val="22"/>
        </w:rPr>
        <w:t>s</w:t>
      </w:r>
      <w:r w:rsidR="00D41FD5" w:rsidRPr="00274E10">
        <w:rPr>
          <w:sz w:val="22"/>
          <w:szCs w:val="22"/>
        </w:rPr>
        <w:t>, the date of discussion</w:t>
      </w:r>
      <w:r w:rsidR="00BD6ECF">
        <w:rPr>
          <w:sz w:val="22"/>
          <w:szCs w:val="22"/>
        </w:rPr>
        <w:t xml:space="preserve"> with the prescriber</w:t>
      </w:r>
      <w:r w:rsidR="00D41FD5" w:rsidRPr="00274E10">
        <w:rPr>
          <w:sz w:val="22"/>
          <w:szCs w:val="22"/>
        </w:rPr>
        <w:t xml:space="preserve">, </w:t>
      </w:r>
      <w:r w:rsidR="00BD6ECF">
        <w:rPr>
          <w:sz w:val="22"/>
          <w:szCs w:val="22"/>
        </w:rPr>
        <w:t xml:space="preserve">and </w:t>
      </w:r>
      <w:r w:rsidR="00D41FD5" w:rsidRPr="00274E10">
        <w:rPr>
          <w:sz w:val="22"/>
          <w:szCs w:val="22"/>
        </w:rPr>
        <w:t xml:space="preserve">facility representative </w:t>
      </w:r>
      <w:r w:rsidR="00BD6ECF">
        <w:rPr>
          <w:sz w:val="22"/>
          <w:szCs w:val="22"/>
        </w:rPr>
        <w:t>information</w:t>
      </w:r>
      <w:r w:rsidR="00D41FD5" w:rsidRPr="00274E10">
        <w:rPr>
          <w:sz w:val="22"/>
          <w:szCs w:val="22"/>
        </w:rPr>
        <w:t>.</w:t>
      </w:r>
      <w:r w:rsidR="00C3241B">
        <w:rPr>
          <w:sz w:val="22"/>
          <w:szCs w:val="22"/>
        </w:rPr>
        <w:t xml:space="preserve"> </w:t>
      </w:r>
      <w:r w:rsidR="00CB29E3">
        <w:rPr>
          <w:sz w:val="22"/>
          <w:szCs w:val="22"/>
        </w:rPr>
        <w:t>If all relevant information is identical, w</w:t>
      </w:r>
      <w:r w:rsidR="00C3241B">
        <w:rPr>
          <w:sz w:val="22"/>
          <w:szCs w:val="22"/>
        </w:rPr>
        <w:t xml:space="preserve">ritten informed consent may be renewed </w:t>
      </w:r>
      <w:r w:rsidR="00CB29E3">
        <w:rPr>
          <w:sz w:val="22"/>
          <w:szCs w:val="22"/>
        </w:rPr>
        <w:t>using</w:t>
      </w:r>
      <w:r w:rsidR="00C3241B">
        <w:rPr>
          <w:sz w:val="22"/>
          <w:szCs w:val="22"/>
        </w:rPr>
        <w:t xml:space="preserve"> the previously signed form by attaching a notice of renewal to the </w:t>
      </w:r>
      <w:r w:rsidR="00C72B6E">
        <w:rPr>
          <w:sz w:val="22"/>
          <w:szCs w:val="22"/>
        </w:rPr>
        <w:t xml:space="preserve">updated </w:t>
      </w:r>
      <w:r w:rsidR="00C3241B">
        <w:rPr>
          <w:sz w:val="22"/>
          <w:szCs w:val="22"/>
        </w:rPr>
        <w:t xml:space="preserve">form. The </w:t>
      </w:r>
      <w:r w:rsidR="00C3241B" w:rsidRPr="00CE6C08">
        <w:rPr>
          <w:sz w:val="22"/>
          <w:szCs w:val="22"/>
        </w:rPr>
        <w:t>notice and any additional attachments must include all necessary attestations and signatures that are on the original form</w:t>
      </w:r>
      <w:r w:rsidR="00C72B6E" w:rsidRPr="00CE6C08">
        <w:rPr>
          <w:sz w:val="22"/>
          <w:szCs w:val="22"/>
        </w:rPr>
        <w:t>,</w:t>
      </w:r>
      <w:r w:rsidR="00C72B6E" w:rsidRPr="00CE6C08">
        <w:rPr>
          <w:color w:val="FF0000"/>
          <w:sz w:val="22"/>
          <w:szCs w:val="22"/>
        </w:rPr>
        <w:t xml:space="preserve"> </w:t>
      </w:r>
      <w:r w:rsidR="00C72B6E" w:rsidRPr="00CE6C08">
        <w:rPr>
          <w:sz w:val="22"/>
          <w:szCs w:val="22"/>
        </w:rPr>
        <w:t xml:space="preserve">updated </w:t>
      </w:r>
      <w:r w:rsidR="00E20644" w:rsidRPr="00CE6C08">
        <w:rPr>
          <w:sz w:val="22"/>
          <w:szCs w:val="22"/>
        </w:rPr>
        <w:t xml:space="preserve">discussion </w:t>
      </w:r>
      <w:r w:rsidR="00C72B6E" w:rsidRPr="00CE6C08">
        <w:rPr>
          <w:sz w:val="22"/>
          <w:szCs w:val="22"/>
        </w:rPr>
        <w:t xml:space="preserve">dates, and updated names of prescriber and facility representative, as necessary. Each page of the notice and any additional attachments must be re-initialed, dated and numbered to </w:t>
      </w:r>
      <w:r w:rsidR="00CB29E3" w:rsidRPr="00CE6C08">
        <w:rPr>
          <w:sz w:val="22"/>
          <w:szCs w:val="22"/>
        </w:rPr>
        <w:t>precise</w:t>
      </w:r>
      <w:r w:rsidR="00C72B6E" w:rsidRPr="00CE6C08">
        <w:rPr>
          <w:sz w:val="22"/>
          <w:szCs w:val="22"/>
        </w:rPr>
        <w:t>ly</w:t>
      </w:r>
      <w:r w:rsidR="00CB29E3" w:rsidRPr="00CE6C08">
        <w:rPr>
          <w:sz w:val="22"/>
          <w:szCs w:val="22"/>
        </w:rPr>
        <w:t xml:space="preserve"> indicat</w:t>
      </w:r>
      <w:r w:rsidR="00C72B6E" w:rsidRPr="00CE6C08">
        <w:rPr>
          <w:sz w:val="22"/>
          <w:szCs w:val="22"/>
        </w:rPr>
        <w:t>e</w:t>
      </w:r>
      <w:r w:rsidR="00CB29E3" w:rsidRPr="00CE6C08">
        <w:rPr>
          <w:sz w:val="22"/>
          <w:szCs w:val="22"/>
        </w:rPr>
        <w:t xml:space="preserve"> </w:t>
      </w:r>
      <w:r w:rsidR="00C72B6E" w:rsidRPr="00CE6C08">
        <w:rPr>
          <w:sz w:val="22"/>
          <w:szCs w:val="22"/>
        </w:rPr>
        <w:t xml:space="preserve">the relative </w:t>
      </w:r>
      <w:r w:rsidR="00CB29E3" w:rsidRPr="00CE6C08">
        <w:rPr>
          <w:sz w:val="22"/>
          <w:szCs w:val="22"/>
        </w:rPr>
        <w:t>page number (e.g. 2 of 4, etc.)</w:t>
      </w:r>
      <w:r w:rsidR="00C3241B" w:rsidRPr="00CE6C08">
        <w:rPr>
          <w:sz w:val="22"/>
          <w:szCs w:val="22"/>
        </w:rPr>
        <w:t>.</w:t>
      </w:r>
      <w:r w:rsidR="00772114">
        <w:rPr>
          <w:sz w:val="22"/>
          <w:szCs w:val="22"/>
        </w:rPr>
        <w:t xml:space="preserve">   </w:t>
      </w:r>
    </w:p>
    <w:p w:rsidR="00A54052" w:rsidRPr="00E327DE" w:rsidRDefault="00A54052" w:rsidP="00A0515B">
      <w:pPr>
        <w:rPr>
          <w:sz w:val="22"/>
          <w:szCs w:val="22"/>
        </w:rPr>
      </w:pPr>
    </w:p>
    <w:p w:rsidR="00330731" w:rsidRPr="00E327DE" w:rsidRDefault="00330731" w:rsidP="00330731">
      <w:pPr>
        <w:rPr>
          <w:sz w:val="22"/>
          <w:szCs w:val="22"/>
        </w:rPr>
      </w:pPr>
      <w:r w:rsidRPr="00E327DE">
        <w:rPr>
          <w:sz w:val="22"/>
          <w:szCs w:val="22"/>
        </w:rPr>
        <w:t xml:space="preserve">Written informed consent may be withdrawn, either verbally or in writing, at any time. </w:t>
      </w:r>
      <w:r w:rsidR="00B72519" w:rsidRPr="00E327DE">
        <w:rPr>
          <w:sz w:val="22"/>
          <w:szCs w:val="22"/>
        </w:rPr>
        <w:t xml:space="preserve">Withdrawal of consent must be documented in the patient record.  </w:t>
      </w:r>
      <w:r w:rsidRPr="00E327DE">
        <w:rPr>
          <w:sz w:val="22"/>
          <w:szCs w:val="22"/>
        </w:rPr>
        <w:t>If a resident withdraws consent for a medication on Attachment A, the medication may not be administered without the facility obtaining written informed consent, as if for the first time.</w:t>
      </w:r>
    </w:p>
    <w:p w:rsidR="00330731" w:rsidRPr="00E327DE" w:rsidRDefault="00330731" w:rsidP="00A0515B">
      <w:pPr>
        <w:rPr>
          <w:sz w:val="22"/>
          <w:szCs w:val="22"/>
        </w:rPr>
      </w:pPr>
    </w:p>
    <w:p w:rsidR="007A37FF" w:rsidRPr="008C3C5C" w:rsidRDefault="007A37FF" w:rsidP="007A37FF">
      <w:pPr>
        <w:rPr>
          <w:sz w:val="22"/>
          <w:szCs w:val="22"/>
        </w:rPr>
      </w:pPr>
      <w:r w:rsidRPr="00CE6C08">
        <w:rPr>
          <w:sz w:val="22"/>
          <w:szCs w:val="22"/>
        </w:rPr>
        <w:t xml:space="preserve">Certain controlled substances that are not listed on </w:t>
      </w:r>
      <w:r w:rsidR="00C3241B" w:rsidRPr="00CE6C08">
        <w:rPr>
          <w:sz w:val="22"/>
          <w:szCs w:val="22"/>
        </w:rPr>
        <w:t xml:space="preserve">Attachment </w:t>
      </w:r>
      <w:r w:rsidRPr="00CE6C08">
        <w:rPr>
          <w:sz w:val="22"/>
          <w:szCs w:val="22"/>
        </w:rPr>
        <w:t>A are sometimes used in the treatment of a psychiatric diagnosis, symptom, or behavior.  This includes, but is not limited to, certain medications used to treat seizure disorders</w:t>
      </w:r>
      <w:r w:rsidRPr="008C3C5C">
        <w:rPr>
          <w:sz w:val="22"/>
          <w:szCs w:val="22"/>
        </w:rPr>
        <w:t>, certain beta blockers, and other</w:t>
      </w:r>
      <w:r w:rsidR="008F4E86" w:rsidRPr="008C3C5C">
        <w:rPr>
          <w:sz w:val="22"/>
          <w:szCs w:val="22"/>
        </w:rPr>
        <w:t xml:space="preserve"> controlled substance</w:t>
      </w:r>
      <w:r w:rsidR="008C3C5C" w:rsidRPr="008C3C5C">
        <w:rPr>
          <w:sz w:val="22"/>
          <w:szCs w:val="22"/>
        </w:rPr>
        <w:t>s</w:t>
      </w:r>
      <w:r w:rsidRPr="008C3C5C">
        <w:rPr>
          <w:sz w:val="22"/>
          <w:szCs w:val="22"/>
        </w:rPr>
        <w:t xml:space="preserve">.  When any of these controlled substances or any other </w:t>
      </w:r>
      <w:r w:rsidR="00431B53" w:rsidRPr="008C3C5C">
        <w:rPr>
          <w:sz w:val="22"/>
          <w:szCs w:val="22"/>
        </w:rPr>
        <w:t>medication</w:t>
      </w:r>
      <w:r w:rsidRPr="008C3C5C">
        <w:rPr>
          <w:sz w:val="22"/>
          <w:szCs w:val="22"/>
        </w:rPr>
        <w:t xml:space="preserve"> </w:t>
      </w:r>
      <w:r w:rsidR="00431B53" w:rsidRPr="008C3C5C">
        <w:rPr>
          <w:sz w:val="22"/>
          <w:szCs w:val="22"/>
        </w:rPr>
        <w:t>is</w:t>
      </w:r>
      <w:r w:rsidRPr="008C3C5C">
        <w:rPr>
          <w:sz w:val="22"/>
          <w:szCs w:val="22"/>
        </w:rPr>
        <w:t xml:space="preserve"> used to treat a psychiatric diagnosis, symptom, or behavior, the facility shall obtain informed written consent prior to administering the </w:t>
      </w:r>
      <w:r w:rsidR="00431B53" w:rsidRPr="008C3C5C">
        <w:rPr>
          <w:sz w:val="22"/>
          <w:szCs w:val="22"/>
        </w:rPr>
        <w:t>medication</w:t>
      </w:r>
      <w:r w:rsidRPr="008C3C5C">
        <w:rPr>
          <w:sz w:val="22"/>
          <w:szCs w:val="22"/>
        </w:rPr>
        <w:t xml:space="preserve"> to a resident.  In order to determine whether a facility must obtain written informed consent prior to administering a controlled substance that is not listed on </w:t>
      </w:r>
      <w:r w:rsidR="00274E10">
        <w:rPr>
          <w:sz w:val="22"/>
          <w:szCs w:val="22"/>
        </w:rPr>
        <w:t>Attachment</w:t>
      </w:r>
      <w:r w:rsidRPr="008C3C5C">
        <w:rPr>
          <w:sz w:val="22"/>
          <w:szCs w:val="22"/>
        </w:rPr>
        <w:t xml:space="preserve"> A, the facility should </w:t>
      </w:r>
      <w:r w:rsidR="00D41FD5" w:rsidRPr="00274E10">
        <w:rPr>
          <w:sz w:val="22"/>
          <w:szCs w:val="22"/>
        </w:rPr>
        <w:t xml:space="preserve">consider the circumstances that led to the order, including the resident’s symptoms and any behaviors, </w:t>
      </w:r>
      <w:r w:rsidR="00D41FD5" w:rsidRPr="008C3C5C">
        <w:rPr>
          <w:sz w:val="22"/>
          <w:szCs w:val="22"/>
        </w:rPr>
        <w:t xml:space="preserve">and </w:t>
      </w:r>
      <w:r w:rsidRPr="008C3C5C">
        <w:rPr>
          <w:sz w:val="22"/>
          <w:szCs w:val="22"/>
        </w:rPr>
        <w:t>refer to the prescriber’s order to determine the indication for use of the controlled substance.</w:t>
      </w:r>
    </w:p>
    <w:p w:rsidR="007A37FF" w:rsidRPr="002D187E" w:rsidRDefault="007A37FF" w:rsidP="00A0515B">
      <w:pPr>
        <w:rPr>
          <w:sz w:val="22"/>
        </w:rPr>
      </w:pPr>
    </w:p>
    <w:p w:rsidR="002C7D0E" w:rsidRPr="000E1287" w:rsidRDefault="00A54052" w:rsidP="00A03659">
      <w:pPr>
        <w:rPr>
          <w:b/>
          <w:sz w:val="22"/>
          <w:u w:val="single"/>
        </w:rPr>
      </w:pPr>
      <w:bookmarkStart w:id="0" w:name="back27"/>
      <w:bookmarkEnd w:id="0"/>
      <w:r w:rsidRPr="00A03659">
        <w:rPr>
          <w:b/>
          <w:sz w:val="22"/>
          <w:u w:val="single"/>
        </w:rPr>
        <w:t xml:space="preserve">Special Considerations Regarding the </w:t>
      </w:r>
      <w:r w:rsidR="002C7D0E" w:rsidRPr="00A03659">
        <w:rPr>
          <w:b/>
          <w:sz w:val="22"/>
          <w:u w:val="single"/>
        </w:rPr>
        <w:t>Use of Antipsychotic Drugs</w:t>
      </w:r>
    </w:p>
    <w:p w:rsidR="002C7D0E" w:rsidRPr="002D187E" w:rsidRDefault="002C7D0E" w:rsidP="00A0515B">
      <w:pPr>
        <w:rPr>
          <w:sz w:val="22"/>
          <w:u w:val="single"/>
        </w:rPr>
      </w:pPr>
    </w:p>
    <w:p w:rsidR="00AD1F4F" w:rsidRPr="002D187E" w:rsidRDefault="002C7D0E" w:rsidP="00A0515B">
      <w:pPr>
        <w:rPr>
          <w:sz w:val="22"/>
        </w:rPr>
      </w:pPr>
      <w:r w:rsidRPr="002D187E">
        <w:rPr>
          <w:sz w:val="22"/>
        </w:rPr>
        <w:t xml:space="preserve">The Department </w:t>
      </w:r>
      <w:r w:rsidR="002B1FC5" w:rsidRPr="002D187E">
        <w:rPr>
          <w:sz w:val="22"/>
        </w:rPr>
        <w:t xml:space="preserve">previously </w:t>
      </w:r>
      <w:r w:rsidRPr="002D187E">
        <w:rPr>
          <w:sz w:val="22"/>
        </w:rPr>
        <w:t xml:space="preserve">issued guidance on the consent requirements for the use of antipsychotic drugs.  </w:t>
      </w:r>
      <w:r w:rsidRPr="002D187E">
        <w:rPr>
          <w:i/>
          <w:sz w:val="22"/>
        </w:rPr>
        <w:t>See</w:t>
      </w:r>
      <w:r w:rsidRPr="002D187E">
        <w:rPr>
          <w:sz w:val="22"/>
        </w:rPr>
        <w:t xml:space="preserve"> Circular Letter DHCQ 03-04-433, issued in 2003, which is available at </w:t>
      </w:r>
      <w:hyperlink r:id="rId14" w:history="1">
        <w:r w:rsidRPr="002D187E">
          <w:rPr>
            <w:rStyle w:val="Hyperlink"/>
            <w:sz w:val="22"/>
          </w:rPr>
          <w:t>http://www.mass.gov/eohhs/docs/dph/quality/hcq-circular-letters/ltc-facilities-0304433.pdf</w:t>
        </w:r>
      </w:hyperlink>
      <w:r w:rsidRPr="002D187E">
        <w:rPr>
          <w:sz w:val="22"/>
        </w:rPr>
        <w:t>.  As noted, a valid health care proxy (HCP) (</w:t>
      </w:r>
      <w:r w:rsidRPr="002D187E">
        <w:rPr>
          <w:i/>
          <w:sz w:val="22"/>
        </w:rPr>
        <w:t>see</w:t>
      </w:r>
      <w:r w:rsidRPr="002D187E">
        <w:rPr>
          <w:sz w:val="22"/>
        </w:rPr>
        <w:t xml:space="preserve"> M.G.L. c. 201D), also referred to as a Health Care Agent, can consent to antipsychotic drugs without having to obtain a </w:t>
      </w:r>
      <w:r w:rsidR="006A1CF8" w:rsidRPr="002D187E">
        <w:rPr>
          <w:sz w:val="22"/>
        </w:rPr>
        <w:t>court-</w:t>
      </w:r>
      <w:r w:rsidRPr="002D187E">
        <w:rPr>
          <w:sz w:val="22"/>
        </w:rPr>
        <w:t xml:space="preserve">approved treatment plan </w:t>
      </w:r>
      <w:r w:rsidR="00EB6519" w:rsidRPr="002D187E">
        <w:rPr>
          <w:sz w:val="22"/>
        </w:rPr>
        <w:t xml:space="preserve">required </w:t>
      </w:r>
      <w:r w:rsidRPr="002D187E">
        <w:rPr>
          <w:sz w:val="22"/>
        </w:rPr>
        <w:t>under</w:t>
      </w:r>
      <w:r w:rsidR="00EB6519" w:rsidRPr="002D187E">
        <w:rPr>
          <w:sz w:val="22"/>
        </w:rPr>
        <w:t xml:space="preserve"> </w:t>
      </w:r>
      <w:r w:rsidR="00EB6519" w:rsidRPr="002D187E">
        <w:rPr>
          <w:i/>
          <w:sz w:val="22"/>
        </w:rPr>
        <w:t>Rogers v. Commissioner of the Department of Mental Health</w:t>
      </w:r>
      <w:r w:rsidR="00EB6519" w:rsidRPr="002D187E">
        <w:rPr>
          <w:sz w:val="22"/>
        </w:rPr>
        <w:t>, 390 Mass. 489, 458 N.E.2d 308, (1983),</w:t>
      </w:r>
      <w:r w:rsidRPr="002D187E">
        <w:rPr>
          <w:sz w:val="22"/>
        </w:rPr>
        <w:t xml:space="preserve"> if the following three conditions are met: </w:t>
      </w:r>
    </w:p>
    <w:p w:rsidR="00AD1F4F" w:rsidRPr="002D187E" w:rsidRDefault="00AD1F4F" w:rsidP="00A0515B">
      <w:pPr>
        <w:rPr>
          <w:sz w:val="22"/>
        </w:rPr>
      </w:pPr>
    </w:p>
    <w:p w:rsidR="00AD1F4F" w:rsidRPr="002D187E" w:rsidRDefault="002C7D0E" w:rsidP="00A0515B">
      <w:pPr>
        <w:numPr>
          <w:ilvl w:val="0"/>
          <w:numId w:val="9"/>
        </w:numPr>
        <w:rPr>
          <w:sz w:val="22"/>
        </w:rPr>
      </w:pPr>
      <w:r w:rsidRPr="002D187E">
        <w:rPr>
          <w:sz w:val="22"/>
        </w:rPr>
        <w:t xml:space="preserve">the </w:t>
      </w:r>
      <w:r w:rsidR="00EF1318">
        <w:rPr>
          <w:sz w:val="22"/>
        </w:rPr>
        <w:t>HCP</w:t>
      </w:r>
      <w:r w:rsidRPr="002D187E">
        <w:rPr>
          <w:sz w:val="22"/>
        </w:rPr>
        <w:t xml:space="preserve"> is activated by a physician after </w:t>
      </w:r>
      <w:r w:rsidRPr="008C3C5C">
        <w:rPr>
          <w:sz w:val="22"/>
          <w:szCs w:val="22"/>
        </w:rPr>
        <w:t>determin</w:t>
      </w:r>
      <w:r w:rsidR="0010079F">
        <w:rPr>
          <w:sz w:val="22"/>
          <w:szCs w:val="22"/>
        </w:rPr>
        <w:t>ing</w:t>
      </w:r>
      <w:r w:rsidRPr="002D187E">
        <w:rPr>
          <w:sz w:val="22"/>
        </w:rPr>
        <w:t xml:space="preserve"> that the resident </w:t>
      </w:r>
      <w:r w:rsidR="0010079F">
        <w:rPr>
          <w:sz w:val="22"/>
          <w:szCs w:val="22"/>
        </w:rPr>
        <w:t>lacks capacity</w:t>
      </w:r>
      <w:r w:rsidR="00AD1F4F" w:rsidRPr="002D187E">
        <w:rPr>
          <w:sz w:val="22"/>
        </w:rPr>
        <w:t>;</w:t>
      </w:r>
    </w:p>
    <w:p w:rsidR="00A0515B" w:rsidRPr="002D187E" w:rsidRDefault="00A0515B" w:rsidP="00A0515B">
      <w:pPr>
        <w:numPr>
          <w:ilvl w:val="0"/>
          <w:numId w:val="9"/>
        </w:numPr>
        <w:rPr>
          <w:sz w:val="22"/>
        </w:rPr>
      </w:pPr>
      <w:r w:rsidRPr="002D187E">
        <w:rPr>
          <w:sz w:val="22"/>
        </w:rPr>
        <w:t>the resident has not limited the HCP agent’s authority to consent to treatment with antipsychotic medications on the HCP form; and</w:t>
      </w:r>
    </w:p>
    <w:p w:rsidR="00A0515B" w:rsidRPr="002D187E" w:rsidRDefault="00A0515B" w:rsidP="00A0515B">
      <w:pPr>
        <w:numPr>
          <w:ilvl w:val="0"/>
          <w:numId w:val="9"/>
        </w:numPr>
        <w:rPr>
          <w:sz w:val="22"/>
        </w:rPr>
      </w:pPr>
      <w:r w:rsidRPr="002D187E">
        <w:rPr>
          <w:sz w:val="22"/>
        </w:rPr>
        <w:t>the resident has not revoked or indicated an intent to revoke the HCP, for example, the resident has not refused to accept antipsychotic medication.</w:t>
      </w:r>
    </w:p>
    <w:p w:rsidR="00AD1F4F" w:rsidRPr="002D187E" w:rsidRDefault="00AD1F4F" w:rsidP="00A0515B">
      <w:pPr>
        <w:rPr>
          <w:sz w:val="22"/>
        </w:rPr>
      </w:pPr>
    </w:p>
    <w:p w:rsidR="002C7D0E" w:rsidRPr="002D187E" w:rsidRDefault="002C7D0E" w:rsidP="00A0515B">
      <w:pPr>
        <w:rPr>
          <w:sz w:val="22"/>
        </w:rPr>
      </w:pPr>
      <w:r w:rsidRPr="002D187E">
        <w:rPr>
          <w:sz w:val="22"/>
        </w:rPr>
        <w:t xml:space="preserve">Please note that the above applies </w:t>
      </w:r>
      <w:r w:rsidR="002B1FC5" w:rsidRPr="002D187E">
        <w:rPr>
          <w:sz w:val="22"/>
        </w:rPr>
        <w:t xml:space="preserve">only </w:t>
      </w:r>
      <w:r w:rsidRPr="002D187E">
        <w:rPr>
          <w:sz w:val="22"/>
        </w:rPr>
        <w:t>to antipsychotic medications; a guardian or health care proxy can consent to other psychotropic medications.</w:t>
      </w:r>
      <w:r w:rsidR="00AD1F4F" w:rsidRPr="002D187E">
        <w:rPr>
          <w:sz w:val="22"/>
        </w:rPr>
        <w:t xml:space="preserve"> Antipsychotic medications are indicated separately on the Schedule of Psychotropic Medications (Attachment A).</w:t>
      </w:r>
      <w:r w:rsidR="00D642F1" w:rsidRPr="002D187E">
        <w:rPr>
          <w:sz w:val="22"/>
        </w:rPr>
        <w:t xml:space="preserve"> </w:t>
      </w:r>
      <w:r w:rsidR="00A407B2" w:rsidRPr="002D187E">
        <w:rPr>
          <w:sz w:val="22"/>
        </w:rPr>
        <w:t>Please note that documentation of informed consent must be completed prior to administration of any medication appearing on the list</w:t>
      </w:r>
      <w:r w:rsidR="00614FF3" w:rsidRPr="002D187E">
        <w:rPr>
          <w:sz w:val="22"/>
        </w:rPr>
        <w:t>.</w:t>
      </w:r>
    </w:p>
    <w:p w:rsidR="00614FF3" w:rsidRPr="002D187E" w:rsidRDefault="00614FF3" w:rsidP="00A0515B">
      <w:pPr>
        <w:rPr>
          <w:sz w:val="22"/>
        </w:rPr>
      </w:pPr>
    </w:p>
    <w:p w:rsidR="00CE6C08" w:rsidRPr="002D187E" w:rsidRDefault="002C7D0E" w:rsidP="00A0515B">
      <w:pPr>
        <w:rPr>
          <w:sz w:val="22"/>
        </w:rPr>
      </w:pPr>
      <w:r w:rsidRPr="002D187E">
        <w:rPr>
          <w:sz w:val="22"/>
        </w:rPr>
        <w:t xml:space="preserve">In </w:t>
      </w:r>
      <w:r w:rsidRPr="002D187E">
        <w:rPr>
          <w:i/>
          <w:sz w:val="22"/>
        </w:rPr>
        <w:t>R</w:t>
      </w:r>
      <w:r w:rsidR="00EB6519" w:rsidRPr="002D187E">
        <w:rPr>
          <w:i/>
          <w:sz w:val="22"/>
        </w:rPr>
        <w:t xml:space="preserve">ogers, </w:t>
      </w:r>
      <w:r w:rsidRPr="002D187E">
        <w:rPr>
          <w:sz w:val="22"/>
        </w:rPr>
        <w:t>the court established new rights relative to informed consent for individuals being treated with antipsychotic medications.  Among these are that an individual has a constitutional right to refuse treatment with antipsychotic medications</w:t>
      </w:r>
      <w:r w:rsidR="00DD2089" w:rsidRPr="002D187E">
        <w:rPr>
          <w:sz w:val="22"/>
        </w:rPr>
        <w:t>;</w:t>
      </w:r>
      <w:r w:rsidRPr="002D187E">
        <w:rPr>
          <w:sz w:val="22"/>
        </w:rPr>
        <w:t xml:space="preserve"> that a guardian must be appointed for an individual following a determination that he or she is incompetent to consent to treatment</w:t>
      </w:r>
      <w:r w:rsidR="00DD2089" w:rsidRPr="002D187E">
        <w:rPr>
          <w:sz w:val="22"/>
        </w:rPr>
        <w:t>;</w:t>
      </w:r>
      <w:r w:rsidRPr="002D187E">
        <w:rPr>
          <w:sz w:val="22"/>
        </w:rPr>
        <w:t xml:space="preserve"> that the court must use a substituted judgment test comprised of six factors before authorizing a treatment plan</w:t>
      </w:r>
      <w:r w:rsidR="00DD2089" w:rsidRPr="002D187E">
        <w:rPr>
          <w:sz w:val="22"/>
        </w:rPr>
        <w:t>;</w:t>
      </w:r>
      <w:r w:rsidRPr="002D187E">
        <w:rPr>
          <w:sz w:val="22"/>
        </w:rPr>
        <w:t xml:space="preserve"> and that </w:t>
      </w:r>
      <w:r w:rsidR="00DD2089" w:rsidRPr="002D187E">
        <w:rPr>
          <w:sz w:val="22"/>
        </w:rPr>
        <w:t xml:space="preserve">a </w:t>
      </w:r>
      <w:r w:rsidRPr="002D187E">
        <w:rPr>
          <w:sz w:val="22"/>
        </w:rPr>
        <w:t xml:space="preserve">guardian cannot </w:t>
      </w:r>
      <w:r w:rsidR="00DD2089" w:rsidRPr="002D187E">
        <w:rPr>
          <w:sz w:val="22"/>
        </w:rPr>
        <w:t xml:space="preserve">make decisions </w:t>
      </w:r>
      <w:r w:rsidRPr="002D187E">
        <w:rPr>
          <w:sz w:val="22"/>
        </w:rPr>
        <w:t>about</w:t>
      </w:r>
      <w:r w:rsidR="00DD2089" w:rsidRPr="002D187E">
        <w:rPr>
          <w:sz w:val="22"/>
        </w:rPr>
        <w:t xml:space="preserve"> the use of</w:t>
      </w:r>
      <w:r w:rsidRPr="002D187E">
        <w:rPr>
          <w:sz w:val="22"/>
        </w:rPr>
        <w:t xml:space="preserve"> antipsychotics because </w:t>
      </w:r>
      <w:r w:rsidR="00DD2089" w:rsidRPr="002D187E">
        <w:rPr>
          <w:sz w:val="22"/>
        </w:rPr>
        <w:t>use of such medications is</w:t>
      </w:r>
      <w:r w:rsidRPr="002D187E">
        <w:rPr>
          <w:sz w:val="22"/>
        </w:rPr>
        <w:t xml:space="preserve"> considered </w:t>
      </w:r>
      <w:r w:rsidRPr="002D187E">
        <w:rPr>
          <w:sz w:val="22"/>
        </w:rPr>
        <w:lastRenderedPageBreak/>
        <w:t xml:space="preserve">extraordinary treatment, but rather </w:t>
      </w:r>
      <w:r w:rsidR="00DD2089" w:rsidRPr="002D187E">
        <w:rPr>
          <w:sz w:val="22"/>
        </w:rPr>
        <w:t xml:space="preserve">can </w:t>
      </w:r>
      <w:r w:rsidRPr="002D187E">
        <w:rPr>
          <w:sz w:val="22"/>
        </w:rPr>
        <w:t xml:space="preserve">monitor the implementation of the court-ordered treatment plan.  In using the substituted judgment analysis, the court tries to recreate what an incompetent individual would choose if he or she were competent.  The substituted judgment standard is now codified in the Massachusetts Uniform Probate Code, at M.G.L. c. 190B, § 5-306A. The court relies on a medical affidavit from the treating psychiatrist, or his or her testimony, as evidence in determining an individual’s substituted judgment and treatment plan. Each </w:t>
      </w:r>
      <w:r w:rsidRPr="002D187E">
        <w:rPr>
          <w:i/>
          <w:sz w:val="22"/>
        </w:rPr>
        <w:t>Rogers</w:t>
      </w:r>
      <w:r w:rsidRPr="002D187E">
        <w:rPr>
          <w:sz w:val="22"/>
        </w:rPr>
        <w:t xml:space="preserve"> treatment plan must be reviewed annually. </w:t>
      </w:r>
    </w:p>
    <w:p w:rsidR="009B48C1" w:rsidRPr="002D187E" w:rsidRDefault="009B48C1" w:rsidP="002D187E">
      <w:pPr>
        <w:jc w:val="center"/>
        <w:rPr>
          <w:b/>
          <w:sz w:val="22"/>
        </w:rPr>
      </w:pPr>
    </w:p>
    <w:p w:rsidR="007A49F7" w:rsidRPr="008C3C5C" w:rsidRDefault="007A49F7" w:rsidP="00274E10">
      <w:pPr>
        <w:jc w:val="center"/>
        <w:rPr>
          <w:b/>
          <w:sz w:val="22"/>
          <w:szCs w:val="22"/>
        </w:rPr>
      </w:pPr>
      <w:r w:rsidRPr="008C3C5C">
        <w:rPr>
          <w:b/>
          <w:sz w:val="22"/>
          <w:szCs w:val="22"/>
        </w:rPr>
        <w:t>Emergency Administration</w:t>
      </w:r>
    </w:p>
    <w:p w:rsidR="007A49F7" w:rsidRPr="008C3C5C" w:rsidRDefault="007A49F7" w:rsidP="00274E10">
      <w:pPr>
        <w:rPr>
          <w:b/>
          <w:sz w:val="22"/>
          <w:szCs w:val="22"/>
        </w:rPr>
      </w:pPr>
    </w:p>
    <w:p w:rsidR="00A0320A" w:rsidRDefault="002B5D9F" w:rsidP="00274E10">
      <w:pPr>
        <w:pStyle w:val="NormalWeb"/>
        <w:spacing w:before="0" w:beforeAutospacing="0" w:after="0" w:afterAutospacing="0"/>
        <w:rPr>
          <w:color w:val="000000"/>
          <w:sz w:val="22"/>
          <w:szCs w:val="22"/>
        </w:rPr>
      </w:pPr>
      <w:r>
        <w:rPr>
          <w:color w:val="000000"/>
          <w:sz w:val="22"/>
          <w:szCs w:val="22"/>
        </w:rPr>
        <w:t>A</w:t>
      </w:r>
      <w:r w:rsidR="00A0320A" w:rsidRPr="008C3C5C">
        <w:rPr>
          <w:color w:val="000000"/>
          <w:sz w:val="22"/>
          <w:szCs w:val="22"/>
        </w:rPr>
        <w:t xml:space="preserve"> facility </w:t>
      </w:r>
      <w:r w:rsidR="00A0320A">
        <w:rPr>
          <w:color w:val="000000"/>
          <w:sz w:val="22"/>
          <w:szCs w:val="22"/>
        </w:rPr>
        <w:t xml:space="preserve">may </w:t>
      </w:r>
      <w:r w:rsidR="00A0320A" w:rsidRPr="008C3C5C">
        <w:rPr>
          <w:color w:val="000000"/>
          <w:sz w:val="22"/>
          <w:szCs w:val="22"/>
        </w:rPr>
        <w:t xml:space="preserve">administer a </w:t>
      </w:r>
      <w:r w:rsidR="00A0320A">
        <w:rPr>
          <w:color w:val="000000"/>
          <w:sz w:val="22"/>
          <w:szCs w:val="22"/>
        </w:rPr>
        <w:t>medication</w:t>
      </w:r>
      <w:r w:rsidR="00A0320A" w:rsidRPr="008C3C5C">
        <w:rPr>
          <w:color w:val="000000"/>
          <w:sz w:val="22"/>
          <w:szCs w:val="22"/>
        </w:rPr>
        <w:t xml:space="preserve"> listed on </w:t>
      </w:r>
      <w:r w:rsidR="00A0320A">
        <w:rPr>
          <w:color w:val="000000"/>
          <w:sz w:val="22"/>
          <w:szCs w:val="22"/>
        </w:rPr>
        <w:t xml:space="preserve">Attachment </w:t>
      </w:r>
      <w:r w:rsidR="00A0320A" w:rsidRPr="008C3C5C">
        <w:rPr>
          <w:color w:val="000000"/>
          <w:sz w:val="22"/>
          <w:szCs w:val="22"/>
        </w:rPr>
        <w:t xml:space="preserve">A without prior informed written consent to treat </w:t>
      </w:r>
      <w:r w:rsidR="00A0320A">
        <w:rPr>
          <w:color w:val="000000"/>
          <w:sz w:val="22"/>
          <w:szCs w:val="22"/>
        </w:rPr>
        <w:t>a</w:t>
      </w:r>
      <w:r w:rsidR="00A0320A" w:rsidRPr="008C3C5C">
        <w:rPr>
          <w:color w:val="000000"/>
          <w:sz w:val="22"/>
          <w:szCs w:val="22"/>
        </w:rPr>
        <w:t xml:space="preserve"> </w:t>
      </w:r>
      <w:r w:rsidR="00A0320A">
        <w:rPr>
          <w:color w:val="000000"/>
          <w:sz w:val="22"/>
          <w:szCs w:val="22"/>
        </w:rPr>
        <w:t>resident</w:t>
      </w:r>
      <w:r w:rsidR="00A0320A" w:rsidRPr="008C3C5C">
        <w:rPr>
          <w:color w:val="000000"/>
          <w:sz w:val="22"/>
          <w:szCs w:val="22"/>
        </w:rPr>
        <w:t xml:space="preserve"> </w:t>
      </w:r>
      <w:r w:rsidR="00A0320A">
        <w:rPr>
          <w:color w:val="000000"/>
          <w:sz w:val="22"/>
          <w:szCs w:val="22"/>
        </w:rPr>
        <w:t>o</w:t>
      </w:r>
      <w:r w:rsidR="007A49F7" w:rsidRPr="008C3C5C">
        <w:rPr>
          <w:color w:val="000000"/>
          <w:sz w:val="22"/>
          <w:szCs w:val="22"/>
        </w:rPr>
        <w:t>nly</w:t>
      </w:r>
      <w:r w:rsidR="00A0320A">
        <w:rPr>
          <w:color w:val="000000"/>
          <w:sz w:val="22"/>
          <w:szCs w:val="22"/>
        </w:rPr>
        <w:t xml:space="preserve"> when:</w:t>
      </w:r>
    </w:p>
    <w:p w:rsidR="00A0320A" w:rsidRDefault="00A0320A" w:rsidP="00274E10">
      <w:pPr>
        <w:pStyle w:val="NormalWeb"/>
        <w:spacing w:before="0" w:beforeAutospacing="0" w:after="0" w:afterAutospacing="0"/>
        <w:rPr>
          <w:color w:val="000000"/>
          <w:sz w:val="22"/>
          <w:szCs w:val="22"/>
        </w:rPr>
      </w:pPr>
    </w:p>
    <w:p w:rsidR="00A0320A" w:rsidRDefault="007A49F7" w:rsidP="00A03659">
      <w:pPr>
        <w:pStyle w:val="NormalWeb"/>
        <w:numPr>
          <w:ilvl w:val="0"/>
          <w:numId w:val="10"/>
        </w:numPr>
        <w:spacing w:before="0" w:beforeAutospacing="0" w:after="0" w:afterAutospacing="0"/>
        <w:rPr>
          <w:color w:val="000000"/>
          <w:sz w:val="22"/>
          <w:szCs w:val="22"/>
        </w:rPr>
      </w:pPr>
      <w:r w:rsidRPr="008C3C5C">
        <w:rPr>
          <w:color w:val="000000"/>
          <w:sz w:val="22"/>
          <w:szCs w:val="22"/>
        </w:rPr>
        <w:t xml:space="preserve">a </w:t>
      </w:r>
      <w:r w:rsidR="00073BFE">
        <w:rPr>
          <w:color w:val="000000"/>
          <w:sz w:val="22"/>
          <w:szCs w:val="22"/>
        </w:rPr>
        <w:t>resident</w:t>
      </w:r>
      <w:r w:rsidR="00073BFE" w:rsidRPr="008C3C5C">
        <w:rPr>
          <w:color w:val="000000"/>
          <w:sz w:val="22"/>
          <w:szCs w:val="22"/>
        </w:rPr>
        <w:t xml:space="preserve"> </w:t>
      </w:r>
      <w:r w:rsidRPr="008C3C5C">
        <w:rPr>
          <w:color w:val="000000"/>
          <w:sz w:val="22"/>
          <w:szCs w:val="22"/>
        </w:rPr>
        <w:t xml:space="preserve">poses an imminent threat of harm to himself or others, and there is no </w:t>
      </w:r>
      <w:r w:rsidR="001E297A">
        <w:rPr>
          <w:color w:val="000000"/>
          <w:sz w:val="22"/>
          <w:szCs w:val="22"/>
        </w:rPr>
        <w:t>clinically appropriate</w:t>
      </w:r>
      <w:r w:rsidRPr="008C3C5C">
        <w:rPr>
          <w:color w:val="000000"/>
          <w:sz w:val="22"/>
          <w:szCs w:val="22"/>
        </w:rPr>
        <w:t xml:space="preserve"> alternative to </w:t>
      </w:r>
      <w:r w:rsidR="00783188">
        <w:rPr>
          <w:color w:val="000000"/>
          <w:sz w:val="22"/>
          <w:szCs w:val="22"/>
        </w:rPr>
        <w:t>psychotropic</w:t>
      </w:r>
      <w:r w:rsidR="00783188" w:rsidRPr="008C3C5C">
        <w:rPr>
          <w:color w:val="000000"/>
          <w:sz w:val="22"/>
          <w:szCs w:val="22"/>
        </w:rPr>
        <w:t xml:space="preserve"> </w:t>
      </w:r>
      <w:r w:rsidRPr="008C3C5C">
        <w:rPr>
          <w:color w:val="000000"/>
          <w:sz w:val="22"/>
          <w:szCs w:val="22"/>
        </w:rPr>
        <w:t xml:space="preserve">drugs, </w:t>
      </w:r>
      <w:r w:rsidR="001E297A">
        <w:rPr>
          <w:color w:val="000000"/>
          <w:sz w:val="22"/>
          <w:szCs w:val="22"/>
        </w:rPr>
        <w:t>including behavioral interventions</w:t>
      </w:r>
      <w:r w:rsidR="00A0320A">
        <w:rPr>
          <w:color w:val="000000"/>
          <w:sz w:val="22"/>
          <w:szCs w:val="22"/>
        </w:rPr>
        <w:t>; or</w:t>
      </w:r>
    </w:p>
    <w:p w:rsidR="007A49F7" w:rsidRPr="008C3C5C" w:rsidRDefault="007A49F7" w:rsidP="00A03659">
      <w:pPr>
        <w:pStyle w:val="NormalWeb"/>
        <w:numPr>
          <w:ilvl w:val="0"/>
          <w:numId w:val="10"/>
        </w:numPr>
        <w:spacing w:before="0" w:beforeAutospacing="0" w:after="0" w:afterAutospacing="0"/>
        <w:rPr>
          <w:color w:val="000000"/>
          <w:sz w:val="22"/>
          <w:szCs w:val="22"/>
        </w:rPr>
      </w:pPr>
      <w:proofErr w:type="gramStart"/>
      <w:r w:rsidRPr="008C3C5C">
        <w:rPr>
          <w:color w:val="000000"/>
          <w:sz w:val="22"/>
          <w:szCs w:val="22"/>
        </w:rPr>
        <w:t>in</w:t>
      </w:r>
      <w:proofErr w:type="gramEnd"/>
      <w:r w:rsidRPr="008C3C5C">
        <w:rPr>
          <w:color w:val="000000"/>
          <w:sz w:val="22"/>
          <w:szCs w:val="22"/>
        </w:rPr>
        <w:t xml:space="preserve"> rare circumstances, even </w:t>
      </w:r>
      <w:r w:rsidR="00A0320A">
        <w:rPr>
          <w:color w:val="000000"/>
          <w:sz w:val="22"/>
          <w:szCs w:val="22"/>
        </w:rPr>
        <w:t xml:space="preserve">when </w:t>
      </w:r>
      <w:r w:rsidRPr="008C3C5C">
        <w:rPr>
          <w:color w:val="000000"/>
          <w:sz w:val="22"/>
          <w:szCs w:val="22"/>
        </w:rPr>
        <w:t>no threat of violence exists</w:t>
      </w:r>
      <w:r w:rsidR="00A0320A">
        <w:rPr>
          <w:color w:val="000000"/>
          <w:sz w:val="22"/>
          <w:szCs w:val="22"/>
        </w:rPr>
        <w:t xml:space="preserve">, </w:t>
      </w:r>
      <w:r w:rsidRPr="008C3C5C">
        <w:rPr>
          <w:color w:val="000000"/>
          <w:sz w:val="22"/>
          <w:szCs w:val="22"/>
        </w:rPr>
        <w:t xml:space="preserve">to prevent the "immediate, substantial, and irreversible deterioration of a serious </w:t>
      </w:r>
      <w:r w:rsidR="00C7192E">
        <w:rPr>
          <w:color w:val="000000"/>
          <w:sz w:val="22"/>
          <w:szCs w:val="22"/>
        </w:rPr>
        <w:t>medical condition</w:t>
      </w:r>
      <w:r w:rsidRPr="008C3C5C">
        <w:rPr>
          <w:color w:val="000000"/>
          <w:sz w:val="22"/>
          <w:szCs w:val="22"/>
        </w:rPr>
        <w:t xml:space="preserve">" in cases in which "even the smallest of avoidable delays would be intolerable.” </w:t>
      </w:r>
      <w:r w:rsidRPr="008C3C5C">
        <w:rPr>
          <w:color w:val="000000"/>
          <w:sz w:val="22"/>
          <w:szCs w:val="22"/>
          <w:u w:val="single"/>
        </w:rPr>
        <w:t xml:space="preserve">See </w:t>
      </w:r>
      <w:r w:rsidRPr="00274E10">
        <w:rPr>
          <w:i/>
          <w:color w:val="000000"/>
          <w:sz w:val="22"/>
          <w:szCs w:val="22"/>
        </w:rPr>
        <w:t>Guardianship of Roe</w:t>
      </w:r>
      <w:r w:rsidRPr="008C3C5C">
        <w:rPr>
          <w:color w:val="000000"/>
          <w:sz w:val="22"/>
          <w:szCs w:val="22"/>
        </w:rPr>
        <w:t>, 383 Mass. 415, 441.</w:t>
      </w:r>
      <w:r w:rsidR="00A0320A">
        <w:rPr>
          <w:color w:val="000000"/>
          <w:sz w:val="22"/>
          <w:szCs w:val="22"/>
        </w:rPr>
        <w:t xml:space="preserve">   </w:t>
      </w:r>
    </w:p>
    <w:p w:rsidR="007A49F7" w:rsidRPr="008C3C5C" w:rsidRDefault="007A49F7" w:rsidP="00274E10">
      <w:pPr>
        <w:pStyle w:val="NormalWeb"/>
        <w:spacing w:before="0" w:beforeAutospacing="0" w:after="0" w:afterAutospacing="0"/>
        <w:rPr>
          <w:color w:val="000000"/>
          <w:sz w:val="22"/>
          <w:szCs w:val="22"/>
        </w:rPr>
      </w:pPr>
    </w:p>
    <w:p w:rsidR="007A49F7" w:rsidRPr="008C3C5C" w:rsidRDefault="007A49F7" w:rsidP="00274E10">
      <w:pPr>
        <w:pStyle w:val="NormalWeb"/>
        <w:spacing w:before="0" w:beforeAutospacing="0" w:after="0" w:afterAutospacing="0"/>
        <w:rPr>
          <w:color w:val="000000"/>
          <w:sz w:val="22"/>
          <w:szCs w:val="22"/>
        </w:rPr>
      </w:pPr>
      <w:r w:rsidRPr="008C3C5C">
        <w:rPr>
          <w:color w:val="000000"/>
          <w:sz w:val="22"/>
          <w:szCs w:val="22"/>
        </w:rPr>
        <w:t>A facility shall engage in continued evaluation of emergency need and shall obtain informed written consent as soon as practicable, but no later than three calendar days, following emergency administration of a psychotropic medication.</w:t>
      </w:r>
      <w:r w:rsidR="00C7192E">
        <w:rPr>
          <w:color w:val="000000"/>
          <w:sz w:val="22"/>
          <w:szCs w:val="22"/>
        </w:rPr>
        <w:t xml:space="preserve"> Emergency administration and subsequent consent shall be documented in the medical record.</w:t>
      </w:r>
    </w:p>
    <w:p w:rsidR="007A49F7" w:rsidRPr="008C3C5C" w:rsidRDefault="007A49F7" w:rsidP="00A0515B">
      <w:pPr>
        <w:rPr>
          <w:sz w:val="22"/>
          <w:szCs w:val="22"/>
        </w:rPr>
      </w:pPr>
    </w:p>
    <w:p w:rsidR="00AD1F4F" w:rsidRPr="002D187E" w:rsidRDefault="00AD1F4F" w:rsidP="00A0515B">
      <w:pPr>
        <w:jc w:val="center"/>
        <w:rPr>
          <w:b/>
          <w:sz w:val="22"/>
        </w:rPr>
      </w:pPr>
      <w:r w:rsidRPr="002D187E">
        <w:rPr>
          <w:b/>
          <w:sz w:val="22"/>
        </w:rPr>
        <w:t>Rest Home Compliance</w:t>
      </w:r>
    </w:p>
    <w:p w:rsidR="00AD1F4F" w:rsidRPr="002D187E" w:rsidRDefault="00AD1F4F" w:rsidP="00A0515B">
      <w:pPr>
        <w:rPr>
          <w:sz w:val="22"/>
        </w:rPr>
      </w:pPr>
    </w:p>
    <w:p w:rsidR="002C7D0E" w:rsidRPr="002D187E" w:rsidRDefault="002C7D0E" w:rsidP="00A0515B">
      <w:pPr>
        <w:rPr>
          <w:sz w:val="22"/>
        </w:rPr>
      </w:pPr>
      <w:r w:rsidRPr="002D187E">
        <w:rPr>
          <w:sz w:val="22"/>
        </w:rPr>
        <w:t>Facilities are reminded that 105 CMR 150.008 sets forth detailed requirements for the record-keeping, supervision, administration, labeling, and storage of all medication.  Notwithstanding the language in Section 72BB that purports to treat rest homes and skilled nursing facilities in the same manner, Level IV facilities should refer to 105 CMR 150.008(C)(2) for the limited circumstances in which medications may be administered in a rest home</w:t>
      </w:r>
      <w:r w:rsidR="00CA52BF" w:rsidRPr="002D187E">
        <w:rPr>
          <w:sz w:val="22"/>
        </w:rPr>
        <w:t>, while complying with relevant procedures set forth in this letter</w:t>
      </w:r>
      <w:r w:rsidRPr="002D187E">
        <w:rPr>
          <w:sz w:val="22"/>
        </w:rPr>
        <w:t>.</w:t>
      </w:r>
    </w:p>
    <w:p w:rsidR="002C7D0E" w:rsidRPr="002D187E" w:rsidRDefault="002C7D0E" w:rsidP="00A0515B">
      <w:pPr>
        <w:rPr>
          <w:sz w:val="22"/>
        </w:rPr>
      </w:pPr>
    </w:p>
    <w:p w:rsidR="00970F9F" w:rsidRPr="002D187E" w:rsidRDefault="00970F9F" w:rsidP="00970F9F">
      <w:pPr>
        <w:jc w:val="center"/>
        <w:rPr>
          <w:b/>
          <w:sz w:val="22"/>
        </w:rPr>
      </w:pPr>
      <w:r w:rsidRPr="002D187E">
        <w:rPr>
          <w:b/>
          <w:sz w:val="22"/>
        </w:rPr>
        <w:t>Contact</w:t>
      </w:r>
    </w:p>
    <w:p w:rsidR="00970F9F" w:rsidRPr="002D187E" w:rsidRDefault="00970F9F" w:rsidP="00A0515B">
      <w:pPr>
        <w:rPr>
          <w:sz w:val="22"/>
        </w:rPr>
      </w:pPr>
    </w:p>
    <w:p w:rsidR="00C166EF" w:rsidRPr="002D187E" w:rsidRDefault="00C166EF" w:rsidP="00A0515B">
      <w:pPr>
        <w:rPr>
          <w:sz w:val="22"/>
        </w:rPr>
      </w:pPr>
      <w:r w:rsidRPr="002D187E">
        <w:rPr>
          <w:sz w:val="22"/>
        </w:rPr>
        <w:t xml:space="preserve">If you have any questions about this guidance, please contact the Bureau of Health Care Safety and Quality, Division of Health Care Facilities Licensure and Certification, at </w:t>
      </w:r>
      <w:r w:rsidRPr="002D187E">
        <w:rPr>
          <w:sz w:val="22"/>
        </w:rPr>
        <w:fldChar w:fldCharType="begin"/>
      </w:r>
      <w:r w:rsidRPr="002D187E">
        <w:rPr>
          <w:sz w:val="22"/>
        </w:rPr>
        <w:instrText xml:space="preserve"> HYPERLINK "mailto:sherman.lohnes@state.ma.us.</w:instrText>
      </w:r>
    </w:p>
    <w:p w:rsidR="00C166EF" w:rsidRPr="002D187E" w:rsidRDefault="00C166EF" w:rsidP="00A0515B">
      <w:pPr>
        <w:rPr>
          <w:rStyle w:val="Hyperlink"/>
          <w:sz w:val="22"/>
        </w:rPr>
      </w:pPr>
      <w:r w:rsidRPr="002D187E">
        <w:rPr>
          <w:sz w:val="22"/>
        </w:rPr>
        <w:instrText xml:space="preserve">" </w:instrText>
      </w:r>
      <w:r w:rsidRPr="002D187E">
        <w:rPr>
          <w:sz w:val="22"/>
        </w:rPr>
        <w:fldChar w:fldCharType="separate"/>
      </w:r>
      <w:r w:rsidRPr="002D187E">
        <w:rPr>
          <w:rStyle w:val="Hyperlink"/>
          <w:sz w:val="22"/>
        </w:rPr>
        <w:t>sherman.lohnes@state.ma.us.</w:t>
      </w:r>
    </w:p>
    <w:p w:rsidR="00970F9F" w:rsidRPr="002D187E" w:rsidRDefault="00C166EF" w:rsidP="00A0515B">
      <w:pPr>
        <w:jc w:val="center"/>
        <w:rPr>
          <w:sz w:val="22"/>
        </w:rPr>
      </w:pPr>
      <w:r w:rsidRPr="002D187E">
        <w:rPr>
          <w:sz w:val="22"/>
        </w:rPr>
        <w:fldChar w:fldCharType="end"/>
      </w:r>
    </w:p>
    <w:p w:rsidR="00706B18" w:rsidRDefault="00970F9F" w:rsidP="000E7B87">
      <w:pPr>
        <w:rPr>
          <w:szCs w:val="24"/>
        </w:rPr>
        <w:sectPr w:rsidR="00706B1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r w:rsidRPr="002D187E">
        <w:rPr>
          <w:sz w:val="22"/>
        </w:rPr>
        <w:t>If you have any questions about the Schedule of Psychotropic Medications</w:t>
      </w:r>
      <w:r w:rsidR="009B48C1">
        <w:rPr>
          <w:sz w:val="22"/>
          <w:szCs w:val="22"/>
        </w:rPr>
        <w:t>,</w:t>
      </w:r>
      <w:r w:rsidRPr="002D187E">
        <w:rPr>
          <w:sz w:val="22"/>
        </w:rPr>
        <w:t xml:space="preserve"> please contact the </w:t>
      </w:r>
      <w:r w:rsidR="000E7B87" w:rsidRPr="002D187E">
        <w:rPr>
          <w:sz w:val="22"/>
        </w:rPr>
        <w:t xml:space="preserve">Office </w:t>
      </w:r>
      <w:r w:rsidRPr="002D187E">
        <w:rPr>
          <w:sz w:val="22"/>
        </w:rPr>
        <w:t xml:space="preserve">of Prescription Monitoring and Drug Control at </w:t>
      </w:r>
      <w:hyperlink r:id="rId21" w:history="1">
        <w:r w:rsidR="000E7B87" w:rsidRPr="00330731">
          <w:rPr>
            <w:rStyle w:val="Hyperlink"/>
            <w:color w:val="64406B"/>
            <w:sz w:val="22"/>
            <w:szCs w:val="22"/>
            <w:shd w:val="clear" w:color="auto" w:fill="FFFFFF"/>
          </w:rPr>
          <w:t>dcp.dph@state.ma.us</w:t>
        </w:r>
      </w:hyperlink>
      <w:r w:rsidR="000E7B87" w:rsidRPr="002D187E">
        <w:rPr>
          <w:sz w:val="22"/>
        </w:rPr>
        <w:t>.</w:t>
      </w:r>
    </w:p>
    <w:p w:rsidR="00C166EF" w:rsidRPr="00874859" w:rsidRDefault="00C166EF" w:rsidP="00A0515B">
      <w:pPr>
        <w:jc w:val="center"/>
        <w:rPr>
          <w:b/>
          <w:szCs w:val="24"/>
        </w:rPr>
      </w:pPr>
      <w:r>
        <w:rPr>
          <w:szCs w:val="24"/>
        </w:rPr>
        <w:lastRenderedPageBreak/>
        <w:br w:type="page"/>
      </w:r>
      <w:r w:rsidRPr="00874859">
        <w:rPr>
          <w:b/>
          <w:szCs w:val="24"/>
        </w:rPr>
        <w:lastRenderedPageBreak/>
        <w:t>Attachment A</w:t>
      </w:r>
    </w:p>
    <w:p w:rsidR="00D8395D" w:rsidRPr="00874859" w:rsidRDefault="00C166EF" w:rsidP="00113CA8">
      <w:pPr>
        <w:jc w:val="center"/>
        <w:rPr>
          <w:b/>
        </w:rPr>
      </w:pPr>
      <w:r w:rsidRPr="00874859">
        <w:rPr>
          <w:b/>
        </w:rPr>
        <w:t>Schedule of Psychotropic Drugs</w:t>
      </w:r>
    </w:p>
    <w:p w:rsidR="00C166EF" w:rsidRPr="00874859" w:rsidRDefault="00D8395D" w:rsidP="00113CA8">
      <w:pPr>
        <w:jc w:val="center"/>
        <w:rPr>
          <w:b/>
          <w:sz w:val="18"/>
          <w:szCs w:val="18"/>
        </w:rPr>
      </w:pPr>
      <w:r w:rsidRPr="00874859">
        <w:rPr>
          <w:b/>
          <w:sz w:val="18"/>
          <w:szCs w:val="18"/>
        </w:rPr>
        <w:t xml:space="preserve">(Updated </w:t>
      </w:r>
      <w:r w:rsidR="002F4DF7">
        <w:rPr>
          <w:b/>
          <w:sz w:val="18"/>
          <w:szCs w:val="18"/>
        </w:rPr>
        <w:t>July</w:t>
      </w:r>
      <w:r w:rsidRPr="00874859">
        <w:rPr>
          <w:b/>
          <w:sz w:val="18"/>
          <w:szCs w:val="18"/>
        </w:rPr>
        <w:t>, 201</w:t>
      </w:r>
      <w:r w:rsidR="007A37FF">
        <w:rPr>
          <w:b/>
          <w:sz w:val="18"/>
          <w:szCs w:val="18"/>
        </w:rPr>
        <w:t>6</w:t>
      </w:r>
      <w:r w:rsidRPr="00874859">
        <w:rPr>
          <w:b/>
          <w:sz w:val="18"/>
          <w:szCs w:val="18"/>
        </w:rPr>
        <w:t>)</w:t>
      </w:r>
    </w:p>
    <w:p w:rsidR="00D8395D" w:rsidRPr="003C5A18" w:rsidRDefault="00D8395D" w:rsidP="00D8395D">
      <w:pPr>
        <w:pStyle w:val="Default"/>
        <w:rPr>
          <w:sz w:val="20"/>
          <w:szCs w:val="20"/>
        </w:rPr>
      </w:pPr>
    </w:p>
    <w:p w:rsidR="00D8395D" w:rsidRPr="00970F9F" w:rsidRDefault="00D8395D" w:rsidP="00D8395D">
      <w:pPr>
        <w:pStyle w:val="Default"/>
        <w:jc w:val="center"/>
      </w:pPr>
      <w:r w:rsidRPr="00970F9F">
        <w:rPr>
          <w:b/>
          <w:bCs/>
        </w:rPr>
        <w:t>Classes of Medications Frequently Used for Psychiatric Indications</w:t>
      </w:r>
      <w:r w:rsidR="003C5A18" w:rsidRPr="00970F9F">
        <w:rPr>
          <w:b/>
          <w:bCs/>
        </w:rPr>
        <w:t xml:space="preserve"> (page 1 of 2)</w:t>
      </w:r>
    </w:p>
    <w:p w:rsidR="00D8395D" w:rsidRPr="003C5A18" w:rsidRDefault="00D8395D" w:rsidP="00D8395D">
      <w:pPr>
        <w:pStyle w:val="Default"/>
        <w:rPr>
          <w:sz w:val="20"/>
          <w:szCs w:val="20"/>
        </w:rPr>
      </w:pPr>
    </w:p>
    <w:p w:rsidR="00D8395D" w:rsidRPr="003C5A18" w:rsidRDefault="007A37FF" w:rsidP="00D8395D">
      <w:pPr>
        <w:pStyle w:val="Default"/>
        <w:rPr>
          <w:sz w:val="20"/>
          <w:szCs w:val="20"/>
        </w:rPr>
      </w:pPr>
      <w:r w:rsidRPr="007A37FF">
        <w:rPr>
          <w:sz w:val="20"/>
          <w:szCs w:val="20"/>
        </w:rPr>
        <w:t>Prior to administering any drug listed on this schedule to a resident of a long-term care facility, the facility shall obtain informed written consent as required by M.G.L. c. 111, section 72BB.</w:t>
      </w:r>
      <w:r w:rsidR="00E20644">
        <w:t xml:space="preserve"> </w:t>
      </w:r>
      <w:r w:rsidR="00EA70AE" w:rsidRPr="00B5534A">
        <w:rPr>
          <w:b/>
          <w:sz w:val="20"/>
        </w:rPr>
        <w:t xml:space="preserve">Documentation of </w:t>
      </w:r>
      <w:r w:rsidR="003C5A18" w:rsidRPr="00B5534A">
        <w:rPr>
          <w:b/>
          <w:sz w:val="20"/>
        </w:rPr>
        <w:t xml:space="preserve">Informed </w:t>
      </w:r>
      <w:r w:rsidR="00D8395D" w:rsidRPr="00B5534A">
        <w:rPr>
          <w:b/>
          <w:sz w:val="20"/>
        </w:rPr>
        <w:t xml:space="preserve">Consent is </w:t>
      </w:r>
      <w:r w:rsidR="00056F05">
        <w:rPr>
          <w:b/>
          <w:sz w:val="20"/>
          <w:szCs w:val="20"/>
        </w:rPr>
        <w:t xml:space="preserve">also </w:t>
      </w:r>
      <w:r w:rsidR="00D8395D" w:rsidRPr="00B5534A">
        <w:rPr>
          <w:b/>
          <w:sz w:val="20"/>
        </w:rPr>
        <w:t>required for any medication that is used in the treatment of a psychiatric diagnosis or symptom, whether or not the medication is included in this list.</w:t>
      </w:r>
      <w:r w:rsidR="00D8395D" w:rsidRPr="009D20E5">
        <w:rPr>
          <w:sz w:val="20"/>
          <w:szCs w:val="20"/>
        </w:rPr>
        <w:t xml:space="preserve"> Refer to physician order for determination of indication for use</w:t>
      </w:r>
      <w:r w:rsidR="00D8395D" w:rsidRPr="003C5A18">
        <w:rPr>
          <w:sz w:val="20"/>
          <w:szCs w:val="20"/>
        </w:rPr>
        <w:t xml:space="preserve"> </w:t>
      </w:r>
      <w:r w:rsidR="003C5A18" w:rsidRPr="00B5534A">
        <w:rPr>
          <w:color w:val="FF0000"/>
          <w:sz w:val="20"/>
        </w:rPr>
        <w:t>(</w:t>
      </w:r>
      <w:r w:rsidR="00970F9F" w:rsidRPr="00B5534A">
        <w:rPr>
          <w:color w:val="FF0000"/>
          <w:sz w:val="20"/>
        </w:rPr>
        <w:t>See</w:t>
      </w:r>
      <w:r w:rsidR="003C5A18" w:rsidRPr="00B5534A">
        <w:rPr>
          <w:color w:val="FF0000"/>
          <w:sz w:val="20"/>
        </w:rPr>
        <w:t xml:space="preserve"> </w:t>
      </w:r>
      <w:r w:rsidR="00874859" w:rsidRPr="00B5534A">
        <w:rPr>
          <w:b/>
          <w:color w:val="FF0000"/>
          <w:sz w:val="20"/>
        </w:rPr>
        <w:t>Special Considerations Regarding the Use of Antipsychotic Drugs</w:t>
      </w:r>
      <w:r w:rsidR="00706B18" w:rsidRPr="00B5534A">
        <w:rPr>
          <w:color w:val="FF0000"/>
          <w:sz w:val="20"/>
        </w:rPr>
        <w:t xml:space="preserve">, discussed on page </w:t>
      </w:r>
      <w:r w:rsidR="00056F05">
        <w:rPr>
          <w:color w:val="FF0000"/>
          <w:sz w:val="20"/>
          <w:szCs w:val="20"/>
        </w:rPr>
        <w:t>3</w:t>
      </w:r>
      <w:r w:rsidR="00706B18" w:rsidRPr="00B5534A">
        <w:rPr>
          <w:color w:val="FF0000"/>
          <w:sz w:val="20"/>
        </w:rPr>
        <w:t xml:space="preserve"> of Circular Letter </w:t>
      </w:r>
      <w:r w:rsidR="009510C1" w:rsidRPr="009510C1">
        <w:rPr>
          <w:color w:val="FF0000"/>
          <w:sz w:val="20"/>
          <w:szCs w:val="20"/>
        </w:rPr>
        <w:t>17-2-699</w:t>
      </w:r>
      <w:r w:rsidR="00706B18" w:rsidRPr="00B5534A">
        <w:rPr>
          <w:color w:val="FF0000"/>
          <w:sz w:val="20"/>
        </w:rPr>
        <w:t>, above</w:t>
      </w:r>
      <w:r w:rsidR="003C5A18" w:rsidRPr="00B5534A">
        <w:rPr>
          <w:color w:val="FF0000"/>
          <w:sz w:val="20"/>
        </w:rPr>
        <w:t>)</w:t>
      </w:r>
    </w:p>
    <w:p w:rsidR="00D8395D" w:rsidRPr="003C5A18" w:rsidRDefault="00D8395D" w:rsidP="00D8395D">
      <w:pPr>
        <w:pStyle w:val="Default"/>
        <w:rPr>
          <w:sz w:val="20"/>
          <w:szCs w:val="20"/>
        </w:rPr>
      </w:pPr>
    </w:p>
    <w:p w:rsidR="00D8395D" w:rsidRPr="003C5A18" w:rsidRDefault="00EB4A99" w:rsidP="00D8395D">
      <w:pPr>
        <w:pStyle w:val="Default"/>
        <w:rPr>
          <w:sz w:val="20"/>
          <w:szCs w:val="20"/>
        </w:rPr>
      </w:pPr>
      <w:r>
        <w:rPr>
          <w:sz w:val="20"/>
          <w:szCs w:val="20"/>
        </w:rPr>
        <w:t>Note that the generic name is listed first, with the brand name in parentheses.</w:t>
      </w:r>
    </w:p>
    <w:p w:rsidR="00294DB0" w:rsidRPr="003C5A18" w:rsidRDefault="00294DB0" w:rsidP="00D8395D">
      <w:pPr>
        <w:pStyle w:val="Default"/>
        <w:rPr>
          <w:sz w:val="20"/>
          <w:szCs w:val="20"/>
        </w:rPr>
      </w:pPr>
    </w:p>
    <w:p w:rsidR="00D8395D" w:rsidRPr="003C5A18" w:rsidRDefault="00D8395D" w:rsidP="00D8395D">
      <w:pPr>
        <w:rPr>
          <w:sz w:val="20"/>
        </w:rPr>
        <w:sectPr w:rsidR="00D8395D" w:rsidRPr="003C5A18" w:rsidSect="00706B18">
          <w:footerReference w:type="default" r:id="rId22"/>
          <w:type w:val="continuous"/>
          <w:pgSz w:w="12240" w:h="15840"/>
          <w:pgMar w:top="1440" w:right="1440" w:bottom="1440" w:left="1440" w:header="720" w:footer="720" w:gutter="0"/>
          <w:cols w:space="720"/>
        </w:sectPr>
      </w:pPr>
    </w:p>
    <w:p w:rsidR="00D8395D" w:rsidRPr="00294DB0" w:rsidRDefault="00D8395D" w:rsidP="00D8395D">
      <w:pPr>
        <w:pStyle w:val="Default"/>
        <w:rPr>
          <w:sz w:val="18"/>
          <w:szCs w:val="18"/>
          <w:u w:val="single"/>
        </w:rPr>
      </w:pPr>
      <w:r w:rsidRPr="00294DB0">
        <w:rPr>
          <w:sz w:val="18"/>
          <w:szCs w:val="18"/>
          <w:u w:val="single"/>
        </w:rPr>
        <w:lastRenderedPageBreak/>
        <w:t>Antidepressants</w:t>
      </w:r>
    </w:p>
    <w:p w:rsidR="00D8395D" w:rsidRPr="00294DB0" w:rsidRDefault="00D8395D" w:rsidP="00294DB0">
      <w:pPr>
        <w:pStyle w:val="Default"/>
        <w:ind w:left="360"/>
        <w:rPr>
          <w:sz w:val="18"/>
          <w:szCs w:val="18"/>
        </w:rPr>
      </w:pPr>
      <w:r w:rsidRPr="00294DB0">
        <w:rPr>
          <w:sz w:val="18"/>
          <w:szCs w:val="18"/>
        </w:rPr>
        <w:t xml:space="preserve">amitriptyline (Elavil) </w:t>
      </w:r>
    </w:p>
    <w:p w:rsidR="00D8395D" w:rsidRPr="00294DB0" w:rsidRDefault="00D8395D" w:rsidP="00294DB0">
      <w:pPr>
        <w:pStyle w:val="Default"/>
        <w:ind w:left="360"/>
        <w:rPr>
          <w:sz w:val="18"/>
          <w:szCs w:val="18"/>
        </w:rPr>
      </w:pPr>
      <w:r w:rsidRPr="00294DB0">
        <w:rPr>
          <w:sz w:val="18"/>
          <w:szCs w:val="18"/>
        </w:rPr>
        <w:t xml:space="preserve">amoxapine (Asendin) </w:t>
      </w:r>
    </w:p>
    <w:p w:rsidR="00D8395D" w:rsidRPr="00294DB0" w:rsidRDefault="00D8395D" w:rsidP="00294DB0">
      <w:pPr>
        <w:pStyle w:val="Default"/>
        <w:ind w:left="360"/>
        <w:rPr>
          <w:sz w:val="18"/>
          <w:szCs w:val="18"/>
        </w:rPr>
      </w:pPr>
      <w:r w:rsidRPr="00294DB0">
        <w:rPr>
          <w:sz w:val="18"/>
          <w:szCs w:val="18"/>
        </w:rPr>
        <w:t xml:space="preserve">bupropion (Wellbutrin,Wellbutrin SR) </w:t>
      </w:r>
    </w:p>
    <w:p w:rsidR="00D8395D" w:rsidRPr="00294DB0" w:rsidRDefault="00D8395D" w:rsidP="00294DB0">
      <w:pPr>
        <w:pStyle w:val="Default"/>
        <w:ind w:left="360"/>
        <w:rPr>
          <w:sz w:val="18"/>
          <w:szCs w:val="18"/>
        </w:rPr>
      </w:pPr>
      <w:r w:rsidRPr="00294DB0">
        <w:rPr>
          <w:sz w:val="18"/>
          <w:szCs w:val="18"/>
        </w:rPr>
        <w:t xml:space="preserve">bupropion (Wellbutrin XL) </w:t>
      </w:r>
    </w:p>
    <w:p w:rsidR="00D8395D" w:rsidRPr="00294DB0" w:rsidRDefault="00D8395D" w:rsidP="00294DB0">
      <w:pPr>
        <w:pStyle w:val="Default"/>
        <w:ind w:left="360"/>
        <w:rPr>
          <w:sz w:val="18"/>
          <w:szCs w:val="18"/>
        </w:rPr>
      </w:pPr>
      <w:r w:rsidRPr="00294DB0">
        <w:rPr>
          <w:sz w:val="18"/>
          <w:szCs w:val="18"/>
        </w:rPr>
        <w:t xml:space="preserve">citalopram(Celexa) </w:t>
      </w:r>
    </w:p>
    <w:p w:rsidR="00D8395D" w:rsidRPr="00294DB0" w:rsidRDefault="00D8395D" w:rsidP="00294DB0">
      <w:pPr>
        <w:pStyle w:val="Default"/>
        <w:ind w:left="360"/>
        <w:rPr>
          <w:sz w:val="18"/>
          <w:szCs w:val="18"/>
        </w:rPr>
      </w:pPr>
      <w:r w:rsidRPr="00294DB0">
        <w:rPr>
          <w:sz w:val="18"/>
          <w:szCs w:val="18"/>
        </w:rPr>
        <w:t xml:space="preserve">desipramine (Norpramin) </w:t>
      </w:r>
    </w:p>
    <w:p w:rsidR="00D8395D" w:rsidRPr="00294DB0" w:rsidRDefault="00D8395D" w:rsidP="00294DB0">
      <w:pPr>
        <w:pStyle w:val="Default"/>
        <w:ind w:left="360"/>
        <w:rPr>
          <w:sz w:val="18"/>
          <w:szCs w:val="18"/>
        </w:rPr>
      </w:pPr>
      <w:r w:rsidRPr="00294DB0">
        <w:rPr>
          <w:sz w:val="18"/>
          <w:szCs w:val="18"/>
        </w:rPr>
        <w:t xml:space="preserve">desvenlafaxine (Pristiq, Khedezla) </w:t>
      </w:r>
    </w:p>
    <w:p w:rsidR="00D8395D" w:rsidRPr="00294DB0" w:rsidRDefault="00D8395D" w:rsidP="00294DB0">
      <w:pPr>
        <w:pStyle w:val="Default"/>
        <w:ind w:left="360"/>
        <w:rPr>
          <w:sz w:val="18"/>
          <w:szCs w:val="18"/>
        </w:rPr>
      </w:pPr>
      <w:r w:rsidRPr="00294DB0">
        <w:rPr>
          <w:sz w:val="18"/>
          <w:szCs w:val="18"/>
        </w:rPr>
        <w:t xml:space="preserve">doxepin (Sinequan) </w:t>
      </w:r>
    </w:p>
    <w:p w:rsidR="00D8395D" w:rsidRPr="00294DB0" w:rsidRDefault="00D8395D" w:rsidP="00294DB0">
      <w:pPr>
        <w:pStyle w:val="Default"/>
        <w:ind w:left="360"/>
        <w:rPr>
          <w:sz w:val="18"/>
          <w:szCs w:val="18"/>
        </w:rPr>
      </w:pPr>
      <w:r w:rsidRPr="00294DB0">
        <w:rPr>
          <w:sz w:val="18"/>
          <w:szCs w:val="18"/>
        </w:rPr>
        <w:t xml:space="preserve">duloxetine (Cymbalta) </w:t>
      </w:r>
    </w:p>
    <w:p w:rsidR="00D8395D" w:rsidRPr="00294DB0" w:rsidRDefault="00D8395D" w:rsidP="00294DB0">
      <w:pPr>
        <w:pStyle w:val="Default"/>
        <w:ind w:left="360"/>
        <w:rPr>
          <w:sz w:val="18"/>
          <w:szCs w:val="18"/>
        </w:rPr>
      </w:pPr>
      <w:r w:rsidRPr="00294DB0">
        <w:rPr>
          <w:sz w:val="18"/>
          <w:szCs w:val="18"/>
        </w:rPr>
        <w:t xml:space="preserve">escitalopram(Lexapro) </w:t>
      </w:r>
    </w:p>
    <w:p w:rsidR="00D8395D" w:rsidRPr="00294DB0" w:rsidRDefault="00D8395D" w:rsidP="00294DB0">
      <w:pPr>
        <w:pStyle w:val="Default"/>
        <w:ind w:left="360"/>
        <w:rPr>
          <w:sz w:val="18"/>
          <w:szCs w:val="18"/>
        </w:rPr>
      </w:pPr>
      <w:r w:rsidRPr="00294DB0">
        <w:rPr>
          <w:sz w:val="18"/>
          <w:szCs w:val="18"/>
        </w:rPr>
        <w:t xml:space="preserve">fluoxetine (Prozac) </w:t>
      </w:r>
    </w:p>
    <w:p w:rsidR="00D8395D" w:rsidRPr="00294DB0" w:rsidRDefault="00D8395D" w:rsidP="00294DB0">
      <w:pPr>
        <w:pStyle w:val="Default"/>
        <w:ind w:left="360"/>
        <w:rPr>
          <w:sz w:val="18"/>
          <w:szCs w:val="18"/>
        </w:rPr>
      </w:pPr>
      <w:r w:rsidRPr="00294DB0">
        <w:rPr>
          <w:sz w:val="18"/>
          <w:szCs w:val="18"/>
        </w:rPr>
        <w:t xml:space="preserve">imipramine (Tofranil) </w:t>
      </w:r>
    </w:p>
    <w:p w:rsidR="00D8395D" w:rsidRPr="00294DB0" w:rsidRDefault="00D8395D" w:rsidP="00294DB0">
      <w:pPr>
        <w:pStyle w:val="Default"/>
        <w:ind w:left="360"/>
        <w:rPr>
          <w:sz w:val="18"/>
          <w:szCs w:val="18"/>
        </w:rPr>
      </w:pPr>
      <w:r w:rsidRPr="00294DB0">
        <w:rPr>
          <w:sz w:val="18"/>
          <w:szCs w:val="18"/>
        </w:rPr>
        <w:t xml:space="preserve">maprotiline (Ludiomil) </w:t>
      </w:r>
    </w:p>
    <w:p w:rsidR="00D8395D" w:rsidRPr="00294DB0" w:rsidRDefault="00D8395D" w:rsidP="00294DB0">
      <w:pPr>
        <w:pStyle w:val="Default"/>
        <w:ind w:left="360"/>
        <w:rPr>
          <w:sz w:val="18"/>
          <w:szCs w:val="18"/>
        </w:rPr>
      </w:pPr>
      <w:r w:rsidRPr="00294DB0">
        <w:rPr>
          <w:sz w:val="18"/>
          <w:szCs w:val="18"/>
        </w:rPr>
        <w:t xml:space="preserve">mirtazapine (Remeron, </w:t>
      </w:r>
    </w:p>
    <w:p w:rsidR="00D8395D" w:rsidRPr="00294DB0" w:rsidRDefault="00D8395D" w:rsidP="00294DB0">
      <w:pPr>
        <w:pStyle w:val="Default"/>
        <w:ind w:left="360"/>
        <w:rPr>
          <w:sz w:val="18"/>
          <w:szCs w:val="18"/>
        </w:rPr>
      </w:pPr>
      <w:r w:rsidRPr="00294DB0">
        <w:rPr>
          <w:sz w:val="18"/>
          <w:szCs w:val="18"/>
        </w:rPr>
        <w:t xml:space="preserve">Remeron </w:t>
      </w:r>
      <w:r w:rsidR="003D524C">
        <w:rPr>
          <w:sz w:val="18"/>
          <w:szCs w:val="18"/>
        </w:rPr>
        <w:t>(</w:t>
      </w:r>
      <w:r w:rsidRPr="00294DB0">
        <w:rPr>
          <w:sz w:val="18"/>
          <w:szCs w:val="18"/>
        </w:rPr>
        <w:t xml:space="preserve">SolTab) </w:t>
      </w:r>
    </w:p>
    <w:p w:rsidR="00D8395D" w:rsidRPr="00294DB0" w:rsidRDefault="00D8395D" w:rsidP="00294DB0">
      <w:pPr>
        <w:pStyle w:val="Default"/>
        <w:ind w:left="360"/>
        <w:rPr>
          <w:sz w:val="18"/>
          <w:szCs w:val="18"/>
        </w:rPr>
      </w:pPr>
      <w:r w:rsidRPr="00294DB0">
        <w:rPr>
          <w:sz w:val="18"/>
          <w:szCs w:val="18"/>
        </w:rPr>
        <w:t xml:space="preserve">nefazodone (Serzone) </w:t>
      </w:r>
    </w:p>
    <w:p w:rsidR="00D8395D" w:rsidRPr="00294DB0" w:rsidRDefault="00D8395D" w:rsidP="00294DB0">
      <w:pPr>
        <w:pStyle w:val="Default"/>
        <w:ind w:left="360"/>
        <w:rPr>
          <w:sz w:val="18"/>
          <w:szCs w:val="18"/>
        </w:rPr>
      </w:pPr>
      <w:r w:rsidRPr="00294DB0">
        <w:rPr>
          <w:sz w:val="18"/>
          <w:szCs w:val="18"/>
        </w:rPr>
        <w:t xml:space="preserve">nortriptyline (Pamelor, Aventyl) </w:t>
      </w:r>
    </w:p>
    <w:p w:rsidR="00D8395D" w:rsidRPr="00294DB0" w:rsidRDefault="00D8395D" w:rsidP="00294DB0">
      <w:pPr>
        <w:pStyle w:val="Default"/>
        <w:ind w:left="360"/>
        <w:rPr>
          <w:sz w:val="18"/>
          <w:szCs w:val="18"/>
        </w:rPr>
      </w:pPr>
      <w:r w:rsidRPr="00294DB0">
        <w:rPr>
          <w:sz w:val="18"/>
          <w:szCs w:val="18"/>
        </w:rPr>
        <w:t xml:space="preserve">paroxetine (Paxil, Paxil CR) </w:t>
      </w:r>
    </w:p>
    <w:p w:rsidR="00D8395D" w:rsidRPr="00294DB0" w:rsidRDefault="00D8395D" w:rsidP="00294DB0">
      <w:pPr>
        <w:pStyle w:val="Default"/>
        <w:ind w:left="360"/>
        <w:rPr>
          <w:sz w:val="18"/>
          <w:szCs w:val="18"/>
        </w:rPr>
      </w:pPr>
      <w:r w:rsidRPr="00294DB0">
        <w:rPr>
          <w:sz w:val="18"/>
          <w:szCs w:val="18"/>
        </w:rPr>
        <w:t xml:space="preserve">protriptyline (Vivactil) </w:t>
      </w:r>
    </w:p>
    <w:p w:rsidR="00D8395D" w:rsidRPr="00294DB0" w:rsidRDefault="00D8395D" w:rsidP="00294DB0">
      <w:pPr>
        <w:pStyle w:val="Default"/>
        <w:ind w:left="360"/>
        <w:rPr>
          <w:sz w:val="18"/>
          <w:szCs w:val="18"/>
        </w:rPr>
      </w:pPr>
      <w:r w:rsidRPr="00294DB0">
        <w:rPr>
          <w:sz w:val="18"/>
          <w:szCs w:val="18"/>
        </w:rPr>
        <w:t xml:space="preserve">sertraline (Zoloft) </w:t>
      </w:r>
    </w:p>
    <w:p w:rsidR="00D8395D" w:rsidRPr="00294DB0" w:rsidRDefault="00D8395D" w:rsidP="00294DB0">
      <w:pPr>
        <w:pStyle w:val="Default"/>
        <w:ind w:left="360"/>
        <w:rPr>
          <w:sz w:val="18"/>
          <w:szCs w:val="18"/>
        </w:rPr>
      </w:pPr>
      <w:r w:rsidRPr="00294DB0">
        <w:rPr>
          <w:sz w:val="18"/>
          <w:szCs w:val="18"/>
        </w:rPr>
        <w:t xml:space="preserve">trazodone (Desyrel) </w:t>
      </w:r>
    </w:p>
    <w:p w:rsidR="00D8395D" w:rsidRPr="00294DB0" w:rsidRDefault="00D8395D" w:rsidP="00294DB0">
      <w:pPr>
        <w:pStyle w:val="Default"/>
        <w:ind w:left="360"/>
        <w:rPr>
          <w:sz w:val="18"/>
          <w:szCs w:val="18"/>
        </w:rPr>
      </w:pPr>
      <w:r w:rsidRPr="00294DB0">
        <w:rPr>
          <w:sz w:val="18"/>
          <w:szCs w:val="18"/>
        </w:rPr>
        <w:t xml:space="preserve">trimipramine (Surmontil) </w:t>
      </w:r>
    </w:p>
    <w:p w:rsidR="00D8395D" w:rsidRPr="00294DB0" w:rsidRDefault="00D8395D" w:rsidP="00294DB0">
      <w:pPr>
        <w:pStyle w:val="Default"/>
        <w:ind w:left="360"/>
        <w:rPr>
          <w:sz w:val="18"/>
          <w:szCs w:val="18"/>
        </w:rPr>
      </w:pPr>
      <w:r w:rsidRPr="00294DB0">
        <w:rPr>
          <w:sz w:val="18"/>
          <w:szCs w:val="18"/>
        </w:rPr>
        <w:t xml:space="preserve">venlafaxine (Effexor, Effexor XR) </w:t>
      </w:r>
    </w:p>
    <w:p w:rsidR="00D8395D" w:rsidRPr="00294DB0" w:rsidRDefault="00D8395D" w:rsidP="00294DB0">
      <w:pPr>
        <w:pStyle w:val="Default"/>
        <w:ind w:left="360"/>
        <w:rPr>
          <w:sz w:val="18"/>
          <w:szCs w:val="18"/>
        </w:rPr>
      </w:pPr>
      <w:r w:rsidRPr="00294DB0">
        <w:rPr>
          <w:sz w:val="18"/>
          <w:szCs w:val="18"/>
        </w:rPr>
        <w:t xml:space="preserve">vilazodone (Viibryd) </w:t>
      </w:r>
    </w:p>
    <w:p w:rsidR="00D8395D" w:rsidRPr="00294DB0" w:rsidRDefault="00D8395D" w:rsidP="00294DB0">
      <w:pPr>
        <w:pStyle w:val="Default"/>
        <w:ind w:left="360"/>
        <w:rPr>
          <w:sz w:val="18"/>
          <w:szCs w:val="18"/>
        </w:rPr>
      </w:pPr>
      <w:proofErr w:type="spellStart"/>
      <w:proofErr w:type="gramStart"/>
      <w:r w:rsidRPr="00294DB0">
        <w:rPr>
          <w:sz w:val="18"/>
          <w:szCs w:val="18"/>
        </w:rPr>
        <w:t>vortioxetine</w:t>
      </w:r>
      <w:proofErr w:type="spellEnd"/>
      <w:proofErr w:type="gramEnd"/>
      <w:r w:rsidRPr="00294DB0">
        <w:rPr>
          <w:sz w:val="18"/>
          <w:szCs w:val="18"/>
        </w:rPr>
        <w:t xml:space="preserve"> (</w:t>
      </w:r>
      <w:proofErr w:type="spellStart"/>
      <w:r w:rsidR="001E297A">
        <w:rPr>
          <w:sz w:val="18"/>
          <w:szCs w:val="18"/>
        </w:rPr>
        <w:t>Trintellix</w:t>
      </w:r>
      <w:proofErr w:type="spellEnd"/>
      <w:r w:rsidRPr="00294DB0">
        <w:rPr>
          <w:sz w:val="18"/>
          <w:szCs w:val="18"/>
        </w:rPr>
        <w:t xml:space="preserve">) </w:t>
      </w:r>
    </w:p>
    <w:p w:rsidR="00D8395D" w:rsidRDefault="00D8395D" w:rsidP="00D8395D">
      <w:pPr>
        <w:rPr>
          <w:sz w:val="18"/>
          <w:szCs w:val="18"/>
        </w:rPr>
      </w:pPr>
    </w:p>
    <w:p w:rsidR="00364E20" w:rsidRPr="00294DB0" w:rsidRDefault="00364E20" w:rsidP="00364E20">
      <w:pPr>
        <w:rPr>
          <w:sz w:val="18"/>
          <w:szCs w:val="18"/>
          <w:u w:val="single"/>
        </w:rPr>
      </w:pPr>
      <w:r w:rsidRPr="00294DB0">
        <w:rPr>
          <w:sz w:val="18"/>
          <w:szCs w:val="18"/>
          <w:u w:val="single"/>
        </w:rPr>
        <w:t>Anxiolytics/Sedatives/Hypnotics</w:t>
      </w:r>
    </w:p>
    <w:p w:rsidR="00364E20" w:rsidRPr="00294DB0" w:rsidRDefault="00364E20" w:rsidP="00364E20">
      <w:pPr>
        <w:ind w:left="360"/>
        <w:rPr>
          <w:sz w:val="18"/>
          <w:szCs w:val="18"/>
        </w:rPr>
      </w:pPr>
      <w:r w:rsidRPr="00294DB0">
        <w:rPr>
          <w:sz w:val="18"/>
          <w:szCs w:val="18"/>
        </w:rPr>
        <w:t xml:space="preserve">alprazolam(Xanax, Xanax XR) </w:t>
      </w:r>
    </w:p>
    <w:p w:rsidR="00364E20" w:rsidRPr="00294DB0" w:rsidRDefault="00364E20" w:rsidP="00364E20">
      <w:pPr>
        <w:ind w:left="360"/>
        <w:rPr>
          <w:sz w:val="18"/>
          <w:szCs w:val="18"/>
        </w:rPr>
      </w:pPr>
      <w:r w:rsidRPr="00294DB0">
        <w:rPr>
          <w:sz w:val="18"/>
          <w:szCs w:val="18"/>
        </w:rPr>
        <w:t xml:space="preserve">buspirone (BuSpar) </w:t>
      </w:r>
    </w:p>
    <w:p w:rsidR="00364E20" w:rsidRPr="00294DB0" w:rsidRDefault="00364E20" w:rsidP="00364E20">
      <w:pPr>
        <w:ind w:left="360"/>
        <w:rPr>
          <w:sz w:val="18"/>
          <w:szCs w:val="18"/>
        </w:rPr>
      </w:pPr>
      <w:r w:rsidRPr="00294DB0">
        <w:rPr>
          <w:sz w:val="18"/>
          <w:szCs w:val="18"/>
        </w:rPr>
        <w:t>chlordiazepoxide (Librium)</w:t>
      </w:r>
    </w:p>
    <w:p w:rsidR="00364E20" w:rsidRPr="00294DB0" w:rsidRDefault="00364E20" w:rsidP="00364E20">
      <w:pPr>
        <w:ind w:left="360"/>
        <w:rPr>
          <w:sz w:val="18"/>
          <w:szCs w:val="18"/>
        </w:rPr>
      </w:pPr>
      <w:r w:rsidRPr="00294DB0">
        <w:rPr>
          <w:sz w:val="18"/>
          <w:szCs w:val="18"/>
        </w:rPr>
        <w:t>clonazepam (Klonopin)</w:t>
      </w:r>
    </w:p>
    <w:p w:rsidR="00364E20" w:rsidRPr="00294DB0" w:rsidRDefault="00364E20" w:rsidP="00364E20">
      <w:pPr>
        <w:ind w:left="360"/>
        <w:rPr>
          <w:sz w:val="18"/>
          <w:szCs w:val="18"/>
        </w:rPr>
      </w:pPr>
      <w:r w:rsidRPr="00294DB0">
        <w:rPr>
          <w:sz w:val="18"/>
          <w:szCs w:val="18"/>
        </w:rPr>
        <w:t>clorazepate (Tranxene)</w:t>
      </w:r>
    </w:p>
    <w:p w:rsidR="00364E20" w:rsidRPr="00294DB0" w:rsidRDefault="00364E20" w:rsidP="00364E20">
      <w:pPr>
        <w:ind w:left="360"/>
        <w:rPr>
          <w:sz w:val="18"/>
          <w:szCs w:val="18"/>
        </w:rPr>
      </w:pPr>
      <w:r w:rsidRPr="00294DB0">
        <w:rPr>
          <w:sz w:val="18"/>
          <w:szCs w:val="18"/>
        </w:rPr>
        <w:t>diazepam (Valium)</w:t>
      </w:r>
    </w:p>
    <w:p w:rsidR="00364E20" w:rsidRPr="00294DB0" w:rsidRDefault="00364E20" w:rsidP="00364E20">
      <w:pPr>
        <w:ind w:left="360"/>
        <w:rPr>
          <w:sz w:val="18"/>
          <w:szCs w:val="18"/>
        </w:rPr>
      </w:pPr>
      <w:r w:rsidRPr="00294DB0">
        <w:rPr>
          <w:sz w:val="18"/>
          <w:szCs w:val="18"/>
        </w:rPr>
        <w:t>diphenhydramine (Benadryl)</w:t>
      </w:r>
    </w:p>
    <w:p w:rsidR="00364E20" w:rsidRPr="00294DB0" w:rsidRDefault="00364E20" w:rsidP="00364E20">
      <w:pPr>
        <w:ind w:left="360"/>
        <w:rPr>
          <w:sz w:val="18"/>
          <w:szCs w:val="18"/>
        </w:rPr>
      </w:pPr>
      <w:r w:rsidRPr="00294DB0">
        <w:rPr>
          <w:sz w:val="18"/>
          <w:szCs w:val="18"/>
        </w:rPr>
        <w:t>eszopiclone (Lunesta)</w:t>
      </w:r>
    </w:p>
    <w:p w:rsidR="00364E20" w:rsidRPr="00294DB0" w:rsidRDefault="00364E20" w:rsidP="00364E20">
      <w:pPr>
        <w:ind w:left="360"/>
        <w:rPr>
          <w:sz w:val="18"/>
          <w:szCs w:val="18"/>
        </w:rPr>
      </w:pPr>
      <w:r w:rsidRPr="00294DB0">
        <w:rPr>
          <w:sz w:val="18"/>
          <w:szCs w:val="18"/>
        </w:rPr>
        <w:t>flurazepam (Dalmane)</w:t>
      </w:r>
    </w:p>
    <w:p w:rsidR="00364E20" w:rsidRPr="00294DB0" w:rsidRDefault="00364E20" w:rsidP="00364E20">
      <w:pPr>
        <w:ind w:left="360"/>
        <w:rPr>
          <w:sz w:val="18"/>
          <w:szCs w:val="18"/>
        </w:rPr>
      </w:pPr>
      <w:r w:rsidRPr="00294DB0">
        <w:rPr>
          <w:sz w:val="18"/>
          <w:szCs w:val="18"/>
        </w:rPr>
        <w:t>hydroxyzine (Atarax, Vistaril)</w:t>
      </w:r>
    </w:p>
    <w:p w:rsidR="00364E20" w:rsidRDefault="00364E20" w:rsidP="00364E20">
      <w:pPr>
        <w:ind w:left="360"/>
        <w:rPr>
          <w:sz w:val="18"/>
          <w:szCs w:val="18"/>
        </w:rPr>
      </w:pPr>
      <w:r w:rsidRPr="00294DB0">
        <w:rPr>
          <w:sz w:val="18"/>
          <w:szCs w:val="18"/>
        </w:rPr>
        <w:t>lorazepam(Ativan)</w:t>
      </w:r>
    </w:p>
    <w:p w:rsidR="00364E20" w:rsidRPr="00294DB0" w:rsidRDefault="00364E20" w:rsidP="00364E20">
      <w:pPr>
        <w:ind w:left="360"/>
        <w:rPr>
          <w:sz w:val="18"/>
          <w:szCs w:val="18"/>
        </w:rPr>
      </w:pPr>
      <w:r w:rsidRPr="00294DB0">
        <w:rPr>
          <w:sz w:val="18"/>
          <w:szCs w:val="18"/>
        </w:rPr>
        <w:t>oxazepam (Serax)</w:t>
      </w:r>
    </w:p>
    <w:p w:rsidR="00364E20" w:rsidRPr="00294DB0" w:rsidRDefault="00364E20" w:rsidP="00364E20">
      <w:pPr>
        <w:ind w:left="360"/>
        <w:rPr>
          <w:sz w:val="18"/>
          <w:szCs w:val="18"/>
        </w:rPr>
      </w:pPr>
      <w:r w:rsidRPr="00294DB0">
        <w:rPr>
          <w:sz w:val="18"/>
          <w:szCs w:val="18"/>
        </w:rPr>
        <w:t>pentobarbital (Nembutal)</w:t>
      </w:r>
    </w:p>
    <w:p w:rsidR="00364E20" w:rsidRPr="00294DB0" w:rsidRDefault="00364E20" w:rsidP="00364E20">
      <w:pPr>
        <w:ind w:left="360"/>
        <w:rPr>
          <w:sz w:val="18"/>
          <w:szCs w:val="18"/>
        </w:rPr>
      </w:pPr>
      <w:r w:rsidRPr="00294DB0">
        <w:rPr>
          <w:sz w:val="18"/>
          <w:szCs w:val="18"/>
        </w:rPr>
        <w:t>ramelteon (Rozerem)</w:t>
      </w:r>
    </w:p>
    <w:p w:rsidR="00364E20" w:rsidRPr="00294DB0" w:rsidRDefault="00364E20" w:rsidP="00364E20">
      <w:pPr>
        <w:ind w:left="360"/>
        <w:rPr>
          <w:sz w:val="18"/>
          <w:szCs w:val="18"/>
        </w:rPr>
      </w:pPr>
      <w:r w:rsidRPr="00294DB0">
        <w:rPr>
          <w:sz w:val="18"/>
          <w:szCs w:val="18"/>
        </w:rPr>
        <w:t>temazepam (Restoril)</w:t>
      </w:r>
    </w:p>
    <w:p w:rsidR="00364E20" w:rsidRPr="00294DB0" w:rsidRDefault="00364E20" w:rsidP="00364E20">
      <w:pPr>
        <w:ind w:left="360"/>
        <w:rPr>
          <w:sz w:val="18"/>
          <w:szCs w:val="18"/>
        </w:rPr>
      </w:pPr>
      <w:r w:rsidRPr="00294DB0">
        <w:rPr>
          <w:sz w:val="18"/>
          <w:szCs w:val="18"/>
        </w:rPr>
        <w:t>triazolam (Halcion)</w:t>
      </w:r>
    </w:p>
    <w:p w:rsidR="00364E20" w:rsidRPr="00294DB0" w:rsidRDefault="00364E20" w:rsidP="00364E20">
      <w:pPr>
        <w:ind w:left="360"/>
        <w:rPr>
          <w:sz w:val="18"/>
          <w:szCs w:val="18"/>
        </w:rPr>
      </w:pPr>
      <w:r w:rsidRPr="00294DB0">
        <w:rPr>
          <w:sz w:val="18"/>
          <w:szCs w:val="18"/>
        </w:rPr>
        <w:t>zaleplon (Sonata)</w:t>
      </w:r>
    </w:p>
    <w:p w:rsidR="00364E20" w:rsidRPr="00294DB0" w:rsidRDefault="00364E20" w:rsidP="00364E20">
      <w:pPr>
        <w:ind w:left="360"/>
        <w:rPr>
          <w:sz w:val="18"/>
          <w:szCs w:val="18"/>
        </w:rPr>
      </w:pPr>
      <w:r w:rsidRPr="00294DB0">
        <w:rPr>
          <w:sz w:val="18"/>
          <w:szCs w:val="18"/>
        </w:rPr>
        <w:lastRenderedPageBreak/>
        <w:t>zolpidem (Ambien)</w:t>
      </w:r>
    </w:p>
    <w:p w:rsidR="00056F05" w:rsidRDefault="00056F05" w:rsidP="00364E20">
      <w:pPr>
        <w:rPr>
          <w:b/>
          <w:bCs/>
          <w:color w:val="FF0000"/>
          <w:sz w:val="18"/>
          <w:szCs w:val="18"/>
          <w:u w:val="single"/>
        </w:rPr>
      </w:pPr>
    </w:p>
    <w:p w:rsidR="00364E20" w:rsidRPr="003C5A18" w:rsidRDefault="00364E20" w:rsidP="00364E20">
      <w:pPr>
        <w:rPr>
          <w:color w:val="FF0000"/>
          <w:sz w:val="18"/>
          <w:szCs w:val="18"/>
          <w:u w:val="single"/>
        </w:rPr>
      </w:pPr>
      <w:r w:rsidRPr="003C5A18">
        <w:rPr>
          <w:b/>
          <w:bCs/>
          <w:color w:val="FF0000"/>
          <w:sz w:val="18"/>
          <w:szCs w:val="18"/>
          <w:u w:val="single"/>
        </w:rPr>
        <w:t>Antipsychotics</w:t>
      </w:r>
    </w:p>
    <w:p w:rsidR="00364E20" w:rsidRPr="003C5A18" w:rsidRDefault="00364E20" w:rsidP="00364E20">
      <w:pPr>
        <w:pStyle w:val="Default"/>
        <w:ind w:left="360"/>
        <w:rPr>
          <w:color w:val="FF0000"/>
          <w:sz w:val="18"/>
          <w:szCs w:val="18"/>
        </w:rPr>
      </w:pPr>
      <w:r w:rsidRPr="003C5A18">
        <w:rPr>
          <w:color w:val="FF0000"/>
          <w:sz w:val="18"/>
          <w:szCs w:val="18"/>
        </w:rPr>
        <w:t xml:space="preserve">aripiprazole (Abilify, Abilify Discmelt) </w:t>
      </w:r>
    </w:p>
    <w:p w:rsidR="00364E20" w:rsidRPr="003C5A18" w:rsidRDefault="00364E20" w:rsidP="00364E20">
      <w:pPr>
        <w:pStyle w:val="Default"/>
        <w:ind w:left="360"/>
        <w:rPr>
          <w:color w:val="FF0000"/>
          <w:sz w:val="18"/>
          <w:szCs w:val="18"/>
        </w:rPr>
      </w:pPr>
      <w:r w:rsidRPr="003C5A18">
        <w:rPr>
          <w:color w:val="FF0000"/>
          <w:sz w:val="18"/>
          <w:szCs w:val="18"/>
        </w:rPr>
        <w:t xml:space="preserve">Aripiprazole (AbilifyMaintena) </w:t>
      </w:r>
    </w:p>
    <w:p w:rsidR="00364E20" w:rsidRPr="003C5A18" w:rsidRDefault="00364E20" w:rsidP="00364E20">
      <w:pPr>
        <w:pStyle w:val="Default"/>
        <w:ind w:left="360"/>
        <w:rPr>
          <w:color w:val="FF0000"/>
          <w:sz w:val="18"/>
          <w:szCs w:val="18"/>
        </w:rPr>
      </w:pPr>
      <w:r w:rsidRPr="003C5A18">
        <w:rPr>
          <w:color w:val="FF0000"/>
          <w:sz w:val="18"/>
          <w:szCs w:val="18"/>
        </w:rPr>
        <w:t xml:space="preserve">asenapine (Saphris) </w:t>
      </w:r>
    </w:p>
    <w:p w:rsidR="00364E20" w:rsidRPr="003C5A18" w:rsidRDefault="00364E20" w:rsidP="00364E20">
      <w:pPr>
        <w:pStyle w:val="Default"/>
        <w:ind w:left="360"/>
        <w:rPr>
          <w:color w:val="FF0000"/>
          <w:sz w:val="18"/>
          <w:szCs w:val="18"/>
        </w:rPr>
      </w:pPr>
      <w:r w:rsidRPr="003C5A18">
        <w:rPr>
          <w:color w:val="FF0000"/>
          <w:sz w:val="18"/>
          <w:szCs w:val="18"/>
        </w:rPr>
        <w:t xml:space="preserve">chlorpromazine (Thorazine) </w:t>
      </w:r>
    </w:p>
    <w:p w:rsidR="00364E20" w:rsidRPr="003C5A18" w:rsidRDefault="00364E20" w:rsidP="00364E20">
      <w:pPr>
        <w:pStyle w:val="Default"/>
        <w:ind w:left="360"/>
        <w:rPr>
          <w:color w:val="FF0000"/>
          <w:sz w:val="18"/>
          <w:szCs w:val="18"/>
        </w:rPr>
      </w:pPr>
      <w:r w:rsidRPr="003C5A18">
        <w:rPr>
          <w:color w:val="FF0000"/>
          <w:sz w:val="18"/>
          <w:szCs w:val="18"/>
        </w:rPr>
        <w:t xml:space="preserve">clozapine (Clozaril, Fazaclo, Versacloz) </w:t>
      </w:r>
    </w:p>
    <w:p w:rsidR="00364E20" w:rsidRPr="003C5A18" w:rsidRDefault="00364E20" w:rsidP="00364E20">
      <w:pPr>
        <w:pStyle w:val="Default"/>
        <w:ind w:left="360"/>
        <w:rPr>
          <w:color w:val="FF0000"/>
          <w:sz w:val="18"/>
          <w:szCs w:val="18"/>
        </w:rPr>
      </w:pPr>
      <w:r w:rsidRPr="003C5A18">
        <w:rPr>
          <w:color w:val="FF0000"/>
          <w:sz w:val="18"/>
          <w:szCs w:val="18"/>
        </w:rPr>
        <w:t xml:space="preserve">Reserve droperidol (Inapsine) </w:t>
      </w:r>
    </w:p>
    <w:p w:rsidR="00364E20" w:rsidRPr="003C5A18" w:rsidRDefault="00364E20" w:rsidP="00364E20">
      <w:pPr>
        <w:pStyle w:val="Default"/>
        <w:ind w:left="360"/>
        <w:rPr>
          <w:color w:val="FF0000"/>
          <w:sz w:val="18"/>
          <w:szCs w:val="18"/>
        </w:rPr>
      </w:pPr>
      <w:r w:rsidRPr="003C5A18">
        <w:rPr>
          <w:color w:val="FF0000"/>
          <w:sz w:val="18"/>
          <w:szCs w:val="18"/>
        </w:rPr>
        <w:t xml:space="preserve">fluphenazine (Prolixin) </w:t>
      </w:r>
    </w:p>
    <w:p w:rsidR="00364E20" w:rsidRPr="003C5A18" w:rsidRDefault="00364E20" w:rsidP="00364E20">
      <w:pPr>
        <w:pStyle w:val="Default"/>
        <w:ind w:left="360"/>
        <w:rPr>
          <w:color w:val="FF0000"/>
          <w:sz w:val="18"/>
          <w:szCs w:val="18"/>
        </w:rPr>
      </w:pPr>
      <w:r w:rsidRPr="003C5A18">
        <w:rPr>
          <w:color w:val="FF0000"/>
          <w:sz w:val="18"/>
          <w:szCs w:val="18"/>
        </w:rPr>
        <w:t xml:space="preserve">fluphenazine decanoate (Prolixin D) </w:t>
      </w:r>
    </w:p>
    <w:p w:rsidR="00364E20" w:rsidRPr="003C5A18" w:rsidRDefault="00364E20" w:rsidP="00364E20">
      <w:pPr>
        <w:pStyle w:val="Default"/>
        <w:ind w:left="360"/>
        <w:rPr>
          <w:color w:val="FF0000"/>
          <w:sz w:val="18"/>
          <w:szCs w:val="18"/>
        </w:rPr>
      </w:pPr>
      <w:r w:rsidRPr="003C5A18">
        <w:rPr>
          <w:color w:val="FF0000"/>
          <w:sz w:val="18"/>
          <w:szCs w:val="18"/>
        </w:rPr>
        <w:t xml:space="preserve">haloperidol (Haldol) </w:t>
      </w:r>
    </w:p>
    <w:p w:rsidR="00364E20" w:rsidRPr="003C5A18" w:rsidRDefault="00364E20" w:rsidP="00364E20">
      <w:pPr>
        <w:pStyle w:val="Default"/>
        <w:ind w:left="360"/>
        <w:rPr>
          <w:color w:val="FF0000"/>
          <w:sz w:val="18"/>
          <w:szCs w:val="18"/>
        </w:rPr>
      </w:pPr>
      <w:r w:rsidRPr="003C5A18">
        <w:rPr>
          <w:color w:val="FF0000"/>
          <w:sz w:val="18"/>
          <w:szCs w:val="18"/>
        </w:rPr>
        <w:t xml:space="preserve">haloperidol decanoate (Haldol D) </w:t>
      </w:r>
    </w:p>
    <w:p w:rsidR="00364E20" w:rsidRPr="003C5A18" w:rsidRDefault="00364E20" w:rsidP="00364E20">
      <w:pPr>
        <w:pStyle w:val="Default"/>
        <w:ind w:left="360"/>
        <w:rPr>
          <w:color w:val="FF0000"/>
          <w:sz w:val="18"/>
          <w:szCs w:val="18"/>
        </w:rPr>
      </w:pPr>
      <w:r w:rsidRPr="003C5A18">
        <w:rPr>
          <w:color w:val="FF0000"/>
          <w:sz w:val="18"/>
          <w:szCs w:val="18"/>
        </w:rPr>
        <w:t xml:space="preserve">iloperidone (Fanapt) </w:t>
      </w:r>
    </w:p>
    <w:p w:rsidR="00364E20" w:rsidRPr="003C5A18" w:rsidRDefault="00364E20" w:rsidP="00364E20">
      <w:pPr>
        <w:pStyle w:val="Default"/>
        <w:ind w:left="360"/>
        <w:rPr>
          <w:color w:val="FF0000"/>
          <w:sz w:val="18"/>
          <w:szCs w:val="18"/>
        </w:rPr>
      </w:pPr>
      <w:r w:rsidRPr="003C5A18">
        <w:rPr>
          <w:color w:val="FF0000"/>
          <w:sz w:val="18"/>
          <w:szCs w:val="18"/>
        </w:rPr>
        <w:t xml:space="preserve">Reserve loxapine (Loxitane) </w:t>
      </w:r>
    </w:p>
    <w:p w:rsidR="00364E20" w:rsidRPr="003C5A18" w:rsidRDefault="00364E20" w:rsidP="00364E20">
      <w:pPr>
        <w:pStyle w:val="Default"/>
        <w:ind w:left="360"/>
        <w:rPr>
          <w:color w:val="FF0000"/>
          <w:sz w:val="18"/>
          <w:szCs w:val="18"/>
        </w:rPr>
      </w:pPr>
      <w:r w:rsidRPr="003C5A18">
        <w:rPr>
          <w:color w:val="FF0000"/>
          <w:sz w:val="18"/>
          <w:szCs w:val="18"/>
        </w:rPr>
        <w:t xml:space="preserve">loxapine inhalant (Adasuve) </w:t>
      </w:r>
    </w:p>
    <w:p w:rsidR="00364E20" w:rsidRPr="003C5A18" w:rsidRDefault="00364E20" w:rsidP="00364E20">
      <w:pPr>
        <w:pStyle w:val="Default"/>
        <w:ind w:left="360"/>
        <w:rPr>
          <w:color w:val="FF0000"/>
          <w:sz w:val="18"/>
          <w:szCs w:val="18"/>
        </w:rPr>
      </w:pPr>
      <w:r w:rsidRPr="003C5A18">
        <w:rPr>
          <w:color w:val="FF0000"/>
          <w:sz w:val="18"/>
          <w:szCs w:val="18"/>
        </w:rPr>
        <w:t xml:space="preserve">lurasidone (Latuda) </w:t>
      </w:r>
    </w:p>
    <w:p w:rsidR="00364E20" w:rsidRPr="003C5A18" w:rsidRDefault="00364E20" w:rsidP="00364E20">
      <w:pPr>
        <w:pStyle w:val="Default"/>
        <w:ind w:left="360"/>
        <w:rPr>
          <w:color w:val="FF0000"/>
          <w:sz w:val="18"/>
          <w:szCs w:val="18"/>
        </w:rPr>
      </w:pPr>
      <w:r w:rsidRPr="003C5A18">
        <w:rPr>
          <w:color w:val="FF0000"/>
          <w:sz w:val="18"/>
          <w:szCs w:val="18"/>
        </w:rPr>
        <w:t xml:space="preserve">olanzapine (Zyprexa, Zyprexa Zydis) </w:t>
      </w:r>
    </w:p>
    <w:p w:rsidR="001E297A" w:rsidRPr="001017A8" w:rsidRDefault="001E297A" w:rsidP="001E297A">
      <w:pPr>
        <w:ind w:left="360"/>
        <w:rPr>
          <w:color w:val="FF0000"/>
          <w:sz w:val="18"/>
          <w:szCs w:val="18"/>
        </w:rPr>
      </w:pPr>
      <w:r w:rsidRPr="001017A8">
        <w:rPr>
          <w:color w:val="FF0000"/>
          <w:sz w:val="18"/>
          <w:szCs w:val="18"/>
        </w:rPr>
        <w:t>olanzapine/fluoxetine (Symbyax)</w:t>
      </w:r>
    </w:p>
    <w:p w:rsidR="00364E20" w:rsidRPr="003C5A18" w:rsidRDefault="00364E20" w:rsidP="00364E20">
      <w:pPr>
        <w:pStyle w:val="Default"/>
        <w:ind w:left="360"/>
        <w:rPr>
          <w:color w:val="FF0000"/>
          <w:sz w:val="18"/>
          <w:szCs w:val="18"/>
        </w:rPr>
      </w:pPr>
      <w:r w:rsidRPr="003C5A18">
        <w:rPr>
          <w:color w:val="FF0000"/>
          <w:sz w:val="18"/>
          <w:szCs w:val="18"/>
        </w:rPr>
        <w:t xml:space="preserve">olanzapine pamoate (Zyprexa Relprevv) </w:t>
      </w:r>
    </w:p>
    <w:p w:rsidR="00364E20" w:rsidRPr="003C5A18" w:rsidRDefault="00364E20" w:rsidP="00364E20">
      <w:pPr>
        <w:pStyle w:val="Default"/>
        <w:ind w:left="360"/>
        <w:rPr>
          <w:color w:val="FF0000"/>
          <w:sz w:val="18"/>
          <w:szCs w:val="18"/>
        </w:rPr>
      </w:pPr>
      <w:r w:rsidRPr="003C5A18">
        <w:rPr>
          <w:color w:val="FF0000"/>
          <w:sz w:val="18"/>
          <w:szCs w:val="18"/>
        </w:rPr>
        <w:t xml:space="preserve">Reserve paliperidone (Invega) </w:t>
      </w:r>
    </w:p>
    <w:p w:rsidR="00364E20" w:rsidRPr="003C5A18" w:rsidRDefault="00364E20" w:rsidP="00364E20">
      <w:pPr>
        <w:pStyle w:val="Default"/>
        <w:ind w:left="360"/>
        <w:rPr>
          <w:color w:val="FF0000"/>
          <w:sz w:val="18"/>
          <w:szCs w:val="18"/>
        </w:rPr>
      </w:pPr>
      <w:r w:rsidRPr="003C5A18">
        <w:rPr>
          <w:color w:val="FF0000"/>
          <w:sz w:val="18"/>
          <w:szCs w:val="18"/>
        </w:rPr>
        <w:t xml:space="preserve">paliperidone palmitate (Invega Sustenna) perphenazine (Trilafon) </w:t>
      </w:r>
    </w:p>
    <w:p w:rsidR="00364E20" w:rsidRPr="003C5A18" w:rsidRDefault="00364E20" w:rsidP="00364E20">
      <w:pPr>
        <w:pStyle w:val="Default"/>
        <w:ind w:left="360"/>
        <w:rPr>
          <w:color w:val="FF0000"/>
          <w:sz w:val="18"/>
          <w:szCs w:val="18"/>
        </w:rPr>
      </w:pPr>
      <w:r w:rsidRPr="003C5A18">
        <w:rPr>
          <w:color w:val="FF0000"/>
          <w:sz w:val="18"/>
          <w:szCs w:val="18"/>
        </w:rPr>
        <w:t xml:space="preserve">pimozide (Orap) </w:t>
      </w:r>
    </w:p>
    <w:p w:rsidR="00364E20" w:rsidRPr="003C5A18" w:rsidRDefault="00364E20" w:rsidP="00364E20">
      <w:pPr>
        <w:pStyle w:val="Default"/>
        <w:ind w:left="360"/>
        <w:rPr>
          <w:color w:val="FF0000"/>
          <w:sz w:val="18"/>
          <w:szCs w:val="18"/>
        </w:rPr>
      </w:pPr>
      <w:r w:rsidRPr="003C5A18">
        <w:rPr>
          <w:color w:val="FF0000"/>
          <w:sz w:val="18"/>
          <w:szCs w:val="18"/>
        </w:rPr>
        <w:t xml:space="preserve">quetiapine (Seroquel) </w:t>
      </w:r>
    </w:p>
    <w:p w:rsidR="00364E20" w:rsidRPr="003C5A18" w:rsidRDefault="00364E20" w:rsidP="00364E20">
      <w:pPr>
        <w:pStyle w:val="Default"/>
        <w:ind w:left="360"/>
        <w:rPr>
          <w:color w:val="FF0000"/>
          <w:sz w:val="18"/>
          <w:szCs w:val="18"/>
        </w:rPr>
      </w:pPr>
      <w:r w:rsidRPr="003C5A18">
        <w:rPr>
          <w:color w:val="FF0000"/>
          <w:sz w:val="18"/>
          <w:szCs w:val="18"/>
        </w:rPr>
        <w:t xml:space="preserve">quetiapine (Seroquel XR) </w:t>
      </w:r>
    </w:p>
    <w:p w:rsidR="00364E20" w:rsidRPr="003C5A18" w:rsidRDefault="00364E20" w:rsidP="00364E20">
      <w:pPr>
        <w:pStyle w:val="Default"/>
        <w:ind w:left="360"/>
        <w:rPr>
          <w:color w:val="FF0000"/>
          <w:sz w:val="18"/>
          <w:szCs w:val="18"/>
        </w:rPr>
      </w:pPr>
      <w:r w:rsidRPr="003C5A18">
        <w:rPr>
          <w:color w:val="FF0000"/>
          <w:sz w:val="18"/>
          <w:szCs w:val="18"/>
        </w:rPr>
        <w:t>risperidone (Risperdal, RisperdalM-Tab)</w:t>
      </w:r>
    </w:p>
    <w:p w:rsidR="00364E20" w:rsidRPr="003C5A18" w:rsidRDefault="00364E20" w:rsidP="00364E20">
      <w:pPr>
        <w:pStyle w:val="Default"/>
        <w:ind w:left="360"/>
        <w:rPr>
          <w:color w:val="FF0000"/>
          <w:sz w:val="18"/>
          <w:szCs w:val="18"/>
        </w:rPr>
      </w:pPr>
      <w:r w:rsidRPr="003C5A18">
        <w:rPr>
          <w:color w:val="FF0000"/>
          <w:sz w:val="18"/>
          <w:szCs w:val="18"/>
        </w:rPr>
        <w:t xml:space="preserve">risperidone (Risperdal Consta) </w:t>
      </w:r>
    </w:p>
    <w:p w:rsidR="00364E20" w:rsidRPr="003C5A18" w:rsidRDefault="00364E20" w:rsidP="00364E20">
      <w:pPr>
        <w:pStyle w:val="Default"/>
        <w:ind w:left="360"/>
        <w:rPr>
          <w:color w:val="FF0000"/>
          <w:sz w:val="18"/>
          <w:szCs w:val="18"/>
        </w:rPr>
      </w:pPr>
      <w:r w:rsidRPr="003C5A18">
        <w:rPr>
          <w:color w:val="FF0000"/>
          <w:sz w:val="18"/>
          <w:szCs w:val="18"/>
        </w:rPr>
        <w:t xml:space="preserve">thioridazine (Mellaril) </w:t>
      </w:r>
    </w:p>
    <w:p w:rsidR="00364E20" w:rsidRPr="003C5A18" w:rsidRDefault="00364E20" w:rsidP="00364E20">
      <w:pPr>
        <w:ind w:left="360"/>
        <w:rPr>
          <w:color w:val="FF0000"/>
          <w:sz w:val="18"/>
          <w:szCs w:val="18"/>
        </w:rPr>
      </w:pPr>
      <w:r w:rsidRPr="003C5A18">
        <w:rPr>
          <w:color w:val="FF0000"/>
          <w:sz w:val="18"/>
          <w:szCs w:val="18"/>
        </w:rPr>
        <w:t>thiothixene (Navane)</w:t>
      </w:r>
    </w:p>
    <w:p w:rsidR="00364E20" w:rsidRPr="003C5A18" w:rsidRDefault="00364E20" w:rsidP="00364E20">
      <w:pPr>
        <w:ind w:left="360"/>
        <w:rPr>
          <w:color w:val="FF0000"/>
          <w:sz w:val="18"/>
          <w:szCs w:val="18"/>
        </w:rPr>
      </w:pPr>
      <w:r w:rsidRPr="003C5A18">
        <w:rPr>
          <w:color w:val="FF0000"/>
          <w:sz w:val="18"/>
          <w:szCs w:val="18"/>
        </w:rPr>
        <w:t xml:space="preserve">trifluoperazine (Stelazine) </w:t>
      </w:r>
    </w:p>
    <w:p w:rsidR="00364E20" w:rsidRDefault="00364E20" w:rsidP="00364E20">
      <w:pPr>
        <w:ind w:left="360"/>
        <w:rPr>
          <w:color w:val="FF0000"/>
          <w:sz w:val="18"/>
          <w:szCs w:val="18"/>
        </w:rPr>
      </w:pPr>
      <w:r w:rsidRPr="003C5A18">
        <w:rPr>
          <w:color w:val="FF0000"/>
          <w:sz w:val="18"/>
          <w:szCs w:val="18"/>
        </w:rPr>
        <w:t>ziprasidone (Geodon)</w:t>
      </w:r>
    </w:p>
    <w:p w:rsidR="00364E20" w:rsidRPr="003C5A18" w:rsidRDefault="00364E20" w:rsidP="00364E20">
      <w:pPr>
        <w:rPr>
          <w:sz w:val="18"/>
          <w:szCs w:val="18"/>
        </w:rPr>
      </w:pPr>
    </w:p>
    <w:p w:rsidR="00364E20" w:rsidRPr="003C5A18" w:rsidRDefault="00364E20" w:rsidP="00364E20">
      <w:pPr>
        <w:rPr>
          <w:sz w:val="18"/>
          <w:szCs w:val="18"/>
          <w:u w:val="single"/>
        </w:rPr>
      </w:pPr>
      <w:r w:rsidRPr="003C5A18">
        <w:rPr>
          <w:sz w:val="18"/>
          <w:szCs w:val="18"/>
          <w:u w:val="single"/>
        </w:rPr>
        <w:t xml:space="preserve">Stimulants </w:t>
      </w:r>
    </w:p>
    <w:p w:rsidR="00364E20" w:rsidRPr="003C5A18" w:rsidRDefault="00364E20" w:rsidP="00364E20">
      <w:pPr>
        <w:pStyle w:val="Default"/>
        <w:ind w:left="360"/>
        <w:rPr>
          <w:sz w:val="18"/>
          <w:szCs w:val="18"/>
        </w:rPr>
      </w:pPr>
      <w:r w:rsidRPr="003C5A18">
        <w:rPr>
          <w:sz w:val="18"/>
          <w:szCs w:val="18"/>
        </w:rPr>
        <w:t xml:space="preserve">amphetamine/dextroamphetamine mixture </w:t>
      </w:r>
    </w:p>
    <w:p w:rsidR="00364E20" w:rsidRPr="003C5A18" w:rsidRDefault="00364E20" w:rsidP="00364E20">
      <w:pPr>
        <w:pStyle w:val="Default"/>
        <w:ind w:left="720"/>
        <w:rPr>
          <w:sz w:val="18"/>
          <w:szCs w:val="18"/>
        </w:rPr>
      </w:pPr>
      <w:r w:rsidRPr="003C5A18">
        <w:rPr>
          <w:sz w:val="18"/>
          <w:szCs w:val="18"/>
        </w:rPr>
        <w:t>(Adderall, Adderall XR)</w:t>
      </w:r>
    </w:p>
    <w:p w:rsidR="00364E20" w:rsidRPr="003C5A18" w:rsidRDefault="00364E20" w:rsidP="00364E20">
      <w:pPr>
        <w:pStyle w:val="Default"/>
        <w:ind w:left="360"/>
        <w:rPr>
          <w:sz w:val="18"/>
          <w:szCs w:val="18"/>
        </w:rPr>
      </w:pPr>
      <w:r w:rsidRPr="003C5A18">
        <w:rPr>
          <w:sz w:val="18"/>
          <w:szCs w:val="18"/>
        </w:rPr>
        <w:t xml:space="preserve">dexmethylphenidate (Focalin, Focalin XR) </w:t>
      </w:r>
    </w:p>
    <w:p w:rsidR="00364E20" w:rsidRPr="003C5A18" w:rsidRDefault="00364E20" w:rsidP="00364E20">
      <w:pPr>
        <w:pStyle w:val="Default"/>
        <w:ind w:left="360"/>
        <w:rPr>
          <w:sz w:val="18"/>
          <w:szCs w:val="18"/>
        </w:rPr>
      </w:pPr>
      <w:r w:rsidRPr="003C5A18">
        <w:rPr>
          <w:sz w:val="18"/>
          <w:szCs w:val="18"/>
        </w:rPr>
        <w:t xml:space="preserve">dextroamphetamine (Dexedrine) </w:t>
      </w:r>
    </w:p>
    <w:p w:rsidR="00364E20" w:rsidRPr="003C5A18" w:rsidRDefault="00364E20" w:rsidP="00364E20">
      <w:pPr>
        <w:pStyle w:val="Default"/>
        <w:ind w:left="360"/>
        <w:rPr>
          <w:sz w:val="18"/>
          <w:szCs w:val="18"/>
        </w:rPr>
      </w:pPr>
      <w:r w:rsidRPr="003C5A18">
        <w:rPr>
          <w:sz w:val="18"/>
          <w:szCs w:val="18"/>
        </w:rPr>
        <w:t xml:space="preserve">lisdexamfetamine (Vyvanse) </w:t>
      </w:r>
    </w:p>
    <w:p w:rsidR="00364E20" w:rsidRPr="003C5A18" w:rsidRDefault="00364E20" w:rsidP="00364E20">
      <w:pPr>
        <w:pStyle w:val="Default"/>
        <w:ind w:left="360"/>
        <w:rPr>
          <w:sz w:val="18"/>
          <w:szCs w:val="18"/>
        </w:rPr>
      </w:pPr>
      <w:r w:rsidRPr="003C5A18">
        <w:rPr>
          <w:sz w:val="18"/>
          <w:szCs w:val="18"/>
        </w:rPr>
        <w:t>methamphetamine (Desoxyn)</w:t>
      </w:r>
    </w:p>
    <w:p w:rsidR="00364E20" w:rsidRPr="003C5A18" w:rsidRDefault="00364E20" w:rsidP="00364E20">
      <w:pPr>
        <w:pStyle w:val="Default"/>
        <w:ind w:left="360"/>
        <w:rPr>
          <w:sz w:val="18"/>
          <w:szCs w:val="18"/>
        </w:rPr>
      </w:pPr>
      <w:r w:rsidRPr="003C5A18">
        <w:rPr>
          <w:sz w:val="18"/>
          <w:szCs w:val="18"/>
        </w:rPr>
        <w:t xml:space="preserve">methylphenidate (Ritalin, Ritalin SR, Concerta, </w:t>
      </w:r>
    </w:p>
    <w:p w:rsidR="00364E20" w:rsidRPr="003C5A18" w:rsidRDefault="00364E20" w:rsidP="00B5534A">
      <w:pPr>
        <w:pStyle w:val="Default"/>
        <w:ind w:left="360"/>
        <w:rPr>
          <w:sz w:val="18"/>
          <w:szCs w:val="18"/>
        </w:rPr>
      </w:pPr>
      <w:r w:rsidRPr="003C5A18">
        <w:rPr>
          <w:sz w:val="18"/>
          <w:szCs w:val="18"/>
        </w:rPr>
        <w:t>Metadate, Metadate CD)</w:t>
      </w:r>
    </w:p>
    <w:p w:rsidR="00364E20" w:rsidRPr="003C5A18" w:rsidRDefault="00364E20" w:rsidP="00364E20">
      <w:pPr>
        <w:pStyle w:val="Default"/>
        <w:ind w:left="360"/>
        <w:rPr>
          <w:sz w:val="18"/>
          <w:szCs w:val="18"/>
        </w:rPr>
      </w:pPr>
      <w:r w:rsidRPr="003C5A18">
        <w:rPr>
          <w:sz w:val="18"/>
          <w:szCs w:val="18"/>
        </w:rPr>
        <w:t>methylphenidate patch (Daytrana)</w:t>
      </w:r>
    </w:p>
    <w:p w:rsidR="003C5A18" w:rsidRDefault="00364E20" w:rsidP="00364E20">
      <w:pPr>
        <w:ind w:left="360"/>
        <w:rPr>
          <w:szCs w:val="24"/>
        </w:rPr>
        <w:sectPr w:rsidR="003C5A18" w:rsidSect="00D8395D">
          <w:type w:val="continuous"/>
          <w:pgSz w:w="12240" w:h="15840"/>
          <w:pgMar w:top="1440" w:right="1440" w:bottom="1440" w:left="1440" w:header="720" w:footer="720" w:gutter="0"/>
          <w:cols w:num="2" w:space="720"/>
        </w:sectPr>
      </w:pPr>
      <w:proofErr w:type="gramStart"/>
      <w:r w:rsidRPr="003C5A18">
        <w:rPr>
          <w:sz w:val="18"/>
          <w:szCs w:val="18"/>
        </w:rPr>
        <w:t>methylphenidate</w:t>
      </w:r>
      <w:proofErr w:type="gramEnd"/>
      <w:r w:rsidRPr="003C5A18">
        <w:rPr>
          <w:sz w:val="18"/>
          <w:szCs w:val="18"/>
        </w:rPr>
        <w:t xml:space="preserve"> </w:t>
      </w:r>
      <w:proofErr w:type="spellStart"/>
      <w:r w:rsidRPr="003C5A18">
        <w:rPr>
          <w:sz w:val="18"/>
          <w:szCs w:val="18"/>
        </w:rPr>
        <w:t>soln</w:t>
      </w:r>
      <w:proofErr w:type="spellEnd"/>
      <w:r w:rsidRPr="003C5A18">
        <w:rPr>
          <w:sz w:val="18"/>
          <w:szCs w:val="18"/>
        </w:rPr>
        <w:t xml:space="preserve"> (</w:t>
      </w:r>
      <w:proofErr w:type="spellStart"/>
      <w:r w:rsidRPr="003C5A18">
        <w:rPr>
          <w:sz w:val="18"/>
          <w:szCs w:val="18"/>
        </w:rPr>
        <w:t>Quillivent</w:t>
      </w:r>
      <w:proofErr w:type="spellEnd"/>
      <w:r w:rsidRPr="003C5A18">
        <w:rPr>
          <w:sz w:val="18"/>
          <w:szCs w:val="18"/>
        </w:rPr>
        <w:t xml:space="preserve"> XR)</w:t>
      </w:r>
    </w:p>
    <w:p w:rsidR="00874859" w:rsidRDefault="00874859" w:rsidP="003C5A18">
      <w:pPr>
        <w:jc w:val="center"/>
        <w:rPr>
          <w:b/>
        </w:rPr>
      </w:pPr>
      <w:bookmarkStart w:id="1" w:name="_GoBack"/>
      <w:bookmarkEnd w:id="1"/>
      <w:r>
        <w:rPr>
          <w:b/>
        </w:rPr>
        <w:lastRenderedPageBreak/>
        <w:t>Attachment A</w:t>
      </w:r>
    </w:p>
    <w:p w:rsidR="003C5A18" w:rsidRPr="00874859" w:rsidRDefault="003C5A18" w:rsidP="003C5A18">
      <w:pPr>
        <w:jc w:val="center"/>
        <w:rPr>
          <w:b/>
        </w:rPr>
      </w:pPr>
      <w:r w:rsidRPr="00874859">
        <w:rPr>
          <w:b/>
        </w:rPr>
        <w:t>Schedule of Psychotropic Drugs</w:t>
      </w:r>
    </w:p>
    <w:p w:rsidR="003C5A18" w:rsidRPr="00874859" w:rsidRDefault="003C5A18" w:rsidP="003C5A18">
      <w:pPr>
        <w:jc w:val="center"/>
        <w:rPr>
          <w:b/>
          <w:sz w:val="18"/>
          <w:szCs w:val="18"/>
        </w:rPr>
      </w:pPr>
      <w:r w:rsidRPr="00874859">
        <w:rPr>
          <w:b/>
          <w:sz w:val="18"/>
          <w:szCs w:val="18"/>
        </w:rPr>
        <w:t xml:space="preserve">(Updated </w:t>
      </w:r>
      <w:r w:rsidR="00897444">
        <w:rPr>
          <w:b/>
          <w:sz w:val="18"/>
          <w:szCs w:val="18"/>
        </w:rPr>
        <w:t>July</w:t>
      </w:r>
      <w:r w:rsidRPr="00874859">
        <w:rPr>
          <w:b/>
          <w:sz w:val="18"/>
          <w:szCs w:val="18"/>
        </w:rPr>
        <w:t>, 201</w:t>
      </w:r>
      <w:r w:rsidR="006D6CA7">
        <w:rPr>
          <w:b/>
          <w:sz w:val="18"/>
          <w:szCs w:val="18"/>
        </w:rPr>
        <w:t>6</w:t>
      </w:r>
      <w:r w:rsidRPr="00874859">
        <w:rPr>
          <w:b/>
          <w:sz w:val="18"/>
          <w:szCs w:val="18"/>
        </w:rPr>
        <w:t>)</w:t>
      </w:r>
    </w:p>
    <w:p w:rsidR="003C5A18" w:rsidRPr="003C5A18" w:rsidRDefault="003C5A18" w:rsidP="003C5A18">
      <w:pPr>
        <w:pStyle w:val="Default"/>
        <w:rPr>
          <w:sz w:val="20"/>
          <w:szCs w:val="20"/>
        </w:rPr>
      </w:pPr>
    </w:p>
    <w:p w:rsidR="003C5A18" w:rsidRPr="00B5534A" w:rsidRDefault="003C5A18" w:rsidP="003C5A18">
      <w:pPr>
        <w:pStyle w:val="Default"/>
        <w:jc w:val="center"/>
        <w:rPr>
          <w:b/>
        </w:rPr>
      </w:pPr>
      <w:r w:rsidRPr="00970F9F">
        <w:rPr>
          <w:b/>
          <w:bCs/>
        </w:rPr>
        <w:t>Classes of Medications Frequently Used for Psychiatric Indications (page 2 of 2)</w:t>
      </w:r>
    </w:p>
    <w:p w:rsidR="00364E20" w:rsidRPr="00970F9F" w:rsidRDefault="00364E20" w:rsidP="003C5A18">
      <w:pPr>
        <w:pStyle w:val="Default"/>
        <w:jc w:val="center"/>
      </w:pPr>
    </w:p>
    <w:p w:rsidR="003C5A18" w:rsidRPr="00970F9F" w:rsidRDefault="003C5A18" w:rsidP="003C5A18">
      <w:pPr>
        <w:pStyle w:val="Default"/>
        <w:sectPr w:rsidR="003C5A18" w:rsidRPr="00970F9F" w:rsidSect="003C5A18">
          <w:type w:val="continuous"/>
          <w:pgSz w:w="12240" w:h="15840"/>
          <w:pgMar w:top="1440" w:right="1440" w:bottom="1440" w:left="1440" w:header="720" w:footer="720" w:gutter="0"/>
          <w:cols w:space="720"/>
        </w:sectPr>
      </w:pPr>
    </w:p>
    <w:p w:rsidR="003C5A18" w:rsidRPr="00970F9F" w:rsidRDefault="003C5A18" w:rsidP="003C5A18">
      <w:pPr>
        <w:pStyle w:val="Default"/>
        <w:rPr>
          <w:sz w:val="18"/>
          <w:szCs w:val="18"/>
          <w:u w:val="single"/>
        </w:rPr>
      </w:pPr>
      <w:r w:rsidRPr="00970F9F">
        <w:rPr>
          <w:sz w:val="18"/>
          <w:szCs w:val="18"/>
          <w:u w:val="single"/>
        </w:rPr>
        <w:lastRenderedPageBreak/>
        <w:t xml:space="preserve">Chemical Dependency Adjuncts </w:t>
      </w:r>
    </w:p>
    <w:p w:rsidR="003C5A18" w:rsidRPr="00970F9F" w:rsidRDefault="003C5A18" w:rsidP="00B5534A">
      <w:pPr>
        <w:pStyle w:val="Default"/>
        <w:ind w:left="360"/>
        <w:rPr>
          <w:sz w:val="18"/>
          <w:szCs w:val="18"/>
        </w:rPr>
      </w:pPr>
      <w:r w:rsidRPr="00970F9F">
        <w:rPr>
          <w:sz w:val="18"/>
          <w:szCs w:val="18"/>
        </w:rPr>
        <w:t xml:space="preserve">acamprosate (Campral) </w:t>
      </w:r>
    </w:p>
    <w:p w:rsidR="003C5A18" w:rsidRPr="00970F9F" w:rsidRDefault="003C5A18" w:rsidP="00B5534A">
      <w:pPr>
        <w:pStyle w:val="Default"/>
        <w:ind w:left="360"/>
        <w:rPr>
          <w:sz w:val="18"/>
          <w:szCs w:val="18"/>
        </w:rPr>
      </w:pPr>
      <w:r w:rsidRPr="00970F9F">
        <w:rPr>
          <w:sz w:val="18"/>
          <w:szCs w:val="18"/>
        </w:rPr>
        <w:t xml:space="preserve">disulfiram (Antabuse) </w:t>
      </w:r>
    </w:p>
    <w:p w:rsidR="003C5A18" w:rsidRPr="00970F9F" w:rsidRDefault="003C5A18" w:rsidP="00B5534A">
      <w:pPr>
        <w:pStyle w:val="Default"/>
        <w:ind w:left="360"/>
        <w:rPr>
          <w:sz w:val="18"/>
          <w:szCs w:val="18"/>
        </w:rPr>
      </w:pPr>
      <w:r w:rsidRPr="00970F9F">
        <w:rPr>
          <w:sz w:val="18"/>
          <w:szCs w:val="18"/>
        </w:rPr>
        <w:t>naltrexone (ReVia, Vivitrol)</w:t>
      </w:r>
    </w:p>
    <w:p w:rsidR="003C5A18" w:rsidRPr="00970F9F" w:rsidRDefault="003C5A18" w:rsidP="00B5534A">
      <w:pPr>
        <w:pStyle w:val="Default"/>
        <w:ind w:left="360"/>
        <w:rPr>
          <w:sz w:val="18"/>
          <w:szCs w:val="18"/>
        </w:rPr>
      </w:pPr>
      <w:r w:rsidRPr="00970F9F">
        <w:rPr>
          <w:sz w:val="18"/>
          <w:szCs w:val="18"/>
        </w:rPr>
        <w:t>topiramate (Topamax)</w:t>
      </w:r>
    </w:p>
    <w:p w:rsidR="00874859" w:rsidRPr="00970F9F" w:rsidRDefault="00874859" w:rsidP="00B5534A">
      <w:pPr>
        <w:pStyle w:val="Default"/>
        <w:ind w:left="360"/>
        <w:rPr>
          <w:sz w:val="18"/>
          <w:szCs w:val="18"/>
        </w:rPr>
      </w:pPr>
    </w:p>
    <w:p w:rsidR="00874859" w:rsidRPr="00970F9F" w:rsidRDefault="00874859" w:rsidP="00274E10">
      <w:pPr>
        <w:pStyle w:val="Default"/>
        <w:rPr>
          <w:sz w:val="18"/>
          <w:szCs w:val="18"/>
          <w:u w:val="single"/>
        </w:rPr>
      </w:pPr>
      <w:r w:rsidRPr="00970F9F">
        <w:rPr>
          <w:sz w:val="18"/>
          <w:szCs w:val="18"/>
          <w:u w:val="single"/>
        </w:rPr>
        <w:t>Monoamine Oxidase Inhibitors</w:t>
      </w:r>
    </w:p>
    <w:p w:rsidR="00874859" w:rsidRPr="00970F9F" w:rsidRDefault="00874859" w:rsidP="00B5534A">
      <w:pPr>
        <w:pStyle w:val="Default"/>
        <w:ind w:left="360"/>
        <w:rPr>
          <w:sz w:val="18"/>
          <w:szCs w:val="18"/>
        </w:rPr>
      </w:pPr>
      <w:r w:rsidRPr="00970F9F">
        <w:rPr>
          <w:sz w:val="18"/>
          <w:szCs w:val="18"/>
        </w:rPr>
        <w:t xml:space="preserve">isocarboxazid (Marplan) </w:t>
      </w:r>
    </w:p>
    <w:p w:rsidR="00874859" w:rsidRPr="00970F9F" w:rsidRDefault="00874859" w:rsidP="00B5534A">
      <w:pPr>
        <w:pStyle w:val="Default"/>
        <w:ind w:left="360"/>
        <w:rPr>
          <w:sz w:val="18"/>
          <w:szCs w:val="18"/>
        </w:rPr>
      </w:pPr>
      <w:r w:rsidRPr="00970F9F">
        <w:rPr>
          <w:sz w:val="18"/>
          <w:szCs w:val="18"/>
        </w:rPr>
        <w:t>phenelzine (Nardil)</w:t>
      </w:r>
    </w:p>
    <w:p w:rsidR="00874859" w:rsidRPr="00970F9F" w:rsidRDefault="00874859" w:rsidP="00B5534A">
      <w:pPr>
        <w:pStyle w:val="Default"/>
        <w:ind w:left="360"/>
        <w:rPr>
          <w:sz w:val="18"/>
          <w:szCs w:val="18"/>
        </w:rPr>
      </w:pPr>
      <w:r w:rsidRPr="00970F9F">
        <w:rPr>
          <w:sz w:val="18"/>
          <w:szCs w:val="18"/>
        </w:rPr>
        <w:t xml:space="preserve">selegiline (Emsam) </w:t>
      </w:r>
    </w:p>
    <w:p w:rsidR="00874859" w:rsidRPr="00970F9F" w:rsidRDefault="00874859" w:rsidP="00B5534A">
      <w:pPr>
        <w:pStyle w:val="Default"/>
        <w:ind w:left="360"/>
        <w:rPr>
          <w:sz w:val="18"/>
          <w:szCs w:val="18"/>
        </w:rPr>
      </w:pPr>
      <w:r w:rsidRPr="00970F9F">
        <w:rPr>
          <w:sz w:val="18"/>
          <w:szCs w:val="18"/>
        </w:rPr>
        <w:t>tranylcypromine (Parnate)</w:t>
      </w:r>
    </w:p>
    <w:p w:rsidR="00874859" w:rsidRPr="00970F9F" w:rsidRDefault="00874859" w:rsidP="00874859">
      <w:pPr>
        <w:pStyle w:val="Default"/>
        <w:rPr>
          <w:sz w:val="18"/>
          <w:szCs w:val="18"/>
        </w:rPr>
      </w:pPr>
    </w:p>
    <w:p w:rsidR="00874859" w:rsidRPr="00970F9F" w:rsidRDefault="007A37FF" w:rsidP="00874859">
      <w:pPr>
        <w:pStyle w:val="Default"/>
        <w:rPr>
          <w:sz w:val="18"/>
          <w:szCs w:val="18"/>
          <w:u w:val="single"/>
        </w:rPr>
      </w:pPr>
      <w:r>
        <w:rPr>
          <w:sz w:val="18"/>
          <w:szCs w:val="18"/>
          <w:u w:val="single"/>
        </w:rPr>
        <w:t>Mood Stabilizer</w:t>
      </w:r>
    </w:p>
    <w:p w:rsidR="00874859" w:rsidRPr="00970F9F" w:rsidRDefault="007A37FF" w:rsidP="008C3C5C">
      <w:pPr>
        <w:pStyle w:val="Default"/>
        <w:ind w:left="360"/>
        <w:rPr>
          <w:sz w:val="18"/>
          <w:szCs w:val="18"/>
          <w:u w:val="single"/>
        </w:rPr>
      </w:pPr>
      <w:r>
        <w:rPr>
          <w:sz w:val="18"/>
          <w:szCs w:val="18"/>
          <w:u w:val="single"/>
        </w:rPr>
        <w:t>lithium (</w:t>
      </w:r>
      <w:r w:rsidR="009D20E5" w:rsidRPr="009D20E5">
        <w:rPr>
          <w:sz w:val="18"/>
          <w:szCs w:val="18"/>
          <w:u w:val="single"/>
        </w:rPr>
        <w:t>Lithobid, Eskalith</w:t>
      </w:r>
      <w:r>
        <w:rPr>
          <w:sz w:val="18"/>
          <w:szCs w:val="18"/>
          <w:u w:val="single"/>
        </w:rPr>
        <w:t>)</w:t>
      </w:r>
    </w:p>
    <w:p w:rsidR="00364E20" w:rsidRDefault="00364E20" w:rsidP="00874859">
      <w:pPr>
        <w:pStyle w:val="Default"/>
        <w:rPr>
          <w:sz w:val="18"/>
          <w:szCs w:val="18"/>
          <w:u w:val="single"/>
        </w:rPr>
      </w:pPr>
    </w:p>
    <w:p w:rsidR="003D524C" w:rsidRDefault="003D524C" w:rsidP="00874859">
      <w:pPr>
        <w:pStyle w:val="Default"/>
        <w:rPr>
          <w:sz w:val="18"/>
          <w:szCs w:val="18"/>
          <w:u w:val="single"/>
        </w:rPr>
      </w:pPr>
    </w:p>
    <w:p w:rsidR="003D524C" w:rsidRDefault="003D524C" w:rsidP="00874859">
      <w:pPr>
        <w:pStyle w:val="Default"/>
        <w:rPr>
          <w:sz w:val="18"/>
          <w:szCs w:val="18"/>
          <w:u w:val="single"/>
        </w:rPr>
      </w:pPr>
    </w:p>
    <w:p w:rsidR="00874859" w:rsidRPr="00970F9F" w:rsidRDefault="00970F9F" w:rsidP="00874859">
      <w:pPr>
        <w:pStyle w:val="Default"/>
        <w:rPr>
          <w:sz w:val="18"/>
          <w:szCs w:val="18"/>
          <w:u w:val="single"/>
        </w:rPr>
      </w:pPr>
      <w:r w:rsidRPr="00970F9F">
        <w:rPr>
          <w:sz w:val="18"/>
          <w:szCs w:val="18"/>
          <w:u w:val="single"/>
        </w:rPr>
        <w:lastRenderedPageBreak/>
        <w:t>Miscellaneous Drugs</w:t>
      </w:r>
    </w:p>
    <w:p w:rsidR="00874859" w:rsidRPr="00970F9F" w:rsidRDefault="00874859" w:rsidP="00B5534A">
      <w:pPr>
        <w:pStyle w:val="Default"/>
        <w:ind w:left="360"/>
        <w:rPr>
          <w:sz w:val="18"/>
          <w:szCs w:val="18"/>
        </w:rPr>
      </w:pPr>
      <w:r w:rsidRPr="00970F9F">
        <w:rPr>
          <w:sz w:val="18"/>
          <w:szCs w:val="18"/>
        </w:rPr>
        <w:t xml:space="preserve">atomoxetine (Strattera) </w:t>
      </w:r>
    </w:p>
    <w:p w:rsidR="00874859" w:rsidRPr="00970F9F" w:rsidRDefault="00874859" w:rsidP="00B5534A">
      <w:pPr>
        <w:pStyle w:val="Default"/>
        <w:ind w:left="360"/>
        <w:rPr>
          <w:sz w:val="18"/>
          <w:szCs w:val="18"/>
        </w:rPr>
      </w:pPr>
      <w:proofErr w:type="gramStart"/>
      <w:r w:rsidRPr="00970F9F">
        <w:rPr>
          <w:sz w:val="18"/>
          <w:szCs w:val="18"/>
        </w:rPr>
        <w:t>clomipramine</w:t>
      </w:r>
      <w:proofErr w:type="gramEnd"/>
      <w:r w:rsidRPr="00970F9F">
        <w:rPr>
          <w:sz w:val="18"/>
          <w:szCs w:val="18"/>
        </w:rPr>
        <w:t xml:space="preserve"> (</w:t>
      </w:r>
      <w:proofErr w:type="spellStart"/>
      <w:r w:rsidRPr="00970F9F">
        <w:rPr>
          <w:sz w:val="18"/>
          <w:szCs w:val="18"/>
        </w:rPr>
        <w:t>Anafranil</w:t>
      </w:r>
      <w:proofErr w:type="spellEnd"/>
      <w:r w:rsidRPr="00970F9F">
        <w:rPr>
          <w:sz w:val="18"/>
          <w:szCs w:val="18"/>
        </w:rPr>
        <w:t xml:space="preserve">) </w:t>
      </w:r>
    </w:p>
    <w:p w:rsidR="00874859" w:rsidRPr="00970F9F" w:rsidRDefault="00874859" w:rsidP="00B5534A">
      <w:pPr>
        <w:pStyle w:val="Default"/>
        <w:ind w:left="360"/>
        <w:rPr>
          <w:sz w:val="18"/>
          <w:szCs w:val="18"/>
        </w:rPr>
      </w:pPr>
      <w:proofErr w:type="gramStart"/>
      <w:r w:rsidRPr="00970F9F">
        <w:rPr>
          <w:sz w:val="18"/>
          <w:szCs w:val="18"/>
        </w:rPr>
        <w:t>clonidine</w:t>
      </w:r>
      <w:proofErr w:type="gramEnd"/>
      <w:r w:rsidRPr="00970F9F">
        <w:rPr>
          <w:sz w:val="18"/>
          <w:szCs w:val="18"/>
        </w:rPr>
        <w:t xml:space="preserve"> ER (</w:t>
      </w:r>
      <w:proofErr w:type="spellStart"/>
      <w:r w:rsidRPr="00970F9F">
        <w:rPr>
          <w:sz w:val="18"/>
          <w:szCs w:val="18"/>
        </w:rPr>
        <w:t>Kapvay</w:t>
      </w:r>
      <w:proofErr w:type="spellEnd"/>
      <w:r w:rsidRPr="00970F9F">
        <w:rPr>
          <w:sz w:val="18"/>
          <w:szCs w:val="18"/>
        </w:rPr>
        <w:t xml:space="preserve">) </w:t>
      </w:r>
    </w:p>
    <w:p w:rsidR="00874859" w:rsidRPr="00970F9F" w:rsidRDefault="00874859" w:rsidP="00B5534A">
      <w:pPr>
        <w:pStyle w:val="Default"/>
        <w:ind w:left="360"/>
        <w:rPr>
          <w:sz w:val="18"/>
          <w:szCs w:val="18"/>
        </w:rPr>
      </w:pPr>
      <w:r w:rsidRPr="00970F9F">
        <w:rPr>
          <w:sz w:val="18"/>
          <w:szCs w:val="18"/>
        </w:rPr>
        <w:t xml:space="preserve">fluvoxamine (Luvox) </w:t>
      </w:r>
    </w:p>
    <w:p w:rsidR="00874859" w:rsidRPr="00970F9F" w:rsidRDefault="00874859" w:rsidP="00B5534A">
      <w:pPr>
        <w:pStyle w:val="Default"/>
        <w:ind w:left="360"/>
        <w:rPr>
          <w:sz w:val="18"/>
          <w:szCs w:val="18"/>
        </w:rPr>
      </w:pPr>
      <w:proofErr w:type="spellStart"/>
      <w:proofErr w:type="gramStart"/>
      <w:r w:rsidRPr="00970F9F">
        <w:rPr>
          <w:sz w:val="18"/>
          <w:szCs w:val="18"/>
        </w:rPr>
        <w:t>guanfacine</w:t>
      </w:r>
      <w:proofErr w:type="spellEnd"/>
      <w:proofErr w:type="gramEnd"/>
      <w:r w:rsidRPr="00970F9F">
        <w:rPr>
          <w:sz w:val="18"/>
          <w:szCs w:val="18"/>
        </w:rPr>
        <w:t xml:space="preserve"> (</w:t>
      </w:r>
      <w:proofErr w:type="spellStart"/>
      <w:r w:rsidRPr="00970F9F">
        <w:rPr>
          <w:sz w:val="18"/>
          <w:szCs w:val="18"/>
        </w:rPr>
        <w:t>Tenex</w:t>
      </w:r>
      <w:proofErr w:type="spellEnd"/>
      <w:r w:rsidRPr="00970F9F">
        <w:rPr>
          <w:sz w:val="18"/>
          <w:szCs w:val="18"/>
        </w:rPr>
        <w:t xml:space="preserve">) </w:t>
      </w:r>
    </w:p>
    <w:p w:rsidR="00874859" w:rsidRPr="00970F9F" w:rsidRDefault="00874859" w:rsidP="00B5534A">
      <w:pPr>
        <w:pStyle w:val="Default"/>
        <w:ind w:left="360"/>
        <w:rPr>
          <w:sz w:val="18"/>
          <w:szCs w:val="18"/>
        </w:rPr>
      </w:pPr>
      <w:r w:rsidRPr="00970F9F">
        <w:rPr>
          <w:sz w:val="18"/>
          <w:szCs w:val="18"/>
        </w:rPr>
        <w:t xml:space="preserve">guanfacine ER (Intuniv) </w:t>
      </w:r>
    </w:p>
    <w:p w:rsidR="00874859" w:rsidRPr="00970F9F" w:rsidRDefault="00874859" w:rsidP="00B5534A">
      <w:pPr>
        <w:pStyle w:val="Default"/>
        <w:ind w:left="360"/>
        <w:rPr>
          <w:sz w:val="18"/>
          <w:szCs w:val="18"/>
        </w:rPr>
      </w:pPr>
      <w:proofErr w:type="gramStart"/>
      <w:r w:rsidRPr="00970F9F">
        <w:rPr>
          <w:sz w:val="18"/>
          <w:szCs w:val="18"/>
        </w:rPr>
        <w:t>reserpine</w:t>
      </w:r>
      <w:proofErr w:type="gramEnd"/>
      <w:r w:rsidRPr="00970F9F">
        <w:rPr>
          <w:sz w:val="18"/>
          <w:szCs w:val="18"/>
        </w:rPr>
        <w:t xml:space="preserve"> (</w:t>
      </w:r>
      <w:proofErr w:type="spellStart"/>
      <w:r w:rsidRPr="00970F9F">
        <w:rPr>
          <w:sz w:val="18"/>
          <w:szCs w:val="18"/>
        </w:rPr>
        <w:t>Serpasil</w:t>
      </w:r>
      <w:proofErr w:type="spellEnd"/>
      <w:r w:rsidRPr="00970F9F">
        <w:rPr>
          <w:sz w:val="18"/>
          <w:szCs w:val="18"/>
        </w:rPr>
        <w:t xml:space="preserve">) </w:t>
      </w:r>
    </w:p>
    <w:p w:rsidR="00874859" w:rsidRPr="00970F9F" w:rsidRDefault="00874859" w:rsidP="00B5534A">
      <w:pPr>
        <w:pStyle w:val="Default"/>
        <w:ind w:left="360"/>
        <w:rPr>
          <w:sz w:val="18"/>
          <w:szCs w:val="18"/>
        </w:rPr>
      </w:pPr>
      <w:r w:rsidRPr="00970F9F">
        <w:rPr>
          <w:sz w:val="18"/>
          <w:szCs w:val="18"/>
        </w:rPr>
        <w:t xml:space="preserve">naltrexone (ReVia) </w:t>
      </w:r>
    </w:p>
    <w:p w:rsidR="00874859" w:rsidRDefault="00874859" w:rsidP="008C3C5C">
      <w:pPr>
        <w:pStyle w:val="Default"/>
        <w:ind w:left="360"/>
        <w:rPr>
          <w:sz w:val="18"/>
          <w:szCs w:val="18"/>
        </w:rPr>
      </w:pPr>
    </w:p>
    <w:p w:rsidR="00274E10" w:rsidRDefault="00274E10" w:rsidP="008C3C5C">
      <w:pPr>
        <w:pStyle w:val="Default"/>
        <w:ind w:left="360"/>
        <w:rPr>
          <w:sz w:val="18"/>
          <w:szCs w:val="18"/>
        </w:rPr>
      </w:pPr>
    </w:p>
    <w:p w:rsidR="00274E10" w:rsidRDefault="00274E10" w:rsidP="008C3C5C">
      <w:pPr>
        <w:pStyle w:val="Default"/>
        <w:ind w:left="360"/>
        <w:rPr>
          <w:sz w:val="18"/>
          <w:szCs w:val="18"/>
        </w:rPr>
      </w:pPr>
    </w:p>
    <w:p w:rsidR="00274E10" w:rsidRDefault="00274E10" w:rsidP="008C3C5C">
      <w:pPr>
        <w:pStyle w:val="Default"/>
        <w:ind w:left="360"/>
        <w:rPr>
          <w:sz w:val="18"/>
          <w:szCs w:val="18"/>
        </w:rPr>
      </w:pPr>
    </w:p>
    <w:p w:rsidR="00274E10" w:rsidRDefault="00274E10" w:rsidP="008C3C5C">
      <w:pPr>
        <w:pStyle w:val="Default"/>
        <w:ind w:left="360"/>
        <w:rPr>
          <w:sz w:val="18"/>
          <w:szCs w:val="18"/>
        </w:rPr>
      </w:pPr>
    </w:p>
    <w:p w:rsidR="00274E10" w:rsidRDefault="00274E10" w:rsidP="008C3C5C">
      <w:pPr>
        <w:pStyle w:val="Default"/>
        <w:ind w:left="360"/>
        <w:rPr>
          <w:sz w:val="18"/>
          <w:szCs w:val="18"/>
        </w:rPr>
      </w:pPr>
    </w:p>
    <w:p w:rsidR="00274E10" w:rsidRPr="00970F9F" w:rsidRDefault="00274E10" w:rsidP="008C3C5C">
      <w:pPr>
        <w:pStyle w:val="Default"/>
        <w:ind w:left="360"/>
        <w:rPr>
          <w:sz w:val="18"/>
          <w:szCs w:val="18"/>
        </w:rPr>
      </w:pPr>
    </w:p>
    <w:p w:rsidR="00F6266E" w:rsidRPr="00B5534A" w:rsidRDefault="00F6266E" w:rsidP="00F6266E">
      <w:pPr>
        <w:pStyle w:val="Default"/>
        <w:rPr>
          <w:sz w:val="18"/>
          <w:u w:val="single"/>
        </w:rPr>
      </w:pPr>
    </w:p>
    <w:p w:rsidR="00F6266E" w:rsidRPr="00970F9F" w:rsidRDefault="00F6266E" w:rsidP="00874859">
      <w:pPr>
        <w:pStyle w:val="Default"/>
        <w:rPr>
          <w:sz w:val="18"/>
          <w:szCs w:val="18"/>
        </w:rPr>
        <w:sectPr w:rsidR="00F6266E" w:rsidRPr="00970F9F" w:rsidSect="003C5A18">
          <w:type w:val="continuous"/>
          <w:pgSz w:w="12240" w:h="15840"/>
          <w:pgMar w:top="1440" w:right="1440" w:bottom="1440" w:left="1440" w:header="720" w:footer="720" w:gutter="0"/>
          <w:cols w:num="2" w:space="720"/>
        </w:sectPr>
      </w:pPr>
    </w:p>
    <w:p w:rsidR="00874859" w:rsidRPr="00970F9F" w:rsidRDefault="00874859" w:rsidP="00874859">
      <w:pPr>
        <w:pStyle w:val="Default"/>
        <w:rPr>
          <w:sz w:val="18"/>
          <w:szCs w:val="18"/>
        </w:rPr>
      </w:pPr>
    </w:p>
    <w:p w:rsidR="00C166EF" w:rsidRPr="00B00395" w:rsidRDefault="003C5A18" w:rsidP="00874859">
      <w:pPr>
        <w:pStyle w:val="Default"/>
        <w:jc w:val="center"/>
        <w:rPr>
          <w:b/>
        </w:rPr>
      </w:pPr>
      <w:r>
        <w:br w:type="page"/>
      </w:r>
      <w:r w:rsidR="00C166EF" w:rsidRPr="00B00395">
        <w:rPr>
          <w:b/>
        </w:rPr>
        <w:lastRenderedPageBreak/>
        <w:t>Attachment B</w:t>
      </w:r>
      <w:r w:rsidR="00A0320A">
        <w:rPr>
          <w:b/>
        </w:rPr>
        <w:t xml:space="preserve">   </w:t>
      </w:r>
    </w:p>
    <w:p w:rsidR="00AD1F4F" w:rsidRPr="00B00395" w:rsidRDefault="00AD1F4F" w:rsidP="00113CA8">
      <w:pPr>
        <w:jc w:val="center"/>
        <w:rPr>
          <w:b/>
          <w:szCs w:val="24"/>
        </w:rPr>
      </w:pPr>
      <w:r w:rsidRPr="00B00395">
        <w:rPr>
          <w:b/>
          <w:szCs w:val="24"/>
        </w:rPr>
        <w:t>Informed Consent</w:t>
      </w:r>
      <w:r w:rsidR="00394D97" w:rsidRPr="00B00395">
        <w:rPr>
          <w:b/>
          <w:szCs w:val="24"/>
        </w:rPr>
        <w:t xml:space="preserve"> for Psychotropic Administration</w:t>
      </w:r>
      <w:r w:rsidRPr="00B00395">
        <w:rPr>
          <w:b/>
          <w:szCs w:val="24"/>
        </w:rPr>
        <w:t xml:space="preserve"> Form</w:t>
      </w:r>
    </w:p>
    <w:p w:rsidR="006A1CF8" w:rsidRPr="00B00395" w:rsidRDefault="006A1CF8" w:rsidP="00E37FA2">
      <w:pPr>
        <w:jc w:val="center"/>
        <w:rPr>
          <w:szCs w:val="24"/>
        </w:rPr>
      </w:pPr>
      <w:r w:rsidRPr="00B00395">
        <w:rPr>
          <w:szCs w:val="24"/>
        </w:rPr>
        <w:t>This consent form shall be kept in the resident’s medical record.</w:t>
      </w:r>
    </w:p>
    <w:p w:rsidR="00C368DD" w:rsidRPr="00B5534A" w:rsidRDefault="00C368DD" w:rsidP="00E37FA2">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6480"/>
      </w:tblGrid>
      <w:tr w:rsidR="00874859" w:rsidRPr="00AE0427" w:rsidTr="00B5534A">
        <w:trPr>
          <w:trHeight w:val="863"/>
        </w:trPr>
        <w:tc>
          <w:tcPr>
            <w:tcW w:w="4518" w:type="dxa"/>
            <w:shd w:val="clear" w:color="auto" w:fill="auto"/>
          </w:tcPr>
          <w:p w:rsidR="00874859" w:rsidRPr="00C729E1" w:rsidRDefault="00874859" w:rsidP="00C729E1">
            <w:pPr>
              <w:rPr>
                <w:rFonts w:eastAsia="Calibri"/>
                <w:sz w:val="22"/>
                <w:szCs w:val="22"/>
              </w:rPr>
            </w:pPr>
          </w:p>
          <w:p w:rsidR="00874859" w:rsidRPr="00C729E1" w:rsidRDefault="00874859" w:rsidP="00C729E1">
            <w:pPr>
              <w:rPr>
                <w:rFonts w:eastAsia="Calibri"/>
                <w:sz w:val="22"/>
                <w:szCs w:val="22"/>
              </w:rPr>
            </w:pPr>
            <w:r w:rsidRPr="00C729E1">
              <w:rPr>
                <w:rFonts w:eastAsia="Calibri"/>
                <w:sz w:val="22"/>
                <w:szCs w:val="22"/>
              </w:rPr>
              <w:t>[Facility Name]</w:t>
            </w:r>
          </w:p>
          <w:p w:rsidR="00874859" w:rsidRPr="00C729E1" w:rsidRDefault="00874859" w:rsidP="00783188">
            <w:pPr>
              <w:rPr>
                <w:rFonts w:eastAsia="Calibri"/>
                <w:sz w:val="22"/>
                <w:szCs w:val="22"/>
              </w:rPr>
            </w:pPr>
          </w:p>
        </w:tc>
        <w:tc>
          <w:tcPr>
            <w:tcW w:w="6480" w:type="dxa"/>
            <w:shd w:val="clear" w:color="auto" w:fill="auto"/>
          </w:tcPr>
          <w:p w:rsidR="00874859" w:rsidRPr="00C729E1" w:rsidRDefault="00874859" w:rsidP="00C729E1">
            <w:pPr>
              <w:rPr>
                <w:rFonts w:eastAsia="Calibri"/>
                <w:sz w:val="22"/>
                <w:szCs w:val="22"/>
              </w:rPr>
            </w:pPr>
          </w:p>
          <w:p w:rsidR="00874859" w:rsidRPr="00C729E1" w:rsidRDefault="001017A8" w:rsidP="001017A8">
            <w:pPr>
              <w:rPr>
                <w:rFonts w:eastAsia="Calibri"/>
                <w:sz w:val="22"/>
                <w:szCs w:val="22"/>
              </w:rPr>
            </w:pPr>
            <w:r>
              <w:rPr>
                <w:rFonts w:eastAsia="Calibri"/>
                <w:sz w:val="22"/>
                <w:szCs w:val="22"/>
              </w:rPr>
              <w:t>[</w:t>
            </w:r>
            <w:r w:rsidR="00874859" w:rsidRPr="00C729E1">
              <w:rPr>
                <w:rFonts w:eastAsia="Calibri"/>
                <w:sz w:val="22"/>
                <w:szCs w:val="22"/>
              </w:rPr>
              <w:t>Affix resident information here</w:t>
            </w:r>
            <w:r>
              <w:rPr>
                <w:rFonts w:eastAsia="Calibri"/>
                <w:sz w:val="22"/>
                <w:szCs w:val="22"/>
              </w:rPr>
              <w:t>]</w:t>
            </w:r>
          </w:p>
        </w:tc>
      </w:tr>
    </w:tbl>
    <w:p w:rsidR="00874859" w:rsidRPr="00AE0427" w:rsidRDefault="00874859" w:rsidP="008748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6480"/>
      </w:tblGrid>
      <w:tr w:rsidR="00874859" w:rsidRPr="00AE0427" w:rsidTr="00B5534A">
        <w:tc>
          <w:tcPr>
            <w:tcW w:w="4518" w:type="dxa"/>
            <w:shd w:val="clear" w:color="auto" w:fill="auto"/>
          </w:tcPr>
          <w:p w:rsidR="00874859" w:rsidRPr="00C729E1" w:rsidRDefault="00874859" w:rsidP="00394D97">
            <w:pPr>
              <w:rPr>
                <w:rFonts w:eastAsia="Calibri"/>
                <w:sz w:val="20"/>
              </w:rPr>
            </w:pPr>
            <w:r w:rsidRPr="00C729E1">
              <w:rPr>
                <w:rFonts w:eastAsia="Calibri"/>
                <w:sz w:val="20"/>
              </w:rPr>
              <w:t>N</w:t>
            </w:r>
            <w:r w:rsidR="00394D97">
              <w:rPr>
                <w:rFonts w:eastAsia="Calibri"/>
                <w:sz w:val="20"/>
              </w:rPr>
              <w:t>ame of Resident</w:t>
            </w:r>
          </w:p>
        </w:tc>
        <w:tc>
          <w:tcPr>
            <w:tcW w:w="6480" w:type="dxa"/>
            <w:shd w:val="clear" w:color="auto" w:fill="auto"/>
          </w:tcPr>
          <w:p w:rsidR="00874859" w:rsidRPr="00C729E1" w:rsidRDefault="00874859" w:rsidP="00C729E1">
            <w:pPr>
              <w:rPr>
                <w:rFonts w:eastAsia="Calibri"/>
                <w:sz w:val="20"/>
              </w:rPr>
            </w:pPr>
          </w:p>
        </w:tc>
      </w:tr>
      <w:tr w:rsidR="00874859" w:rsidRPr="00AE0427" w:rsidTr="00B5534A">
        <w:tc>
          <w:tcPr>
            <w:tcW w:w="4518" w:type="dxa"/>
            <w:shd w:val="clear" w:color="auto" w:fill="auto"/>
          </w:tcPr>
          <w:p w:rsidR="00874859" w:rsidRPr="00C729E1" w:rsidRDefault="00874859" w:rsidP="0010079F">
            <w:pPr>
              <w:rPr>
                <w:rFonts w:eastAsia="Calibri"/>
                <w:sz w:val="20"/>
              </w:rPr>
            </w:pPr>
            <w:r w:rsidRPr="00C729E1">
              <w:rPr>
                <w:rFonts w:eastAsia="Calibri"/>
                <w:sz w:val="20"/>
              </w:rPr>
              <w:t>D</w:t>
            </w:r>
            <w:r w:rsidR="00394D97">
              <w:rPr>
                <w:rFonts w:eastAsia="Calibri"/>
                <w:sz w:val="20"/>
              </w:rPr>
              <w:t>ate</w:t>
            </w:r>
            <w:r w:rsidR="00A07554">
              <w:rPr>
                <w:rFonts w:eastAsia="Calibri"/>
                <w:sz w:val="20"/>
              </w:rPr>
              <w:t>/Time</w:t>
            </w:r>
            <w:r w:rsidR="00394D97">
              <w:rPr>
                <w:rFonts w:eastAsia="Calibri"/>
                <w:sz w:val="20"/>
              </w:rPr>
              <w:t xml:space="preserve"> of </w:t>
            </w:r>
            <w:r w:rsidR="0010079F">
              <w:rPr>
                <w:rFonts w:eastAsia="Calibri"/>
                <w:sz w:val="20"/>
              </w:rPr>
              <w:t>D</w:t>
            </w:r>
            <w:r w:rsidR="00394D97">
              <w:rPr>
                <w:rFonts w:eastAsia="Calibri"/>
                <w:sz w:val="20"/>
              </w:rPr>
              <w:t>iscussion</w:t>
            </w:r>
            <w:r w:rsidR="003D524C">
              <w:rPr>
                <w:rFonts w:eastAsia="Calibri"/>
                <w:sz w:val="20"/>
              </w:rPr>
              <w:t xml:space="preserve"> with Prescriber</w:t>
            </w:r>
          </w:p>
        </w:tc>
        <w:tc>
          <w:tcPr>
            <w:tcW w:w="6480" w:type="dxa"/>
            <w:shd w:val="clear" w:color="auto" w:fill="auto"/>
          </w:tcPr>
          <w:p w:rsidR="00874859" w:rsidRPr="00C729E1" w:rsidRDefault="00874859" w:rsidP="00C729E1">
            <w:pPr>
              <w:rPr>
                <w:rFonts w:eastAsia="Calibri"/>
                <w:sz w:val="20"/>
              </w:rPr>
            </w:pPr>
          </w:p>
        </w:tc>
      </w:tr>
      <w:tr w:rsidR="00874859" w:rsidRPr="00AE0427" w:rsidTr="00B5534A">
        <w:tc>
          <w:tcPr>
            <w:tcW w:w="4518" w:type="dxa"/>
            <w:shd w:val="clear" w:color="auto" w:fill="auto"/>
          </w:tcPr>
          <w:p w:rsidR="00874859" w:rsidRPr="00C729E1" w:rsidRDefault="00A07554" w:rsidP="00394D97">
            <w:pPr>
              <w:rPr>
                <w:rFonts w:eastAsia="Calibri"/>
                <w:sz w:val="20"/>
              </w:rPr>
            </w:pPr>
            <w:r>
              <w:rPr>
                <w:rFonts w:eastAsia="Calibri"/>
                <w:sz w:val="20"/>
              </w:rPr>
              <w:t>Prescriber</w:t>
            </w:r>
            <w:r w:rsidR="00394D97">
              <w:rPr>
                <w:rFonts w:eastAsia="Calibri"/>
                <w:sz w:val="20"/>
              </w:rPr>
              <w:t xml:space="preserve"> Name</w:t>
            </w:r>
          </w:p>
        </w:tc>
        <w:tc>
          <w:tcPr>
            <w:tcW w:w="6480" w:type="dxa"/>
            <w:shd w:val="clear" w:color="auto" w:fill="auto"/>
          </w:tcPr>
          <w:p w:rsidR="00874859" w:rsidRPr="00C729E1" w:rsidRDefault="00874859" w:rsidP="00C729E1">
            <w:pPr>
              <w:rPr>
                <w:rFonts w:eastAsia="Calibri"/>
                <w:sz w:val="20"/>
              </w:rPr>
            </w:pPr>
          </w:p>
        </w:tc>
      </w:tr>
      <w:tr w:rsidR="00874859" w:rsidRPr="00AE0427" w:rsidTr="00B5534A">
        <w:tc>
          <w:tcPr>
            <w:tcW w:w="4518" w:type="dxa"/>
            <w:shd w:val="clear" w:color="auto" w:fill="auto"/>
          </w:tcPr>
          <w:p w:rsidR="00874859" w:rsidRPr="00C729E1" w:rsidRDefault="00394D97" w:rsidP="00C729E1">
            <w:pPr>
              <w:rPr>
                <w:rFonts w:eastAsia="Calibri"/>
                <w:sz w:val="20"/>
              </w:rPr>
            </w:pPr>
            <w:r>
              <w:rPr>
                <w:rFonts w:eastAsia="Calibri"/>
                <w:sz w:val="20"/>
              </w:rPr>
              <w:t xml:space="preserve">Facility Representative </w:t>
            </w:r>
            <w:r w:rsidR="00A07554">
              <w:rPr>
                <w:rFonts w:eastAsia="Calibri"/>
                <w:sz w:val="20"/>
              </w:rPr>
              <w:t>Name/</w:t>
            </w:r>
            <w:r>
              <w:rPr>
                <w:rFonts w:eastAsia="Calibri"/>
                <w:sz w:val="20"/>
              </w:rPr>
              <w:t>Title</w:t>
            </w:r>
          </w:p>
        </w:tc>
        <w:tc>
          <w:tcPr>
            <w:tcW w:w="6480" w:type="dxa"/>
            <w:shd w:val="clear" w:color="auto" w:fill="auto"/>
          </w:tcPr>
          <w:p w:rsidR="00874859" w:rsidRPr="00C729E1" w:rsidRDefault="00874859" w:rsidP="00C729E1">
            <w:pPr>
              <w:rPr>
                <w:rFonts w:eastAsia="Calibri"/>
                <w:sz w:val="20"/>
              </w:rPr>
            </w:pPr>
          </w:p>
        </w:tc>
      </w:tr>
      <w:tr w:rsidR="00874859" w:rsidRPr="00AE0427" w:rsidTr="00B5534A">
        <w:tc>
          <w:tcPr>
            <w:tcW w:w="4518" w:type="dxa"/>
            <w:shd w:val="clear" w:color="auto" w:fill="auto"/>
          </w:tcPr>
          <w:p w:rsidR="00874859" w:rsidRPr="00C729E1" w:rsidRDefault="00394D97" w:rsidP="00C729E1">
            <w:pPr>
              <w:rPr>
                <w:rFonts w:eastAsia="Calibri"/>
                <w:sz w:val="20"/>
              </w:rPr>
            </w:pPr>
            <w:r>
              <w:rPr>
                <w:rFonts w:eastAsia="Calibri"/>
                <w:sz w:val="20"/>
              </w:rPr>
              <w:t>Name of Medication Proposed/Prescribed</w:t>
            </w:r>
          </w:p>
          <w:p w:rsidR="00874859" w:rsidRPr="00C729E1" w:rsidRDefault="00874859" w:rsidP="00C729E1">
            <w:pPr>
              <w:rPr>
                <w:rFonts w:eastAsia="Calibri"/>
                <w:sz w:val="20"/>
              </w:rPr>
            </w:pPr>
            <w:r w:rsidRPr="00C729E1">
              <w:rPr>
                <w:rFonts w:eastAsia="Calibri"/>
                <w:sz w:val="20"/>
              </w:rPr>
              <w:t>(Only one medication per form)</w:t>
            </w:r>
          </w:p>
        </w:tc>
        <w:tc>
          <w:tcPr>
            <w:tcW w:w="6480" w:type="dxa"/>
            <w:shd w:val="clear" w:color="auto" w:fill="auto"/>
          </w:tcPr>
          <w:p w:rsidR="00874859" w:rsidRPr="00C729E1" w:rsidRDefault="00874859" w:rsidP="00C729E1">
            <w:pPr>
              <w:rPr>
                <w:rFonts w:eastAsia="Calibri"/>
                <w:sz w:val="20"/>
              </w:rPr>
            </w:pPr>
          </w:p>
        </w:tc>
      </w:tr>
      <w:tr w:rsidR="00783188" w:rsidRPr="00AE0427" w:rsidTr="00B5534A">
        <w:tc>
          <w:tcPr>
            <w:tcW w:w="4518" w:type="dxa"/>
            <w:shd w:val="clear" w:color="auto" w:fill="auto"/>
          </w:tcPr>
          <w:p w:rsidR="00783188" w:rsidRPr="00C729E1" w:rsidRDefault="00783188" w:rsidP="00783188">
            <w:pPr>
              <w:rPr>
                <w:rFonts w:eastAsia="Calibri"/>
                <w:sz w:val="20"/>
              </w:rPr>
            </w:pPr>
            <w:r w:rsidRPr="00C729E1">
              <w:rPr>
                <w:rFonts w:eastAsia="Calibri"/>
                <w:sz w:val="20"/>
              </w:rPr>
              <w:t>D</w:t>
            </w:r>
            <w:r>
              <w:rPr>
                <w:rFonts w:eastAsia="Calibri"/>
                <w:sz w:val="20"/>
              </w:rPr>
              <w:t>os</w:t>
            </w:r>
            <w:r w:rsidR="001017A8">
              <w:rPr>
                <w:rFonts w:eastAsia="Calibri"/>
                <w:sz w:val="20"/>
              </w:rPr>
              <w:t>e,</w:t>
            </w:r>
            <w:r>
              <w:rPr>
                <w:rFonts w:eastAsia="Calibri"/>
                <w:sz w:val="20"/>
              </w:rPr>
              <w:t xml:space="preserve"> Range</w:t>
            </w:r>
            <w:r w:rsidR="001017A8">
              <w:rPr>
                <w:rFonts w:eastAsia="Calibri"/>
                <w:sz w:val="20"/>
              </w:rPr>
              <w:t>,</w:t>
            </w:r>
            <w:r>
              <w:rPr>
                <w:rFonts w:eastAsia="Calibri"/>
                <w:sz w:val="20"/>
              </w:rPr>
              <w:t xml:space="preserve"> and Frequency </w:t>
            </w:r>
          </w:p>
        </w:tc>
        <w:tc>
          <w:tcPr>
            <w:tcW w:w="6480" w:type="dxa"/>
            <w:shd w:val="clear" w:color="auto" w:fill="auto"/>
          </w:tcPr>
          <w:p w:rsidR="00783188" w:rsidRPr="00C729E1" w:rsidRDefault="00783188" w:rsidP="00C729E1">
            <w:pPr>
              <w:rPr>
                <w:rFonts w:eastAsia="Calibri"/>
                <w:sz w:val="20"/>
              </w:rPr>
            </w:pPr>
          </w:p>
        </w:tc>
      </w:tr>
      <w:tr w:rsidR="00874859" w:rsidRPr="00AE0427" w:rsidTr="00B5534A">
        <w:tc>
          <w:tcPr>
            <w:tcW w:w="4518" w:type="dxa"/>
            <w:shd w:val="clear" w:color="auto" w:fill="auto"/>
          </w:tcPr>
          <w:p w:rsidR="00874859" w:rsidRPr="00C729E1" w:rsidRDefault="00866E69" w:rsidP="00866E69">
            <w:pPr>
              <w:rPr>
                <w:rFonts w:eastAsia="Calibri"/>
                <w:sz w:val="20"/>
              </w:rPr>
            </w:pPr>
            <w:r>
              <w:rPr>
                <w:rFonts w:eastAsia="Calibri"/>
                <w:sz w:val="20"/>
              </w:rPr>
              <w:t xml:space="preserve">How </w:t>
            </w:r>
            <w:r w:rsidR="00783188">
              <w:rPr>
                <w:rFonts w:eastAsia="Calibri"/>
                <w:sz w:val="20"/>
              </w:rPr>
              <w:t>Administ</w:t>
            </w:r>
            <w:r>
              <w:rPr>
                <w:rFonts w:eastAsia="Calibri"/>
                <w:sz w:val="20"/>
              </w:rPr>
              <w:t>ered</w:t>
            </w:r>
          </w:p>
        </w:tc>
        <w:tc>
          <w:tcPr>
            <w:tcW w:w="6480" w:type="dxa"/>
            <w:shd w:val="clear" w:color="auto" w:fill="auto"/>
          </w:tcPr>
          <w:p w:rsidR="00874859" w:rsidRPr="00C729E1" w:rsidRDefault="00874859" w:rsidP="00C729E1">
            <w:pPr>
              <w:rPr>
                <w:rFonts w:eastAsia="Calibri"/>
                <w:sz w:val="20"/>
              </w:rPr>
            </w:pPr>
          </w:p>
        </w:tc>
      </w:tr>
      <w:tr w:rsidR="00874859" w:rsidRPr="00AE0427" w:rsidTr="00B5534A">
        <w:trPr>
          <w:trHeight w:val="720"/>
        </w:trPr>
        <w:tc>
          <w:tcPr>
            <w:tcW w:w="4518" w:type="dxa"/>
            <w:shd w:val="clear" w:color="auto" w:fill="auto"/>
          </w:tcPr>
          <w:p w:rsidR="00874859" w:rsidRPr="00C729E1" w:rsidRDefault="00394D97" w:rsidP="00C729E1">
            <w:pPr>
              <w:rPr>
                <w:rFonts w:eastAsia="Calibri"/>
                <w:sz w:val="20"/>
              </w:rPr>
            </w:pPr>
            <w:r>
              <w:rPr>
                <w:rFonts w:eastAsia="Calibri"/>
                <w:sz w:val="20"/>
              </w:rPr>
              <w:t>Purpose of Medication</w:t>
            </w:r>
          </w:p>
          <w:p w:rsidR="00874859" w:rsidRPr="00C729E1" w:rsidRDefault="00874859" w:rsidP="00C729E1">
            <w:pPr>
              <w:rPr>
                <w:rFonts w:eastAsia="Calibri"/>
                <w:sz w:val="20"/>
              </w:rPr>
            </w:pPr>
          </w:p>
          <w:p w:rsidR="00874859" w:rsidRPr="00C729E1" w:rsidRDefault="00874859" w:rsidP="00C729E1">
            <w:pPr>
              <w:rPr>
                <w:rFonts w:eastAsia="Calibri"/>
                <w:sz w:val="20"/>
              </w:rPr>
            </w:pPr>
          </w:p>
          <w:p w:rsidR="00874859" w:rsidRPr="00C729E1" w:rsidRDefault="00874859" w:rsidP="00C729E1">
            <w:pPr>
              <w:rPr>
                <w:rFonts w:eastAsia="Calibri"/>
                <w:sz w:val="20"/>
              </w:rPr>
            </w:pPr>
          </w:p>
          <w:p w:rsidR="00874859" w:rsidRPr="00C729E1" w:rsidRDefault="00874859" w:rsidP="00C729E1">
            <w:pPr>
              <w:rPr>
                <w:rFonts w:eastAsia="Calibri"/>
                <w:sz w:val="20"/>
              </w:rPr>
            </w:pPr>
          </w:p>
        </w:tc>
        <w:tc>
          <w:tcPr>
            <w:tcW w:w="6480" w:type="dxa"/>
            <w:shd w:val="clear" w:color="auto" w:fill="auto"/>
          </w:tcPr>
          <w:p w:rsidR="00874859" w:rsidRPr="00C729E1" w:rsidRDefault="00874859" w:rsidP="00C729E1">
            <w:pPr>
              <w:rPr>
                <w:rFonts w:eastAsia="Calibri"/>
                <w:sz w:val="20"/>
              </w:rPr>
            </w:pPr>
          </w:p>
        </w:tc>
      </w:tr>
      <w:tr w:rsidR="00874859" w:rsidRPr="00AE0427" w:rsidTr="00B5534A">
        <w:tc>
          <w:tcPr>
            <w:tcW w:w="4518" w:type="dxa"/>
            <w:shd w:val="clear" w:color="auto" w:fill="auto"/>
          </w:tcPr>
          <w:p w:rsidR="00874859" w:rsidRPr="00C729E1" w:rsidRDefault="00874859" w:rsidP="00C729E1">
            <w:pPr>
              <w:rPr>
                <w:rFonts w:eastAsia="Calibri"/>
                <w:sz w:val="20"/>
              </w:rPr>
            </w:pPr>
            <w:r w:rsidRPr="00C729E1">
              <w:rPr>
                <w:rFonts w:eastAsia="Calibri"/>
                <w:sz w:val="20"/>
              </w:rPr>
              <w:t>R</w:t>
            </w:r>
            <w:r w:rsidR="00394D97">
              <w:rPr>
                <w:rFonts w:eastAsia="Calibri"/>
                <w:sz w:val="20"/>
              </w:rPr>
              <w:t>isks</w:t>
            </w:r>
          </w:p>
          <w:p w:rsidR="00874859" w:rsidRPr="00C729E1" w:rsidRDefault="00874859" w:rsidP="00C729E1">
            <w:pPr>
              <w:rPr>
                <w:rFonts w:eastAsia="Calibri"/>
                <w:sz w:val="20"/>
              </w:rPr>
            </w:pPr>
            <w:r w:rsidRPr="00C729E1">
              <w:rPr>
                <w:rFonts w:eastAsia="Calibri"/>
                <w:sz w:val="20"/>
              </w:rPr>
              <w:t>(These risks may vary; and it is possible that little or no adverse consequences may occur if the medication is administered)</w:t>
            </w:r>
          </w:p>
          <w:p w:rsidR="00874859" w:rsidRPr="00C729E1" w:rsidRDefault="00874859" w:rsidP="00C729E1">
            <w:pPr>
              <w:rPr>
                <w:rFonts w:eastAsia="Calibri"/>
                <w:sz w:val="20"/>
              </w:rPr>
            </w:pPr>
          </w:p>
          <w:p w:rsidR="00874859" w:rsidRPr="00C729E1" w:rsidRDefault="00874859" w:rsidP="00C729E1">
            <w:pPr>
              <w:rPr>
                <w:rFonts w:eastAsia="Calibri"/>
                <w:sz w:val="20"/>
              </w:rPr>
            </w:pPr>
          </w:p>
          <w:p w:rsidR="00874859" w:rsidRPr="00C729E1" w:rsidRDefault="00874859" w:rsidP="00C729E1">
            <w:pPr>
              <w:rPr>
                <w:rFonts w:eastAsia="Calibri"/>
                <w:sz w:val="20"/>
              </w:rPr>
            </w:pPr>
          </w:p>
          <w:p w:rsidR="00874859" w:rsidRPr="00C729E1" w:rsidRDefault="00874859" w:rsidP="00C729E1">
            <w:pPr>
              <w:rPr>
                <w:rFonts w:eastAsia="Calibri"/>
                <w:sz w:val="20"/>
              </w:rPr>
            </w:pPr>
          </w:p>
        </w:tc>
        <w:tc>
          <w:tcPr>
            <w:tcW w:w="6480" w:type="dxa"/>
            <w:shd w:val="clear" w:color="auto" w:fill="auto"/>
          </w:tcPr>
          <w:p w:rsidR="00874859" w:rsidRPr="00C729E1" w:rsidRDefault="00874859" w:rsidP="00C729E1">
            <w:pPr>
              <w:rPr>
                <w:rFonts w:eastAsia="Calibri"/>
                <w:sz w:val="20"/>
              </w:rPr>
            </w:pPr>
          </w:p>
        </w:tc>
      </w:tr>
      <w:tr w:rsidR="00874859" w:rsidRPr="00AE0427" w:rsidTr="00B5534A">
        <w:tc>
          <w:tcPr>
            <w:tcW w:w="4518" w:type="dxa"/>
            <w:shd w:val="clear" w:color="auto" w:fill="auto"/>
          </w:tcPr>
          <w:p w:rsidR="00874859" w:rsidRPr="00706B18" w:rsidRDefault="00394D97" w:rsidP="00C729E1">
            <w:pPr>
              <w:rPr>
                <w:rFonts w:eastAsia="Calibri"/>
                <w:sz w:val="20"/>
              </w:rPr>
            </w:pPr>
            <w:r w:rsidRPr="00706B18">
              <w:rPr>
                <w:rFonts w:eastAsia="Calibri"/>
                <w:sz w:val="20"/>
              </w:rPr>
              <w:t>B</w:t>
            </w:r>
            <w:r>
              <w:rPr>
                <w:rFonts w:eastAsia="Calibri"/>
                <w:sz w:val="20"/>
              </w:rPr>
              <w:t>enefits</w:t>
            </w:r>
          </w:p>
          <w:p w:rsidR="00874859" w:rsidRPr="00706B18" w:rsidRDefault="00874859" w:rsidP="00C729E1">
            <w:pPr>
              <w:rPr>
                <w:rFonts w:eastAsia="Calibri"/>
                <w:sz w:val="20"/>
              </w:rPr>
            </w:pPr>
            <w:r w:rsidRPr="00706B18">
              <w:rPr>
                <w:rFonts w:eastAsia="Calibri"/>
                <w:sz w:val="20"/>
              </w:rPr>
              <w:t>(These benefits may vary; and it is possible that little or no adverse consequences may occur if the medication is not administered)</w:t>
            </w:r>
          </w:p>
          <w:p w:rsidR="00874859" w:rsidRPr="00C729E1" w:rsidRDefault="00874859" w:rsidP="00C729E1">
            <w:pPr>
              <w:rPr>
                <w:rFonts w:eastAsia="Calibri"/>
                <w:sz w:val="20"/>
              </w:rPr>
            </w:pPr>
          </w:p>
          <w:p w:rsidR="00874859" w:rsidRPr="00C729E1" w:rsidRDefault="00874859" w:rsidP="00C729E1">
            <w:pPr>
              <w:rPr>
                <w:rFonts w:eastAsia="Calibri"/>
                <w:sz w:val="20"/>
              </w:rPr>
            </w:pPr>
          </w:p>
          <w:p w:rsidR="00874859" w:rsidRPr="00C729E1" w:rsidRDefault="00874859" w:rsidP="00C729E1">
            <w:pPr>
              <w:rPr>
                <w:rFonts w:eastAsia="Calibri"/>
                <w:sz w:val="20"/>
              </w:rPr>
            </w:pPr>
          </w:p>
          <w:p w:rsidR="00874859" w:rsidRPr="00C729E1" w:rsidRDefault="00874859" w:rsidP="00C729E1">
            <w:pPr>
              <w:rPr>
                <w:rFonts w:eastAsia="Calibri"/>
                <w:sz w:val="20"/>
              </w:rPr>
            </w:pPr>
          </w:p>
        </w:tc>
        <w:tc>
          <w:tcPr>
            <w:tcW w:w="6480" w:type="dxa"/>
            <w:shd w:val="clear" w:color="auto" w:fill="auto"/>
          </w:tcPr>
          <w:p w:rsidR="00874859" w:rsidRPr="00C729E1" w:rsidRDefault="00874859" w:rsidP="00C729E1">
            <w:pPr>
              <w:rPr>
                <w:rFonts w:eastAsia="Calibri"/>
                <w:sz w:val="20"/>
              </w:rPr>
            </w:pPr>
          </w:p>
        </w:tc>
      </w:tr>
    </w:tbl>
    <w:p w:rsidR="00874859" w:rsidRPr="00B00395" w:rsidRDefault="00874859" w:rsidP="00874859">
      <w:pPr>
        <w:rPr>
          <w:szCs w:val="24"/>
        </w:rPr>
      </w:pPr>
    </w:p>
    <w:p w:rsidR="00874859" w:rsidRPr="00B00395" w:rsidRDefault="00874859" w:rsidP="00874859">
      <w:pPr>
        <w:rPr>
          <w:szCs w:val="24"/>
        </w:rPr>
      </w:pPr>
      <w:r w:rsidRPr="00B00395">
        <w:rPr>
          <w:szCs w:val="24"/>
        </w:rPr>
        <w:sym w:font="Wingdings" w:char="F0A8"/>
      </w:r>
      <w:r w:rsidRPr="00B00395">
        <w:rPr>
          <w:szCs w:val="24"/>
        </w:rPr>
        <w:t xml:space="preserve"> Please indicate if resident or resident’s </w:t>
      </w:r>
      <w:r w:rsidR="001017A8">
        <w:rPr>
          <w:szCs w:val="24"/>
        </w:rPr>
        <w:t xml:space="preserve">legal </w:t>
      </w:r>
      <w:r w:rsidRPr="00B00395">
        <w:rPr>
          <w:szCs w:val="24"/>
        </w:rPr>
        <w:t>representative refused consent.</w:t>
      </w:r>
    </w:p>
    <w:p w:rsidR="00874859" w:rsidRPr="00B00395" w:rsidRDefault="00874859" w:rsidP="00874859">
      <w:pPr>
        <w:rPr>
          <w:szCs w:val="24"/>
        </w:rPr>
      </w:pPr>
    </w:p>
    <w:p w:rsidR="0010079F" w:rsidRPr="00B00395" w:rsidRDefault="00874859" w:rsidP="00874859">
      <w:pPr>
        <w:rPr>
          <w:szCs w:val="24"/>
        </w:rPr>
      </w:pPr>
      <w:r w:rsidRPr="00B00395">
        <w:rPr>
          <w:szCs w:val="24"/>
        </w:rPr>
        <w:sym w:font="Wingdings" w:char="F0A8"/>
      </w:r>
      <w:r w:rsidRPr="00B00395">
        <w:rPr>
          <w:szCs w:val="24"/>
        </w:rPr>
        <w:t xml:space="preserve"> By checking here and by my signature below, I give consent for the above named medication and anticipated dosage. My signature also indicates that I understand the above listed risks and benefits of the medication. </w:t>
      </w:r>
    </w:p>
    <w:p w:rsidR="00C368DD" w:rsidRPr="00B00395" w:rsidRDefault="00C368DD" w:rsidP="00874859">
      <w:pPr>
        <w:rPr>
          <w:szCs w:val="24"/>
        </w:rPr>
      </w:pPr>
    </w:p>
    <w:p w:rsidR="000E7B87" w:rsidRPr="00B00395" w:rsidRDefault="00281CB4" w:rsidP="00874859">
      <w:pPr>
        <w:rPr>
          <w:szCs w:val="24"/>
        </w:rPr>
      </w:pPr>
      <w:r>
        <w:rPr>
          <w:szCs w:val="24"/>
        </w:rPr>
        <w:t>I</w:t>
      </w:r>
      <w:r w:rsidRPr="00B00395">
        <w:rPr>
          <w:szCs w:val="24"/>
        </w:rPr>
        <w:t xml:space="preserve">f </w:t>
      </w:r>
      <w:r>
        <w:rPr>
          <w:szCs w:val="24"/>
        </w:rPr>
        <w:t xml:space="preserve">the proposed </w:t>
      </w:r>
      <w:r w:rsidRPr="00B00395">
        <w:rPr>
          <w:szCs w:val="24"/>
        </w:rPr>
        <w:t xml:space="preserve">medication is </w:t>
      </w:r>
      <w:r>
        <w:rPr>
          <w:szCs w:val="24"/>
        </w:rPr>
        <w:t xml:space="preserve">an </w:t>
      </w:r>
      <w:r w:rsidRPr="00B00395">
        <w:rPr>
          <w:szCs w:val="24"/>
        </w:rPr>
        <w:t xml:space="preserve">anti-psychotic, </w:t>
      </w:r>
      <w:r>
        <w:rPr>
          <w:szCs w:val="24"/>
        </w:rPr>
        <w:t>and the resident has a guardian, e</w:t>
      </w:r>
      <w:r w:rsidRPr="00B00395">
        <w:rPr>
          <w:szCs w:val="24"/>
        </w:rPr>
        <w:t xml:space="preserve">vidence of </w:t>
      </w:r>
      <w:r w:rsidRPr="00B00395">
        <w:rPr>
          <w:i/>
          <w:szCs w:val="24"/>
        </w:rPr>
        <w:t>Rogers</w:t>
      </w:r>
      <w:r w:rsidRPr="00B00395">
        <w:rPr>
          <w:szCs w:val="24"/>
        </w:rPr>
        <w:t xml:space="preserve"> substituted judgment </w:t>
      </w:r>
      <w:r>
        <w:rPr>
          <w:szCs w:val="24"/>
        </w:rPr>
        <w:t>is</w:t>
      </w:r>
      <w:r w:rsidRPr="00B00395">
        <w:rPr>
          <w:szCs w:val="24"/>
        </w:rPr>
        <w:t xml:space="preserve"> required</w:t>
      </w:r>
      <w:r>
        <w:rPr>
          <w:szCs w:val="24"/>
        </w:rPr>
        <w:t>.</w:t>
      </w:r>
    </w:p>
    <w:p w:rsidR="00874859" w:rsidRPr="00B00395" w:rsidRDefault="0010079F" w:rsidP="00874859">
      <w:pPr>
        <w:rPr>
          <w:szCs w:val="24"/>
        </w:rPr>
      </w:pPr>
      <w:r w:rsidRPr="00B00395">
        <w:rPr>
          <w:szCs w:val="24"/>
        </w:rPr>
        <w:sym w:font="Wingdings" w:char="F0A8"/>
      </w:r>
      <w:r w:rsidRPr="00B00395">
        <w:rPr>
          <w:szCs w:val="24"/>
        </w:rPr>
        <w:t xml:space="preserve"> By checking here</w:t>
      </w:r>
      <w:r w:rsidR="00C368DD" w:rsidRPr="00B00395">
        <w:rPr>
          <w:szCs w:val="24"/>
        </w:rPr>
        <w:t xml:space="preserve"> and by my signature below</w:t>
      </w:r>
      <w:r w:rsidRPr="00B00395">
        <w:rPr>
          <w:szCs w:val="24"/>
        </w:rPr>
        <w:t>, I attest that I am a guardian with substituted judgment authority</w:t>
      </w:r>
      <w:r w:rsidR="00C368DD" w:rsidRPr="00B00395">
        <w:rPr>
          <w:szCs w:val="24"/>
        </w:rPr>
        <w:t xml:space="preserve"> and the </w:t>
      </w:r>
      <w:r w:rsidR="00C368DD" w:rsidRPr="00B00395">
        <w:rPr>
          <w:i/>
          <w:szCs w:val="24"/>
        </w:rPr>
        <w:t>Rogers</w:t>
      </w:r>
      <w:r w:rsidR="00C368DD" w:rsidRPr="00B00395">
        <w:rPr>
          <w:szCs w:val="24"/>
        </w:rPr>
        <w:t xml:space="preserve"> monitor has been informed and authorized this medication</w:t>
      </w:r>
      <w:r w:rsidRPr="00B00395">
        <w:rPr>
          <w:szCs w:val="24"/>
        </w:rPr>
        <w:t>.</w:t>
      </w:r>
    </w:p>
    <w:p w:rsidR="003D524C" w:rsidRPr="00B00395" w:rsidRDefault="003D524C" w:rsidP="00874859">
      <w:pPr>
        <w:rPr>
          <w:szCs w:val="24"/>
          <w:u w:val="single"/>
        </w:rPr>
      </w:pPr>
    </w:p>
    <w:p w:rsidR="00874859" w:rsidRPr="001017A8" w:rsidRDefault="00874859" w:rsidP="00874859">
      <w:pPr>
        <w:rPr>
          <w:szCs w:val="24"/>
          <w:u w:val="single"/>
        </w:rPr>
      </w:pPr>
      <w:r w:rsidRPr="00B00395">
        <w:rPr>
          <w:szCs w:val="24"/>
          <w:u w:val="single"/>
        </w:rPr>
        <w:tab/>
      </w:r>
      <w:r w:rsidRPr="00B00395">
        <w:rPr>
          <w:szCs w:val="24"/>
          <w:u w:val="single"/>
        </w:rPr>
        <w:tab/>
      </w:r>
      <w:r w:rsidRPr="00B00395">
        <w:rPr>
          <w:szCs w:val="24"/>
          <w:u w:val="single"/>
        </w:rPr>
        <w:tab/>
      </w:r>
      <w:r w:rsidRPr="00B00395">
        <w:rPr>
          <w:szCs w:val="24"/>
          <w:u w:val="single"/>
        </w:rPr>
        <w:tab/>
      </w:r>
      <w:r w:rsidRPr="00B00395">
        <w:rPr>
          <w:szCs w:val="24"/>
          <w:u w:val="single"/>
        </w:rPr>
        <w:tab/>
      </w:r>
      <w:r w:rsidRPr="00B00395">
        <w:rPr>
          <w:szCs w:val="24"/>
          <w:u w:val="single"/>
        </w:rPr>
        <w:tab/>
      </w:r>
      <w:r w:rsidRPr="00B00395">
        <w:rPr>
          <w:szCs w:val="24"/>
          <w:u w:val="single"/>
        </w:rPr>
        <w:tab/>
      </w:r>
      <w:r w:rsidRPr="00B00395">
        <w:rPr>
          <w:szCs w:val="24"/>
          <w:u w:val="single"/>
        </w:rPr>
        <w:tab/>
      </w:r>
      <w:r w:rsidRPr="00B00395">
        <w:rPr>
          <w:szCs w:val="24"/>
        </w:rPr>
        <w:tab/>
      </w:r>
      <w:r w:rsidR="00B00395" w:rsidRPr="00B00395">
        <w:rPr>
          <w:szCs w:val="24"/>
        </w:rPr>
        <w:tab/>
      </w:r>
      <w:r w:rsidRPr="001017A8">
        <w:rPr>
          <w:szCs w:val="24"/>
          <w:u w:val="single"/>
        </w:rPr>
        <w:tab/>
      </w:r>
      <w:r w:rsidRPr="001017A8">
        <w:rPr>
          <w:szCs w:val="24"/>
          <w:u w:val="single"/>
        </w:rPr>
        <w:tab/>
      </w:r>
      <w:r w:rsidRPr="001017A8">
        <w:rPr>
          <w:szCs w:val="24"/>
          <w:u w:val="single"/>
        </w:rPr>
        <w:tab/>
      </w:r>
    </w:p>
    <w:p w:rsidR="00874859" w:rsidRPr="00B00395" w:rsidRDefault="00874859" w:rsidP="00874859">
      <w:pPr>
        <w:rPr>
          <w:szCs w:val="24"/>
        </w:rPr>
      </w:pPr>
      <w:r w:rsidRPr="00B00395">
        <w:rPr>
          <w:szCs w:val="24"/>
        </w:rPr>
        <w:t xml:space="preserve">Signature of Resident or Resident’s </w:t>
      </w:r>
      <w:r w:rsidR="00A07554" w:rsidRPr="00B00395">
        <w:rPr>
          <w:szCs w:val="24"/>
        </w:rPr>
        <w:t xml:space="preserve">Legal </w:t>
      </w:r>
      <w:r w:rsidRPr="00B00395">
        <w:rPr>
          <w:szCs w:val="24"/>
        </w:rPr>
        <w:t>Representative</w:t>
      </w:r>
      <w:r w:rsidRPr="00B00395">
        <w:rPr>
          <w:szCs w:val="24"/>
        </w:rPr>
        <w:tab/>
      </w:r>
      <w:r w:rsidRPr="00B00395">
        <w:rPr>
          <w:szCs w:val="24"/>
        </w:rPr>
        <w:tab/>
      </w:r>
      <w:r w:rsidR="00B00395">
        <w:rPr>
          <w:szCs w:val="24"/>
        </w:rPr>
        <w:tab/>
      </w:r>
      <w:r w:rsidRPr="00B00395">
        <w:rPr>
          <w:szCs w:val="24"/>
        </w:rPr>
        <w:t>Date</w:t>
      </w:r>
    </w:p>
    <w:p w:rsidR="003D524C" w:rsidRPr="00B00395" w:rsidRDefault="003D524C" w:rsidP="00874859">
      <w:pPr>
        <w:rPr>
          <w:szCs w:val="24"/>
        </w:rPr>
      </w:pPr>
    </w:p>
    <w:p w:rsidR="003D524C" w:rsidRPr="001017A8" w:rsidRDefault="003D524C" w:rsidP="003D524C">
      <w:pPr>
        <w:rPr>
          <w:szCs w:val="24"/>
          <w:u w:val="single"/>
        </w:rPr>
      </w:pPr>
      <w:r w:rsidRPr="00B00395">
        <w:rPr>
          <w:szCs w:val="24"/>
          <w:u w:val="single"/>
        </w:rPr>
        <w:tab/>
      </w:r>
      <w:r w:rsidRPr="00B00395">
        <w:rPr>
          <w:szCs w:val="24"/>
          <w:u w:val="single"/>
        </w:rPr>
        <w:tab/>
      </w:r>
      <w:r w:rsidRPr="00B00395">
        <w:rPr>
          <w:szCs w:val="24"/>
          <w:u w:val="single"/>
        </w:rPr>
        <w:tab/>
      </w:r>
      <w:r w:rsidRPr="00B00395">
        <w:rPr>
          <w:szCs w:val="24"/>
          <w:u w:val="single"/>
        </w:rPr>
        <w:tab/>
      </w:r>
      <w:r w:rsidRPr="00B00395">
        <w:rPr>
          <w:szCs w:val="24"/>
          <w:u w:val="single"/>
        </w:rPr>
        <w:tab/>
      </w:r>
      <w:r w:rsidRPr="00B00395">
        <w:rPr>
          <w:szCs w:val="24"/>
          <w:u w:val="single"/>
        </w:rPr>
        <w:tab/>
      </w:r>
      <w:r w:rsidRPr="00B00395">
        <w:rPr>
          <w:szCs w:val="24"/>
          <w:u w:val="single"/>
        </w:rPr>
        <w:tab/>
      </w:r>
      <w:r w:rsidRPr="00B00395">
        <w:rPr>
          <w:szCs w:val="24"/>
          <w:u w:val="single"/>
        </w:rPr>
        <w:tab/>
      </w:r>
      <w:r w:rsidRPr="00B00395">
        <w:rPr>
          <w:szCs w:val="24"/>
        </w:rPr>
        <w:tab/>
      </w:r>
      <w:r w:rsidR="00B00395" w:rsidRPr="00B00395">
        <w:rPr>
          <w:szCs w:val="24"/>
        </w:rPr>
        <w:tab/>
      </w:r>
      <w:r w:rsidRPr="001017A8">
        <w:rPr>
          <w:szCs w:val="24"/>
          <w:u w:val="single"/>
        </w:rPr>
        <w:tab/>
      </w:r>
      <w:r w:rsidRPr="001017A8">
        <w:rPr>
          <w:szCs w:val="24"/>
          <w:u w:val="single"/>
        </w:rPr>
        <w:tab/>
      </w:r>
      <w:r w:rsidRPr="001017A8">
        <w:rPr>
          <w:szCs w:val="24"/>
          <w:u w:val="single"/>
        </w:rPr>
        <w:tab/>
      </w:r>
    </w:p>
    <w:p w:rsidR="003D524C" w:rsidRPr="00B00395" w:rsidRDefault="003D524C" w:rsidP="00874859">
      <w:pPr>
        <w:rPr>
          <w:szCs w:val="24"/>
        </w:rPr>
      </w:pPr>
      <w:r w:rsidRPr="00B00395">
        <w:rPr>
          <w:szCs w:val="24"/>
        </w:rPr>
        <w:t>Signature of Facility Representative</w:t>
      </w:r>
      <w:r w:rsidRPr="00B00395">
        <w:rPr>
          <w:szCs w:val="24"/>
        </w:rPr>
        <w:tab/>
      </w:r>
      <w:r w:rsidRPr="00B00395">
        <w:rPr>
          <w:szCs w:val="24"/>
        </w:rPr>
        <w:tab/>
      </w:r>
      <w:r w:rsidRPr="00B00395">
        <w:rPr>
          <w:szCs w:val="24"/>
        </w:rPr>
        <w:tab/>
      </w:r>
      <w:r w:rsidRPr="00B00395">
        <w:rPr>
          <w:szCs w:val="24"/>
        </w:rPr>
        <w:tab/>
      </w:r>
      <w:r w:rsidRPr="00B00395">
        <w:rPr>
          <w:szCs w:val="24"/>
        </w:rPr>
        <w:tab/>
      </w:r>
      <w:r w:rsidR="00B00395">
        <w:rPr>
          <w:szCs w:val="24"/>
        </w:rPr>
        <w:tab/>
      </w:r>
      <w:r w:rsidRPr="00B00395">
        <w:rPr>
          <w:szCs w:val="24"/>
        </w:rPr>
        <w:t>Date</w:t>
      </w:r>
    </w:p>
    <w:sectPr w:rsidR="003D524C" w:rsidRPr="00B00395" w:rsidSect="00B5534A">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574" w:rsidRDefault="000C7574" w:rsidP="002C7D0E">
      <w:r>
        <w:separator/>
      </w:r>
    </w:p>
    <w:p w:rsidR="000C7574" w:rsidRDefault="000C7574"/>
  </w:endnote>
  <w:endnote w:type="continuationSeparator" w:id="0">
    <w:p w:rsidR="000C7574" w:rsidRDefault="000C7574" w:rsidP="002C7D0E">
      <w:r>
        <w:continuationSeparator/>
      </w:r>
    </w:p>
    <w:p w:rsidR="000C7574" w:rsidRDefault="000C7574"/>
  </w:endnote>
  <w:endnote w:type="continuationNotice" w:id="1">
    <w:p w:rsidR="000C7574" w:rsidRDefault="000C7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318" w:rsidRDefault="00EF13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318" w:rsidRDefault="00EF1318">
    <w:pPr>
      <w:pStyle w:val="Footer"/>
      <w:jc w:val="right"/>
    </w:pPr>
    <w:r>
      <w:fldChar w:fldCharType="begin"/>
    </w:r>
    <w:r>
      <w:instrText xml:space="preserve"> PAGE   \* MERGEFORMAT </w:instrText>
    </w:r>
    <w:r>
      <w:fldChar w:fldCharType="separate"/>
    </w:r>
    <w:r w:rsidR="00B12CA8">
      <w:rPr>
        <w:noProof/>
      </w:rPr>
      <w:t>1</w:t>
    </w:r>
    <w:r>
      <w:rPr>
        <w:noProof/>
      </w:rPr>
      <w:fldChar w:fldCharType="end"/>
    </w:r>
  </w:p>
  <w:p w:rsidR="00EF1318" w:rsidRDefault="00EF13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318" w:rsidRDefault="00EF131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318" w:rsidRDefault="00EF1318">
    <w:pPr>
      <w:pStyle w:val="Footer"/>
      <w:jc w:val="right"/>
    </w:pPr>
  </w:p>
  <w:p w:rsidR="00EF1318" w:rsidRDefault="00EF1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574" w:rsidRDefault="000C7574" w:rsidP="002C7D0E">
      <w:r>
        <w:separator/>
      </w:r>
    </w:p>
    <w:p w:rsidR="000C7574" w:rsidRDefault="000C7574"/>
  </w:footnote>
  <w:footnote w:type="continuationSeparator" w:id="0">
    <w:p w:rsidR="000C7574" w:rsidRDefault="000C7574" w:rsidP="002C7D0E">
      <w:r>
        <w:continuationSeparator/>
      </w:r>
    </w:p>
    <w:p w:rsidR="000C7574" w:rsidRDefault="000C7574"/>
  </w:footnote>
  <w:footnote w:type="continuationNotice" w:id="1">
    <w:p w:rsidR="000C7574" w:rsidRDefault="000C75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318" w:rsidRDefault="00EF1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318" w:rsidRDefault="00EF13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318" w:rsidRDefault="00EF13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226BF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0C438F"/>
    <w:multiLevelType w:val="hybridMultilevel"/>
    <w:tmpl w:val="08F6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36DC2"/>
    <w:multiLevelType w:val="hybridMultilevel"/>
    <w:tmpl w:val="0A1881D4"/>
    <w:lvl w:ilvl="0" w:tplc="B0403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F78C5"/>
    <w:multiLevelType w:val="hybridMultilevel"/>
    <w:tmpl w:val="FBF0B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F301E9"/>
    <w:multiLevelType w:val="hybridMultilevel"/>
    <w:tmpl w:val="4AB2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923B7"/>
    <w:multiLevelType w:val="hybridMultilevel"/>
    <w:tmpl w:val="A9E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E038F2"/>
    <w:multiLevelType w:val="hybridMultilevel"/>
    <w:tmpl w:val="28F6B3BE"/>
    <w:lvl w:ilvl="0" w:tplc="A6745AC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2E0AA6"/>
    <w:multiLevelType w:val="hybridMultilevel"/>
    <w:tmpl w:val="481E3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A14DD3"/>
    <w:multiLevelType w:val="hybridMultilevel"/>
    <w:tmpl w:val="1604FA9A"/>
    <w:lvl w:ilvl="0" w:tplc="0409000F">
      <w:start w:val="1"/>
      <w:numFmt w:val="decimal"/>
      <w:lvlText w:val="%1."/>
      <w:lvlJc w:val="left"/>
      <w:pPr>
        <w:ind w:left="720" w:hanging="360"/>
      </w:pPr>
    </w:lvl>
    <w:lvl w:ilvl="1" w:tplc="952090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8F1C23"/>
    <w:multiLevelType w:val="hybridMultilevel"/>
    <w:tmpl w:val="5798E96E"/>
    <w:lvl w:ilvl="0" w:tplc="7606554A">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9"/>
  </w:num>
  <w:num w:numId="3">
    <w:abstractNumId w:val="5"/>
  </w:num>
  <w:num w:numId="4">
    <w:abstractNumId w:val="0"/>
  </w:num>
  <w:num w:numId="5">
    <w:abstractNumId w:val="8"/>
  </w:num>
  <w:num w:numId="6">
    <w:abstractNumId w:val="7"/>
  </w:num>
  <w:num w:numId="7">
    <w:abstractNumId w:val="3"/>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77A6"/>
    <w:rsid w:val="000079B6"/>
    <w:rsid w:val="000104F1"/>
    <w:rsid w:val="00022B66"/>
    <w:rsid w:val="00040675"/>
    <w:rsid w:val="00042048"/>
    <w:rsid w:val="000443A9"/>
    <w:rsid w:val="00046AB6"/>
    <w:rsid w:val="000537DA"/>
    <w:rsid w:val="00054CA2"/>
    <w:rsid w:val="00056F05"/>
    <w:rsid w:val="00073BFE"/>
    <w:rsid w:val="000812B5"/>
    <w:rsid w:val="00081DB7"/>
    <w:rsid w:val="0008783D"/>
    <w:rsid w:val="000B38B8"/>
    <w:rsid w:val="000C7574"/>
    <w:rsid w:val="000D699A"/>
    <w:rsid w:val="000E0B8C"/>
    <w:rsid w:val="000E1287"/>
    <w:rsid w:val="000E7B87"/>
    <w:rsid w:val="000F315B"/>
    <w:rsid w:val="0010079F"/>
    <w:rsid w:val="00100A1B"/>
    <w:rsid w:val="001013DF"/>
    <w:rsid w:val="001017A8"/>
    <w:rsid w:val="00102D94"/>
    <w:rsid w:val="00113CA8"/>
    <w:rsid w:val="00151CF8"/>
    <w:rsid w:val="0015268B"/>
    <w:rsid w:val="00177C77"/>
    <w:rsid w:val="001B0CBF"/>
    <w:rsid w:val="001D3DB0"/>
    <w:rsid w:val="001E297A"/>
    <w:rsid w:val="002225BD"/>
    <w:rsid w:val="00224F06"/>
    <w:rsid w:val="0024491D"/>
    <w:rsid w:val="00273458"/>
    <w:rsid w:val="00274E10"/>
    <w:rsid w:val="00276957"/>
    <w:rsid w:val="00276DCC"/>
    <w:rsid w:val="002818EC"/>
    <w:rsid w:val="00281CB4"/>
    <w:rsid w:val="00294DB0"/>
    <w:rsid w:val="002B1FC5"/>
    <w:rsid w:val="002B3D7C"/>
    <w:rsid w:val="002B455D"/>
    <w:rsid w:val="002B5D9F"/>
    <w:rsid w:val="002C0631"/>
    <w:rsid w:val="002C7D0E"/>
    <w:rsid w:val="002D187E"/>
    <w:rsid w:val="002F0ED2"/>
    <w:rsid w:val="002F4DF7"/>
    <w:rsid w:val="00315BF5"/>
    <w:rsid w:val="00330731"/>
    <w:rsid w:val="00346816"/>
    <w:rsid w:val="00364E20"/>
    <w:rsid w:val="00370A8A"/>
    <w:rsid w:val="003832DB"/>
    <w:rsid w:val="00385812"/>
    <w:rsid w:val="003921A3"/>
    <w:rsid w:val="00392D0B"/>
    <w:rsid w:val="00394D97"/>
    <w:rsid w:val="003A6928"/>
    <w:rsid w:val="003A7AFC"/>
    <w:rsid w:val="003B043B"/>
    <w:rsid w:val="003B5457"/>
    <w:rsid w:val="003C5A18"/>
    <w:rsid w:val="003C60EF"/>
    <w:rsid w:val="003D32E8"/>
    <w:rsid w:val="003D524C"/>
    <w:rsid w:val="003F37F2"/>
    <w:rsid w:val="00431B53"/>
    <w:rsid w:val="004578FA"/>
    <w:rsid w:val="004813AC"/>
    <w:rsid w:val="004B37A0"/>
    <w:rsid w:val="004D6B1D"/>
    <w:rsid w:val="004D6B39"/>
    <w:rsid w:val="004E281C"/>
    <w:rsid w:val="004F3A99"/>
    <w:rsid w:val="004F5975"/>
    <w:rsid w:val="0050178E"/>
    <w:rsid w:val="00502D11"/>
    <w:rsid w:val="00515CD9"/>
    <w:rsid w:val="00524E74"/>
    <w:rsid w:val="00525365"/>
    <w:rsid w:val="00534326"/>
    <w:rsid w:val="005448AA"/>
    <w:rsid w:val="005712FF"/>
    <w:rsid w:val="0057183D"/>
    <w:rsid w:val="005778CE"/>
    <w:rsid w:val="00583A9D"/>
    <w:rsid w:val="00594914"/>
    <w:rsid w:val="005A0648"/>
    <w:rsid w:val="005A31E4"/>
    <w:rsid w:val="005A7CC3"/>
    <w:rsid w:val="00614FF3"/>
    <w:rsid w:val="00642A20"/>
    <w:rsid w:val="00673A8B"/>
    <w:rsid w:val="00694397"/>
    <w:rsid w:val="006947D4"/>
    <w:rsid w:val="006A1CF8"/>
    <w:rsid w:val="006A745D"/>
    <w:rsid w:val="006C4B89"/>
    <w:rsid w:val="006C6F73"/>
    <w:rsid w:val="006D06D9"/>
    <w:rsid w:val="006D6CA7"/>
    <w:rsid w:val="006D77A6"/>
    <w:rsid w:val="006E0D7F"/>
    <w:rsid w:val="006F1E08"/>
    <w:rsid w:val="00702109"/>
    <w:rsid w:val="00706B18"/>
    <w:rsid w:val="0072610D"/>
    <w:rsid w:val="00730145"/>
    <w:rsid w:val="00772114"/>
    <w:rsid w:val="00780399"/>
    <w:rsid w:val="007804A4"/>
    <w:rsid w:val="00783188"/>
    <w:rsid w:val="007939CB"/>
    <w:rsid w:val="007A37FF"/>
    <w:rsid w:val="007A49F7"/>
    <w:rsid w:val="007B3F4B"/>
    <w:rsid w:val="007B7347"/>
    <w:rsid w:val="007D10F3"/>
    <w:rsid w:val="007E6415"/>
    <w:rsid w:val="008000F7"/>
    <w:rsid w:val="0084658F"/>
    <w:rsid w:val="00866E69"/>
    <w:rsid w:val="008742A5"/>
    <w:rsid w:val="00874859"/>
    <w:rsid w:val="00877BD0"/>
    <w:rsid w:val="008907E7"/>
    <w:rsid w:val="00897444"/>
    <w:rsid w:val="008C03D1"/>
    <w:rsid w:val="008C3C5C"/>
    <w:rsid w:val="008E6B01"/>
    <w:rsid w:val="008F4E86"/>
    <w:rsid w:val="00925792"/>
    <w:rsid w:val="009358C5"/>
    <w:rsid w:val="009510C1"/>
    <w:rsid w:val="009518A0"/>
    <w:rsid w:val="00957FC4"/>
    <w:rsid w:val="00970F9F"/>
    <w:rsid w:val="00985FAA"/>
    <w:rsid w:val="009908FF"/>
    <w:rsid w:val="00995505"/>
    <w:rsid w:val="009B48C1"/>
    <w:rsid w:val="009C2E99"/>
    <w:rsid w:val="009C2ECB"/>
    <w:rsid w:val="009C7172"/>
    <w:rsid w:val="009D20E5"/>
    <w:rsid w:val="009D5B32"/>
    <w:rsid w:val="009F602D"/>
    <w:rsid w:val="00A0320A"/>
    <w:rsid w:val="00A03659"/>
    <w:rsid w:val="00A0515B"/>
    <w:rsid w:val="00A07554"/>
    <w:rsid w:val="00A14F9E"/>
    <w:rsid w:val="00A407B2"/>
    <w:rsid w:val="00A47863"/>
    <w:rsid w:val="00A54052"/>
    <w:rsid w:val="00A65101"/>
    <w:rsid w:val="00A6588E"/>
    <w:rsid w:val="00A72C18"/>
    <w:rsid w:val="00A81E20"/>
    <w:rsid w:val="00A97467"/>
    <w:rsid w:val="00AC7F05"/>
    <w:rsid w:val="00AD1F4F"/>
    <w:rsid w:val="00AD750E"/>
    <w:rsid w:val="00B00395"/>
    <w:rsid w:val="00B12CA8"/>
    <w:rsid w:val="00B14A1E"/>
    <w:rsid w:val="00B403BF"/>
    <w:rsid w:val="00B43DD2"/>
    <w:rsid w:val="00B5534A"/>
    <w:rsid w:val="00B5689B"/>
    <w:rsid w:val="00B608D9"/>
    <w:rsid w:val="00B72519"/>
    <w:rsid w:val="00B81A18"/>
    <w:rsid w:val="00B832B6"/>
    <w:rsid w:val="00B9005F"/>
    <w:rsid w:val="00BA4055"/>
    <w:rsid w:val="00BA7FB6"/>
    <w:rsid w:val="00BB353A"/>
    <w:rsid w:val="00BB69DC"/>
    <w:rsid w:val="00BC205A"/>
    <w:rsid w:val="00BD5303"/>
    <w:rsid w:val="00BD6ECF"/>
    <w:rsid w:val="00BE2E0C"/>
    <w:rsid w:val="00BE7D1C"/>
    <w:rsid w:val="00BF3E7F"/>
    <w:rsid w:val="00C166EF"/>
    <w:rsid w:val="00C1692D"/>
    <w:rsid w:val="00C20BFE"/>
    <w:rsid w:val="00C3241B"/>
    <w:rsid w:val="00C34D2B"/>
    <w:rsid w:val="00C368DD"/>
    <w:rsid w:val="00C371BF"/>
    <w:rsid w:val="00C7192E"/>
    <w:rsid w:val="00C729E1"/>
    <w:rsid w:val="00C72B6E"/>
    <w:rsid w:val="00C86035"/>
    <w:rsid w:val="00CA52BF"/>
    <w:rsid w:val="00CB29E3"/>
    <w:rsid w:val="00CC1778"/>
    <w:rsid w:val="00CD1062"/>
    <w:rsid w:val="00CE575B"/>
    <w:rsid w:val="00CE6C08"/>
    <w:rsid w:val="00CF3DE8"/>
    <w:rsid w:val="00CF4359"/>
    <w:rsid w:val="00D0493F"/>
    <w:rsid w:val="00D27604"/>
    <w:rsid w:val="00D41FD5"/>
    <w:rsid w:val="00D5459E"/>
    <w:rsid w:val="00D56F91"/>
    <w:rsid w:val="00D642F1"/>
    <w:rsid w:val="00D7416C"/>
    <w:rsid w:val="00D8395D"/>
    <w:rsid w:val="00D8671C"/>
    <w:rsid w:val="00D947A4"/>
    <w:rsid w:val="00D972BE"/>
    <w:rsid w:val="00DA3E8B"/>
    <w:rsid w:val="00DA57C3"/>
    <w:rsid w:val="00DC30CA"/>
    <w:rsid w:val="00DC3855"/>
    <w:rsid w:val="00DD2089"/>
    <w:rsid w:val="00E137E7"/>
    <w:rsid w:val="00E20644"/>
    <w:rsid w:val="00E25851"/>
    <w:rsid w:val="00E274B8"/>
    <w:rsid w:val="00E327DE"/>
    <w:rsid w:val="00E37FA2"/>
    <w:rsid w:val="00E43769"/>
    <w:rsid w:val="00E7082C"/>
    <w:rsid w:val="00E72707"/>
    <w:rsid w:val="00E76D26"/>
    <w:rsid w:val="00E87C72"/>
    <w:rsid w:val="00E919A8"/>
    <w:rsid w:val="00EA31EA"/>
    <w:rsid w:val="00EA70AE"/>
    <w:rsid w:val="00EB4A99"/>
    <w:rsid w:val="00EB6519"/>
    <w:rsid w:val="00EC5F51"/>
    <w:rsid w:val="00EC614C"/>
    <w:rsid w:val="00EE3B1A"/>
    <w:rsid w:val="00EE63AB"/>
    <w:rsid w:val="00EF1318"/>
    <w:rsid w:val="00F0586E"/>
    <w:rsid w:val="00F16E64"/>
    <w:rsid w:val="00F27213"/>
    <w:rsid w:val="00F43932"/>
    <w:rsid w:val="00F6266E"/>
    <w:rsid w:val="00F62BA4"/>
    <w:rsid w:val="00F76B99"/>
    <w:rsid w:val="00F7727D"/>
    <w:rsid w:val="00F90F61"/>
    <w:rsid w:val="00FA20CC"/>
    <w:rsid w:val="00FA334D"/>
    <w:rsid w:val="00FC398B"/>
    <w:rsid w:val="00FC6B42"/>
    <w:rsid w:val="00FF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187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ColorfulList-Accent11">
    <w:name w:val="Colorful List - Accent 11"/>
    <w:basedOn w:val="Normal"/>
    <w:uiPriority w:val="34"/>
    <w:qFormat/>
    <w:rsid w:val="002C7D0E"/>
    <w:pPr>
      <w:ind w:left="720"/>
      <w:contextualSpacing/>
    </w:pPr>
    <w:rPr>
      <w:szCs w:val="24"/>
    </w:rPr>
  </w:style>
  <w:style w:type="paragraph" w:styleId="Header">
    <w:name w:val="header"/>
    <w:basedOn w:val="Normal"/>
    <w:link w:val="HeaderChar"/>
    <w:rsid w:val="002C7D0E"/>
    <w:pPr>
      <w:tabs>
        <w:tab w:val="center" w:pos="4680"/>
        <w:tab w:val="right" w:pos="9360"/>
      </w:tabs>
    </w:pPr>
  </w:style>
  <w:style w:type="character" w:customStyle="1" w:styleId="HeaderChar">
    <w:name w:val="Header Char"/>
    <w:link w:val="Header"/>
    <w:rsid w:val="002C7D0E"/>
    <w:rPr>
      <w:sz w:val="24"/>
    </w:rPr>
  </w:style>
  <w:style w:type="paragraph" w:styleId="Footer">
    <w:name w:val="footer"/>
    <w:basedOn w:val="Normal"/>
    <w:link w:val="FooterChar"/>
    <w:uiPriority w:val="99"/>
    <w:rsid w:val="002C7D0E"/>
    <w:pPr>
      <w:tabs>
        <w:tab w:val="center" w:pos="4680"/>
        <w:tab w:val="right" w:pos="9360"/>
      </w:tabs>
    </w:pPr>
  </w:style>
  <w:style w:type="character" w:customStyle="1" w:styleId="FooterChar">
    <w:name w:val="Footer Char"/>
    <w:link w:val="Footer"/>
    <w:uiPriority w:val="99"/>
    <w:rsid w:val="002C7D0E"/>
    <w:rPr>
      <w:sz w:val="24"/>
    </w:rPr>
  </w:style>
  <w:style w:type="character" w:styleId="CommentReference">
    <w:name w:val="annotation reference"/>
    <w:rsid w:val="00A54052"/>
    <w:rPr>
      <w:sz w:val="18"/>
      <w:szCs w:val="18"/>
    </w:rPr>
  </w:style>
  <w:style w:type="paragraph" w:styleId="CommentText">
    <w:name w:val="annotation text"/>
    <w:basedOn w:val="Normal"/>
    <w:link w:val="CommentTextChar"/>
    <w:rsid w:val="00A54052"/>
    <w:rPr>
      <w:szCs w:val="24"/>
    </w:rPr>
  </w:style>
  <w:style w:type="character" w:customStyle="1" w:styleId="CommentTextChar">
    <w:name w:val="Comment Text Char"/>
    <w:link w:val="CommentText"/>
    <w:rsid w:val="00A54052"/>
    <w:rPr>
      <w:sz w:val="24"/>
      <w:szCs w:val="24"/>
    </w:rPr>
  </w:style>
  <w:style w:type="paragraph" w:styleId="CommentSubject">
    <w:name w:val="annotation subject"/>
    <w:basedOn w:val="CommentText"/>
    <w:next w:val="CommentText"/>
    <w:link w:val="CommentSubjectChar"/>
    <w:rsid w:val="00A54052"/>
    <w:rPr>
      <w:b/>
      <w:bCs/>
      <w:sz w:val="20"/>
      <w:szCs w:val="20"/>
    </w:rPr>
  </w:style>
  <w:style w:type="character" w:customStyle="1" w:styleId="CommentSubjectChar">
    <w:name w:val="Comment Subject Char"/>
    <w:link w:val="CommentSubject"/>
    <w:rsid w:val="00A54052"/>
    <w:rPr>
      <w:b/>
      <w:bCs/>
      <w:sz w:val="24"/>
      <w:szCs w:val="24"/>
    </w:rPr>
  </w:style>
  <w:style w:type="paragraph" w:customStyle="1" w:styleId="Default">
    <w:name w:val="Default"/>
    <w:rsid w:val="00D8395D"/>
    <w:pPr>
      <w:autoSpaceDE w:val="0"/>
      <w:autoSpaceDN w:val="0"/>
      <w:adjustRightInd w:val="0"/>
    </w:pPr>
    <w:rPr>
      <w:color w:val="000000"/>
      <w:sz w:val="24"/>
      <w:szCs w:val="24"/>
    </w:rPr>
  </w:style>
  <w:style w:type="table" w:styleId="TableGrid">
    <w:name w:val="Table Grid"/>
    <w:basedOn w:val="TableNormal"/>
    <w:uiPriority w:val="59"/>
    <w:rsid w:val="008748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70F9F"/>
    <w:rPr>
      <w:color w:val="800080"/>
      <w:u w:val="single"/>
    </w:rPr>
  </w:style>
  <w:style w:type="paragraph" w:styleId="NormalWeb">
    <w:name w:val="Normal (Web)"/>
    <w:basedOn w:val="Normal"/>
    <w:uiPriority w:val="99"/>
    <w:unhideWhenUsed/>
    <w:rsid w:val="008F4E86"/>
    <w:pPr>
      <w:spacing w:before="100" w:beforeAutospacing="1" w:after="100" w:afterAutospacing="1"/>
    </w:pPr>
    <w:rPr>
      <w:rFonts w:eastAsia="Calibri"/>
      <w:szCs w:val="24"/>
    </w:rPr>
  </w:style>
  <w:style w:type="character" w:customStyle="1" w:styleId="apple-converted-space">
    <w:name w:val="apple-converted-space"/>
    <w:rsid w:val="008F4E86"/>
  </w:style>
  <w:style w:type="paragraph" w:styleId="Caption">
    <w:name w:val="caption"/>
    <w:basedOn w:val="Normal"/>
    <w:next w:val="Normal"/>
    <w:unhideWhenUsed/>
    <w:qFormat/>
    <w:rsid w:val="002D187E"/>
    <w:rPr>
      <w:b/>
      <w:bCs/>
      <w:sz w:val="20"/>
    </w:rPr>
  </w:style>
  <w:style w:type="paragraph" w:styleId="Revision">
    <w:name w:val="Revision"/>
    <w:hidden/>
    <w:uiPriority w:val="99"/>
    <w:semiHidden/>
    <w:rsid w:val="007804A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187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ColorfulList-Accent11">
    <w:name w:val="Colorful List - Accent 11"/>
    <w:basedOn w:val="Normal"/>
    <w:uiPriority w:val="34"/>
    <w:qFormat/>
    <w:rsid w:val="002C7D0E"/>
    <w:pPr>
      <w:ind w:left="720"/>
      <w:contextualSpacing/>
    </w:pPr>
    <w:rPr>
      <w:szCs w:val="24"/>
    </w:rPr>
  </w:style>
  <w:style w:type="paragraph" w:styleId="Header">
    <w:name w:val="header"/>
    <w:basedOn w:val="Normal"/>
    <w:link w:val="HeaderChar"/>
    <w:rsid w:val="002C7D0E"/>
    <w:pPr>
      <w:tabs>
        <w:tab w:val="center" w:pos="4680"/>
        <w:tab w:val="right" w:pos="9360"/>
      </w:tabs>
    </w:pPr>
  </w:style>
  <w:style w:type="character" w:customStyle="1" w:styleId="HeaderChar">
    <w:name w:val="Header Char"/>
    <w:link w:val="Header"/>
    <w:rsid w:val="002C7D0E"/>
    <w:rPr>
      <w:sz w:val="24"/>
    </w:rPr>
  </w:style>
  <w:style w:type="paragraph" w:styleId="Footer">
    <w:name w:val="footer"/>
    <w:basedOn w:val="Normal"/>
    <w:link w:val="FooterChar"/>
    <w:uiPriority w:val="99"/>
    <w:rsid w:val="002C7D0E"/>
    <w:pPr>
      <w:tabs>
        <w:tab w:val="center" w:pos="4680"/>
        <w:tab w:val="right" w:pos="9360"/>
      </w:tabs>
    </w:pPr>
  </w:style>
  <w:style w:type="character" w:customStyle="1" w:styleId="FooterChar">
    <w:name w:val="Footer Char"/>
    <w:link w:val="Footer"/>
    <w:uiPriority w:val="99"/>
    <w:rsid w:val="002C7D0E"/>
    <w:rPr>
      <w:sz w:val="24"/>
    </w:rPr>
  </w:style>
  <w:style w:type="character" w:styleId="CommentReference">
    <w:name w:val="annotation reference"/>
    <w:rsid w:val="00A54052"/>
    <w:rPr>
      <w:sz w:val="18"/>
      <w:szCs w:val="18"/>
    </w:rPr>
  </w:style>
  <w:style w:type="paragraph" w:styleId="CommentText">
    <w:name w:val="annotation text"/>
    <w:basedOn w:val="Normal"/>
    <w:link w:val="CommentTextChar"/>
    <w:rsid w:val="00A54052"/>
    <w:rPr>
      <w:szCs w:val="24"/>
    </w:rPr>
  </w:style>
  <w:style w:type="character" w:customStyle="1" w:styleId="CommentTextChar">
    <w:name w:val="Comment Text Char"/>
    <w:link w:val="CommentText"/>
    <w:rsid w:val="00A54052"/>
    <w:rPr>
      <w:sz w:val="24"/>
      <w:szCs w:val="24"/>
    </w:rPr>
  </w:style>
  <w:style w:type="paragraph" w:styleId="CommentSubject">
    <w:name w:val="annotation subject"/>
    <w:basedOn w:val="CommentText"/>
    <w:next w:val="CommentText"/>
    <w:link w:val="CommentSubjectChar"/>
    <w:rsid w:val="00A54052"/>
    <w:rPr>
      <w:b/>
      <w:bCs/>
      <w:sz w:val="20"/>
      <w:szCs w:val="20"/>
    </w:rPr>
  </w:style>
  <w:style w:type="character" w:customStyle="1" w:styleId="CommentSubjectChar">
    <w:name w:val="Comment Subject Char"/>
    <w:link w:val="CommentSubject"/>
    <w:rsid w:val="00A54052"/>
    <w:rPr>
      <w:b/>
      <w:bCs/>
      <w:sz w:val="24"/>
      <w:szCs w:val="24"/>
    </w:rPr>
  </w:style>
  <w:style w:type="paragraph" w:customStyle="1" w:styleId="Default">
    <w:name w:val="Default"/>
    <w:rsid w:val="00D8395D"/>
    <w:pPr>
      <w:autoSpaceDE w:val="0"/>
      <w:autoSpaceDN w:val="0"/>
      <w:adjustRightInd w:val="0"/>
    </w:pPr>
    <w:rPr>
      <w:color w:val="000000"/>
      <w:sz w:val="24"/>
      <w:szCs w:val="24"/>
    </w:rPr>
  </w:style>
  <w:style w:type="table" w:styleId="TableGrid">
    <w:name w:val="Table Grid"/>
    <w:basedOn w:val="TableNormal"/>
    <w:uiPriority w:val="59"/>
    <w:rsid w:val="008748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70F9F"/>
    <w:rPr>
      <w:color w:val="800080"/>
      <w:u w:val="single"/>
    </w:rPr>
  </w:style>
  <w:style w:type="paragraph" w:styleId="NormalWeb">
    <w:name w:val="Normal (Web)"/>
    <w:basedOn w:val="Normal"/>
    <w:uiPriority w:val="99"/>
    <w:unhideWhenUsed/>
    <w:rsid w:val="008F4E86"/>
    <w:pPr>
      <w:spacing w:before="100" w:beforeAutospacing="1" w:after="100" w:afterAutospacing="1"/>
    </w:pPr>
    <w:rPr>
      <w:rFonts w:eastAsia="Calibri"/>
      <w:szCs w:val="24"/>
    </w:rPr>
  </w:style>
  <w:style w:type="character" w:customStyle="1" w:styleId="apple-converted-space">
    <w:name w:val="apple-converted-space"/>
    <w:rsid w:val="008F4E86"/>
  </w:style>
  <w:style w:type="paragraph" w:styleId="Caption">
    <w:name w:val="caption"/>
    <w:basedOn w:val="Normal"/>
    <w:next w:val="Normal"/>
    <w:unhideWhenUsed/>
    <w:qFormat/>
    <w:rsid w:val="002D187E"/>
    <w:rPr>
      <w:b/>
      <w:bCs/>
      <w:sz w:val="20"/>
    </w:rPr>
  </w:style>
  <w:style w:type="paragraph" w:styleId="Revision">
    <w:name w:val="Revision"/>
    <w:hidden/>
    <w:uiPriority w:val="99"/>
    <w:semiHidden/>
    <w:rsid w:val="007804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137447">
      <w:bodyDiv w:val="1"/>
      <w:marLeft w:val="0"/>
      <w:marRight w:val="0"/>
      <w:marTop w:val="0"/>
      <w:marBottom w:val="0"/>
      <w:divBdr>
        <w:top w:val="none" w:sz="0" w:space="0" w:color="auto"/>
        <w:left w:val="none" w:sz="0" w:space="0" w:color="auto"/>
        <w:bottom w:val="none" w:sz="0" w:space="0" w:color="auto"/>
        <w:right w:val="none" w:sz="0" w:space="0" w:color="auto"/>
      </w:divBdr>
    </w:div>
    <w:div w:id="673264855">
      <w:bodyDiv w:val="1"/>
      <w:marLeft w:val="0"/>
      <w:marRight w:val="0"/>
      <w:marTop w:val="0"/>
      <w:marBottom w:val="0"/>
      <w:divBdr>
        <w:top w:val="none" w:sz="0" w:space="0" w:color="auto"/>
        <w:left w:val="none" w:sz="0" w:space="0" w:color="auto"/>
        <w:bottom w:val="none" w:sz="0" w:space="0" w:color="auto"/>
        <w:right w:val="none" w:sz="0" w:space="0" w:color="auto"/>
      </w:divBdr>
    </w:div>
    <w:div w:id="1076827452">
      <w:bodyDiv w:val="1"/>
      <w:marLeft w:val="0"/>
      <w:marRight w:val="0"/>
      <w:marTop w:val="0"/>
      <w:marBottom w:val="0"/>
      <w:divBdr>
        <w:top w:val="none" w:sz="0" w:space="0" w:color="auto"/>
        <w:left w:val="none" w:sz="0" w:space="0" w:color="auto"/>
        <w:bottom w:val="none" w:sz="0" w:space="0" w:color="auto"/>
        <w:right w:val="none" w:sz="0" w:space="0" w:color="auto"/>
      </w:divBdr>
    </w:div>
    <w:div w:id="205114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yperlink" TargetMode="External" Target="http://www.mass.gov/eohhs/docs/dph/quality/hcq-circular-letters/2016/dhcq-653.pdf"/>
  <Relationship Id="rId13" Type="http://schemas.openxmlformats.org/officeDocument/2006/relationships/hyperlink" TargetMode="External" Target="https://medlineplus.gov/druginformation.html"/>
  <Relationship Id="rId14" Type="http://schemas.openxmlformats.org/officeDocument/2006/relationships/hyperlink" TargetMode="External" Target="http://www.mass.gov/eohhs/docs/dph/quality/hcq-circular-letters/ltc-facilities-0304433.pdf"/>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numbering" Target="numbering.xml"/>
  <Relationship Id="rId20" Type="http://schemas.openxmlformats.org/officeDocument/2006/relationships/footer" Target="footer3.xml"/>
  <Relationship Id="rId21" Type="http://schemas.openxmlformats.org/officeDocument/2006/relationships/hyperlink" TargetMode="External" Target="mailto:dcp.dph@state.ma.us"/>
  <Relationship Id="rId22" Type="http://schemas.openxmlformats.org/officeDocument/2006/relationships/footer" Target="footer4.x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814B8-DFD1-428F-816C-FCC9606D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7</Pages>
  <Words>2438</Words>
  <Characters>15596</Characters>
  <Application>Microsoft Office Word</Application>
  <DocSecurity>4</DocSecurity>
  <Lines>129</Lines>
  <Paragraphs>35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17999</CharactersWithSpaces>
  <SharedDoc>false</SharedDoc>
  <HLinks>
    <vt:vector size="30" baseType="variant">
      <vt:variant>
        <vt:i4>3997709</vt:i4>
      </vt:variant>
      <vt:variant>
        <vt:i4>12</vt:i4>
      </vt:variant>
      <vt:variant>
        <vt:i4>0</vt:i4>
      </vt:variant>
      <vt:variant>
        <vt:i4>5</vt:i4>
      </vt:variant>
      <vt:variant>
        <vt:lpwstr>mailto:dcp.dph@state.ma.us</vt:lpwstr>
      </vt:variant>
      <vt:variant>
        <vt:lpwstr/>
      </vt:variant>
      <vt:variant>
        <vt:i4>4325418</vt:i4>
      </vt:variant>
      <vt:variant>
        <vt:i4>9</vt:i4>
      </vt:variant>
      <vt:variant>
        <vt:i4>0</vt:i4>
      </vt:variant>
      <vt:variant>
        <vt:i4>5</vt:i4>
      </vt:variant>
      <vt:variant>
        <vt:lpwstr>mailto:sherman.lohnes@state.ma.us.</vt:lpwstr>
      </vt:variant>
      <vt:variant>
        <vt:lpwstr/>
      </vt:variant>
      <vt:variant>
        <vt:i4>2949224</vt:i4>
      </vt:variant>
      <vt:variant>
        <vt:i4>6</vt:i4>
      </vt:variant>
      <vt:variant>
        <vt:i4>0</vt:i4>
      </vt:variant>
      <vt:variant>
        <vt:i4>5</vt:i4>
      </vt:variant>
      <vt:variant>
        <vt:lpwstr>http://www.mass.gov/eohhs/docs/dph/quality/hcq-circular-letters/ltc-facilities-0304433.pdf</vt:lpwstr>
      </vt:variant>
      <vt:variant>
        <vt:lpwstr/>
      </vt:variant>
      <vt:variant>
        <vt:i4>4784196</vt:i4>
      </vt:variant>
      <vt:variant>
        <vt:i4>3</vt:i4>
      </vt:variant>
      <vt:variant>
        <vt:i4>0</vt:i4>
      </vt:variant>
      <vt:variant>
        <vt:i4>5</vt:i4>
      </vt:variant>
      <vt:variant>
        <vt:lpwstr>https://medlineplus.gov/druginformation.html</vt:lpwstr>
      </vt:variant>
      <vt:variant>
        <vt:lpwstr/>
      </vt:variant>
      <vt:variant>
        <vt:i4>5046284</vt:i4>
      </vt:variant>
      <vt:variant>
        <vt:i4>0</vt:i4>
      </vt:variant>
      <vt:variant>
        <vt:i4>0</vt:i4>
      </vt:variant>
      <vt:variant>
        <vt:i4>5</vt:i4>
      </vt:variant>
      <vt:variant>
        <vt:lpwstr>http://www.mass.gov/eohhs/docs/dph/quality/hcq-circular-letters/2016/dhcq-653.pdf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2017-02-01T21:19:00Z</dcterms:created>
  <dc:creator>Kyle Marshall</dc:creator>
  <lastModifiedBy>Lauren Nelson</lastModifiedBy>
  <lastPrinted>2017-01-17T20:27:00Z</lastPrinted>
  <dcterms:modified xsi:type="dcterms:W3CDTF">2017-02-01T21:19:00Z</dcterms:modified>
  <revision>2</revision>
</coreProperties>
</file>