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573B" w14:textId="77777777" w:rsidR="00BA4055" w:rsidRDefault="004B4306" w:rsidP="000712BE">
      <w:pPr>
        <w:framePr w:w="1927" w:hSpace="180" w:wrap="auto" w:vAnchor="text" w:hAnchor="page" w:x="940" w:y="-951"/>
        <w:ind w:left="-90" w:hanging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F060296" wp14:editId="549E2A5A">
            <wp:extent cx="1054100" cy="1117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3E90" w14:textId="77777777" w:rsidR="003D3AB6" w:rsidRDefault="003D3AB6" w:rsidP="00521589">
      <w:pPr>
        <w:framePr w:w="9374" w:h="3231" w:hRule="exact" w:hSpace="187" w:wrap="notBeside" w:vAnchor="page" w:hAnchor="page" w:x="1609" w:y="95"/>
        <w:jc w:val="center"/>
        <w:rPr>
          <w:rFonts w:ascii="Arial" w:hAnsi="Arial"/>
          <w:sz w:val="36"/>
        </w:rPr>
      </w:pPr>
    </w:p>
    <w:p w14:paraId="37E4E2C5" w14:textId="77777777" w:rsidR="003D3AB6" w:rsidRDefault="003D3AB6" w:rsidP="00521589">
      <w:pPr>
        <w:framePr w:w="9374" w:h="3231" w:hRule="exact" w:hSpace="187" w:wrap="notBeside" w:vAnchor="page" w:hAnchor="page" w:x="1609" w:y="95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2DC6BD7" w14:textId="77777777" w:rsidR="003D3AB6" w:rsidRDefault="003D3AB6" w:rsidP="00521589">
      <w:pPr>
        <w:pStyle w:val="ExecOffice"/>
        <w:framePr w:w="9374" w:h="3231" w:hRule="exact" w:wrap="notBeside" w:vAnchor="page" w:x="1609" w:y="95"/>
      </w:pPr>
      <w:r>
        <w:t>Executive Office of Health and Human Services</w:t>
      </w:r>
    </w:p>
    <w:p w14:paraId="3D2213DD" w14:textId="77777777" w:rsidR="003D3AB6" w:rsidRDefault="003D3AB6" w:rsidP="00521589">
      <w:pPr>
        <w:pStyle w:val="ExecOffice"/>
        <w:framePr w:w="9374" w:h="3231" w:hRule="exact" w:wrap="notBeside" w:vAnchor="page" w:x="1609" w:y="95"/>
      </w:pPr>
      <w:r>
        <w:t>Department of Public Health</w:t>
      </w:r>
    </w:p>
    <w:p w14:paraId="5F60C952" w14:textId="77777777" w:rsidR="003D3AB6" w:rsidRDefault="003D3AB6" w:rsidP="00521589">
      <w:pPr>
        <w:pStyle w:val="ExecOffice"/>
        <w:framePr w:w="9374" w:h="3231" w:hRule="exact" w:wrap="notBeside" w:vAnchor="page" w:x="1609" w:y="95"/>
      </w:pPr>
      <w:r>
        <w:t>Bureau of Health Professions Licensure</w:t>
      </w:r>
    </w:p>
    <w:p w14:paraId="1F1825EF" w14:textId="7EDD6260" w:rsidR="003D3AB6" w:rsidRDefault="00074A31" w:rsidP="00521589">
      <w:pPr>
        <w:pStyle w:val="ExecOffice"/>
        <w:framePr w:w="9374" w:h="3231" w:hRule="exact" w:wrap="notBeside" w:vAnchor="page" w:x="1609" w:y="95"/>
      </w:pPr>
      <w:r>
        <w:t>250 Washington Street, Boston MA 02108</w:t>
      </w:r>
    </w:p>
    <w:p w14:paraId="7C73FED0" w14:textId="77777777" w:rsidR="003D3AB6" w:rsidRDefault="003D3AB6" w:rsidP="00521589">
      <w:pPr>
        <w:pStyle w:val="ExecOffice"/>
        <w:framePr w:w="9374" w:h="3231" w:hRule="exact" w:wrap="notBeside" w:vAnchor="page" w:x="1609" w:y="95"/>
      </w:pPr>
    </w:p>
    <w:p w14:paraId="09036C39" w14:textId="77777777" w:rsidR="003D3AB6" w:rsidRPr="00714203" w:rsidRDefault="003D3AB6" w:rsidP="00521589">
      <w:pPr>
        <w:framePr w:w="9374" w:h="3231" w:hRule="exact" w:hSpace="187" w:wrap="notBeside" w:vAnchor="page" w:hAnchor="page" w:x="1609" w:y="9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635B8785" w14:textId="77777777" w:rsidR="003D3AB6" w:rsidRPr="00714203" w:rsidRDefault="003D3AB6" w:rsidP="00521589">
      <w:pPr>
        <w:framePr w:w="9374" w:h="3231" w:hRule="exact" w:hSpace="187" w:wrap="notBeside" w:vAnchor="page" w:hAnchor="page" w:x="1609" w:y="95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496AD7BA" w14:textId="77777777" w:rsidR="003D3AB6" w:rsidRPr="00714203" w:rsidRDefault="00924ED2" w:rsidP="00521589">
      <w:pPr>
        <w:framePr w:w="9374" w:h="3231" w:hRule="exact" w:hSpace="187" w:wrap="notBeside" w:vAnchor="page" w:hAnchor="page" w:x="1609" w:y="95"/>
        <w:jc w:val="center"/>
        <w:rPr>
          <w:rFonts w:ascii="Arial" w:hAnsi="Arial" w:cs="Arial"/>
          <w:sz w:val="18"/>
          <w:szCs w:val="18"/>
          <w:lang w:val="fr-FR"/>
        </w:rPr>
      </w:pPr>
      <w:hyperlink r:id="rId9" w:history="1">
        <w:r w:rsidR="003D3AB6"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22E2CF51" w14:textId="77777777" w:rsidR="003D3AB6" w:rsidRDefault="003D3AB6" w:rsidP="00521589">
      <w:pPr>
        <w:framePr w:w="9374" w:h="3231" w:hRule="exact" w:hSpace="187" w:wrap="notBeside" w:vAnchor="page" w:hAnchor="page" w:x="1609" w:y="95"/>
        <w:jc w:val="center"/>
      </w:pPr>
    </w:p>
    <w:p w14:paraId="72381A9C" w14:textId="77777777" w:rsidR="009908FF" w:rsidRDefault="004B430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BB442" wp14:editId="6BCF2197">
                <wp:simplePos x="0" y="0"/>
                <wp:positionH relativeFrom="column">
                  <wp:posOffset>5175250</wp:posOffset>
                </wp:positionH>
                <wp:positionV relativeFrom="paragraph">
                  <wp:posOffset>678815</wp:posOffset>
                </wp:positionV>
                <wp:extent cx="1809750" cy="775335"/>
                <wp:effectExtent l="3175" t="254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C809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4CCE9BB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242F877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E6CECF2" w14:textId="549CCF5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43CADE6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8C2CAC4" w14:textId="77777777" w:rsidR="004813AC" w:rsidRPr="00FC6B42" w:rsidRDefault="004813AC" w:rsidP="008A3567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BB4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5pt;margin-top:53.45pt;width:142.5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" stroked="f">
                <v:textbox>
                  <w:txbxContent>
                    <w:p w14:paraId="30AC809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4CCE9BB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242F8779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E6CECF2" w14:textId="549CCF5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43CADE6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8C2CAC4" w14:textId="77777777" w:rsidR="004813AC" w:rsidRPr="00FC6B42" w:rsidRDefault="004813AC" w:rsidP="008A3567">
                      <w:pP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880FD" wp14:editId="6C89295F">
                <wp:simplePos x="0" y="0"/>
                <wp:positionH relativeFrom="column">
                  <wp:posOffset>-476250</wp:posOffset>
                </wp:positionH>
                <wp:positionV relativeFrom="paragraph">
                  <wp:posOffset>762000</wp:posOffset>
                </wp:positionV>
                <wp:extent cx="1572895" cy="69215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0B0F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6220E524" w14:textId="77777777" w:rsidR="00FC6B42" w:rsidRDefault="00FC6B42" w:rsidP="003D3AB6">
                            <w:pPr>
                              <w:pStyle w:val="Governor"/>
                              <w:ind w:left="-270"/>
                            </w:pPr>
                            <w:r>
                              <w:t>Governor</w:t>
                            </w:r>
                          </w:p>
                          <w:p w14:paraId="23037CF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57DD858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80FD" id="_x0000_s1027" type="#_x0000_t202" style="position:absolute;margin-left:-37.5pt;margin-top:60pt;width:123.85pt;height:5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" stroked="f">
                <v:textbox>
                  <w:txbxContent>
                    <w:p w14:paraId="75D0B0F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6220E524" w14:textId="77777777" w:rsidR="00FC6B42" w:rsidRDefault="00FC6B42" w:rsidP="003D3AB6">
                      <w:pPr>
                        <w:pStyle w:val="Governor"/>
                        <w:ind w:left="-270"/>
                      </w:pPr>
                      <w:r>
                        <w:t>Governor</w:t>
                      </w:r>
                    </w:p>
                    <w:p w14:paraId="23037CF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57DD858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16157955" w14:textId="618BFC3D" w:rsidR="00C96ABF" w:rsidRPr="0010226C" w:rsidRDefault="00C96ABF" w:rsidP="00C96ABF">
      <w:pPr>
        <w:pStyle w:val="Heading1"/>
        <w:ind w:left="882"/>
        <w:jc w:val="center"/>
        <w:rPr>
          <w:b w:val="0"/>
          <w:bCs w:val="0"/>
        </w:rPr>
      </w:pPr>
      <w:r w:rsidRPr="0010226C">
        <w:t>CI</w:t>
      </w:r>
      <w:r w:rsidRPr="0010226C">
        <w:rPr>
          <w:spacing w:val="-1"/>
        </w:rPr>
        <w:t>R</w:t>
      </w:r>
      <w:r w:rsidRPr="0010226C">
        <w:t>C</w:t>
      </w:r>
      <w:r w:rsidRPr="0010226C">
        <w:rPr>
          <w:spacing w:val="-1"/>
        </w:rPr>
        <w:t>U</w:t>
      </w:r>
      <w:r w:rsidRPr="0010226C">
        <w:t>LAR</w:t>
      </w:r>
      <w:r w:rsidRPr="0010226C">
        <w:rPr>
          <w:spacing w:val="-1"/>
        </w:rPr>
        <w:t xml:space="preserve"> </w:t>
      </w:r>
      <w:r w:rsidRPr="0010226C">
        <w:t xml:space="preserve">LETTER: </w:t>
      </w:r>
      <w:r w:rsidR="003E615B">
        <w:t>DCP-22-</w:t>
      </w:r>
      <w:r w:rsidR="00AD1EC6">
        <w:t>08-114</w:t>
      </w:r>
    </w:p>
    <w:p w14:paraId="0AA174AF" w14:textId="0AFA868A" w:rsidR="00BD6FF4" w:rsidRPr="0010226C" w:rsidRDefault="00BD6FF4" w:rsidP="0072610D">
      <w:pPr>
        <w:rPr>
          <w:szCs w:val="24"/>
        </w:rPr>
      </w:pPr>
    </w:p>
    <w:p w14:paraId="759BD0D4" w14:textId="0AA3A581" w:rsidR="00C96ABF" w:rsidRPr="00FF006A" w:rsidRDefault="00C96ABF" w:rsidP="00C96ABF">
      <w:pPr>
        <w:pStyle w:val="BodyText"/>
        <w:tabs>
          <w:tab w:val="left" w:pos="2180"/>
        </w:tabs>
        <w:spacing w:before="69"/>
        <w:ind w:left="740"/>
        <w:rPr>
          <w:sz w:val="24"/>
          <w:szCs w:val="24"/>
        </w:rPr>
      </w:pPr>
      <w:r w:rsidRPr="0010226C">
        <w:rPr>
          <w:b/>
          <w:bCs/>
          <w:sz w:val="24"/>
          <w:szCs w:val="24"/>
        </w:rPr>
        <w:t>To:</w:t>
      </w:r>
      <w:r w:rsidRPr="0010226C">
        <w:rPr>
          <w:b/>
          <w:bCs/>
          <w:sz w:val="24"/>
          <w:szCs w:val="24"/>
        </w:rPr>
        <w:tab/>
      </w:r>
      <w:r w:rsidR="00FF006A" w:rsidRPr="00FF006A">
        <w:rPr>
          <w:sz w:val="24"/>
          <w:szCs w:val="24"/>
        </w:rPr>
        <w:t>MA Practitioners Treating Patients Diagnosed with Monkeypox</w:t>
      </w:r>
    </w:p>
    <w:p w14:paraId="75A747CE" w14:textId="77777777" w:rsidR="00C96ABF" w:rsidRPr="0010226C" w:rsidRDefault="00C96ABF" w:rsidP="00C96ABF">
      <w:pPr>
        <w:spacing w:before="16" w:line="260" w:lineRule="exact"/>
        <w:rPr>
          <w:szCs w:val="24"/>
        </w:rPr>
      </w:pPr>
    </w:p>
    <w:p w14:paraId="2D7A8E2B" w14:textId="251C4EBC" w:rsidR="00C96ABF" w:rsidRPr="0010226C" w:rsidRDefault="00C96ABF" w:rsidP="00023959">
      <w:pPr>
        <w:pStyle w:val="BodyText"/>
        <w:tabs>
          <w:tab w:val="left" w:pos="2180"/>
        </w:tabs>
        <w:ind w:left="2180" w:right="1440" w:hanging="1440"/>
        <w:rPr>
          <w:sz w:val="24"/>
          <w:szCs w:val="24"/>
        </w:rPr>
      </w:pPr>
      <w:r w:rsidRPr="0010226C">
        <w:rPr>
          <w:b/>
          <w:bCs/>
          <w:spacing w:val="-3"/>
          <w:sz w:val="24"/>
          <w:szCs w:val="24"/>
        </w:rPr>
        <w:t>F</w:t>
      </w:r>
      <w:r w:rsidRPr="0010226C">
        <w:rPr>
          <w:b/>
          <w:bCs/>
          <w:spacing w:val="-1"/>
          <w:sz w:val="24"/>
          <w:szCs w:val="24"/>
        </w:rPr>
        <w:t>r</w:t>
      </w:r>
      <w:r w:rsidRPr="0010226C">
        <w:rPr>
          <w:b/>
          <w:bCs/>
          <w:spacing w:val="2"/>
          <w:sz w:val="24"/>
          <w:szCs w:val="24"/>
        </w:rPr>
        <w:t>o</w:t>
      </w:r>
      <w:r w:rsidRPr="0010226C">
        <w:rPr>
          <w:b/>
          <w:bCs/>
          <w:spacing w:val="-1"/>
          <w:sz w:val="24"/>
          <w:szCs w:val="24"/>
        </w:rPr>
        <w:t>m</w:t>
      </w:r>
      <w:r w:rsidRPr="0010226C">
        <w:rPr>
          <w:b/>
          <w:bCs/>
          <w:sz w:val="24"/>
          <w:szCs w:val="24"/>
        </w:rPr>
        <w:t>:</w:t>
      </w:r>
      <w:r w:rsidRPr="0010226C">
        <w:rPr>
          <w:b/>
          <w:bCs/>
          <w:sz w:val="24"/>
          <w:szCs w:val="24"/>
        </w:rPr>
        <w:tab/>
      </w:r>
      <w:r w:rsidRPr="0010226C">
        <w:rPr>
          <w:spacing w:val="2"/>
          <w:sz w:val="24"/>
          <w:szCs w:val="24"/>
        </w:rPr>
        <w:t>J</w:t>
      </w:r>
      <w:r w:rsidRPr="0010226C">
        <w:rPr>
          <w:spacing w:val="-1"/>
          <w:sz w:val="24"/>
          <w:szCs w:val="24"/>
        </w:rPr>
        <w:t>a</w:t>
      </w:r>
      <w:r w:rsidRPr="0010226C">
        <w:rPr>
          <w:sz w:val="24"/>
          <w:szCs w:val="24"/>
        </w:rPr>
        <w:t xml:space="preserve">mes </w:t>
      </w:r>
      <w:r w:rsidRPr="0010226C">
        <w:rPr>
          <w:spacing w:val="-3"/>
          <w:sz w:val="24"/>
          <w:szCs w:val="24"/>
        </w:rPr>
        <w:t>L</w:t>
      </w:r>
      <w:r w:rsidRPr="0010226C">
        <w:rPr>
          <w:spacing w:val="-1"/>
          <w:sz w:val="24"/>
          <w:szCs w:val="24"/>
        </w:rPr>
        <w:t>a</w:t>
      </w:r>
      <w:r w:rsidRPr="0010226C">
        <w:rPr>
          <w:sz w:val="24"/>
          <w:szCs w:val="24"/>
        </w:rPr>
        <w:t>v</w:t>
      </w:r>
      <w:r w:rsidRPr="0010226C">
        <w:rPr>
          <w:spacing w:val="1"/>
          <w:sz w:val="24"/>
          <w:szCs w:val="24"/>
        </w:rPr>
        <w:t>e</w:t>
      </w:r>
      <w:r w:rsidRPr="0010226C">
        <w:rPr>
          <w:spacing w:val="3"/>
          <w:sz w:val="24"/>
          <w:szCs w:val="24"/>
        </w:rPr>
        <w:t>r</w:t>
      </w:r>
      <w:r w:rsidRPr="0010226C">
        <w:rPr>
          <w:spacing w:val="-5"/>
          <w:sz w:val="24"/>
          <w:szCs w:val="24"/>
        </w:rPr>
        <w:t>y</w:t>
      </w:r>
      <w:r w:rsidRPr="0010226C">
        <w:rPr>
          <w:sz w:val="24"/>
          <w:szCs w:val="24"/>
        </w:rPr>
        <w:t>, Dire</w:t>
      </w:r>
      <w:r w:rsidRPr="0010226C">
        <w:rPr>
          <w:spacing w:val="-1"/>
          <w:sz w:val="24"/>
          <w:szCs w:val="24"/>
        </w:rPr>
        <w:t>c</w:t>
      </w:r>
      <w:r w:rsidRPr="0010226C">
        <w:rPr>
          <w:sz w:val="24"/>
          <w:szCs w:val="24"/>
        </w:rPr>
        <w:t>tor,</w:t>
      </w:r>
      <w:r w:rsidRPr="0010226C">
        <w:rPr>
          <w:spacing w:val="1"/>
          <w:sz w:val="24"/>
          <w:szCs w:val="24"/>
        </w:rPr>
        <w:t xml:space="preserve"> </w:t>
      </w:r>
      <w:r w:rsidRPr="0010226C">
        <w:rPr>
          <w:spacing w:val="-2"/>
          <w:sz w:val="24"/>
          <w:szCs w:val="24"/>
        </w:rPr>
        <w:t>B</w:t>
      </w:r>
      <w:r w:rsidRPr="0010226C">
        <w:rPr>
          <w:sz w:val="24"/>
          <w:szCs w:val="24"/>
        </w:rPr>
        <w:t>u</w:t>
      </w:r>
      <w:r w:rsidRPr="0010226C">
        <w:rPr>
          <w:spacing w:val="-1"/>
          <w:sz w:val="24"/>
          <w:szCs w:val="24"/>
        </w:rPr>
        <w:t>r</w:t>
      </w:r>
      <w:r w:rsidRPr="0010226C">
        <w:rPr>
          <w:spacing w:val="1"/>
          <w:sz w:val="24"/>
          <w:szCs w:val="24"/>
        </w:rPr>
        <w:t>e</w:t>
      </w:r>
      <w:r w:rsidRPr="0010226C">
        <w:rPr>
          <w:spacing w:val="-1"/>
          <w:sz w:val="24"/>
          <w:szCs w:val="24"/>
        </w:rPr>
        <w:t>a</w:t>
      </w:r>
      <w:r w:rsidRPr="0010226C">
        <w:rPr>
          <w:sz w:val="24"/>
          <w:szCs w:val="24"/>
        </w:rPr>
        <w:t>u of H</w:t>
      </w:r>
      <w:r w:rsidRPr="0010226C">
        <w:rPr>
          <w:spacing w:val="-1"/>
          <w:sz w:val="24"/>
          <w:szCs w:val="24"/>
        </w:rPr>
        <w:t>ea</w:t>
      </w:r>
      <w:r w:rsidRPr="0010226C">
        <w:rPr>
          <w:sz w:val="24"/>
          <w:szCs w:val="24"/>
        </w:rPr>
        <w:t>lth Pro</w:t>
      </w:r>
      <w:r w:rsidRPr="0010226C">
        <w:rPr>
          <w:spacing w:val="-2"/>
          <w:sz w:val="24"/>
          <w:szCs w:val="24"/>
        </w:rPr>
        <w:t>f</w:t>
      </w:r>
      <w:r w:rsidRPr="0010226C">
        <w:rPr>
          <w:spacing w:val="-1"/>
          <w:sz w:val="24"/>
          <w:szCs w:val="24"/>
        </w:rPr>
        <w:t>e</w:t>
      </w:r>
      <w:r w:rsidRPr="0010226C">
        <w:rPr>
          <w:sz w:val="24"/>
          <w:szCs w:val="24"/>
        </w:rPr>
        <w:t>s</w:t>
      </w:r>
      <w:r w:rsidRPr="0010226C">
        <w:rPr>
          <w:spacing w:val="2"/>
          <w:sz w:val="24"/>
          <w:szCs w:val="24"/>
        </w:rPr>
        <w:t>s</w:t>
      </w:r>
      <w:r w:rsidRPr="0010226C">
        <w:rPr>
          <w:sz w:val="24"/>
          <w:szCs w:val="24"/>
        </w:rPr>
        <w:t>ions</w:t>
      </w:r>
      <w:r w:rsidRPr="0010226C">
        <w:rPr>
          <w:spacing w:val="2"/>
          <w:sz w:val="24"/>
          <w:szCs w:val="24"/>
        </w:rPr>
        <w:t xml:space="preserve"> </w:t>
      </w:r>
      <w:r w:rsidRPr="0010226C">
        <w:rPr>
          <w:spacing w:val="-6"/>
          <w:sz w:val="24"/>
          <w:szCs w:val="24"/>
        </w:rPr>
        <w:t>L</w:t>
      </w:r>
      <w:r w:rsidRPr="0010226C">
        <w:rPr>
          <w:sz w:val="24"/>
          <w:szCs w:val="24"/>
        </w:rPr>
        <w:t>ic</w:t>
      </w:r>
      <w:r w:rsidRPr="0010226C">
        <w:rPr>
          <w:spacing w:val="-2"/>
          <w:sz w:val="24"/>
          <w:szCs w:val="24"/>
        </w:rPr>
        <w:t>e</w:t>
      </w:r>
      <w:r w:rsidRPr="0010226C">
        <w:rPr>
          <w:sz w:val="24"/>
          <w:szCs w:val="24"/>
        </w:rPr>
        <w:t>ns</w:t>
      </w:r>
      <w:r w:rsidRPr="0010226C">
        <w:rPr>
          <w:spacing w:val="2"/>
          <w:sz w:val="24"/>
          <w:szCs w:val="24"/>
        </w:rPr>
        <w:t>u</w:t>
      </w:r>
      <w:r w:rsidRPr="0010226C">
        <w:rPr>
          <w:sz w:val="24"/>
          <w:szCs w:val="24"/>
        </w:rPr>
        <w:t>re</w:t>
      </w:r>
    </w:p>
    <w:p w14:paraId="4A054834" w14:textId="3E0614C1" w:rsidR="00C96ABF" w:rsidRPr="0010226C" w:rsidRDefault="00C96ABF" w:rsidP="00C96ABF">
      <w:pPr>
        <w:pStyle w:val="BodyText"/>
        <w:tabs>
          <w:tab w:val="left" w:pos="2180"/>
        </w:tabs>
        <w:ind w:left="2180" w:right="2121" w:hanging="1440"/>
        <w:rPr>
          <w:sz w:val="24"/>
          <w:szCs w:val="24"/>
        </w:rPr>
      </w:pPr>
      <w:r w:rsidRPr="0010226C">
        <w:rPr>
          <w:spacing w:val="-3"/>
          <w:sz w:val="24"/>
          <w:szCs w:val="24"/>
        </w:rPr>
        <w:tab/>
        <w:t>David Johnson, Director, Drug Control Program</w:t>
      </w:r>
    </w:p>
    <w:p w14:paraId="51ACC37D" w14:textId="77777777" w:rsidR="00C96ABF" w:rsidRPr="0010226C" w:rsidRDefault="00C96ABF" w:rsidP="00C96ABF">
      <w:pPr>
        <w:spacing w:before="15" w:line="260" w:lineRule="exact"/>
        <w:rPr>
          <w:szCs w:val="24"/>
        </w:rPr>
      </w:pPr>
    </w:p>
    <w:p w14:paraId="6BD47144" w14:textId="0CAA4B4C" w:rsidR="00C96ABF" w:rsidRPr="0010226C" w:rsidRDefault="00C96ABF" w:rsidP="00C96ABF">
      <w:pPr>
        <w:tabs>
          <w:tab w:val="left" w:pos="2180"/>
        </w:tabs>
        <w:ind w:left="740"/>
        <w:rPr>
          <w:szCs w:val="24"/>
        </w:rPr>
      </w:pPr>
      <w:r w:rsidRPr="0010226C">
        <w:rPr>
          <w:b/>
          <w:bCs/>
          <w:szCs w:val="24"/>
        </w:rPr>
        <w:t>Da</w:t>
      </w:r>
      <w:r w:rsidRPr="0010226C">
        <w:rPr>
          <w:b/>
          <w:bCs/>
          <w:spacing w:val="-2"/>
          <w:szCs w:val="24"/>
        </w:rPr>
        <w:t>t</w:t>
      </w:r>
      <w:r w:rsidRPr="0010226C">
        <w:rPr>
          <w:b/>
          <w:bCs/>
          <w:spacing w:val="-1"/>
          <w:szCs w:val="24"/>
        </w:rPr>
        <w:t>e</w:t>
      </w:r>
      <w:r w:rsidRPr="0010226C">
        <w:rPr>
          <w:b/>
          <w:bCs/>
          <w:szCs w:val="24"/>
        </w:rPr>
        <w:t>:</w:t>
      </w:r>
      <w:r w:rsidRPr="0010226C">
        <w:rPr>
          <w:b/>
          <w:bCs/>
          <w:szCs w:val="24"/>
        </w:rPr>
        <w:tab/>
      </w:r>
      <w:r w:rsidR="00786459">
        <w:rPr>
          <w:spacing w:val="2"/>
          <w:szCs w:val="24"/>
        </w:rPr>
        <w:t>August</w:t>
      </w:r>
      <w:r w:rsidR="00786459" w:rsidRPr="0010226C">
        <w:rPr>
          <w:spacing w:val="2"/>
          <w:szCs w:val="24"/>
        </w:rPr>
        <w:t xml:space="preserve"> </w:t>
      </w:r>
      <w:r w:rsidR="00924ED2">
        <w:rPr>
          <w:spacing w:val="2"/>
          <w:szCs w:val="24"/>
        </w:rPr>
        <w:t>30</w:t>
      </w:r>
      <w:r w:rsidR="003825F6" w:rsidRPr="0010226C">
        <w:rPr>
          <w:spacing w:val="2"/>
          <w:szCs w:val="24"/>
        </w:rPr>
        <w:t>, 2022</w:t>
      </w:r>
    </w:p>
    <w:p w14:paraId="500A3C42" w14:textId="77777777" w:rsidR="00C96ABF" w:rsidRPr="0010226C" w:rsidRDefault="00C96ABF" w:rsidP="00C96ABF">
      <w:pPr>
        <w:spacing w:before="16" w:line="260" w:lineRule="exact"/>
        <w:rPr>
          <w:szCs w:val="24"/>
        </w:rPr>
      </w:pPr>
    </w:p>
    <w:p w14:paraId="33B681E0" w14:textId="638CA879" w:rsidR="00C96ABF" w:rsidRPr="0010226C" w:rsidRDefault="00C96ABF" w:rsidP="003E615B">
      <w:pPr>
        <w:pStyle w:val="BodyText"/>
        <w:tabs>
          <w:tab w:val="left" w:pos="2180"/>
        </w:tabs>
        <w:ind w:left="2182" w:right="1440" w:hanging="1443"/>
        <w:rPr>
          <w:sz w:val="24"/>
          <w:szCs w:val="24"/>
        </w:rPr>
      </w:pPr>
      <w:r w:rsidRPr="0010226C">
        <w:rPr>
          <w:b/>
          <w:bCs/>
          <w:sz w:val="24"/>
          <w:szCs w:val="24"/>
        </w:rPr>
        <w:t>Subj</w:t>
      </w:r>
      <w:r w:rsidRPr="0010226C">
        <w:rPr>
          <w:b/>
          <w:bCs/>
          <w:spacing w:val="-2"/>
          <w:sz w:val="24"/>
          <w:szCs w:val="24"/>
        </w:rPr>
        <w:t>e</w:t>
      </w:r>
      <w:r w:rsidRPr="0010226C">
        <w:rPr>
          <w:b/>
          <w:bCs/>
          <w:spacing w:val="-1"/>
          <w:sz w:val="24"/>
          <w:szCs w:val="24"/>
        </w:rPr>
        <w:t>c</w:t>
      </w:r>
      <w:r w:rsidRPr="0010226C">
        <w:rPr>
          <w:b/>
          <w:bCs/>
          <w:sz w:val="24"/>
          <w:szCs w:val="24"/>
        </w:rPr>
        <w:t>t:</w:t>
      </w:r>
      <w:r w:rsidRPr="0010226C">
        <w:rPr>
          <w:b/>
          <w:bCs/>
          <w:sz w:val="24"/>
          <w:szCs w:val="24"/>
        </w:rPr>
        <w:tab/>
      </w:r>
      <w:r w:rsidR="00152004">
        <w:rPr>
          <w:sz w:val="24"/>
          <w:szCs w:val="24"/>
        </w:rPr>
        <w:t xml:space="preserve">Controlled Substance </w:t>
      </w:r>
      <w:r w:rsidR="003825F6" w:rsidRPr="0010226C">
        <w:rPr>
          <w:sz w:val="24"/>
          <w:szCs w:val="24"/>
        </w:rPr>
        <w:t>Requirements for Practitioners Administering</w:t>
      </w:r>
      <w:r w:rsidR="00E90453">
        <w:rPr>
          <w:sz w:val="24"/>
          <w:szCs w:val="24"/>
        </w:rPr>
        <w:t xml:space="preserve"> or Dispensing</w:t>
      </w:r>
      <w:r w:rsidR="003825F6" w:rsidRPr="0010226C">
        <w:rPr>
          <w:sz w:val="24"/>
          <w:szCs w:val="24"/>
        </w:rPr>
        <w:t xml:space="preserve"> </w:t>
      </w:r>
      <w:r w:rsidR="001B0CB1">
        <w:rPr>
          <w:sz w:val="24"/>
          <w:szCs w:val="24"/>
        </w:rPr>
        <w:t>Tecovirimat (TPOXX)</w:t>
      </w:r>
      <w:r w:rsidR="001B0CB1" w:rsidRPr="0010226C">
        <w:rPr>
          <w:sz w:val="24"/>
          <w:szCs w:val="24"/>
        </w:rPr>
        <w:t xml:space="preserve"> </w:t>
      </w:r>
      <w:r w:rsidR="00E60E11" w:rsidRPr="0010226C">
        <w:rPr>
          <w:sz w:val="24"/>
          <w:szCs w:val="24"/>
        </w:rPr>
        <w:t xml:space="preserve">for Treatment of </w:t>
      </w:r>
      <w:r w:rsidR="003825F6" w:rsidRPr="0010226C">
        <w:rPr>
          <w:sz w:val="24"/>
          <w:szCs w:val="24"/>
        </w:rPr>
        <w:t>Monkeypox</w:t>
      </w:r>
      <w:r w:rsidR="003B782F">
        <w:rPr>
          <w:sz w:val="24"/>
          <w:szCs w:val="24"/>
        </w:rPr>
        <w:t xml:space="preserve"> pursuant to </w:t>
      </w:r>
      <w:bookmarkStart w:id="0" w:name="_Hlk109735882"/>
      <w:r w:rsidR="003B782F" w:rsidRPr="003B782F">
        <w:rPr>
          <w:sz w:val="24"/>
          <w:szCs w:val="24"/>
        </w:rPr>
        <w:t>IND No. 116,039</w:t>
      </w:r>
      <w:r w:rsidR="003825F6" w:rsidRPr="0010226C">
        <w:rPr>
          <w:sz w:val="24"/>
          <w:szCs w:val="24"/>
        </w:rPr>
        <w:t xml:space="preserve"> </w:t>
      </w:r>
      <w:bookmarkEnd w:id="0"/>
    </w:p>
    <w:p w14:paraId="72AD368F" w14:textId="449A6B36" w:rsidR="00C96ABF" w:rsidRPr="0010226C" w:rsidRDefault="004F3B1D" w:rsidP="00C96ABF">
      <w:pPr>
        <w:spacing w:line="200" w:lineRule="exact"/>
        <w:rPr>
          <w:szCs w:val="24"/>
        </w:rPr>
      </w:pPr>
      <w:r w:rsidRPr="0010226C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D1C5BD" wp14:editId="67567F94">
                <wp:simplePos x="0" y="0"/>
                <wp:positionH relativeFrom="page">
                  <wp:posOffset>748459</wp:posOffset>
                </wp:positionH>
                <wp:positionV relativeFrom="paragraph">
                  <wp:posOffset>118745</wp:posOffset>
                </wp:positionV>
                <wp:extent cx="5981065" cy="12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13"/>
                          <a:chExt cx="9419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412" y="-21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C62EB" id="Group 10" o:spid="_x0000_s1026" style="position:absolute;margin-left:58.95pt;margin-top:9.35pt;width:470.95pt;height:.1pt;z-index:-251656192;mso-position-horizontal-relative:page" coordorigin="1412,-21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">
                <v:shape id="Freeform 9" o:spid="_x0000_s1027" style="position:absolute;left:1412;top:-21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" path="m,l9419,e" filled="f" strokeweight="1.54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7A12FF43" w14:textId="77777777" w:rsidR="00C96ABF" w:rsidRPr="0010226C" w:rsidRDefault="00C96ABF" w:rsidP="00C96ABF">
      <w:pPr>
        <w:spacing w:line="200" w:lineRule="exact"/>
        <w:rPr>
          <w:szCs w:val="24"/>
        </w:rPr>
      </w:pPr>
    </w:p>
    <w:p w14:paraId="5D13C58E" w14:textId="262827EA" w:rsidR="003825F6" w:rsidRPr="0010226C" w:rsidRDefault="003825F6" w:rsidP="00325B44">
      <w:pPr>
        <w:pStyle w:val="BodyText"/>
        <w:spacing w:after="240"/>
        <w:ind w:right="360"/>
        <w:rPr>
          <w:spacing w:val="1"/>
          <w:sz w:val="24"/>
          <w:szCs w:val="24"/>
        </w:rPr>
      </w:pPr>
      <w:r w:rsidRPr="0010226C">
        <w:rPr>
          <w:spacing w:val="1"/>
          <w:sz w:val="24"/>
          <w:szCs w:val="24"/>
        </w:rPr>
        <w:t xml:space="preserve">This Circular Letter is issued </w:t>
      </w:r>
      <w:r w:rsidR="0010226C" w:rsidRPr="0010226C">
        <w:rPr>
          <w:spacing w:val="2"/>
          <w:sz w:val="24"/>
          <w:szCs w:val="24"/>
        </w:rPr>
        <w:t>b</w:t>
      </w:r>
      <w:r w:rsidR="0010226C" w:rsidRPr="0010226C">
        <w:rPr>
          <w:sz w:val="24"/>
          <w:szCs w:val="24"/>
        </w:rPr>
        <w:t>y</w:t>
      </w:r>
      <w:r w:rsidR="0010226C" w:rsidRPr="0010226C">
        <w:rPr>
          <w:spacing w:val="-5"/>
          <w:sz w:val="24"/>
          <w:szCs w:val="24"/>
        </w:rPr>
        <w:t xml:space="preserve"> </w:t>
      </w:r>
      <w:r w:rsidR="0010226C" w:rsidRPr="0010226C">
        <w:rPr>
          <w:sz w:val="24"/>
          <w:szCs w:val="24"/>
        </w:rPr>
        <w:t>the</w:t>
      </w:r>
      <w:r w:rsidR="0010226C" w:rsidRPr="0010226C">
        <w:rPr>
          <w:spacing w:val="1"/>
          <w:sz w:val="24"/>
          <w:szCs w:val="24"/>
        </w:rPr>
        <w:t xml:space="preserve"> </w:t>
      </w:r>
      <w:r w:rsidR="0010226C" w:rsidRPr="0010226C">
        <w:rPr>
          <w:sz w:val="24"/>
          <w:szCs w:val="24"/>
        </w:rPr>
        <w:t>D</w:t>
      </w:r>
      <w:r w:rsidR="0010226C" w:rsidRPr="0010226C">
        <w:rPr>
          <w:spacing w:val="-2"/>
          <w:sz w:val="24"/>
          <w:szCs w:val="24"/>
        </w:rPr>
        <w:t>r</w:t>
      </w:r>
      <w:r w:rsidR="0010226C" w:rsidRPr="0010226C">
        <w:rPr>
          <w:spacing w:val="2"/>
          <w:sz w:val="24"/>
          <w:szCs w:val="24"/>
        </w:rPr>
        <w:t>u</w:t>
      </w:r>
      <w:r w:rsidR="0010226C" w:rsidRPr="0010226C">
        <w:rPr>
          <w:sz w:val="24"/>
          <w:szCs w:val="24"/>
        </w:rPr>
        <w:t>g Control Pro</w:t>
      </w:r>
      <w:r w:rsidR="0010226C" w:rsidRPr="0010226C">
        <w:rPr>
          <w:spacing w:val="-4"/>
          <w:sz w:val="24"/>
          <w:szCs w:val="24"/>
        </w:rPr>
        <w:t>g</w:t>
      </w:r>
      <w:r w:rsidR="0010226C" w:rsidRPr="0010226C">
        <w:rPr>
          <w:sz w:val="24"/>
          <w:szCs w:val="24"/>
        </w:rPr>
        <w:t>r</w:t>
      </w:r>
      <w:r w:rsidR="0010226C" w:rsidRPr="0010226C">
        <w:rPr>
          <w:spacing w:val="-2"/>
          <w:sz w:val="24"/>
          <w:szCs w:val="24"/>
        </w:rPr>
        <w:t>a</w:t>
      </w:r>
      <w:r w:rsidR="0010226C" w:rsidRPr="0010226C">
        <w:rPr>
          <w:sz w:val="24"/>
          <w:szCs w:val="24"/>
        </w:rPr>
        <w:t>m</w:t>
      </w:r>
      <w:r w:rsidR="00023959">
        <w:rPr>
          <w:sz w:val="24"/>
          <w:szCs w:val="24"/>
        </w:rPr>
        <w:t xml:space="preserve"> (DCP)</w:t>
      </w:r>
      <w:r w:rsidR="0010226C" w:rsidRPr="0010226C">
        <w:rPr>
          <w:sz w:val="24"/>
          <w:szCs w:val="24"/>
        </w:rPr>
        <w:t xml:space="preserve">, which is part of the </w:t>
      </w:r>
      <w:r w:rsidR="0010226C" w:rsidRPr="0010226C">
        <w:rPr>
          <w:spacing w:val="-2"/>
          <w:sz w:val="24"/>
          <w:szCs w:val="24"/>
        </w:rPr>
        <w:t>B</w:t>
      </w:r>
      <w:r w:rsidR="0010226C" w:rsidRPr="0010226C">
        <w:rPr>
          <w:spacing w:val="2"/>
          <w:sz w:val="24"/>
          <w:szCs w:val="24"/>
        </w:rPr>
        <w:t>u</w:t>
      </w:r>
      <w:r w:rsidR="0010226C" w:rsidRPr="0010226C">
        <w:rPr>
          <w:sz w:val="24"/>
          <w:szCs w:val="24"/>
        </w:rPr>
        <w:t>re</w:t>
      </w:r>
      <w:r w:rsidR="0010226C" w:rsidRPr="0010226C">
        <w:rPr>
          <w:spacing w:val="-1"/>
          <w:sz w:val="24"/>
          <w:szCs w:val="24"/>
        </w:rPr>
        <w:t>a</w:t>
      </w:r>
      <w:r w:rsidR="0010226C" w:rsidRPr="0010226C">
        <w:rPr>
          <w:sz w:val="24"/>
          <w:szCs w:val="24"/>
        </w:rPr>
        <w:t xml:space="preserve">u of </w:t>
      </w:r>
      <w:r w:rsidR="0010226C" w:rsidRPr="0010226C">
        <w:rPr>
          <w:spacing w:val="-2"/>
          <w:sz w:val="24"/>
          <w:szCs w:val="24"/>
        </w:rPr>
        <w:t>H</w:t>
      </w:r>
      <w:r w:rsidR="0010226C" w:rsidRPr="0010226C">
        <w:rPr>
          <w:spacing w:val="1"/>
          <w:sz w:val="24"/>
          <w:szCs w:val="24"/>
        </w:rPr>
        <w:t>e</w:t>
      </w:r>
      <w:r w:rsidR="0010226C" w:rsidRPr="0010226C">
        <w:rPr>
          <w:spacing w:val="-1"/>
          <w:sz w:val="24"/>
          <w:szCs w:val="24"/>
        </w:rPr>
        <w:t>a</w:t>
      </w:r>
      <w:r w:rsidR="0010226C" w:rsidRPr="0010226C">
        <w:rPr>
          <w:sz w:val="24"/>
          <w:szCs w:val="24"/>
        </w:rPr>
        <w:t>lth Pro</w:t>
      </w:r>
      <w:r w:rsidR="0010226C" w:rsidRPr="0010226C">
        <w:rPr>
          <w:spacing w:val="-2"/>
          <w:sz w:val="24"/>
          <w:szCs w:val="24"/>
        </w:rPr>
        <w:t>f</w:t>
      </w:r>
      <w:r w:rsidR="0010226C" w:rsidRPr="0010226C">
        <w:rPr>
          <w:spacing w:val="-1"/>
          <w:sz w:val="24"/>
          <w:szCs w:val="24"/>
        </w:rPr>
        <w:t>e</w:t>
      </w:r>
      <w:r w:rsidR="0010226C" w:rsidRPr="0010226C">
        <w:rPr>
          <w:sz w:val="24"/>
          <w:szCs w:val="24"/>
        </w:rPr>
        <w:t>ssions</w:t>
      </w:r>
      <w:r w:rsidR="0010226C" w:rsidRPr="0010226C">
        <w:rPr>
          <w:spacing w:val="2"/>
          <w:sz w:val="24"/>
          <w:szCs w:val="24"/>
        </w:rPr>
        <w:t xml:space="preserve"> </w:t>
      </w:r>
      <w:r w:rsidR="0010226C" w:rsidRPr="0010226C">
        <w:rPr>
          <w:spacing w:val="-6"/>
          <w:sz w:val="24"/>
          <w:szCs w:val="24"/>
        </w:rPr>
        <w:t>L</w:t>
      </w:r>
      <w:r w:rsidR="0010226C" w:rsidRPr="0010226C">
        <w:rPr>
          <w:sz w:val="24"/>
          <w:szCs w:val="24"/>
        </w:rPr>
        <w:t>i</w:t>
      </w:r>
      <w:r w:rsidR="0010226C" w:rsidRPr="0010226C">
        <w:rPr>
          <w:spacing w:val="1"/>
          <w:sz w:val="24"/>
          <w:szCs w:val="24"/>
        </w:rPr>
        <w:t>c</w:t>
      </w:r>
      <w:r w:rsidR="0010226C" w:rsidRPr="0010226C">
        <w:rPr>
          <w:spacing w:val="-1"/>
          <w:sz w:val="24"/>
          <w:szCs w:val="24"/>
        </w:rPr>
        <w:t>e</w:t>
      </w:r>
      <w:r w:rsidR="0010226C" w:rsidRPr="0010226C">
        <w:rPr>
          <w:sz w:val="24"/>
          <w:szCs w:val="24"/>
        </w:rPr>
        <w:t>nsur</w:t>
      </w:r>
      <w:r w:rsidR="0010226C" w:rsidRPr="0010226C">
        <w:rPr>
          <w:spacing w:val="-2"/>
          <w:sz w:val="24"/>
          <w:szCs w:val="24"/>
        </w:rPr>
        <w:t>e,</w:t>
      </w:r>
      <w:r w:rsidR="0010226C" w:rsidRPr="0010226C">
        <w:rPr>
          <w:spacing w:val="1"/>
          <w:sz w:val="24"/>
          <w:szCs w:val="24"/>
        </w:rPr>
        <w:t xml:space="preserve"> </w:t>
      </w:r>
      <w:r w:rsidRPr="0010226C">
        <w:rPr>
          <w:spacing w:val="1"/>
          <w:sz w:val="24"/>
          <w:szCs w:val="24"/>
        </w:rPr>
        <w:t xml:space="preserve">to clarify </w:t>
      </w:r>
      <w:r w:rsidR="00023959">
        <w:rPr>
          <w:spacing w:val="1"/>
          <w:sz w:val="24"/>
          <w:szCs w:val="24"/>
        </w:rPr>
        <w:t>DCP’s</w:t>
      </w:r>
      <w:r w:rsidRPr="0010226C">
        <w:rPr>
          <w:spacing w:val="1"/>
          <w:sz w:val="24"/>
          <w:szCs w:val="24"/>
        </w:rPr>
        <w:t xml:space="preserve"> requirements for practitioners working with</w:t>
      </w:r>
      <w:r w:rsidR="001B0CB1">
        <w:rPr>
          <w:spacing w:val="1"/>
          <w:sz w:val="24"/>
          <w:szCs w:val="24"/>
        </w:rPr>
        <w:t xml:space="preserve"> tecovirimat</w:t>
      </w:r>
      <w:r w:rsidRPr="0010226C">
        <w:rPr>
          <w:spacing w:val="1"/>
          <w:sz w:val="24"/>
          <w:szCs w:val="24"/>
        </w:rPr>
        <w:t xml:space="preserve"> </w:t>
      </w:r>
      <w:r w:rsidR="001B0CB1">
        <w:rPr>
          <w:spacing w:val="1"/>
          <w:sz w:val="24"/>
          <w:szCs w:val="24"/>
        </w:rPr>
        <w:t>(</w:t>
      </w:r>
      <w:r w:rsidR="0010226C" w:rsidRPr="0010226C">
        <w:rPr>
          <w:spacing w:val="1"/>
          <w:sz w:val="24"/>
          <w:szCs w:val="24"/>
        </w:rPr>
        <w:t>TPOXX</w:t>
      </w:r>
      <w:r w:rsidR="001B0CB1">
        <w:rPr>
          <w:spacing w:val="1"/>
          <w:sz w:val="24"/>
          <w:szCs w:val="24"/>
        </w:rPr>
        <w:t>)</w:t>
      </w:r>
      <w:r w:rsidR="0010226C" w:rsidRPr="0010226C">
        <w:rPr>
          <w:spacing w:val="1"/>
          <w:sz w:val="24"/>
          <w:szCs w:val="24"/>
        </w:rPr>
        <w:t xml:space="preserve"> to treat patients diagnosed with </w:t>
      </w:r>
      <w:r w:rsidR="00793533">
        <w:rPr>
          <w:spacing w:val="1"/>
          <w:sz w:val="24"/>
          <w:szCs w:val="24"/>
        </w:rPr>
        <w:t>m</w:t>
      </w:r>
      <w:r w:rsidR="00793533" w:rsidRPr="0010226C">
        <w:rPr>
          <w:spacing w:val="1"/>
          <w:sz w:val="24"/>
          <w:szCs w:val="24"/>
        </w:rPr>
        <w:t>onkeypox</w:t>
      </w:r>
      <w:r w:rsidRPr="0010226C">
        <w:rPr>
          <w:spacing w:val="1"/>
          <w:sz w:val="24"/>
          <w:szCs w:val="24"/>
        </w:rPr>
        <w:t xml:space="preserve">. </w:t>
      </w:r>
    </w:p>
    <w:p w14:paraId="25202CE7" w14:textId="322B41D2" w:rsidR="003825F6" w:rsidRPr="0010226C" w:rsidRDefault="003825F6" w:rsidP="00325B44">
      <w:pPr>
        <w:pStyle w:val="BodyText"/>
        <w:spacing w:after="240"/>
        <w:ind w:right="360"/>
        <w:rPr>
          <w:spacing w:val="1"/>
          <w:sz w:val="24"/>
          <w:szCs w:val="24"/>
        </w:rPr>
      </w:pPr>
      <w:r w:rsidRPr="0010226C">
        <w:rPr>
          <w:spacing w:val="1"/>
          <w:sz w:val="24"/>
          <w:szCs w:val="24"/>
        </w:rPr>
        <w:t xml:space="preserve">Tecovirimat (also known as TPOXX or ST-246) is a </w:t>
      </w:r>
      <w:r w:rsidR="00023959">
        <w:rPr>
          <w:spacing w:val="1"/>
          <w:sz w:val="24"/>
          <w:szCs w:val="24"/>
        </w:rPr>
        <w:t>Federal Food and Drug Administration (</w:t>
      </w:r>
      <w:r w:rsidRPr="0010226C">
        <w:rPr>
          <w:spacing w:val="1"/>
          <w:sz w:val="24"/>
          <w:szCs w:val="24"/>
        </w:rPr>
        <w:t>FDA</w:t>
      </w:r>
      <w:r w:rsidR="00023959">
        <w:rPr>
          <w:spacing w:val="1"/>
          <w:sz w:val="24"/>
          <w:szCs w:val="24"/>
        </w:rPr>
        <w:t>)</w:t>
      </w:r>
      <w:r w:rsidRPr="0010226C">
        <w:rPr>
          <w:spacing w:val="1"/>
          <w:sz w:val="24"/>
          <w:szCs w:val="24"/>
        </w:rPr>
        <w:t xml:space="preserve">-approved treatment for human smallpox disease caused by </w:t>
      </w:r>
      <w:r w:rsidR="003B782F">
        <w:rPr>
          <w:spacing w:val="1"/>
          <w:sz w:val="24"/>
          <w:szCs w:val="24"/>
        </w:rPr>
        <w:t>v</w:t>
      </w:r>
      <w:r w:rsidR="003B782F" w:rsidRPr="0010226C">
        <w:rPr>
          <w:spacing w:val="1"/>
          <w:sz w:val="24"/>
          <w:szCs w:val="24"/>
        </w:rPr>
        <w:t xml:space="preserve">ariola </w:t>
      </w:r>
      <w:r w:rsidRPr="0010226C">
        <w:rPr>
          <w:spacing w:val="1"/>
          <w:sz w:val="24"/>
          <w:szCs w:val="24"/>
        </w:rPr>
        <w:t xml:space="preserve">virus in adults and children.  In Massachusetts, </w:t>
      </w:r>
      <w:r w:rsidR="00904690" w:rsidRPr="0010226C">
        <w:rPr>
          <w:spacing w:val="1"/>
          <w:sz w:val="24"/>
          <w:szCs w:val="24"/>
        </w:rPr>
        <w:t xml:space="preserve">TPOXX </w:t>
      </w:r>
      <w:r w:rsidRPr="0010226C">
        <w:rPr>
          <w:spacing w:val="1"/>
          <w:sz w:val="24"/>
          <w:szCs w:val="24"/>
        </w:rPr>
        <w:t>is ordinarily a Schedule VI medication</w:t>
      </w:r>
      <w:r w:rsidR="004F3B1D">
        <w:rPr>
          <w:spacing w:val="1"/>
          <w:sz w:val="24"/>
          <w:szCs w:val="24"/>
        </w:rPr>
        <w:t xml:space="preserve"> in all its forms</w:t>
      </w:r>
      <w:r w:rsidRPr="0010226C">
        <w:rPr>
          <w:spacing w:val="1"/>
          <w:sz w:val="24"/>
          <w:szCs w:val="24"/>
        </w:rPr>
        <w:t>, as it is not federally scheduled, but requires a prescription</w:t>
      </w:r>
      <w:r w:rsidR="00904690" w:rsidRPr="0010226C">
        <w:rPr>
          <w:spacing w:val="1"/>
          <w:sz w:val="24"/>
          <w:szCs w:val="24"/>
        </w:rPr>
        <w:t xml:space="preserve"> when used for treatment of smallpox</w:t>
      </w:r>
      <w:r w:rsidRPr="0010226C">
        <w:rPr>
          <w:spacing w:val="1"/>
          <w:sz w:val="24"/>
          <w:szCs w:val="24"/>
        </w:rPr>
        <w:t xml:space="preserve">.  </w:t>
      </w:r>
      <w:r w:rsidR="00904690" w:rsidRPr="0010226C">
        <w:rPr>
          <w:spacing w:val="1"/>
          <w:sz w:val="24"/>
          <w:szCs w:val="24"/>
        </w:rPr>
        <w:t xml:space="preserve">However, the </w:t>
      </w:r>
      <w:r w:rsidRPr="0010226C">
        <w:rPr>
          <w:spacing w:val="1"/>
          <w:sz w:val="24"/>
          <w:szCs w:val="24"/>
        </w:rPr>
        <w:t xml:space="preserve">FDA has </w:t>
      </w:r>
      <w:r w:rsidR="00AC5422">
        <w:rPr>
          <w:spacing w:val="1"/>
          <w:sz w:val="24"/>
          <w:szCs w:val="24"/>
        </w:rPr>
        <w:t xml:space="preserve">authorized </w:t>
      </w:r>
      <w:r w:rsidR="00904690" w:rsidRPr="0010226C">
        <w:rPr>
          <w:spacing w:val="1"/>
          <w:sz w:val="24"/>
          <w:szCs w:val="24"/>
        </w:rPr>
        <w:t xml:space="preserve">TPOXX </w:t>
      </w:r>
      <w:r w:rsidRPr="0010226C">
        <w:rPr>
          <w:spacing w:val="1"/>
          <w:sz w:val="24"/>
          <w:szCs w:val="24"/>
        </w:rPr>
        <w:t xml:space="preserve">for treatment of </w:t>
      </w:r>
      <w:r w:rsidR="0010226C">
        <w:rPr>
          <w:spacing w:val="1"/>
          <w:sz w:val="24"/>
          <w:szCs w:val="24"/>
        </w:rPr>
        <w:t>m</w:t>
      </w:r>
      <w:r w:rsidRPr="0010226C">
        <w:rPr>
          <w:spacing w:val="1"/>
          <w:sz w:val="24"/>
          <w:szCs w:val="24"/>
        </w:rPr>
        <w:t xml:space="preserve">onkeypox under a specific protocol which designates TPOXX as an </w:t>
      </w:r>
      <w:r w:rsidR="001B0CB1">
        <w:rPr>
          <w:spacing w:val="1"/>
          <w:sz w:val="24"/>
          <w:szCs w:val="24"/>
        </w:rPr>
        <w:t>Expanded Access-</w:t>
      </w:r>
      <w:r w:rsidR="00023959">
        <w:rPr>
          <w:spacing w:val="1"/>
          <w:sz w:val="24"/>
          <w:szCs w:val="24"/>
        </w:rPr>
        <w:t>Investigational New Drug (</w:t>
      </w:r>
      <w:r w:rsidR="001B0CB1">
        <w:rPr>
          <w:spacing w:val="1"/>
          <w:sz w:val="24"/>
          <w:szCs w:val="24"/>
        </w:rPr>
        <w:t>EA-</w:t>
      </w:r>
      <w:r w:rsidRPr="0010226C">
        <w:rPr>
          <w:spacing w:val="1"/>
          <w:sz w:val="24"/>
          <w:szCs w:val="24"/>
        </w:rPr>
        <w:t>IND</w:t>
      </w:r>
      <w:r w:rsidR="00023959">
        <w:rPr>
          <w:spacing w:val="1"/>
          <w:sz w:val="24"/>
          <w:szCs w:val="24"/>
        </w:rPr>
        <w:t>)</w:t>
      </w:r>
      <w:r w:rsidRPr="0010226C">
        <w:rPr>
          <w:spacing w:val="1"/>
          <w:sz w:val="24"/>
          <w:szCs w:val="24"/>
        </w:rPr>
        <w:t xml:space="preserve"> when used for treatment of </w:t>
      </w:r>
      <w:r w:rsidR="00090299" w:rsidRPr="00AC5422">
        <w:rPr>
          <w:spacing w:val="1"/>
          <w:sz w:val="24"/>
          <w:szCs w:val="24"/>
        </w:rPr>
        <w:t xml:space="preserve">non-variola </w:t>
      </w:r>
      <w:proofErr w:type="spellStart"/>
      <w:r w:rsidR="00090299" w:rsidRPr="00AC5422">
        <w:rPr>
          <w:spacing w:val="1"/>
          <w:sz w:val="24"/>
          <w:szCs w:val="24"/>
        </w:rPr>
        <w:t>orthopoxvirus</w:t>
      </w:r>
      <w:proofErr w:type="spellEnd"/>
      <w:r w:rsidR="00090299">
        <w:rPr>
          <w:spacing w:val="1"/>
          <w:sz w:val="24"/>
          <w:szCs w:val="24"/>
        </w:rPr>
        <w:t xml:space="preserve">, including </w:t>
      </w:r>
      <w:r w:rsidR="0010226C">
        <w:rPr>
          <w:spacing w:val="1"/>
          <w:sz w:val="24"/>
          <w:szCs w:val="24"/>
        </w:rPr>
        <w:t>m</w:t>
      </w:r>
      <w:r w:rsidRPr="0010226C">
        <w:rPr>
          <w:spacing w:val="1"/>
          <w:sz w:val="24"/>
          <w:szCs w:val="24"/>
        </w:rPr>
        <w:t xml:space="preserve">onkeypox.  </w:t>
      </w:r>
      <w:r w:rsidRPr="00023959">
        <w:rPr>
          <w:b/>
          <w:bCs/>
          <w:spacing w:val="1"/>
          <w:sz w:val="24"/>
          <w:szCs w:val="24"/>
        </w:rPr>
        <w:t xml:space="preserve">Practitioners must comply with the </w:t>
      </w:r>
      <w:r w:rsidRPr="003B782F">
        <w:rPr>
          <w:b/>
          <w:bCs/>
          <w:spacing w:val="1"/>
          <w:sz w:val="24"/>
          <w:szCs w:val="24"/>
        </w:rPr>
        <w:t>protocol</w:t>
      </w:r>
      <w:r w:rsidR="003B782F" w:rsidRPr="003B782F">
        <w:rPr>
          <w:b/>
          <w:bCs/>
          <w:spacing w:val="1"/>
          <w:sz w:val="24"/>
          <w:szCs w:val="24"/>
        </w:rPr>
        <w:t xml:space="preserve"> (</w:t>
      </w:r>
      <w:r w:rsidR="003B782F" w:rsidRPr="003B782F">
        <w:rPr>
          <w:b/>
          <w:bCs/>
          <w:sz w:val="24"/>
          <w:szCs w:val="24"/>
        </w:rPr>
        <w:t>IND No. 116,039)</w:t>
      </w:r>
      <w:r w:rsidRPr="003B782F">
        <w:rPr>
          <w:b/>
          <w:bCs/>
          <w:spacing w:val="1"/>
          <w:sz w:val="24"/>
          <w:szCs w:val="24"/>
        </w:rPr>
        <w:t xml:space="preserve"> to</w:t>
      </w:r>
      <w:r w:rsidRPr="00023959">
        <w:rPr>
          <w:b/>
          <w:bCs/>
          <w:spacing w:val="1"/>
          <w:sz w:val="24"/>
          <w:szCs w:val="24"/>
        </w:rPr>
        <w:t xml:space="preserve"> obtain and administer TPOXX for treatment of </w:t>
      </w:r>
      <w:r w:rsidR="0010226C" w:rsidRPr="00023959">
        <w:rPr>
          <w:b/>
          <w:bCs/>
          <w:spacing w:val="1"/>
          <w:sz w:val="24"/>
          <w:szCs w:val="24"/>
        </w:rPr>
        <w:t>m</w:t>
      </w:r>
      <w:r w:rsidRPr="00023959">
        <w:rPr>
          <w:b/>
          <w:bCs/>
          <w:spacing w:val="1"/>
          <w:sz w:val="24"/>
          <w:szCs w:val="24"/>
        </w:rPr>
        <w:t>onkeypox.</w:t>
      </w:r>
      <w:r w:rsidR="00904690" w:rsidRPr="0010226C">
        <w:rPr>
          <w:rStyle w:val="FootnoteReference"/>
          <w:spacing w:val="1"/>
          <w:sz w:val="24"/>
          <w:szCs w:val="24"/>
        </w:rPr>
        <w:footnoteReference w:id="1"/>
      </w:r>
    </w:p>
    <w:p w14:paraId="37858C49" w14:textId="77777777" w:rsidR="00152004" w:rsidRDefault="00152004" w:rsidP="00325B44">
      <w:pPr>
        <w:pStyle w:val="BodyText"/>
        <w:spacing w:after="240"/>
        <w:ind w:right="360"/>
        <w:rPr>
          <w:spacing w:val="1"/>
          <w:sz w:val="24"/>
          <w:szCs w:val="24"/>
        </w:rPr>
      </w:pPr>
      <w:r>
        <w:rPr>
          <w:spacing w:val="1"/>
          <w:sz w:val="24"/>
          <w:szCs w:val="24"/>
          <w:u w:val="single"/>
        </w:rPr>
        <w:t xml:space="preserve">Massachusetts Controlled Substance Registration </w:t>
      </w:r>
    </w:p>
    <w:p w14:paraId="1849E5D5" w14:textId="18C488A0" w:rsidR="003825F6" w:rsidRDefault="00023959" w:rsidP="00325B44">
      <w:pPr>
        <w:pStyle w:val="BodyText"/>
        <w:spacing w:after="240"/>
        <w:ind w:right="36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DCP</w:t>
      </w:r>
      <w:r w:rsidR="003825F6" w:rsidRPr="0010226C">
        <w:rPr>
          <w:spacing w:val="1"/>
          <w:sz w:val="24"/>
          <w:szCs w:val="24"/>
        </w:rPr>
        <w:t xml:space="preserve"> will not require practitioners who have fully complied with </w:t>
      </w:r>
      <w:r w:rsidR="003B782F" w:rsidRPr="003B782F">
        <w:rPr>
          <w:spacing w:val="1"/>
          <w:sz w:val="24"/>
          <w:szCs w:val="24"/>
        </w:rPr>
        <w:t xml:space="preserve">IND No. 116,039 </w:t>
      </w:r>
      <w:r w:rsidR="00E60E11" w:rsidRPr="0010226C">
        <w:rPr>
          <w:spacing w:val="1"/>
          <w:sz w:val="24"/>
          <w:szCs w:val="24"/>
        </w:rPr>
        <w:t xml:space="preserve">to obtain a separate Researcher </w:t>
      </w:r>
      <w:r w:rsidR="00072637">
        <w:rPr>
          <w:spacing w:val="1"/>
          <w:sz w:val="24"/>
          <w:szCs w:val="24"/>
        </w:rPr>
        <w:t>Massachusetts Controlled Substance Registration (</w:t>
      </w:r>
      <w:r w:rsidR="00E60E11" w:rsidRPr="0010226C">
        <w:rPr>
          <w:spacing w:val="1"/>
          <w:sz w:val="24"/>
          <w:szCs w:val="24"/>
        </w:rPr>
        <w:t>MCSR</w:t>
      </w:r>
      <w:r w:rsidR="00072637">
        <w:rPr>
          <w:spacing w:val="1"/>
          <w:sz w:val="24"/>
          <w:szCs w:val="24"/>
        </w:rPr>
        <w:t>)</w:t>
      </w:r>
      <w:r w:rsidR="00E60E11" w:rsidRPr="0010226C">
        <w:rPr>
          <w:spacing w:val="1"/>
          <w:sz w:val="24"/>
          <w:szCs w:val="24"/>
        </w:rPr>
        <w:t xml:space="preserve"> to </w:t>
      </w:r>
      <w:r w:rsidR="004F3B1D">
        <w:rPr>
          <w:spacing w:val="1"/>
          <w:sz w:val="24"/>
          <w:szCs w:val="24"/>
        </w:rPr>
        <w:t xml:space="preserve">prescribe, </w:t>
      </w:r>
      <w:r w:rsidR="00E60E11" w:rsidRPr="0010226C">
        <w:rPr>
          <w:spacing w:val="1"/>
          <w:sz w:val="24"/>
          <w:szCs w:val="24"/>
        </w:rPr>
        <w:t xml:space="preserve">administer </w:t>
      </w:r>
      <w:r w:rsidR="00AA241F" w:rsidRPr="0010226C">
        <w:rPr>
          <w:spacing w:val="1"/>
          <w:sz w:val="24"/>
          <w:szCs w:val="24"/>
        </w:rPr>
        <w:t xml:space="preserve">or delegate administration of </w:t>
      </w:r>
      <w:r w:rsidR="00E60E11" w:rsidRPr="0010226C">
        <w:rPr>
          <w:spacing w:val="1"/>
          <w:sz w:val="24"/>
          <w:szCs w:val="24"/>
        </w:rPr>
        <w:t xml:space="preserve">TPOXX for treatment of </w:t>
      </w:r>
      <w:r w:rsidR="00793533">
        <w:rPr>
          <w:spacing w:val="1"/>
          <w:sz w:val="24"/>
          <w:szCs w:val="24"/>
        </w:rPr>
        <w:t>m</w:t>
      </w:r>
      <w:r w:rsidR="00793533" w:rsidRPr="0010226C">
        <w:rPr>
          <w:spacing w:val="1"/>
          <w:sz w:val="24"/>
          <w:szCs w:val="24"/>
        </w:rPr>
        <w:t>onkeypox</w:t>
      </w:r>
      <w:r w:rsidR="00E60E11" w:rsidRPr="0010226C">
        <w:rPr>
          <w:spacing w:val="1"/>
          <w:sz w:val="24"/>
          <w:szCs w:val="24"/>
        </w:rPr>
        <w:t xml:space="preserve">.  If a practitioner has fully complied with </w:t>
      </w:r>
      <w:r w:rsidR="00252952" w:rsidRPr="00252952">
        <w:rPr>
          <w:spacing w:val="1"/>
          <w:sz w:val="24"/>
          <w:szCs w:val="24"/>
        </w:rPr>
        <w:t>IND No. 116,039</w:t>
      </w:r>
      <w:r w:rsidR="00E60E11" w:rsidRPr="0010226C">
        <w:rPr>
          <w:spacing w:val="1"/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DCP</w:t>
      </w:r>
      <w:r w:rsidR="00E60E11" w:rsidRPr="0010226C">
        <w:rPr>
          <w:spacing w:val="1"/>
          <w:sz w:val="24"/>
          <w:szCs w:val="24"/>
        </w:rPr>
        <w:t xml:space="preserve"> will consider </w:t>
      </w:r>
      <w:r w:rsidR="00072637">
        <w:rPr>
          <w:spacing w:val="1"/>
          <w:sz w:val="24"/>
          <w:szCs w:val="24"/>
        </w:rPr>
        <w:t>the</w:t>
      </w:r>
      <w:r w:rsidR="00E60E11" w:rsidRPr="0010226C">
        <w:rPr>
          <w:spacing w:val="1"/>
          <w:sz w:val="24"/>
          <w:szCs w:val="24"/>
        </w:rPr>
        <w:t xml:space="preserve"> practitioner’s existing current MCSR </w:t>
      </w:r>
      <w:r w:rsidR="00072637">
        <w:rPr>
          <w:spacing w:val="1"/>
          <w:sz w:val="24"/>
          <w:szCs w:val="24"/>
        </w:rPr>
        <w:t xml:space="preserve">as </w:t>
      </w:r>
      <w:r w:rsidR="00E60E11" w:rsidRPr="0010226C">
        <w:rPr>
          <w:spacing w:val="1"/>
          <w:sz w:val="24"/>
          <w:szCs w:val="24"/>
        </w:rPr>
        <w:t>authoriz</w:t>
      </w:r>
      <w:r w:rsidR="00072637">
        <w:rPr>
          <w:spacing w:val="1"/>
          <w:sz w:val="24"/>
          <w:szCs w:val="24"/>
        </w:rPr>
        <w:t>ing</w:t>
      </w:r>
      <w:r w:rsidR="00E60E11" w:rsidRPr="0010226C">
        <w:rPr>
          <w:spacing w:val="1"/>
          <w:sz w:val="24"/>
          <w:szCs w:val="24"/>
        </w:rPr>
        <w:t xml:space="preserve"> the practitioner to </w:t>
      </w:r>
      <w:r w:rsidR="004F3B1D">
        <w:rPr>
          <w:spacing w:val="1"/>
          <w:sz w:val="24"/>
          <w:szCs w:val="24"/>
        </w:rPr>
        <w:t xml:space="preserve">prescribe, </w:t>
      </w:r>
      <w:r w:rsidR="00E60E11" w:rsidRPr="0010226C">
        <w:rPr>
          <w:spacing w:val="1"/>
          <w:sz w:val="24"/>
          <w:szCs w:val="24"/>
        </w:rPr>
        <w:t xml:space="preserve">administer or delegate administration of TPOXX to patients for treatment of </w:t>
      </w:r>
      <w:r w:rsidR="00793533">
        <w:rPr>
          <w:spacing w:val="1"/>
          <w:sz w:val="24"/>
          <w:szCs w:val="24"/>
        </w:rPr>
        <w:t>m</w:t>
      </w:r>
      <w:r w:rsidR="00793533" w:rsidRPr="0010226C">
        <w:rPr>
          <w:spacing w:val="1"/>
          <w:sz w:val="24"/>
          <w:szCs w:val="24"/>
        </w:rPr>
        <w:t>onkeypox</w:t>
      </w:r>
      <w:r w:rsidR="00E60E11" w:rsidRPr="0010226C">
        <w:rPr>
          <w:spacing w:val="1"/>
          <w:sz w:val="24"/>
          <w:szCs w:val="24"/>
        </w:rPr>
        <w:t>.</w:t>
      </w:r>
    </w:p>
    <w:p w14:paraId="479C18CC" w14:textId="6488BAEA" w:rsidR="00152004" w:rsidRPr="003E615B" w:rsidRDefault="00152004" w:rsidP="00325B44">
      <w:pPr>
        <w:pStyle w:val="BodyText"/>
        <w:spacing w:after="240"/>
        <w:ind w:righ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Dispensing TPOXX </w:t>
      </w:r>
    </w:p>
    <w:p w14:paraId="0A332026" w14:textId="69D8F470" w:rsidR="00CF40CF" w:rsidRPr="00E452D0" w:rsidRDefault="00152004" w:rsidP="00325B44">
      <w:pPr>
        <w:pStyle w:val="BodyText"/>
        <w:spacing w:after="240"/>
        <w:ind w:right="360"/>
        <w:rPr>
          <w:spacing w:val="1"/>
          <w:sz w:val="24"/>
          <w:szCs w:val="24"/>
        </w:rPr>
      </w:pPr>
      <w:r>
        <w:rPr>
          <w:sz w:val="24"/>
          <w:szCs w:val="24"/>
        </w:rPr>
        <w:t>Licensed c</w:t>
      </w:r>
      <w:r w:rsidR="00AF0DB0" w:rsidRPr="00E452D0">
        <w:rPr>
          <w:sz w:val="24"/>
          <w:szCs w:val="24"/>
        </w:rPr>
        <w:t xml:space="preserve">linics and hospitals </w:t>
      </w:r>
      <w:r w:rsidR="00E452D0" w:rsidRPr="00E452D0">
        <w:rPr>
          <w:sz w:val="24"/>
          <w:szCs w:val="24"/>
        </w:rPr>
        <w:t xml:space="preserve">may dispense TPOXX to non-clinic and non-hospital patients, pursuant to a prescription by </w:t>
      </w:r>
      <w:r w:rsidR="00E452D0">
        <w:rPr>
          <w:sz w:val="24"/>
          <w:szCs w:val="24"/>
        </w:rPr>
        <w:t xml:space="preserve">any Massachusetts </w:t>
      </w:r>
      <w:r w:rsidR="00E452D0" w:rsidRPr="00E452D0">
        <w:rPr>
          <w:sz w:val="24"/>
          <w:szCs w:val="24"/>
        </w:rPr>
        <w:t xml:space="preserve">practitioner, despite provisions in </w:t>
      </w:r>
      <w:r w:rsidR="00AF0DB0" w:rsidRPr="00E452D0">
        <w:rPr>
          <w:sz w:val="24"/>
          <w:szCs w:val="24"/>
        </w:rPr>
        <w:t>CMR 722.00</w:t>
      </w:r>
      <w:r w:rsidR="00E452D0" w:rsidRPr="00E452D0">
        <w:rPr>
          <w:sz w:val="24"/>
          <w:szCs w:val="24"/>
        </w:rPr>
        <w:t xml:space="preserve">0: </w:t>
      </w:r>
      <w:r w:rsidR="00E452D0" w:rsidRPr="00E452D0">
        <w:rPr>
          <w:i/>
          <w:iCs/>
          <w:sz w:val="24"/>
          <w:szCs w:val="24"/>
        </w:rPr>
        <w:t>Dispensing procedures for clinic and hospital pharmacies</w:t>
      </w:r>
      <w:r w:rsidR="00AF0DB0" w:rsidRPr="00E452D0">
        <w:rPr>
          <w:sz w:val="24"/>
          <w:szCs w:val="24"/>
        </w:rPr>
        <w:t>, which limit dispensing only to the clinic or hospital’s own patients</w:t>
      </w:r>
      <w:r w:rsidR="00E452D0" w:rsidRPr="00E452D0">
        <w:rPr>
          <w:sz w:val="24"/>
          <w:szCs w:val="24"/>
        </w:rPr>
        <w:t xml:space="preserve"> and pursuant to </w:t>
      </w:r>
      <w:r w:rsidR="00E452D0">
        <w:rPr>
          <w:sz w:val="24"/>
          <w:szCs w:val="24"/>
        </w:rPr>
        <w:t xml:space="preserve">prescriptions issued only by </w:t>
      </w:r>
      <w:r w:rsidR="00E452D0" w:rsidRPr="00E452D0">
        <w:rPr>
          <w:sz w:val="24"/>
          <w:szCs w:val="24"/>
        </w:rPr>
        <w:t>clinic and hospital practitioners</w:t>
      </w:r>
      <w:r w:rsidR="00AF0DB0" w:rsidRPr="00E452D0">
        <w:rPr>
          <w:sz w:val="24"/>
          <w:szCs w:val="24"/>
        </w:rPr>
        <w:t xml:space="preserve">, </w:t>
      </w:r>
      <w:r w:rsidR="00CF40CF" w:rsidRPr="00E452D0">
        <w:rPr>
          <w:sz w:val="24"/>
          <w:szCs w:val="24"/>
        </w:rPr>
        <w:t xml:space="preserve">because the medication will be handled according to federal rules governing </w:t>
      </w:r>
      <w:r w:rsidR="001B0CB1">
        <w:rPr>
          <w:sz w:val="24"/>
          <w:szCs w:val="24"/>
        </w:rPr>
        <w:t>EA-</w:t>
      </w:r>
      <w:r w:rsidR="00786459">
        <w:rPr>
          <w:sz w:val="24"/>
          <w:szCs w:val="24"/>
        </w:rPr>
        <w:t>IND</w:t>
      </w:r>
      <w:r w:rsidR="006257F7">
        <w:rPr>
          <w:sz w:val="24"/>
          <w:szCs w:val="24"/>
        </w:rPr>
        <w:t xml:space="preserve"> </w:t>
      </w:r>
      <w:r w:rsidR="00CF40CF" w:rsidRPr="00E452D0">
        <w:rPr>
          <w:sz w:val="24"/>
          <w:szCs w:val="24"/>
        </w:rPr>
        <w:t>treatment protocols</w:t>
      </w:r>
      <w:r w:rsidR="00AF0DB0" w:rsidRPr="00E452D0">
        <w:rPr>
          <w:sz w:val="24"/>
          <w:szCs w:val="24"/>
        </w:rPr>
        <w:t xml:space="preserve">, </w:t>
      </w:r>
      <w:r w:rsidR="00AF0DB0" w:rsidRPr="00E452D0">
        <w:rPr>
          <w:sz w:val="24"/>
          <w:szCs w:val="24"/>
          <w:bdr w:val="none" w:sz="0" w:space="0" w:color="auto" w:frame="1"/>
          <w:shd w:val="clear" w:color="auto" w:fill="FFFFFF"/>
        </w:rPr>
        <w:t xml:space="preserve">pursuant to a registrant’s authority under </w:t>
      </w:r>
      <w:r w:rsidR="00AF0DB0" w:rsidRPr="00E452D0">
        <w:rPr>
          <w:spacing w:val="1"/>
          <w:sz w:val="24"/>
          <w:szCs w:val="24"/>
        </w:rPr>
        <w:t>IND No. 116,039, rather than the clinic or hospital registration</w:t>
      </w:r>
      <w:r w:rsidR="00CF40CF" w:rsidRPr="00E452D0">
        <w:rPr>
          <w:sz w:val="24"/>
          <w:szCs w:val="24"/>
        </w:rPr>
        <w:t>.</w:t>
      </w:r>
    </w:p>
    <w:p w14:paraId="777AE69F" w14:textId="301027D6" w:rsidR="00CF40CF" w:rsidRPr="00E452D0" w:rsidRDefault="00CF40CF" w:rsidP="00CF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  <w:shd w:val="clear" w:color="auto" w:fill="FFFFFF"/>
        </w:rPr>
      </w:pPr>
      <w:r w:rsidRPr="00E452D0">
        <w:rPr>
          <w:bdr w:val="none" w:sz="0" w:space="0" w:color="auto" w:frame="1"/>
        </w:rPr>
        <w:t xml:space="preserve">A site without an on-site pharmacy </w:t>
      </w:r>
      <w:r w:rsidR="00E452D0">
        <w:rPr>
          <w:bdr w:val="none" w:sz="0" w:space="0" w:color="auto" w:frame="1"/>
        </w:rPr>
        <w:t>(e.g.</w:t>
      </w:r>
      <w:r w:rsidR="001B0CB1">
        <w:rPr>
          <w:bdr w:val="none" w:sz="0" w:space="0" w:color="auto" w:frame="1"/>
        </w:rPr>
        <w:t>,</w:t>
      </w:r>
      <w:r w:rsidR="00E452D0">
        <w:rPr>
          <w:bdr w:val="none" w:sz="0" w:space="0" w:color="auto" w:frame="1"/>
        </w:rPr>
        <w:t xml:space="preserve"> urgent care or practitioner’s office) </w:t>
      </w:r>
      <w:r w:rsidRPr="00E452D0">
        <w:rPr>
          <w:bdr w:val="none" w:sz="0" w:space="0" w:color="auto" w:frame="1"/>
        </w:rPr>
        <w:t>and with </w:t>
      </w:r>
      <w:r w:rsidRPr="00E452D0">
        <w:rPr>
          <w:bdr w:val="none" w:sz="0" w:space="0" w:color="auto" w:frame="1"/>
          <w:shd w:val="clear" w:color="auto" w:fill="FFFFFF"/>
        </w:rPr>
        <w:t xml:space="preserve">the appropriate authority pursuant to </w:t>
      </w:r>
      <w:r w:rsidRPr="00AF0DB0">
        <w:rPr>
          <w:spacing w:val="1"/>
        </w:rPr>
        <w:t>IND No. 116,039</w:t>
      </w:r>
      <w:r w:rsidRPr="00E452D0">
        <w:rPr>
          <w:bdr w:val="none" w:sz="0" w:space="0" w:color="auto" w:frame="1"/>
          <w:shd w:val="clear" w:color="auto" w:fill="FFFFFF"/>
        </w:rPr>
        <w:t xml:space="preserve">, may receive, stock, administer and dispense TPOXX according to the federal treatment protocol and in compliance with patient specific labelling requirements in M.G.L. c. 94C, </w:t>
      </w:r>
      <w:r w:rsidR="002C09A5">
        <w:rPr>
          <w:bdr w:val="none" w:sz="0" w:space="0" w:color="auto" w:frame="1"/>
          <w:shd w:val="clear" w:color="auto" w:fill="FFFFFF"/>
        </w:rPr>
        <w:t>§</w:t>
      </w:r>
      <w:r w:rsidRPr="00E452D0">
        <w:rPr>
          <w:bdr w:val="none" w:sz="0" w:space="0" w:color="auto" w:frame="1"/>
          <w:shd w:val="clear" w:color="auto" w:fill="FFFFFF"/>
        </w:rPr>
        <w:t xml:space="preserve"> 21</w:t>
      </w:r>
      <w:r w:rsidR="005A53A1">
        <w:rPr>
          <w:bdr w:val="none" w:sz="0" w:space="0" w:color="auto" w:frame="1"/>
          <w:shd w:val="clear" w:color="auto" w:fill="FFFFFF"/>
        </w:rPr>
        <w:t xml:space="preserve">.  TPOXX must be labeled with the following information:  </w:t>
      </w:r>
    </w:p>
    <w:p w14:paraId="40EE5C45" w14:textId="77777777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 xml:space="preserve">date of filling </w:t>
      </w:r>
    </w:p>
    <w:p w14:paraId="13569C4F" w14:textId="24F936BF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>pharmacy</w:t>
      </w:r>
      <w:r w:rsidR="005A53A1">
        <w:rPr>
          <w:shd w:val="clear" w:color="auto" w:fill="FFFFFF"/>
        </w:rPr>
        <w:t>/hospital/clinic</w:t>
      </w:r>
      <w:r w:rsidRPr="00E452D0">
        <w:rPr>
          <w:shd w:val="clear" w:color="auto" w:fill="FFFFFF"/>
        </w:rPr>
        <w:t xml:space="preserve"> name and address </w:t>
      </w:r>
    </w:p>
    <w:p w14:paraId="7CB742FC" w14:textId="76D4FBE7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>filling pharmacist</w:t>
      </w:r>
      <w:r w:rsidR="005A53A1">
        <w:rPr>
          <w:shd w:val="clear" w:color="auto" w:fill="FFFFFF"/>
        </w:rPr>
        <w:t>/dispenser</w:t>
      </w:r>
      <w:r w:rsidRPr="00E452D0">
        <w:rPr>
          <w:shd w:val="clear" w:color="auto" w:fill="FFFFFF"/>
        </w:rPr>
        <w:t xml:space="preserve"> initials </w:t>
      </w:r>
    </w:p>
    <w:p w14:paraId="1D91B7E8" w14:textId="63D0D1D7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 xml:space="preserve">prescription </w:t>
      </w:r>
      <w:r w:rsidR="006257F7">
        <w:rPr>
          <w:shd w:val="clear" w:color="auto" w:fill="FFFFFF"/>
        </w:rPr>
        <w:t>number assigned by pharmacy/dispenser</w:t>
      </w:r>
    </w:p>
    <w:p w14:paraId="7A490A95" w14:textId="24B04C12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 xml:space="preserve">name of patient </w:t>
      </w:r>
    </w:p>
    <w:p w14:paraId="5F27E505" w14:textId="77777777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 xml:space="preserve">name of prescribing practitioner </w:t>
      </w:r>
    </w:p>
    <w:p w14:paraId="1889EA6E" w14:textId="5B7987DE" w:rsidR="00CF40CF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 xml:space="preserve">name of controlled substance </w:t>
      </w:r>
    </w:p>
    <w:p w14:paraId="605E2B49" w14:textId="368BAC21" w:rsidR="00383DB8" w:rsidRPr="00E452D0" w:rsidRDefault="00383DB8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expiration date</w:t>
      </w:r>
    </w:p>
    <w:p w14:paraId="7DF329DE" w14:textId="77777777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452D0">
        <w:rPr>
          <w:shd w:val="clear" w:color="auto" w:fill="FFFFFF"/>
        </w:rPr>
        <w:t xml:space="preserve">directions for use and cautionary statements, if any, and </w:t>
      </w:r>
    </w:p>
    <w:p w14:paraId="749A146B" w14:textId="1A6305C4" w:rsidR="00CF40CF" w:rsidRPr="00E452D0" w:rsidRDefault="00CF40CF" w:rsidP="00CF40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E452D0">
        <w:rPr>
          <w:shd w:val="clear" w:color="auto" w:fill="FFFFFF"/>
        </w:rPr>
        <w:t>number of tablets or capsules in container.</w:t>
      </w:r>
    </w:p>
    <w:p w14:paraId="36F17794" w14:textId="77777777" w:rsidR="005A53A1" w:rsidRPr="0010226C" w:rsidRDefault="005A53A1" w:rsidP="003E615B">
      <w:pPr>
        <w:pStyle w:val="BodyText"/>
        <w:ind w:right="360"/>
        <w:rPr>
          <w:spacing w:val="1"/>
          <w:sz w:val="24"/>
          <w:szCs w:val="24"/>
        </w:rPr>
      </w:pPr>
    </w:p>
    <w:p w14:paraId="09681BA3" w14:textId="7C0CDFCB" w:rsidR="00C96ABF" w:rsidRDefault="00C96ABF" w:rsidP="00325B44">
      <w:pPr>
        <w:ind w:right="360"/>
        <w:rPr>
          <w:rStyle w:val="Hyperlink"/>
          <w:szCs w:val="24"/>
        </w:rPr>
      </w:pPr>
      <w:r w:rsidRPr="0010226C">
        <w:rPr>
          <w:szCs w:val="24"/>
        </w:rPr>
        <w:t>Qu</w:t>
      </w:r>
      <w:r w:rsidRPr="0010226C">
        <w:rPr>
          <w:spacing w:val="-2"/>
          <w:szCs w:val="24"/>
        </w:rPr>
        <w:t>e</w:t>
      </w:r>
      <w:r w:rsidRPr="0010226C">
        <w:rPr>
          <w:szCs w:val="24"/>
        </w:rPr>
        <w:t xml:space="preserve">stions or </w:t>
      </w:r>
      <w:r w:rsidRPr="0010226C">
        <w:rPr>
          <w:spacing w:val="-2"/>
          <w:szCs w:val="24"/>
        </w:rPr>
        <w:t>c</w:t>
      </w:r>
      <w:r w:rsidRPr="0010226C">
        <w:rPr>
          <w:szCs w:val="24"/>
        </w:rPr>
        <w:t>on</w:t>
      </w:r>
      <w:r w:rsidRPr="0010226C">
        <w:rPr>
          <w:spacing w:val="1"/>
          <w:szCs w:val="24"/>
        </w:rPr>
        <w:t>c</w:t>
      </w:r>
      <w:r w:rsidRPr="0010226C">
        <w:rPr>
          <w:spacing w:val="-1"/>
          <w:szCs w:val="24"/>
        </w:rPr>
        <w:t>e</w:t>
      </w:r>
      <w:r w:rsidRPr="0010226C">
        <w:rPr>
          <w:szCs w:val="24"/>
        </w:rPr>
        <w:t xml:space="preserve">rns </w:t>
      </w:r>
      <w:r w:rsidRPr="0010226C">
        <w:rPr>
          <w:spacing w:val="-2"/>
          <w:szCs w:val="24"/>
        </w:rPr>
        <w:t>r</w:t>
      </w:r>
      <w:r w:rsidRPr="0010226C">
        <w:rPr>
          <w:spacing w:val="1"/>
          <w:szCs w:val="24"/>
        </w:rPr>
        <w:t>e</w:t>
      </w:r>
      <w:r w:rsidRPr="0010226C">
        <w:rPr>
          <w:spacing w:val="-3"/>
          <w:szCs w:val="24"/>
        </w:rPr>
        <w:t>g</w:t>
      </w:r>
      <w:r w:rsidRPr="0010226C">
        <w:rPr>
          <w:spacing w:val="1"/>
          <w:szCs w:val="24"/>
        </w:rPr>
        <w:t>a</w:t>
      </w:r>
      <w:r w:rsidRPr="0010226C">
        <w:rPr>
          <w:szCs w:val="24"/>
        </w:rPr>
        <w:t>rding</w:t>
      </w:r>
      <w:r w:rsidRPr="0010226C">
        <w:rPr>
          <w:spacing w:val="-3"/>
          <w:szCs w:val="24"/>
        </w:rPr>
        <w:t xml:space="preserve"> </w:t>
      </w:r>
      <w:r w:rsidRPr="0010226C">
        <w:rPr>
          <w:szCs w:val="24"/>
        </w:rPr>
        <w:t>this Cir</w:t>
      </w:r>
      <w:r w:rsidRPr="0010226C">
        <w:rPr>
          <w:spacing w:val="-2"/>
          <w:szCs w:val="24"/>
        </w:rPr>
        <w:t>c</w:t>
      </w:r>
      <w:r w:rsidRPr="0010226C">
        <w:rPr>
          <w:szCs w:val="24"/>
        </w:rPr>
        <w:t>ul</w:t>
      </w:r>
      <w:r w:rsidRPr="0010226C">
        <w:rPr>
          <w:spacing w:val="1"/>
          <w:szCs w:val="24"/>
        </w:rPr>
        <w:t>a</w:t>
      </w:r>
      <w:r w:rsidRPr="0010226C">
        <w:rPr>
          <w:szCs w:val="24"/>
        </w:rPr>
        <w:t>r</w:t>
      </w:r>
      <w:r w:rsidRPr="0010226C">
        <w:rPr>
          <w:spacing w:val="1"/>
          <w:szCs w:val="24"/>
        </w:rPr>
        <w:t xml:space="preserve"> </w:t>
      </w:r>
      <w:r w:rsidRPr="0010226C">
        <w:rPr>
          <w:spacing w:val="-3"/>
          <w:szCs w:val="24"/>
        </w:rPr>
        <w:t>L</w:t>
      </w:r>
      <w:r w:rsidRPr="0010226C">
        <w:rPr>
          <w:spacing w:val="-1"/>
          <w:szCs w:val="24"/>
        </w:rPr>
        <w:t>e</w:t>
      </w:r>
      <w:r w:rsidRPr="0010226C">
        <w:rPr>
          <w:szCs w:val="24"/>
        </w:rPr>
        <w:t>t</w:t>
      </w:r>
      <w:r w:rsidRPr="0010226C">
        <w:rPr>
          <w:spacing w:val="3"/>
          <w:szCs w:val="24"/>
        </w:rPr>
        <w:t>t</w:t>
      </w:r>
      <w:r w:rsidRPr="0010226C">
        <w:rPr>
          <w:spacing w:val="-1"/>
          <w:szCs w:val="24"/>
        </w:rPr>
        <w:t>e</w:t>
      </w:r>
      <w:r w:rsidRPr="0010226C">
        <w:rPr>
          <w:szCs w:val="24"/>
        </w:rPr>
        <w:t>r should be</w:t>
      </w:r>
      <w:r w:rsidRPr="0010226C">
        <w:rPr>
          <w:spacing w:val="-1"/>
          <w:szCs w:val="24"/>
        </w:rPr>
        <w:t xml:space="preserve"> </w:t>
      </w:r>
      <w:r w:rsidRPr="0010226C">
        <w:rPr>
          <w:szCs w:val="24"/>
        </w:rPr>
        <w:t>dire</w:t>
      </w:r>
      <w:r w:rsidRPr="0010226C">
        <w:rPr>
          <w:spacing w:val="-1"/>
          <w:szCs w:val="24"/>
        </w:rPr>
        <w:t>c</w:t>
      </w:r>
      <w:r w:rsidRPr="0010226C">
        <w:rPr>
          <w:szCs w:val="24"/>
        </w:rPr>
        <w:t xml:space="preserve">ted to </w:t>
      </w:r>
      <w:r w:rsidR="00023959">
        <w:rPr>
          <w:spacing w:val="-1"/>
          <w:szCs w:val="24"/>
        </w:rPr>
        <w:t>DCP</w:t>
      </w:r>
      <w:r w:rsidRPr="0010226C">
        <w:rPr>
          <w:szCs w:val="24"/>
        </w:rPr>
        <w:t>:</w:t>
      </w:r>
      <w:r w:rsidRPr="0010226C">
        <w:rPr>
          <w:spacing w:val="2"/>
          <w:szCs w:val="24"/>
        </w:rPr>
        <w:t xml:space="preserve"> </w:t>
      </w:r>
      <w:hyperlink r:id="rId10" w:history="1">
        <w:r w:rsidR="002061CA" w:rsidRPr="0010226C">
          <w:rPr>
            <w:rStyle w:val="Hyperlink"/>
            <w:szCs w:val="24"/>
          </w:rPr>
          <w:t>d</w:t>
        </w:r>
        <w:r w:rsidR="002061CA" w:rsidRPr="0010226C">
          <w:rPr>
            <w:rStyle w:val="Hyperlink"/>
            <w:spacing w:val="-1"/>
            <w:szCs w:val="24"/>
          </w:rPr>
          <w:t>c</w:t>
        </w:r>
        <w:r w:rsidR="002061CA" w:rsidRPr="0010226C">
          <w:rPr>
            <w:rStyle w:val="Hyperlink"/>
            <w:szCs w:val="24"/>
          </w:rPr>
          <w:t>p.dph@mass.gov</w:t>
        </w:r>
      </w:hyperlink>
    </w:p>
    <w:p w14:paraId="14F27851" w14:textId="22C5C500" w:rsidR="00647B68" w:rsidRPr="003E615B" w:rsidRDefault="00647B68" w:rsidP="00325B44">
      <w:pPr>
        <w:ind w:right="360"/>
        <w:rPr>
          <w:rStyle w:val="Hyperlink"/>
          <w:color w:val="auto"/>
          <w:szCs w:val="24"/>
        </w:rPr>
      </w:pPr>
    </w:p>
    <w:p w14:paraId="575F4C91" w14:textId="66CF038A" w:rsidR="00382CD3" w:rsidRPr="00382CD3" w:rsidRDefault="00647B68" w:rsidP="00325B44">
      <w:pPr>
        <w:ind w:right="360"/>
        <w:rPr>
          <w:rStyle w:val="Hyperlink"/>
          <w:color w:val="auto"/>
          <w:szCs w:val="24"/>
          <w:u w:val="none"/>
        </w:rPr>
      </w:pPr>
      <w:r w:rsidRPr="00382CD3">
        <w:rPr>
          <w:rStyle w:val="Hyperlink"/>
          <w:color w:val="auto"/>
          <w:szCs w:val="24"/>
          <w:u w:val="none"/>
        </w:rPr>
        <w:t xml:space="preserve">Monkeypox information for clinical providers, including clinical guidance is available here: </w:t>
      </w:r>
    </w:p>
    <w:p w14:paraId="182367B2" w14:textId="6B6D9A8D" w:rsidR="00647B68" w:rsidRDefault="00924ED2" w:rsidP="00325B44">
      <w:pPr>
        <w:ind w:right="360"/>
        <w:rPr>
          <w:rStyle w:val="Hyperlink"/>
          <w:szCs w:val="24"/>
        </w:rPr>
      </w:pPr>
      <w:hyperlink r:id="rId11" w:history="1">
        <w:r w:rsidR="00382CD3" w:rsidRPr="00382CD3">
          <w:rPr>
            <w:rStyle w:val="Hyperlink"/>
            <w:szCs w:val="24"/>
          </w:rPr>
          <w:t>https://www.mass.gov/info-details/monkeypox-information-for-health-care-providers</w:t>
        </w:r>
      </w:hyperlink>
    </w:p>
    <w:p w14:paraId="2A6F64F2" w14:textId="77777777" w:rsidR="00FB24A3" w:rsidRPr="003E615B" w:rsidRDefault="00FB24A3" w:rsidP="00325B44">
      <w:pPr>
        <w:ind w:right="360"/>
        <w:rPr>
          <w:rStyle w:val="Hyperlink"/>
          <w:color w:val="auto"/>
          <w:szCs w:val="24"/>
        </w:rPr>
      </w:pPr>
    </w:p>
    <w:p w14:paraId="5CCF7623" w14:textId="7EDAC974" w:rsidR="001B0CB1" w:rsidRPr="00E90453" w:rsidRDefault="001B0CB1" w:rsidP="00325B44">
      <w:pPr>
        <w:ind w:right="360"/>
        <w:rPr>
          <w:rStyle w:val="Hyperlink"/>
          <w:b/>
          <w:bCs/>
          <w:color w:val="auto"/>
          <w:szCs w:val="24"/>
          <w:u w:val="none"/>
        </w:rPr>
      </w:pPr>
      <w:r w:rsidRPr="00E90453">
        <w:rPr>
          <w:rStyle w:val="Hyperlink"/>
          <w:color w:val="auto"/>
          <w:szCs w:val="24"/>
          <w:u w:val="none"/>
        </w:rPr>
        <w:t xml:space="preserve">For questions regarding patients with known or suspected monkeypox infection, please contact the </w:t>
      </w:r>
      <w:r w:rsidRPr="00E90453">
        <w:rPr>
          <w:rStyle w:val="Hyperlink"/>
          <w:b/>
          <w:bCs/>
          <w:color w:val="auto"/>
          <w:szCs w:val="24"/>
          <w:u w:val="none"/>
        </w:rPr>
        <w:t>24/7 MDPH Epidemiology line at 617-983-6800</w:t>
      </w:r>
    </w:p>
    <w:p w14:paraId="14F9C204" w14:textId="23AC7978" w:rsidR="00647B68" w:rsidRPr="00E90453" w:rsidRDefault="00647B68" w:rsidP="00325B44">
      <w:pPr>
        <w:ind w:right="360"/>
      </w:pPr>
    </w:p>
    <w:sectPr w:rsidR="00647B68" w:rsidRPr="00E90453" w:rsidSect="00CC536F">
      <w:headerReference w:type="default" r:id="rId12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416" w14:textId="77777777" w:rsidR="00DE4A50" w:rsidRDefault="00DE4A50" w:rsidP="00A96696">
      <w:r>
        <w:separator/>
      </w:r>
    </w:p>
  </w:endnote>
  <w:endnote w:type="continuationSeparator" w:id="0">
    <w:p w14:paraId="2A7425CD" w14:textId="77777777" w:rsidR="00DE4A50" w:rsidRDefault="00DE4A50" w:rsidP="00A9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3C97" w14:textId="77777777" w:rsidR="00DE4A50" w:rsidRDefault="00DE4A50" w:rsidP="00A96696">
      <w:r>
        <w:separator/>
      </w:r>
    </w:p>
  </w:footnote>
  <w:footnote w:type="continuationSeparator" w:id="0">
    <w:p w14:paraId="02261AE6" w14:textId="77777777" w:rsidR="00DE4A50" w:rsidRDefault="00DE4A50" w:rsidP="00A96696">
      <w:r>
        <w:continuationSeparator/>
      </w:r>
    </w:p>
  </w:footnote>
  <w:footnote w:id="1">
    <w:p w14:paraId="753C5569" w14:textId="44CAC48C" w:rsidR="00904690" w:rsidRPr="00904690" w:rsidRDefault="00904690">
      <w:pPr>
        <w:pStyle w:val="FootnoteText"/>
      </w:pPr>
      <w:r>
        <w:rPr>
          <w:rStyle w:val="FootnoteReference"/>
        </w:rPr>
        <w:footnoteRef/>
      </w:r>
      <w:r>
        <w:t xml:space="preserve"> For instructions on how to obtain TPOXX, please see the </w:t>
      </w:r>
      <w:r w:rsidR="00A52911">
        <w:t xml:space="preserve">current version of </w:t>
      </w:r>
      <w:r w:rsidRPr="00904690">
        <w:rPr>
          <w:i/>
          <w:iCs/>
        </w:rPr>
        <w:t>Information for Healthcare Providers on Obtaining and Using TPOXX (Tecovirimat) for Treatment of Monkeypox</w:t>
      </w:r>
      <w:r w:rsidR="00A52911" w:rsidRPr="00A52911">
        <w:t xml:space="preserve"> </w:t>
      </w:r>
      <w:r w:rsidR="00A52911">
        <w:t>on the CDC website</w:t>
      </w:r>
      <w:r>
        <w:rPr>
          <w:i/>
          <w:iCs/>
        </w:rPr>
        <w:t>,</w:t>
      </w:r>
      <w:hyperlink r:id="rId1" w:history="1">
        <w:r w:rsidRPr="007D7717">
          <w:rPr>
            <w:rStyle w:val="Hyperlink"/>
            <w:i/>
            <w:iCs/>
          </w:rPr>
          <w:t>https://www.cdc.gov/poxvirus/monkeypox/clinicians/obtaining-tecovirimat.html</w:t>
        </w:r>
      </w:hyperlink>
      <w:r>
        <w:rPr>
          <w:i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D25C" w14:textId="3D42C073" w:rsidR="002061CA" w:rsidRDefault="0020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0BA6"/>
    <w:multiLevelType w:val="hybridMultilevel"/>
    <w:tmpl w:val="9B0ED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62D14"/>
    <w:multiLevelType w:val="hybridMultilevel"/>
    <w:tmpl w:val="4A92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754FF"/>
    <w:multiLevelType w:val="hybridMultilevel"/>
    <w:tmpl w:val="123E5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23959"/>
    <w:rsid w:val="00033154"/>
    <w:rsid w:val="00042048"/>
    <w:rsid w:val="000537DA"/>
    <w:rsid w:val="000545A8"/>
    <w:rsid w:val="000712BE"/>
    <w:rsid w:val="00072637"/>
    <w:rsid w:val="00074A31"/>
    <w:rsid w:val="00090299"/>
    <w:rsid w:val="000A537B"/>
    <w:rsid w:val="000F315B"/>
    <w:rsid w:val="0010226C"/>
    <w:rsid w:val="00134659"/>
    <w:rsid w:val="00152004"/>
    <w:rsid w:val="0015268B"/>
    <w:rsid w:val="0017047F"/>
    <w:rsid w:val="00177C77"/>
    <w:rsid w:val="00182503"/>
    <w:rsid w:val="00194359"/>
    <w:rsid w:val="001B0CB1"/>
    <w:rsid w:val="001C4617"/>
    <w:rsid w:val="001D0564"/>
    <w:rsid w:val="002061CA"/>
    <w:rsid w:val="00252952"/>
    <w:rsid w:val="0026107B"/>
    <w:rsid w:val="00276957"/>
    <w:rsid w:val="00276DCC"/>
    <w:rsid w:val="00276E98"/>
    <w:rsid w:val="002A0D59"/>
    <w:rsid w:val="002C09A5"/>
    <w:rsid w:val="002D51B1"/>
    <w:rsid w:val="00306558"/>
    <w:rsid w:val="00325B44"/>
    <w:rsid w:val="003825F6"/>
    <w:rsid w:val="00382CD3"/>
    <w:rsid w:val="00383DB8"/>
    <w:rsid w:val="00385812"/>
    <w:rsid w:val="00392D0B"/>
    <w:rsid w:val="003A7AFC"/>
    <w:rsid w:val="003B782F"/>
    <w:rsid w:val="003C2DA0"/>
    <w:rsid w:val="003C60EF"/>
    <w:rsid w:val="003D3AB6"/>
    <w:rsid w:val="003E615B"/>
    <w:rsid w:val="00432B63"/>
    <w:rsid w:val="0048097B"/>
    <w:rsid w:val="004813AC"/>
    <w:rsid w:val="004B2AC8"/>
    <w:rsid w:val="004B37A0"/>
    <w:rsid w:val="004B4306"/>
    <w:rsid w:val="004B763E"/>
    <w:rsid w:val="004D6B39"/>
    <w:rsid w:val="004E5A4E"/>
    <w:rsid w:val="004F3B1D"/>
    <w:rsid w:val="00521589"/>
    <w:rsid w:val="005448AA"/>
    <w:rsid w:val="00585417"/>
    <w:rsid w:val="005A2325"/>
    <w:rsid w:val="005A53A1"/>
    <w:rsid w:val="005D2772"/>
    <w:rsid w:val="006257F7"/>
    <w:rsid w:val="00627E25"/>
    <w:rsid w:val="00647B68"/>
    <w:rsid w:val="006D06D9"/>
    <w:rsid w:val="006D77A6"/>
    <w:rsid w:val="00702109"/>
    <w:rsid w:val="00716B70"/>
    <w:rsid w:val="0072610D"/>
    <w:rsid w:val="00761E6B"/>
    <w:rsid w:val="00786459"/>
    <w:rsid w:val="00793533"/>
    <w:rsid w:val="007B3F4B"/>
    <w:rsid w:val="007B7347"/>
    <w:rsid w:val="007D10F3"/>
    <w:rsid w:val="008A3567"/>
    <w:rsid w:val="00904690"/>
    <w:rsid w:val="00920F1F"/>
    <w:rsid w:val="00924ED2"/>
    <w:rsid w:val="00945A24"/>
    <w:rsid w:val="009908FF"/>
    <w:rsid w:val="00995505"/>
    <w:rsid w:val="00A26158"/>
    <w:rsid w:val="00A30F53"/>
    <w:rsid w:val="00A3756C"/>
    <w:rsid w:val="00A52911"/>
    <w:rsid w:val="00A65101"/>
    <w:rsid w:val="00A96696"/>
    <w:rsid w:val="00AA241F"/>
    <w:rsid w:val="00AA5F74"/>
    <w:rsid w:val="00AC5422"/>
    <w:rsid w:val="00AD1EC6"/>
    <w:rsid w:val="00AE46E5"/>
    <w:rsid w:val="00AF0DB0"/>
    <w:rsid w:val="00B403BF"/>
    <w:rsid w:val="00B608D9"/>
    <w:rsid w:val="00B66332"/>
    <w:rsid w:val="00BA1AD3"/>
    <w:rsid w:val="00BA4055"/>
    <w:rsid w:val="00BA7FB6"/>
    <w:rsid w:val="00BD6FF4"/>
    <w:rsid w:val="00C20BFE"/>
    <w:rsid w:val="00C24EE2"/>
    <w:rsid w:val="00C832EB"/>
    <w:rsid w:val="00C96ABF"/>
    <w:rsid w:val="00CC1778"/>
    <w:rsid w:val="00CC536F"/>
    <w:rsid w:val="00CE575B"/>
    <w:rsid w:val="00CF3DE8"/>
    <w:rsid w:val="00CF40CF"/>
    <w:rsid w:val="00D0493F"/>
    <w:rsid w:val="00D55674"/>
    <w:rsid w:val="00D56F91"/>
    <w:rsid w:val="00D642F2"/>
    <w:rsid w:val="00D8671C"/>
    <w:rsid w:val="00DA57C3"/>
    <w:rsid w:val="00DB4E68"/>
    <w:rsid w:val="00DC3855"/>
    <w:rsid w:val="00DE4A50"/>
    <w:rsid w:val="00E242A8"/>
    <w:rsid w:val="00E274B8"/>
    <w:rsid w:val="00E452D0"/>
    <w:rsid w:val="00E60E11"/>
    <w:rsid w:val="00E72707"/>
    <w:rsid w:val="00E90453"/>
    <w:rsid w:val="00E9534F"/>
    <w:rsid w:val="00F0586E"/>
    <w:rsid w:val="00F43932"/>
    <w:rsid w:val="00FA3CAA"/>
    <w:rsid w:val="00FB24A3"/>
    <w:rsid w:val="00FC6B42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F69F49"/>
  <w15:docId w15:val="{1ED59EA1-CF73-4442-81C2-C288A952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C96ABF"/>
    <w:pPr>
      <w:widowControl w:val="0"/>
      <w:ind w:left="100"/>
      <w:outlineLvl w:val="0"/>
    </w:pPr>
    <w:rPr>
      <w:rFonts w:cstheme="min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table" w:styleId="TableGrid">
    <w:name w:val="Table Grid"/>
    <w:basedOn w:val="TableNormal"/>
    <w:uiPriority w:val="99"/>
    <w:rsid w:val="00A9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6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96696"/>
    <w:pPr>
      <w:widowControl w:val="0"/>
      <w:autoSpaceDE w:val="0"/>
      <w:autoSpaceDN w:val="0"/>
      <w:spacing w:before="19" w:line="194" w:lineRule="exact"/>
      <w:ind w:left="116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96696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96696"/>
    <w:rPr>
      <w:sz w:val="22"/>
      <w:szCs w:val="22"/>
    </w:rPr>
  </w:style>
  <w:style w:type="paragraph" w:styleId="Header">
    <w:name w:val="header"/>
    <w:basedOn w:val="Normal"/>
    <w:link w:val="HeaderChar"/>
    <w:rsid w:val="00A96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6696"/>
    <w:rPr>
      <w:sz w:val="24"/>
    </w:rPr>
  </w:style>
  <w:style w:type="paragraph" w:styleId="Footer">
    <w:name w:val="footer"/>
    <w:basedOn w:val="Normal"/>
    <w:link w:val="FooterChar"/>
    <w:uiPriority w:val="99"/>
    <w:rsid w:val="00A96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696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6ABF"/>
    <w:rPr>
      <w:rFonts w:cstheme="minorBidi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0469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04690"/>
  </w:style>
  <w:style w:type="character" w:styleId="FootnoteReference">
    <w:name w:val="footnote reference"/>
    <w:basedOn w:val="DefaultParagraphFont"/>
    <w:semiHidden/>
    <w:unhideWhenUsed/>
    <w:rsid w:val="0090469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046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2DA0"/>
    <w:rPr>
      <w:sz w:val="24"/>
    </w:rPr>
  </w:style>
  <w:style w:type="character" w:styleId="FollowedHyperlink">
    <w:name w:val="FollowedHyperlink"/>
    <w:basedOn w:val="DefaultParagraphFont"/>
    <w:semiHidden/>
    <w:unhideWhenUsed/>
    <w:rsid w:val="003C2DA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2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9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9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2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info-details/monkeypox-information-for-health-care-provid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cp.dph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board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poxvirus/monkeypox/clinicians/obtaining-tecovirimat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ACA0-D99B-49B2-A861-E864B47A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2</Pages>
  <Words>533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4159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Marshall</dc:creator>
  <cp:lastModifiedBy>Nelson, Lauren (DPH)</cp:lastModifiedBy>
  <cp:revision>2</cp:revision>
  <cp:lastPrinted>2020-08-12T21:19:00Z</cp:lastPrinted>
  <dcterms:created xsi:type="dcterms:W3CDTF">2022-08-29T16:16:00Z</dcterms:created>
  <dcterms:modified xsi:type="dcterms:W3CDTF">2022-08-29T16:16:00Z</dcterms:modified>
</cp:coreProperties>
</file>