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D11656D" w14:textId="50B75BDA" w:rsidR="00300D42" w:rsidRPr="0010226C" w:rsidRDefault="00300D42" w:rsidP="00300D42">
      <w:pPr>
        <w:pStyle w:val="Heading1"/>
        <w:ind w:left="882"/>
        <w:jc w:val="center"/>
        <w:rPr>
          <w:b w:val="0"/>
          <w:bCs w:val="0"/>
        </w:rPr>
      </w:pPr>
      <w:r w:rsidRPr="0010226C">
        <w:t>CI</w:t>
      </w:r>
      <w:r w:rsidRPr="0010226C">
        <w:rPr>
          <w:spacing w:val="-1"/>
        </w:rPr>
        <w:t>R</w:t>
      </w:r>
      <w:r w:rsidRPr="0010226C">
        <w:t>C</w:t>
      </w:r>
      <w:r w:rsidRPr="0010226C">
        <w:rPr>
          <w:spacing w:val="-1"/>
        </w:rPr>
        <w:t>U</w:t>
      </w:r>
      <w:r w:rsidRPr="0010226C">
        <w:t>LAR</w:t>
      </w:r>
      <w:r w:rsidRPr="0010226C">
        <w:rPr>
          <w:spacing w:val="-1"/>
        </w:rPr>
        <w:t xml:space="preserve"> </w:t>
      </w:r>
      <w:r w:rsidRPr="0010226C">
        <w:t xml:space="preserve">LETTER: </w:t>
      </w:r>
      <w:r w:rsidR="00E67556" w:rsidRPr="00E67556">
        <w:t>DCP 23-04-117</w:t>
      </w:r>
    </w:p>
    <w:p w14:paraId="6595EEA6" w14:textId="77777777" w:rsidR="001C1017" w:rsidRPr="0010226C" w:rsidRDefault="001C1017" w:rsidP="001C1017">
      <w:pPr>
        <w:rPr>
          <w:b/>
          <w:smallCaps/>
          <w:szCs w:val="24"/>
        </w:rPr>
      </w:pPr>
    </w:p>
    <w:p w14:paraId="43F13F6E" w14:textId="77777777" w:rsidR="001C1017" w:rsidRDefault="001C1017" w:rsidP="001C1017">
      <w:pPr>
        <w:tabs>
          <w:tab w:val="left" w:pos="1080"/>
        </w:tabs>
        <w:rPr>
          <w:spacing w:val="-3"/>
          <w:szCs w:val="24"/>
        </w:rPr>
      </w:pPr>
      <w:r w:rsidRPr="0010226C">
        <w:rPr>
          <w:szCs w:val="24"/>
        </w:rPr>
        <w:t xml:space="preserve"> </w:t>
      </w:r>
      <w:r w:rsidRPr="0010226C">
        <w:rPr>
          <w:b/>
          <w:bCs/>
          <w:szCs w:val="24"/>
        </w:rPr>
        <w:t>To:</w:t>
      </w:r>
      <w:r w:rsidRPr="0010226C">
        <w:rPr>
          <w:b/>
          <w:bCs/>
          <w:szCs w:val="24"/>
        </w:rPr>
        <w:tab/>
      </w:r>
      <w:r w:rsidRPr="004E4C0E">
        <w:rPr>
          <w:szCs w:val="24"/>
        </w:rPr>
        <w:t>Third</w:t>
      </w:r>
      <w:r>
        <w:rPr>
          <w:spacing w:val="-3"/>
          <w:szCs w:val="24"/>
        </w:rPr>
        <w:t xml:space="preserve"> Party Logistics Providers, Virtual Manufacturers and Virtual Distributers</w:t>
      </w:r>
    </w:p>
    <w:p w14:paraId="191B32BC" w14:textId="77777777" w:rsidR="001C1017" w:rsidRDefault="001C1017" w:rsidP="001C1017">
      <w:pPr>
        <w:rPr>
          <w:spacing w:val="-3"/>
          <w:szCs w:val="24"/>
        </w:rPr>
      </w:pPr>
    </w:p>
    <w:p w14:paraId="43760C9F" w14:textId="77777777" w:rsidR="001C1017" w:rsidRDefault="001C1017" w:rsidP="001C1017">
      <w:pPr>
        <w:tabs>
          <w:tab w:val="left" w:pos="1080"/>
        </w:tabs>
        <w:rPr>
          <w:szCs w:val="24"/>
        </w:rPr>
      </w:pPr>
      <w:r w:rsidRPr="0010226C">
        <w:rPr>
          <w:b/>
          <w:bCs/>
          <w:spacing w:val="-3"/>
          <w:szCs w:val="24"/>
        </w:rPr>
        <w:t>F</w:t>
      </w:r>
      <w:r w:rsidRPr="0010226C">
        <w:rPr>
          <w:b/>
          <w:bCs/>
          <w:spacing w:val="-1"/>
          <w:szCs w:val="24"/>
        </w:rPr>
        <w:t>r</w:t>
      </w:r>
      <w:r w:rsidRPr="0010226C">
        <w:rPr>
          <w:b/>
          <w:bCs/>
          <w:spacing w:val="2"/>
          <w:szCs w:val="24"/>
        </w:rPr>
        <w:t>o</w:t>
      </w:r>
      <w:r w:rsidRPr="0010226C">
        <w:rPr>
          <w:b/>
          <w:bCs/>
          <w:spacing w:val="-1"/>
          <w:szCs w:val="24"/>
        </w:rPr>
        <w:t>m</w:t>
      </w:r>
      <w:r w:rsidRPr="0010226C">
        <w:rPr>
          <w:b/>
          <w:bCs/>
          <w:szCs w:val="24"/>
        </w:rPr>
        <w:t>:</w:t>
      </w:r>
      <w:r>
        <w:rPr>
          <w:b/>
          <w:bCs/>
          <w:szCs w:val="24"/>
        </w:rPr>
        <w:tab/>
      </w:r>
      <w:r w:rsidRPr="0049540C">
        <w:rPr>
          <w:szCs w:val="24"/>
        </w:rPr>
        <w:t>J</w:t>
      </w:r>
      <w:r w:rsidRPr="0010226C">
        <w:rPr>
          <w:spacing w:val="-1"/>
          <w:szCs w:val="24"/>
        </w:rPr>
        <w:t>a</w:t>
      </w:r>
      <w:r w:rsidRPr="0010226C">
        <w:rPr>
          <w:szCs w:val="24"/>
        </w:rPr>
        <w:t xml:space="preserve">mes </w:t>
      </w:r>
      <w:r w:rsidRPr="0010226C">
        <w:rPr>
          <w:spacing w:val="-3"/>
          <w:szCs w:val="24"/>
        </w:rPr>
        <w:t>L</w:t>
      </w:r>
      <w:r w:rsidRPr="0010226C">
        <w:rPr>
          <w:spacing w:val="-1"/>
          <w:szCs w:val="24"/>
        </w:rPr>
        <w:t>a</w:t>
      </w:r>
      <w:r w:rsidRPr="0010226C">
        <w:rPr>
          <w:szCs w:val="24"/>
        </w:rPr>
        <w:t>v</w:t>
      </w:r>
      <w:r w:rsidRPr="0010226C">
        <w:rPr>
          <w:spacing w:val="1"/>
          <w:szCs w:val="24"/>
        </w:rPr>
        <w:t>e</w:t>
      </w:r>
      <w:r w:rsidRPr="0010226C">
        <w:rPr>
          <w:spacing w:val="3"/>
          <w:szCs w:val="24"/>
        </w:rPr>
        <w:t>r</w:t>
      </w:r>
      <w:r w:rsidRPr="0010226C">
        <w:rPr>
          <w:spacing w:val="-5"/>
          <w:szCs w:val="24"/>
        </w:rPr>
        <w:t>y</w:t>
      </w:r>
      <w:r w:rsidRPr="0010226C">
        <w:rPr>
          <w:szCs w:val="24"/>
        </w:rPr>
        <w:t>, Dire</w:t>
      </w:r>
      <w:r w:rsidRPr="0010226C">
        <w:rPr>
          <w:spacing w:val="-1"/>
          <w:szCs w:val="24"/>
        </w:rPr>
        <w:t>c</w:t>
      </w:r>
      <w:r w:rsidRPr="0010226C">
        <w:rPr>
          <w:szCs w:val="24"/>
        </w:rPr>
        <w:t>tor,</w:t>
      </w:r>
      <w:r w:rsidRPr="0010226C">
        <w:rPr>
          <w:spacing w:val="1"/>
          <w:szCs w:val="24"/>
        </w:rPr>
        <w:t xml:space="preserve"> </w:t>
      </w:r>
      <w:r w:rsidRPr="0010226C">
        <w:rPr>
          <w:spacing w:val="-2"/>
          <w:szCs w:val="24"/>
        </w:rPr>
        <w:t>B</w:t>
      </w:r>
      <w:r w:rsidRPr="0010226C">
        <w:rPr>
          <w:szCs w:val="24"/>
        </w:rPr>
        <w:t>u</w:t>
      </w:r>
      <w:r w:rsidRPr="0010226C">
        <w:rPr>
          <w:spacing w:val="-1"/>
          <w:szCs w:val="24"/>
        </w:rPr>
        <w:t>r</w:t>
      </w:r>
      <w:r w:rsidRPr="0010226C">
        <w:rPr>
          <w:spacing w:val="1"/>
          <w:szCs w:val="24"/>
        </w:rPr>
        <w:t>e</w:t>
      </w:r>
      <w:r w:rsidRPr="0010226C">
        <w:rPr>
          <w:spacing w:val="-1"/>
          <w:szCs w:val="24"/>
        </w:rPr>
        <w:t>a</w:t>
      </w:r>
      <w:r w:rsidRPr="0010226C">
        <w:rPr>
          <w:szCs w:val="24"/>
        </w:rPr>
        <w:t>u of H</w:t>
      </w:r>
      <w:r w:rsidRPr="0010226C">
        <w:rPr>
          <w:spacing w:val="-1"/>
          <w:szCs w:val="24"/>
        </w:rPr>
        <w:t>ea</w:t>
      </w:r>
      <w:r w:rsidRPr="0010226C">
        <w:rPr>
          <w:szCs w:val="24"/>
        </w:rPr>
        <w:t>lth Pro</w:t>
      </w:r>
      <w:r w:rsidRPr="0010226C">
        <w:rPr>
          <w:spacing w:val="-2"/>
          <w:szCs w:val="24"/>
        </w:rPr>
        <w:t>f</w:t>
      </w:r>
      <w:r w:rsidRPr="0010226C">
        <w:rPr>
          <w:spacing w:val="-1"/>
          <w:szCs w:val="24"/>
        </w:rPr>
        <w:t>e</w:t>
      </w:r>
      <w:r w:rsidRPr="0010226C">
        <w:rPr>
          <w:szCs w:val="24"/>
        </w:rPr>
        <w:t>s</w:t>
      </w:r>
      <w:r w:rsidRPr="0010226C">
        <w:rPr>
          <w:spacing w:val="2"/>
          <w:szCs w:val="24"/>
        </w:rPr>
        <w:t>s</w:t>
      </w:r>
      <w:r w:rsidRPr="0010226C">
        <w:rPr>
          <w:szCs w:val="24"/>
        </w:rPr>
        <w:t>ions</w:t>
      </w:r>
      <w:r w:rsidRPr="0010226C">
        <w:rPr>
          <w:spacing w:val="2"/>
          <w:szCs w:val="24"/>
        </w:rPr>
        <w:t xml:space="preserve"> </w:t>
      </w:r>
      <w:r w:rsidRPr="0010226C">
        <w:rPr>
          <w:spacing w:val="-6"/>
          <w:szCs w:val="24"/>
        </w:rPr>
        <w:t>L</w:t>
      </w:r>
      <w:r w:rsidRPr="0010226C">
        <w:rPr>
          <w:szCs w:val="24"/>
        </w:rPr>
        <w:t>ic</w:t>
      </w:r>
      <w:r w:rsidRPr="0010226C">
        <w:rPr>
          <w:spacing w:val="-2"/>
          <w:szCs w:val="24"/>
        </w:rPr>
        <w:t>e</w:t>
      </w:r>
      <w:r w:rsidRPr="0010226C">
        <w:rPr>
          <w:szCs w:val="24"/>
        </w:rPr>
        <w:t>ns</w:t>
      </w:r>
      <w:r w:rsidRPr="0010226C">
        <w:rPr>
          <w:spacing w:val="2"/>
          <w:szCs w:val="24"/>
        </w:rPr>
        <w:t>u</w:t>
      </w:r>
      <w:r w:rsidRPr="0010226C">
        <w:rPr>
          <w:szCs w:val="24"/>
        </w:rPr>
        <w:t>re</w:t>
      </w:r>
    </w:p>
    <w:p w14:paraId="22CEFDB0" w14:textId="77777777" w:rsidR="001C1017" w:rsidRPr="0049540C" w:rsidRDefault="001C1017" w:rsidP="001C1017">
      <w:pPr>
        <w:tabs>
          <w:tab w:val="left" w:pos="1080"/>
        </w:tabs>
        <w:rPr>
          <w:szCs w:val="24"/>
        </w:rPr>
      </w:pPr>
      <w:r>
        <w:rPr>
          <w:szCs w:val="24"/>
        </w:rPr>
        <w:tab/>
      </w:r>
      <w:r w:rsidRPr="0010226C">
        <w:rPr>
          <w:spacing w:val="-3"/>
          <w:szCs w:val="24"/>
        </w:rPr>
        <w:t>David Johnson, Director, Drug Control Program</w:t>
      </w:r>
    </w:p>
    <w:p w14:paraId="79E71F2D" w14:textId="77777777" w:rsidR="001C1017" w:rsidRDefault="001C1017" w:rsidP="001C1017">
      <w:pPr>
        <w:tabs>
          <w:tab w:val="left" w:pos="1080"/>
        </w:tabs>
        <w:rPr>
          <w:b/>
          <w:bCs/>
          <w:szCs w:val="24"/>
        </w:rPr>
      </w:pPr>
    </w:p>
    <w:p w14:paraId="32A4042C" w14:textId="77D04B21" w:rsidR="001C1017" w:rsidRPr="0049540C" w:rsidRDefault="001C1017" w:rsidP="001C1017">
      <w:pPr>
        <w:tabs>
          <w:tab w:val="left" w:pos="1080"/>
        </w:tabs>
        <w:rPr>
          <w:spacing w:val="-3"/>
          <w:szCs w:val="24"/>
        </w:rPr>
      </w:pPr>
      <w:r w:rsidRPr="0010226C">
        <w:rPr>
          <w:b/>
          <w:bCs/>
          <w:szCs w:val="24"/>
        </w:rPr>
        <w:t>Da</w:t>
      </w:r>
      <w:r w:rsidRPr="0010226C">
        <w:rPr>
          <w:b/>
          <w:bCs/>
          <w:spacing w:val="-2"/>
          <w:szCs w:val="24"/>
        </w:rPr>
        <w:t>t</w:t>
      </w:r>
      <w:r w:rsidRPr="0010226C">
        <w:rPr>
          <w:b/>
          <w:bCs/>
          <w:spacing w:val="-1"/>
          <w:szCs w:val="24"/>
        </w:rPr>
        <w:t>e</w:t>
      </w:r>
      <w:r w:rsidRPr="0010226C">
        <w:rPr>
          <w:b/>
          <w:bCs/>
          <w:szCs w:val="24"/>
        </w:rPr>
        <w:t>:</w:t>
      </w:r>
      <w:r w:rsidRPr="0010226C">
        <w:rPr>
          <w:b/>
          <w:bCs/>
          <w:szCs w:val="24"/>
        </w:rPr>
        <w:tab/>
      </w:r>
      <w:r>
        <w:rPr>
          <w:szCs w:val="24"/>
        </w:rPr>
        <w:t>April 21</w:t>
      </w:r>
      <w:r>
        <w:rPr>
          <w:spacing w:val="2"/>
          <w:szCs w:val="24"/>
        </w:rPr>
        <w:t>, 2023</w:t>
      </w:r>
    </w:p>
    <w:p w14:paraId="5940EB84" w14:textId="77777777" w:rsidR="001C1017" w:rsidRPr="0010226C" w:rsidRDefault="001C1017" w:rsidP="001C1017">
      <w:pPr>
        <w:tabs>
          <w:tab w:val="left" w:pos="9630"/>
        </w:tabs>
        <w:spacing w:before="16" w:line="260" w:lineRule="exact"/>
        <w:rPr>
          <w:szCs w:val="24"/>
        </w:rPr>
      </w:pPr>
    </w:p>
    <w:p w14:paraId="2A98177F" w14:textId="77777777" w:rsidR="001C1017" w:rsidRDefault="001C1017" w:rsidP="001C1017">
      <w:pPr>
        <w:tabs>
          <w:tab w:val="left" w:pos="1080"/>
        </w:tabs>
        <w:rPr>
          <w:szCs w:val="24"/>
        </w:rPr>
      </w:pPr>
      <w:r w:rsidRPr="0010226C">
        <w:rPr>
          <w:b/>
          <w:bCs/>
          <w:szCs w:val="24"/>
        </w:rPr>
        <w:t>Subj</w:t>
      </w:r>
      <w:r w:rsidRPr="0010226C">
        <w:rPr>
          <w:b/>
          <w:bCs/>
          <w:spacing w:val="-2"/>
          <w:szCs w:val="24"/>
        </w:rPr>
        <w:t>e</w:t>
      </w:r>
      <w:r w:rsidRPr="0010226C">
        <w:rPr>
          <w:b/>
          <w:bCs/>
          <w:spacing w:val="-1"/>
          <w:szCs w:val="24"/>
        </w:rPr>
        <w:t>c</w:t>
      </w:r>
      <w:r w:rsidRPr="0010226C">
        <w:rPr>
          <w:b/>
          <w:bCs/>
          <w:szCs w:val="24"/>
        </w:rPr>
        <w:t>t:</w:t>
      </w:r>
      <w:r>
        <w:rPr>
          <w:b/>
          <w:bCs/>
          <w:szCs w:val="24"/>
        </w:rPr>
        <w:tab/>
      </w:r>
      <w:r>
        <w:rPr>
          <w:szCs w:val="24"/>
        </w:rPr>
        <w:t xml:space="preserve">Massachusetts Controlled Substance Registrations (MCSRs) for </w:t>
      </w:r>
    </w:p>
    <w:p w14:paraId="27CA363C" w14:textId="77777777" w:rsidR="001C1017" w:rsidRPr="0010226C" w:rsidRDefault="001C1017" w:rsidP="001C1017">
      <w:pPr>
        <w:tabs>
          <w:tab w:val="left" w:pos="1080"/>
        </w:tabs>
        <w:rPr>
          <w:szCs w:val="24"/>
        </w:rPr>
      </w:pPr>
      <w:r>
        <w:rPr>
          <w:szCs w:val="24"/>
        </w:rPr>
        <w:tab/>
      </w:r>
      <w:r>
        <w:rPr>
          <w:spacing w:val="1"/>
          <w:szCs w:val="24"/>
        </w:rPr>
        <w:t xml:space="preserve">Third Party </w:t>
      </w:r>
      <w:r w:rsidRPr="0049540C">
        <w:rPr>
          <w:spacing w:val="-3"/>
          <w:szCs w:val="24"/>
        </w:rPr>
        <w:t>Logistics</w:t>
      </w:r>
      <w:r>
        <w:rPr>
          <w:spacing w:val="1"/>
          <w:szCs w:val="24"/>
        </w:rPr>
        <w:t xml:space="preserve"> Providers, Virtual Manufacturers and Virtual Distributors</w:t>
      </w:r>
    </w:p>
    <w:p w14:paraId="138F6022" w14:textId="77777777" w:rsidR="001C1017" w:rsidRPr="0010226C" w:rsidRDefault="001C1017" w:rsidP="001C1017">
      <w:pPr>
        <w:spacing w:before="1" w:line="130" w:lineRule="exact"/>
        <w:rPr>
          <w:szCs w:val="24"/>
        </w:rPr>
      </w:pPr>
    </w:p>
    <w:p w14:paraId="7E67C500" w14:textId="77777777" w:rsidR="001C1017" w:rsidRPr="0010226C" w:rsidRDefault="001C1017" w:rsidP="001C1017">
      <w:pPr>
        <w:spacing w:line="200" w:lineRule="exact"/>
        <w:rPr>
          <w:szCs w:val="24"/>
        </w:rPr>
      </w:pPr>
    </w:p>
    <w:p w14:paraId="6DFD8A3B" w14:textId="77777777" w:rsidR="001C1017" w:rsidRPr="0010226C" w:rsidRDefault="001C1017" w:rsidP="001C1017">
      <w:pPr>
        <w:spacing w:line="200" w:lineRule="exact"/>
        <w:rPr>
          <w:szCs w:val="24"/>
        </w:rPr>
      </w:pPr>
    </w:p>
    <w:p w14:paraId="32ACF5BE" w14:textId="77777777" w:rsidR="001C1017" w:rsidRDefault="001C1017" w:rsidP="001C1017">
      <w:pPr>
        <w:pStyle w:val="BodyText"/>
        <w:spacing w:after="240"/>
        <w:rPr>
          <w:spacing w:val="1"/>
          <w:sz w:val="24"/>
          <w:szCs w:val="24"/>
        </w:rPr>
      </w:pPr>
      <w:r w:rsidRPr="0010226C">
        <w:rPr>
          <w:noProof/>
          <w:sz w:val="24"/>
          <w:szCs w:val="24"/>
        </w:rPr>
        <mc:AlternateContent>
          <mc:Choice Requires="wpg">
            <w:drawing>
              <wp:anchor distT="0" distB="0" distL="114300" distR="114300" simplePos="0" relativeHeight="251660288" behindDoc="1" locked="0" layoutInCell="1" allowOverlap="1" wp14:anchorId="28EFA56B" wp14:editId="0CA9CEB2">
                <wp:simplePos x="0" y="0"/>
                <wp:positionH relativeFrom="page">
                  <wp:posOffset>896620</wp:posOffset>
                </wp:positionH>
                <wp:positionV relativeFrom="paragraph">
                  <wp:posOffset>-135255</wp:posOffset>
                </wp:positionV>
                <wp:extent cx="5981065" cy="1270"/>
                <wp:effectExtent l="10795" t="14605" r="18415"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213"/>
                          <a:chExt cx="9419" cy="2"/>
                        </a:xfrm>
                      </wpg:grpSpPr>
                      <wps:wsp>
                        <wps:cNvPr id="11" name="Freeform 9"/>
                        <wps:cNvSpPr>
                          <a:spLocks/>
                        </wps:cNvSpPr>
                        <wps:spPr bwMode="auto">
                          <a:xfrm>
                            <a:off x="1412" y="-213"/>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B1CD8" id="Group 10" o:spid="_x0000_s1026" style="position:absolute;margin-left:70.6pt;margin-top:-10.65pt;width:470.95pt;height:.1pt;z-index:-251656192;mso-position-horizontal-relative:page" coordorigin="1412,-213"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">
                <v:shape id="Freeform 9" o:spid="_x0000_s1027" style="position:absolute;left:1412;top:-21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" path="m,l9419,e" filled="f" strokeweight="1.54pt">
                  <v:path arrowok="t" o:connecttype="custom" o:connectlocs="0,0;9419,0" o:connectangles="0,0"/>
                </v:shape>
                <w10:wrap anchorx="page"/>
              </v:group>
            </w:pict>
          </mc:Fallback>
        </mc:AlternateContent>
      </w:r>
      <w:r w:rsidRPr="0010226C">
        <w:rPr>
          <w:spacing w:val="1"/>
          <w:sz w:val="24"/>
          <w:szCs w:val="24"/>
        </w:rPr>
        <w:t xml:space="preserve">This Circular Letter is issued </w:t>
      </w:r>
      <w:r w:rsidRPr="0010226C">
        <w:rPr>
          <w:spacing w:val="2"/>
          <w:sz w:val="24"/>
          <w:szCs w:val="24"/>
        </w:rPr>
        <w:t>b</w:t>
      </w:r>
      <w:r w:rsidRPr="0010226C">
        <w:rPr>
          <w:sz w:val="24"/>
          <w:szCs w:val="24"/>
        </w:rPr>
        <w:t>y</w:t>
      </w:r>
      <w:r w:rsidRPr="0010226C">
        <w:rPr>
          <w:spacing w:val="-5"/>
          <w:sz w:val="24"/>
          <w:szCs w:val="24"/>
        </w:rPr>
        <w:t xml:space="preserve"> </w:t>
      </w:r>
      <w:r w:rsidRPr="0010226C">
        <w:rPr>
          <w:sz w:val="24"/>
          <w:szCs w:val="24"/>
        </w:rPr>
        <w:t>the</w:t>
      </w:r>
      <w:r w:rsidRPr="0010226C">
        <w:rPr>
          <w:spacing w:val="1"/>
          <w:sz w:val="24"/>
          <w:szCs w:val="24"/>
        </w:rPr>
        <w:t xml:space="preserve"> </w:t>
      </w:r>
      <w:r w:rsidRPr="0010226C">
        <w:rPr>
          <w:sz w:val="24"/>
          <w:szCs w:val="24"/>
        </w:rPr>
        <w:t>D</w:t>
      </w:r>
      <w:r w:rsidRPr="0010226C">
        <w:rPr>
          <w:spacing w:val="-2"/>
          <w:sz w:val="24"/>
          <w:szCs w:val="24"/>
        </w:rPr>
        <w:t>r</w:t>
      </w:r>
      <w:r w:rsidRPr="0010226C">
        <w:rPr>
          <w:spacing w:val="2"/>
          <w:sz w:val="24"/>
          <w:szCs w:val="24"/>
        </w:rPr>
        <w:t>u</w:t>
      </w:r>
      <w:r w:rsidRPr="0010226C">
        <w:rPr>
          <w:sz w:val="24"/>
          <w:szCs w:val="24"/>
        </w:rPr>
        <w:t>g Control Pro</w:t>
      </w:r>
      <w:r w:rsidRPr="0010226C">
        <w:rPr>
          <w:spacing w:val="-4"/>
          <w:sz w:val="24"/>
          <w:szCs w:val="24"/>
        </w:rPr>
        <w:t>g</w:t>
      </w:r>
      <w:r w:rsidRPr="0010226C">
        <w:rPr>
          <w:sz w:val="24"/>
          <w:szCs w:val="24"/>
        </w:rPr>
        <w:t>r</w:t>
      </w:r>
      <w:r w:rsidRPr="0010226C">
        <w:rPr>
          <w:spacing w:val="-2"/>
          <w:sz w:val="24"/>
          <w:szCs w:val="24"/>
        </w:rPr>
        <w:t>a</w:t>
      </w:r>
      <w:r w:rsidRPr="0010226C">
        <w:rPr>
          <w:sz w:val="24"/>
          <w:szCs w:val="24"/>
        </w:rPr>
        <w:t>m</w:t>
      </w:r>
      <w:r>
        <w:rPr>
          <w:sz w:val="24"/>
          <w:szCs w:val="24"/>
        </w:rPr>
        <w:t xml:space="preserve"> (DCP)</w:t>
      </w:r>
      <w:r w:rsidRPr="0010226C">
        <w:rPr>
          <w:sz w:val="24"/>
          <w:szCs w:val="24"/>
        </w:rPr>
        <w:t xml:space="preserve">, which is part of the </w:t>
      </w:r>
      <w:r w:rsidRPr="0010226C">
        <w:rPr>
          <w:spacing w:val="-2"/>
          <w:sz w:val="24"/>
          <w:szCs w:val="24"/>
        </w:rPr>
        <w:t>B</w:t>
      </w:r>
      <w:r w:rsidRPr="0010226C">
        <w:rPr>
          <w:spacing w:val="2"/>
          <w:sz w:val="24"/>
          <w:szCs w:val="24"/>
        </w:rPr>
        <w:t>u</w:t>
      </w:r>
      <w:r w:rsidRPr="0010226C">
        <w:rPr>
          <w:sz w:val="24"/>
          <w:szCs w:val="24"/>
        </w:rPr>
        <w:t>re</w:t>
      </w:r>
      <w:r w:rsidRPr="0010226C">
        <w:rPr>
          <w:spacing w:val="-1"/>
          <w:sz w:val="24"/>
          <w:szCs w:val="24"/>
        </w:rPr>
        <w:t>a</w:t>
      </w:r>
      <w:r w:rsidRPr="0010226C">
        <w:rPr>
          <w:sz w:val="24"/>
          <w:szCs w:val="24"/>
        </w:rPr>
        <w:t xml:space="preserve">u of </w:t>
      </w:r>
      <w:r w:rsidRPr="0010226C">
        <w:rPr>
          <w:spacing w:val="-2"/>
          <w:sz w:val="24"/>
          <w:szCs w:val="24"/>
        </w:rPr>
        <w:t>H</w:t>
      </w:r>
      <w:r w:rsidRPr="0010226C">
        <w:rPr>
          <w:spacing w:val="1"/>
          <w:sz w:val="24"/>
          <w:szCs w:val="24"/>
        </w:rPr>
        <w:t>e</w:t>
      </w:r>
      <w:r w:rsidRPr="0010226C">
        <w:rPr>
          <w:spacing w:val="-1"/>
          <w:sz w:val="24"/>
          <w:szCs w:val="24"/>
        </w:rPr>
        <w:t>a</w:t>
      </w:r>
      <w:r w:rsidRPr="0010226C">
        <w:rPr>
          <w:sz w:val="24"/>
          <w:szCs w:val="24"/>
        </w:rPr>
        <w:t>lth Pro</w:t>
      </w:r>
      <w:r w:rsidRPr="0010226C">
        <w:rPr>
          <w:spacing w:val="-2"/>
          <w:sz w:val="24"/>
          <w:szCs w:val="24"/>
        </w:rPr>
        <w:t>f</w:t>
      </w:r>
      <w:r w:rsidRPr="0010226C">
        <w:rPr>
          <w:spacing w:val="-1"/>
          <w:sz w:val="24"/>
          <w:szCs w:val="24"/>
        </w:rPr>
        <w:t>e</w:t>
      </w:r>
      <w:r w:rsidRPr="0010226C">
        <w:rPr>
          <w:sz w:val="24"/>
          <w:szCs w:val="24"/>
        </w:rPr>
        <w:t>ssions</w:t>
      </w:r>
      <w:r w:rsidRPr="0010226C">
        <w:rPr>
          <w:spacing w:val="2"/>
          <w:sz w:val="24"/>
          <w:szCs w:val="24"/>
        </w:rPr>
        <w:t xml:space="preserve"> </w:t>
      </w:r>
      <w:r w:rsidRPr="0010226C">
        <w:rPr>
          <w:spacing w:val="-6"/>
          <w:sz w:val="24"/>
          <w:szCs w:val="24"/>
        </w:rPr>
        <w:t>L</w:t>
      </w:r>
      <w:r w:rsidRPr="0010226C">
        <w:rPr>
          <w:sz w:val="24"/>
          <w:szCs w:val="24"/>
        </w:rPr>
        <w:t>i</w:t>
      </w:r>
      <w:r w:rsidRPr="0010226C">
        <w:rPr>
          <w:spacing w:val="1"/>
          <w:sz w:val="24"/>
          <w:szCs w:val="24"/>
        </w:rPr>
        <w:t>c</w:t>
      </w:r>
      <w:r w:rsidRPr="0010226C">
        <w:rPr>
          <w:spacing w:val="-1"/>
          <w:sz w:val="24"/>
          <w:szCs w:val="24"/>
        </w:rPr>
        <w:t>e</w:t>
      </w:r>
      <w:r w:rsidRPr="0010226C">
        <w:rPr>
          <w:sz w:val="24"/>
          <w:szCs w:val="24"/>
        </w:rPr>
        <w:t>nsur</w:t>
      </w:r>
      <w:r w:rsidRPr="0010226C">
        <w:rPr>
          <w:spacing w:val="-2"/>
          <w:sz w:val="24"/>
          <w:szCs w:val="24"/>
        </w:rPr>
        <w:t>e,</w:t>
      </w:r>
      <w:r w:rsidRPr="0010226C">
        <w:rPr>
          <w:spacing w:val="1"/>
          <w:sz w:val="24"/>
          <w:szCs w:val="24"/>
        </w:rPr>
        <w:t xml:space="preserve"> </w:t>
      </w:r>
      <w:r>
        <w:rPr>
          <w:spacing w:val="1"/>
          <w:sz w:val="24"/>
          <w:szCs w:val="24"/>
        </w:rPr>
        <w:t xml:space="preserve">regarding registration of Third Party Logistics Providers (3PLs), Virtual Manufacturers and Virtual Distributors. The purpose is to assist registrants who conduct these kinds of operations to understand which of the three MCSRs available for virtual activities best meets the needs of their business.  </w:t>
      </w:r>
    </w:p>
    <w:p w14:paraId="305C3AB0" w14:textId="77777777" w:rsidR="001C1017" w:rsidRPr="00781554" w:rsidRDefault="001C1017" w:rsidP="001C1017">
      <w:pPr>
        <w:pStyle w:val="BodyText"/>
        <w:numPr>
          <w:ilvl w:val="0"/>
          <w:numId w:val="2"/>
        </w:numPr>
        <w:spacing w:after="240"/>
        <w:rPr>
          <w:b/>
          <w:bCs/>
          <w:i/>
          <w:iCs/>
          <w:spacing w:val="1"/>
          <w:sz w:val="24"/>
          <w:szCs w:val="24"/>
        </w:rPr>
      </w:pPr>
      <w:r>
        <w:rPr>
          <w:b/>
          <w:bCs/>
          <w:i/>
          <w:iCs/>
          <w:spacing w:val="1"/>
          <w:sz w:val="24"/>
          <w:szCs w:val="24"/>
        </w:rPr>
        <w:t>Selecting</w:t>
      </w:r>
      <w:r w:rsidRPr="00781554">
        <w:rPr>
          <w:b/>
          <w:bCs/>
          <w:i/>
          <w:iCs/>
          <w:spacing w:val="1"/>
          <w:sz w:val="24"/>
          <w:szCs w:val="24"/>
        </w:rPr>
        <w:t xml:space="preserve"> </w:t>
      </w:r>
      <w:r>
        <w:rPr>
          <w:b/>
          <w:bCs/>
          <w:i/>
          <w:iCs/>
          <w:spacing w:val="1"/>
          <w:sz w:val="24"/>
          <w:szCs w:val="24"/>
        </w:rPr>
        <w:t>the Appropriate</w:t>
      </w:r>
      <w:r w:rsidRPr="00781554">
        <w:rPr>
          <w:b/>
          <w:bCs/>
          <w:i/>
          <w:iCs/>
          <w:spacing w:val="1"/>
          <w:sz w:val="24"/>
          <w:szCs w:val="24"/>
        </w:rPr>
        <w:t xml:space="preserve"> MCSR Category</w:t>
      </w:r>
    </w:p>
    <w:p w14:paraId="5D444269" w14:textId="77777777" w:rsidR="001C1017" w:rsidRDefault="001C1017" w:rsidP="001C1017">
      <w:pPr>
        <w:pStyle w:val="BodyText"/>
        <w:spacing w:after="240"/>
        <w:rPr>
          <w:spacing w:val="1"/>
          <w:sz w:val="24"/>
          <w:szCs w:val="24"/>
        </w:rPr>
      </w:pPr>
      <w:r>
        <w:rPr>
          <w:spacing w:val="1"/>
          <w:sz w:val="24"/>
          <w:szCs w:val="24"/>
        </w:rPr>
        <w:t xml:space="preserve">A </w:t>
      </w:r>
      <w:r w:rsidRPr="00DC142E">
        <w:rPr>
          <w:b/>
          <w:bCs/>
          <w:spacing w:val="1"/>
          <w:sz w:val="24"/>
          <w:szCs w:val="24"/>
        </w:rPr>
        <w:t>Virtual Manufacturer</w:t>
      </w:r>
      <w:r>
        <w:rPr>
          <w:spacing w:val="1"/>
          <w:sz w:val="24"/>
          <w:szCs w:val="24"/>
        </w:rPr>
        <w:t xml:space="preserve"> is a person/entity with a principal place of business in the Commonwealth of Massachusetts but which never takes physical possession of controlled substances in the Commonwealth.</w:t>
      </w:r>
      <w:r>
        <w:rPr>
          <w:rStyle w:val="FootnoteReference"/>
          <w:spacing w:val="1"/>
          <w:szCs w:val="24"/>
        </w:rPr>
        <w:footnoteReference w:id="1"/>
      </w:r>
      <w:r>
        <w:rPr>
          <w:spacing w:val="1"/>
          <w:sz w:val="24"/>
          <w:szCs w:val="24"/>
        </w:rPr>
        <w:t xml:space="preserve"> An example of a Virtual Manufacturer could be a person/entity with a principal office in Massachusetts, while its manufacturing operations are located in another state.  Manufacturing operations are managed or directed in Massachusetts, but no controlled substances are manufactured or stored in Massachusetts.  An MCSR for virtual manufacturing would also authorize the person/entity to conduct virtual distribution of its own controlled substance products.</w:t>
      </w:r>
    </w:p>
    <w:p w14:paraId="1EB49322" w14:textId="77777777" w:rsidR="001C1017" w:rsidRDefault="001C1017" w:rsidP="001C1017">
      <w:pPr>
        <w:pStyle w:val="BodyText"/>
        <w:spacing w:after="240"/>
        <w:rPr>
          <w:spacing w:val="1"/>
          <w:sz w:val="24"/>
          <w:szCs w:val="24"/>
        </w:rPr>
      </w:pPr>
      <w:r>
        <w:rPr>
          <w:spacing w:val="1"/>
          <w:sz w:val="24"/>
          <w:szCs w:val="24"/>
        </w:rPr>
        <w:t xml:space="preserve">A </w:t>
      </w:r>
      <w:r w:rsidRPr="00DC142E">
        <w:rPr>
          <w:b/>
          <w:bCs/>
          <w:spacing w:val="1"/>
          <w:sz w:val="24"/>
          <w:szCs w:val="24"/>
        </w:rPr>
        <w:t xml:space="preserve">Virtual </w:t>
      </w:r>
      <w:r>
        <w:rPr>
          <w:b/>
          <w:bCs/>
          <w:spacing w:val="1"/>
          <w:sz w:val="24"/>
          <w:szCs w:val="24"/>
        </w:rPr>
        <w:t>Distributor</w:t>
      </w:r>
      <w:r>
        <w:rPr>
          <w:spacing w:val="1"/>
          <w:sz w:val="24"/>
          <w:szCs w:val="24"/>
        </w:rPr>
        <w:t xml:space="preserve"> is a person/entity with a principal place of business in Massachusetts but which never take physical possession of controlled substances in Massachusetts.</w:t>
      </w:r>
      <w:r>
        <w:rPr>
          <w:rStyle w:val="FootnoteReference"/>
          <w:spacing w:val="1"/>
          <w:szCs w:val="24"/>
        </w:rPr>
        <w:footnoteReference w:id="2"/>
      </w:r>
      <w:r>
        <w:rPr>
          <w:spacing w:val="1"/>
          <w:sz w:val="24"/>
          <w:szCs w:val="24"/>
        </w:rPr>
        <w:t xml:space="preserve"> An example of a Virtual Distributor could be a person/entity with a principal office in Massachusetts, while its distribution centers, warehouses, trucking operations, etc. are all located in other states.  Distribution operations are managed or directed in the Massachusetts, but no controlled substances are received or stored in Massachusetts. </w:t>
      </w:r>
    </w:p>
    <w:p w14:paraId="107D42CA" w14:textId="77777777" w:rsidR="001C1017" w:rsidRPr="00EB6498" w:rsidRDefault="001C1017" w:rsidP="001C1017">
      <w:pPr>
        <w:pStyle w:val="BodyText"/>
        <w:spacing w:after="240"/>
        <w:rPr>
          <w:sz w:val="24"/>
          <w:szCs w:val="24"/>
        </w:rPr>
      </w:pPr>
      <w:r w:rsidRPr="00EB6498">
        <w:rPr>
          <w:spacing w:val="1"/>
          <w:sz w:val="24"/>
          <w:szCs w:val="24"/>
        </w:rPr>
        <w:lastRenderedPageBreak/>
        <w:t xml:space="preserve">A </w:t>
      </w:r>
      <w:r w:rsidRPr="00EB6498">
        <w:rPr>
          <w:b/>
          <w:bCs/>
          <w:spacing w:val="1"/>
          <w:sz w:val="24"/>
          <w:szCs w:val="24"/>
        </w:rPr>
        <w:t>3PL</w:t>
      </w:r>
      <w:r w:rsidRPr="00EB6498">
        <w:rPr>
          <w:spacing w:val="1"/>
          <w:sz w:val="24"/>
          <w:szCs w:val="24"/>
        </w:rPr>
        <w:t xml:space="preserve"> is an entity that provides or coordinates warehousing, or other logistics services</w:t>
      </w:r>
      <w:r>
        <w:rPr>
          <w:spacing w:val="1"/>
          <w:sz w:val="24"/>
          <w:szCs w:val="24"/>
        </w:rPr>
        <w:t>,</w:t>
      </w:r>
      <w:r w:rsidRPr="00EB6498">
        <w:rPr>
          <w:spacing w:val="1"/>
          <w:sz w:val="24"/>
          <w:szCs w:val="24"/>
        </w:rPr>
        <w:t xml:space="preserve"> of a product in interstate commerce on behalf of a manufacturer, wholesale distributor, or dispenser of a product, but does not take ownership of the product, nor ha</w:t>
      </w:r>
      <w:r>
        <w:rPr>
          <w:spacing w:val="1"/>
          <w:sz w:val="24"/>
          <w:szCs w:val="24"/>
        </w:rPr>
        <w:t>s</w:t>
      </w:r>
      <w:r w:rsidRPr="00EB6498">
        <w:rPr>
          <w:spacing w:val="1"/>
          <w:sz w:val="24"/>
          <w:szCs w:val="24"/>
        </w:rPr>
        <w:t xml:space="preserve"> responsibility to direct the sale or disposition of the product.  3PLs are federally regulated under </w:t>
      </w:r>
      <w:r w:rsidRPr="00EB6498">
        <w:rPr>
          <w:sz w:val="24"/>
          <w:szCs w:val="24"/>
        </w:rPr>
        <w:t>21 U.S.C. § 360eee</w:t>
      </w:r>
      <w:r w:rsidRPr="00EB6498">
        <w:rPr>
          <w:sz w:val="24"/>
          <w:szCs w:val="24"/>
        </w:rPr>
        <w:noBreakHyphen/>
        <w:t xml:space="preserve">3. A 3PL may choose to conduct purely virtual activities in </w:t>
      </w:r>
      <w:r>
        <w:rPr>
          <w:spacing w:val="1"/>
          <w:sz w:val="24"/>
          <w:szCs w:val="24"/>
        </w:rPr>
        <w:t>Massachusetts</w:t>
      </w:r>
      <w:r w:rsidRPr="00EB6498" w:rsidDel="00015213">
        <w:rPr>
          <w:sz w:val="24"/>
          <w:szCs w:val="24"/>
        </w:rPr>
        <w:t xml:space="preserve"> </w:t>
      </w:r>
      <w:r w:rsidRPr="00EB6498">
        <w:rPr>
          <w:sz w:val="24"/>
          <w:szCs w:val="24"/>
        </w:rPr>
        <w:t>, where it directs or manages from Massachusetts but does not receive or store controlled substance here. However, under current federal law, a 3PL may also employ a business model where it takes custody of controlled substances as part of the logistical arrangements being made. An example of this might be that a 3PL chooses to store controlled substances in its warehouse or distribution center located in Massachusetts as part of its operations.</w:t>
      </w:r>
      <w:r>
        <w:rPr>
          <w:sz w:val="24"/>
          <w:szCs w:val="24"/>
        </w:rPr>
        <w:t xml:space="preserve">  </w:t>
      </w:r>
    </w:p>
    <w:p w14:paraId="30780524" w14:textId="77777777" w:rsidR="001C1017" w:rsidRDefault="001C1017" w:rsidP="001C1017">
      <w:pPr>
        <w:pStyle w:val="BodyText"/>
        <w:spacing w:after="240"/>
        <w:rPr>
          <w:b/>
          <w:bCs/>
          <w:spacing w:val="1"/>
          <w:sz w:val="24"/>
          <w:szCs w:val="24"/>
        </w:rPr>
      </w:pPr>
      <w:r w:rsidRPr="00ED18FD">
        <w:rPr>
          <w:b/>
          <w:bCs/>
          <w:spacing w:val="1"/>
          <w:sz w:val="24"/>
          <w:szCs w:val="24"/>
        </w:rPr>
        <w:t>The primary difference between Virtual Manufacturers/Distributors</w:t>
      </w:r>
      <w:r>
        <w:rPr>
          <w:b/>
          <w:bCs/>
          <w:spacing w:val="1"/>
          <w:sz w:val="24"/>
          <w:szCs w:val="24"/>
        </w:rPr>
        <w:t xml:space="preserve"> </w:t>
      </w:r>
      <w:r w:rsidRPr="00ED18FD">
        <w:rPr>
          <w:b/>
          <w:bCs/>
          <w:spacing w:val="1"/>
          <w:sz w:val="24"/>
          <w:szCs w:val="24"/>
        </w:rPr>
        <w:t xml:space="preserve">and 3PLs is that Virtual Manufacturers and Distributors </w:t>
      </w:r>
      <w:r>
        <w:rPr>
          <w:b/>
          <w:bCs/>
          <w:spacing w:val="1"/>
          <w:sz w:val="24"/>
          <w:szCs w:val="24"/>
        </w:rPr>
        <w:t>never</w:t>
      </w:r>
      <w:r w:rsidRPr="00ED18FD">
        <w:rPr>
          <w:b/>
          <w:bCs/>
          <w:spacing w:val="1"/>
          <w:sz w:val="24"/>
          <w:szCs w:val="24"/>
        </w:rPr>
        <w:t xml:space="preserve"> take possession of a</w:t>
      </w:r>
      <w:r>
        <w:rPr>
          <w:b/>
          <w:bCs/>
          <w:spacing w:val="1"/>
          <w:sz w:val="24"/>
          <w:szCs w:val="24"/>
        </w:rPr>
        <w:t>ny</w:t>
      </w:r>
      <w:r w:rsidRPr="00ED18FD">
        <w:rPr>
          <w:b/>
          <w:bCs/>
          <w:spacing w:val="1"/>
          <w:sz w:val="24"/>
          <w:szCs w:val="24"/>
        </w:rPr>
        <w:t xml:space="preserve"> controlled substance in Massachusetts, while a 3PL </w:t>
      </w:r>
      <w:r>
        <w:rPr>
          <w:b/>
          <w:bCs/>
          <w:spacing w:val="1"/>
          <w:sz w:val="24"/>
          <w:szCs w:val="24"/>
        </w:rPr>
        <w:t xml:space="preserve">may choose to </w:t>
      </w:r>
      <w:r w:rsidRPr="00ED18FD">
        <w:rPr>
          <w:b/>
          <w:bCs/>
          <w:spacing w:val="1"/>
          <w:sz w:val="24"/>
          <w:szCs w:val="24"/>
        </w:rPr>
        <w:t>do so</w:t>
      </w:r>
      <w:r>
        <w:rPr>
          <w:b/>
          <w:bCs/>
          <w:spacing w:val="1"/>
          <w:sz w:val="24"/>
          <w:szCs w:val="24"/>
        </w:rPr>
        <w:t xml:space="preserve">.  </w:t>
      </w:r>
    </w:p>
    <w:p w14:paraId="076A140B" w14:textId="77777777" w:rsidR="001C1017" w:rsidRPr="00781554" w:rsidRDefault="001C1017" w:rsidP="001C1017">
      <w:pPr>
        <w:pStyle w:val="BodyText"/>
        <w:numPr>
          <w:ilvl w:val="0"/>
          <w:numId w:val="2"/>
        </w:numPr>
        <w:spacing w:after="240"/>
        <w:rPr>
          <w:b/>
          <w:bCs/>
          <w:i/>
          <w:iCs/>
          <w:spacing w:val="1"/>
          <w:sz w:val="24"/>
          <w:szCs w:val="24"/>
        </w:rPr>
      </w:pPr>
      <w:r w:rsidRPr="00781554">
        <w:rPr>
          <w:b/>
          <w:bCs/>
          <w:i/>
          <w:iCs/>
          <w:spacing w:val="1"/>
          <w:sz w:val="24"/>
          <w:szCs w:val="24"/>
        </w:rPr>
        <w:t>Pre-Registration Inspections</w:t>
      </w:r>
    </w:p>
    <w:p w14:paraId="0B8F94EF" w14:textId="77777777" w:rsidR="001C1017" w:rsidRDefault="001C1017" w:rsidP="001C1017">
      <w:pPr>
        <w:pStyle w:val="BodyText"/>
        <w:spacing w:after="240"/>
        <w:rPr>
          <w:spacing w:val="1"/>
          <w:sz w:val="24"/>
          <w:szCs w:val="24"/>
        </w:rPr>
      </w:pPr>
      <w:r>
        <w:rPr>
          <w:spacing w:val="1"/>
          <w:sz w:val="24"/>
          <w:szCs w:val="24"/>
        </w:rPr>
        <w:t>Virtual Manufacturers and Distributors register with the Commonwealth of Massachusetts primarily because regulators in other states require that they be registered in their “home” state to conduct operations in the other state. For these registrants, no physical inspection of their premises in Massachusetts will be conducted, unless requested. I</w:t>
      </w:r>
      <w:r>
        <w:t>f, at any point, a Virtual Manufacturer or Distributor plans to have controlled substances on site, it must register with DCP for an appropriate MCSR (e.g. manufacturer or distributor) and complete an inspection.</w:t>
      </w:r>
    </w:p>
    <w:p w14:paraId="1E514B60" w14:textId="77777777" w:rsidR="001C1017" w:rsidRDefault="001C1017" w:rsidP="001C1017">
      <w:pPr>
        <w:pStyle w:val="BodyText"/>
        <w:spacing w:after="240"/>
        <w:rPr>
          <w:spacing w:val="1"/>
          <w:sz w:val="24"/>
          <w:szCs w:val="24"/>
        </w:rPr>
      </w:pPr>
      <w:r>
        <w:rPr>
          <w:spacing w:val="1"/>
          <w:sz w:val="24"/>
          <w:szCs w:val="24"/>
        </w:rPr>
        <w:t>Federal law requires that a 3PL be registered with any state where the 3PL distributes a controlled substance to or from such state.</w:t>
      </w:r>
      <w:r>
        <w:rPr>
          <w:rStyle w:val="FootnoteReference"/>
          <w:spacing w:val="1"/>
          <w:szCs w:val="24"/>
        </w:rPr>
        <w:footnoteReference w:id="3"/>
      </w:r>
      <w:r>
        <w:rPr>
          <w:spacing w:val="1"/>
          <w:sz w:val="24"/>
          <w:szCs w:val="24"/>
        </w:rPr>
        <w:t xml:space="preserve"> Federal law also </w:t>
      </w:r>
      <w:r>
        <w:rPr>
          <w:sz w:val="24"/>
          <w:szCs w:val="24"/>
        </w:rPr>
        <w:t>bars states from licensing/registering 3PLs as wholesale distributors.</w:t>
      </w:r>
      <w:r>
        <w:rPr>
          <w:rStyle w:val="FootnoteReference"/>
          <w:szCs w:val="24"/>
        </w:rPr>
        <w:footnoteReference w:id="4"/>
      </w:r>
      <w:r>
        <w:rPr>
          <w:sz w:val="24"/>
          <w:szCs w:val="24"/>
        </w:rPr>
        <w:t xml:space="preserve"> Therefore, the Drug Control Program is making a 3PL MCSR available for this kind of business.  </w:t>
      </w:r>
      <w:r>
        <w:rPr>
          <w:spacing w:val="1"/>
          <w:sz w:val="24"/>
          <w:szCs w:val="24"/>
        </w:rPr>
        <w:t xml:space="preserve">To register, a 3PL will need to certify on its initial application and any subsequent renewal applications whether it </w:t>
      </w:r>
      <w:r w:rsidRPr="00631A16">
        <w:rPr>
          <w:spacing w:val="1"/>
          <w:sz w:val="24"/>
          <w:szCs w:val="24"/>
        </w:rPr>
        <w:t>will be taking custody of controlled substances in Massachusetts</w:t>
      </w:r>
      <w:r>
        <w:rPr>
          <w:spacing w:val="1"/>
          <w:sz w:val="24"/>
          <w:szCs w:val="24"/>
        </w:rPr>
        <w:t>.  If it is taking custody in Massachusetts, an inspection will be conducted of the necessary premises.  If it is registering here for purely virtual activities, no inspection will be conducted, unless requested.</w:t>
      </w:r>
    </w:p>
    <w:p w14:paraId="2FC55E58" w14:textId="77777777" w:rsidR="001C1017" w:rsidRDefault="001C1017" w:rsidP="001C1017">
      <w:pPr>
        <w:pStyle w:val="BodyText"/>
        <w:spacing w:after="240"/>
        <w:rPr>
          <w:sz w:val="24"/>
          <w:szCs w:val="24"/>
        </w:rPr>
      </w:pPr>
    </w:p>
    <w:p w14:paraId="557A8B37" w14:textId="01B234C2" w:rsidR="00033154" w:rsidRPr="001C1017" w:rsidRDefault="001C1017" w:rsidP="001C1017">
      <w:pPr>
        <w:pStyle w:val="BodyText"/>
        <w:spacing w:after="240"/>
        <w:rPr>
          <w:spacing w:val="1"/>
          <w:sz w:val="24"/>
          <w:szCs w:val="24"/>
        </w:rPr>
      </w:pPr>
      <w:r>
        <w:rPr>
          <w:sz w:val="24"/>
          <w:szCs w:val="24"/>
        </w:rPr>
        <w:t>Please direct any q</w:t>
      </w:r>
      <w:r w:rsidRPr="0010226C">
        <w:rPr>
          <w:sz w:val="24"/>
          <w:szCs w:val="24"/>
        </w:rPr>
        <w:t>u</w:t>
      </w:r>
      <w:r w:rsidRPr="0010226C">
        <w:rPr>
          <w:spacing w:val="-2"/>
          <w:sz w:val="24"/>
          <w:szCs w:val="24"/>
        </w:rPr>
        <w:t>e</w:t>
      </w:r>
      <w:r w:rsidRPr="0010226C">
        <w:rPr>
          <w:sz w:val="24"/>
          <w:szCs w:val="24"/>
        </w:rPr>
        <w:t xml:space="preserve">stions or </w:t>
      </w:r>
      <w:r w:rsidRPr="0010226C">
        <w:rPr>
          <w:spacing w:val="-2"/>
          <w:sz w:val="24"/>
          <w:szCs w:val="24"/>
        </w:rPr>
        <w:t>c</w:t>
      </w:r>
      <w:r w:rsidRPr="0010226C">
        <w:rPr>
          <w:sz w:val="24"/>
          <w:szCs w:val="24"/>
        </w:rPr>
        <w:t>on</w:t>
      </w:r>
      <w:r w:rsidRPr="0010226C">
        <w:rPr>
          <w:spacing w:val="1"/>
          <w:sz w:val="24"/>
          <w:szCs w:val="24"/>
        </w:rPr>
        <w:t>c</w:t>
      </w:r>
      <w:r w:rsidRPr="0010226C">
        <w:rPr>
          <w:spacing w:val="-1"/>
          <w:sz w:val="24"/>
          <w:szCs w:val="24"/>
        </w:rPr>
        <w:t>e</w:t>
      </w:r>
      <w:r w:rsidRPr="0010226C">
        <w:rPr>
          <w:sz w:val="24"/>
          <w:szCs w:val="24"/>
        </w:rPr>
        <w:t xml:space="preserve">rns to </w:t>
      </w:r>
      <w:r>
        <w:rPr>
          <w:sz w:val="24"/>
          <w:szCs w:val="24"/>
        </w:rPr>
        <w:t>t</w:t>
      </w:r>
      <w:r w:rsidRPr="0010226C">
        <w:rPr>
          <w:sz w:val="24"/>
          <w:szCs w:val="24"/>
        </w:rPr>
        <w:t>he</w:t>
      </w:r>
      <w:r w:rsidRPr="0010226C">
        <w:rPr>
          <w:spacing w:val="-1"/>
          <w:sz w:val="24"/>
          <w:szCs w:val="24"/>
        </w:rPr>
        <w:t xml:space="preserve"> </w:t>
      </w:r>
      <w:r w:rsidRPr="0010226C">
        <w:rPr>
          <w:sz w:val="24"/>
          <w:szCs w:val="24"/>
        </w:rPr>
        <w:t>D</w:t>
      </w:r>
      <w:r w:rsidRPr="0010226C">
        <w:rPr>
          <w:spacing w:val="-2"/>
          <w:sz w:val="24"/>
          <w:szCs w:val="24"/>
        </w:rPr>
        <w:t>r</w:t>
      </w:r>
      <w:r w:rsidRPr="0010226C">
        <w:rPr>
          <w:spacing w:val="2"/>
          <w:sz w:val="24"/>
          <w:szCs w:val="24"/>
        </w:rPr>
        <w:t>u</w:t>
      </w:r>
      <w:r w:rsidRPr="0010226C">
        <w:rPr>
          <w:sz w:val="24"/>
          <w:szCs w:val="24"/>
        </w:rPr>
        <w:t>g</w:t>
      </w:r>
      <w:r w:rsidRPr="0010226C">
        <w:rPr>
          <w:spacing w:val="-3"/>
          <w:sz w:val="24"/>
          <w:szCs w:val="24"/>
        </w:rPr>
        <w:t xml:space="preserve"> </w:t>
      </w:r>
      <w:r w:rsidRPr="0010226C">
        <w:rPr>
          <w:sz w:val="24"/>
          <w:szCs w:val="24"/>
        </w:rPr>
        <w:t>Control Pr</w:t>
      </w:r>
      <w:r w:rsidRPr="0010226C">
        <w:rPr>
          <w:spacing w:val="1"/>
          <w:sz w:val="24"/>
          <w:szCs w:val="24"/>
        </w:rPr>
        <w:t>o</w:t>
      </w:r>
      <w:r w:rsidRPr="0010226C">
        <w:rPr>
          <w:spacing w:val="-3"/>
          <w:sz w:val="24"/>
          <w:szCs w:val="24"/>
        </w:rPr>
        <w:t>g</w:t>
      </w:r>
      <w:r w:rsidRPr="0010226C">
        <w:rPr>
          <w:sz w:val="24"/>
          <w:szCs w:val="24"/>
        </w:rPr>
        <w:t>ram:</w:t>
      </w:r>
      <w:r w:rsidRPr="0010226C">
        <w:rPr>
          <w:spacing w:val="2"/>
          <w:sz w:val="24"/>
          <w:szCs w:val="24"/>
        </w:rPr>
        <w:t xml:space="preserve"> </w:t>
      </w:r>
      <w:hyperlink r:id="rId12" w:history="1">
        <w:r w:rsidRPr="0010226C">
          <w:rPr>
            <w:rStyle w:val="Hyperlink"/>
            <w:sz w:val="24"/>
            <w:szCs w:val="24"/>
          </w:rPr>
          <w:t>d</w:t>
        </w:r>
        <w:r w:rsidRPr="0010226C">
          <w:rPr>
            <w:rStyle w:val="Hyperlink"/>
            <w:spacing w:val="-1"/>
            <w:sz w:val="24"/>
            <w:szCs w:val="24"/>
          </w:rPr>
          <w:t>c</w:t>
        </w:r>
        <w:r w:rsidRPr="0010226C">
          <w:rPr>
            <w:rStyle w:val="Hyperlink"/>
            <w:sz w:val="24"/>
            <w:szCs w:val="24"/>
          </w:rPr>
          <w:t>p.dph@mass.gov</w:t>
        </w:r>
      </w:hyperlink>
      <w:r w:rsidRPr="00762DFF">
        <w:rPr>
          <w:rStyle w:val="Hyperlink"/>
          <w:color w:val="auto"/>
          <w:sz w:val="24"/>
          <w:szCs w:val="24"/>
          <w:u w:val="none"/>
        </w:rPr>
        <w:t>.</w:t>
      </w:r>
    </w:p>
    <w:sectPr w:rsidR="00033154" w:rsidRPr="001C101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4B85" w14:textId="77777777" w:rsidR="00892494" w:rsidRDefault="00892494" w:rsidP="00593606">
      <w:r>
        <w:separator/>
      </w:r>
    </w:p>
  </w:endnote>
  <w:endnote w:type="continuationSeparator" w:id="0">
    <w:p w14:paraId="40AA7F9A" w14:textId="77777777" w:rsidR="00892494" w:rsidRDefault="00892494" w:rsidP="0059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06946"/>
      <w:docPartObj>
        <w:docPartGallery w:val="Page Numbers (Bottom of Page)"/>
        <w:docPartUnique/>
      </w:docPartObj>
    </w:sdtPr>
    <w:sdtEndPr/>
    <w:sdtContent>
      <w:sdt>
        <w:sdtPr>
          <w:id w:val="-1769616900"/>
          <w:docPartObj>
            <w:docPartGallery w:val="Page Numbers (Top of Page)"/>
            <w:docPartUnique/>
          </w:docPartObj>
        </w:sdtPr>
        <w:sdtEndPr/>
        <w:sdtContent>
          <w:p w14:paraId="44CA3F21" w14:textId="67AF5CB9" w:rsidR="00593606" w:rsidRDefault="0059360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A01D3E" w14:textId="77777777" w:rsidR="00593606" w:rsidRDefault="00593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6A50" w14:textId="77777777" w:rsidR="00892494" w:rsidRDefault="00892494" w:rsidP="00593606">
      <w:r>
        <w:separator/>
      </w:r>
    </w:p>
  </w:footnote>
  <w:footnote w:type="continuationSeparator" w:id="0">
    <w:p w14:paraId="2CE891F4" w14:textId="77777777" w:rsidR="00892494" w:rsidRDefault="00892494" w:rsidP="00593606">
      <w:r>
        <w:continuationSeparator/>
      </w:r>
    </w:p>
  </w:footnote>
  <w:footnote w:id="1">
    <w:p w14:paraId="696B2774" w14:textId="77777777" w:rsidR="001C1017" w:rsidRDefault="001C1017" w:rsidP="001C1017">
      <w:pPr>
        <w:pStyle w:val="FootnoteText"/>
        <w:spacing w:after="60"/>
      </w:pPr>
      <w:r>
        <w:rPr>
          <w:rStyle w:val="FootnoteReference"/>
        </w:rPr>
        <w:footnoteRef/>
      </w:r>
      <w:r>
        <w:t xml:space="preserve"> </w:t>
      </w:r>
      <w:r w:rsidRPr="00B50893">
        <w:t>M.G.L. c. 94C, §7(i); 105 CMR 700.001 (Definitions).</w:t>
      </w:r>
    </w:p>
  </w:footnote>
  <w:footnote w:id="2">
    <w:p w14:paraId="4ED56E19" w14:textId="77777777" w:rsidR="001C1017" w:rsidRDefault="001C1017" w:rsidP="001C1017">
      <w:pPr>
        <w:pStyle w:val="FootnoteText"/>
        <w:spacing w:after="60"/>
      </w:pPr>
      <w:r>
        <w:rPr>
          <w:rStyle w:val="FootnoteReference"/>
        </w:rPr>
        <w:footnoteRef/>
      </w:r>
      <w:r>
        <w:t xml:space="preserve"> </w:t>
      </w:r>
      <w:r w:rsidRPr="00B50893">
        <w:t>M.G.L. c. 94C, §7(i); 105 CMR 700.001 (Definitions).</w:t>
      </w:r>
    </w:p>
  </w:footnote>
  <w:footnote w:id="3">
    <w:p w14:paraId="6CED9091" w14:textId="77777777" w:rsidR="001C1017" w:rsidRDefault="001C1017" w:rsidP="001C1017">
      <w:pPr>
        <w:pStyle w:val="FootnoteText"/>
        <w:spacing w:after="60"/>
      </w:pPr>
      <w:r>
        <w:rPr>
          <w:rStyle w:val="FootnoteReference"/>
        </w:rPr>
        <w:footnoteRef/>
      </w:r>
      <w:r>
        <w:t xml:space="preserve"> </w:t>
      </w:r>
      <w:r w:rsidRPr="00E16DF7">
        <w:t>21 U.S.C. § 360eee</w:t>
      </w:r>
      <w:r w:rsidRPr="00E16DF7">
        <w:noBreakHyphen/>
        <w:t>3</w:t>
      </w:r>
      <w:r>
        <w:t>(a).</w:t>
      </w:r>
    </w:p>
  </w:footnote>
  <w:footnote w:id="4">
    <w:p w14:paraId="70D0028F" w14:textId="77777777" w:rsidR="001C1017" w:rsidRDefault="001C1017" w:rsidP="001C1017">
      <w:pPr>
        <w:pStyle w:val="FootnoteText"/>
      </w:pPr>
      <w:r>
        <w:rPr>
          <w:rStyle w:val="FootnoteReference"/>
        </w:rPr>
        <w:footnoteRef/>
      </w:r>
      <w:r>
        <w:t xml:space="preserve"> </w:t>
      </w:r>
      <w:r w:rsidRPr="00762DFF">
        <w:t>21 U.S. Code §</w:t>
      </w:r>
      <w:r w:rsidRPr="00E16DF7">
        <w:t> </w:t>
      </w:r>
      <w:r w:rsidRPr="00762DFF">
        <w:t>360eee–4(b)(2).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157A"/>
    <w:multiLevelType w:val="hybridMultilevel"/>
    <w:tmpl w:val="440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F5F6D"/>
    <w:multiLevelType w:val="hybridMultilevel"/>
    <w:tmpl w:val="92BCB4E0"/>
    <w:lvl w:ilvl="0" w:tplc="19124F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1017"/>
    <w:rsid w:val="0021698C"/>
    <w:rsid w:val="00260D54"/>
    <w:rsid w:val="00276957"/>
    <w:rsid w:val="00276DCC"/>
    <w:rsid w:val="002A132F"/>
    <w:rsid w:val="002D1C21"/>
    <w:rsid w:val="00300D42"/>
    <w:rsid w:val="00301022"/>
    <w:rsid w:val="00375EAD"/>
    <w:rsid w:val="00385812"/>
    <w:rsid w:val="00392D0B"/>
    <w:rsid w:val="003A7AFC"/>
    <w:rsid w:val="003C60EF"/>
    <w:rsid w:val="004813AC"/>
    <w:rsid w:val="004B37A0"/>
    <w:rsid w:val="004B5CFB"/>
    <w:rsid w:val="004D6B39"/>
    <w:rsid w:val="004E0C3F"/>
    <w:rsid w:val="00512956"/>
    <w:rsid w:val="00530145"/>
    <w:rsid w:val="005448AA"/>
    <w:rsid w:val="00593606"/>
    <w:rsid w:val="006D06D9"/>
    <w:rsid w:val="006D77A6"/>
    <w:rsid w:val="00702109"/>
    <w:rsid w:val="0072610D"/>
    <w:rsid w:val="00757006"/>
    <w:rsid w:val="007B3F4B"/>
    <w:rsid w:val="007B7347"/>
    <w:rsid w:val="007D10F3"/>
    <w:rsid w:val="007F3CDB"/>
    <w:rsid w:val="00892494"/>
    <w:rsid w:val="009730E5"/>
    <w:rsid w:val="009908FF"/>
    <w:rsid w:val="0099243E"/>
    <w:rsid w:val="00995505"/>
    <w:rsid w:val="009C4428"/>
    <w:rsid w:val="009D48CD"/>
    <w:rsid w:val="00A65101"/>
    <w:rsid w:val="00AC361F"/>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67556"/>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300D42"/>
    <w:pPr>
      <w:widowControl w:val="0"/>
      <w:ind w:left="1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300D42"/>
    <w:rPr>
      <w:b/>
      <w:bCs/>
      <w:sz w:val="24"/>
      <w:szCs w:val="24"/>
    </w:rPr>
  </w:style>
  <w:style w:type="paragraph" w:styleId="BodyText">
    <w:name w:val="Body Text"/>
    <w:basedOn w:val="Normal"/>
    <w:link w:val="BodyTextChar"/>
    <w:uiPriority w:val="1"/>
    <w:qFormat/>
    <w:rsid w:val="00300D42"/>
    <w:pPr>
      <w:widowControl w:val="0"/>
      <w:autoSpaceDE w:val="0"/>
      <w:autoSpaceDN w:val="0"/>
    </w:pPr>
    <w:rPr>
      <w:sz w:val="22"/>
      <w:szCs w:val="22"/>
    </w:rPr>
  </w:style>
  <w:style w:type="character" w:customStyle="1" w:styleId="BodyTextChar">
    <w:name w:val="Body Text Char"/>
    <w:basedOn w:val="DefaultParagraphFont"/>
    <w:link w:val="BodyText"/>
    <w:uiPriority w:val="1"/>
    <w:rsid w:val="00300D42"/>
    <w:rPr>
      <w:sz w:val="22"/>
      <w:szCs w:val="22"/>
    </w:rPr>
  </w:style>
  <w:style w:type="paragraph" w:styleId="Header">
    <w:name w:val="header"/>
    <w:basedOn w:val="Normal"/>
    <w:link w:val="HeaderChar"/>
    <w:rsid w:val="00593606"/>
    <w:pPr>
      <w:tabs>
        <w:tab w:val="center" w:pos="4680"/>
        <w:tab w:val="right" w:pos="9360"/>
      </w:tabs>
    </w:pPr>
  </w:style>
  <w:style w:type="character" w:customStyle="1" w:styleId="HeaderChar">
    <w:name w:val="Header Char"/>
    <w:basedOn w:val="DefaultParagraphFont"/>
    <w:link w:val="Header"/>
    <w:rsid w:val="00593606"/>
    <w:rPr>
      <w:sz w:val="24"/>
    </w:rPr>
  </w:style>
  <w:style w:type="paragraph" w:styleId="Footer">
    <w:name w:val="footer"/>
    <w:basedOn w:val="Normal"/>
    <w:link w:val="FooterChar"/>
    <w:uiPriority w:val="99"/>
    <w:rsid w:val="00593606"/>
    <w:pPr>
      <w:tabs>
        <w:tab w:val="center" w:pos="4680"/>
        <w:tab w:val="right" w:pos="9360"/>
      </w:tabs>
    </w:pPr>
  </w:style>
  <w:style w:type="character" w:customStyle="1" w:styleId="FooterChar">
    <w:name w:val="Footer Char"/>
    <w:basedOn w:val="DefaultParagraphFont"/>
    <w:link w:val="Footer"/>
    <w:uiPriority w:val="99"/>
    <w:rsid w:val="00593606"/>
    <w:rPr>
      <w:sz w:val="24"/>
    </w:rPr>
  </w:style>
  <w:style w:type="paragraph" w:styleId="FootnoteText">
    <w:name w:val="footnote text"/>
    <w:basedOn w:val="Normal"/>
    <w:link w:val="FootnoteTextChar"/>
    <w:unhideWhenUsed/>
    <w:rsid w:val="001C1017"/>
    <w:rPr>
      <w:sz w:val="20"/>
    </w:rPr>
  </w:style>
  <w:style w:type="character" w:customStyle="1" w:styleId="FootnoteTextChar">
    <w:name w:val="Footnote Text Char"/>
    <w:basedOn w:val="DefaultParagraphFont"/>
    <w:link w:val="FootnoteText"/>
    <w:rsid w:val="001C1017"/>
  </w:style>
  <w:style w:type="character" w:styleId="FootnoteReference">
    <w:name w:val="footnote reference"/>
    <w:unhideWhenUsed/>
    <w:rsid w:val="001C1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p.dph@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CC1CBE-5A9D-4A1B-9175-3B7E738B345A}">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1</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Furey-Moore, Nathaniel (DPH)</cp:lastModifiedBy>
  <cp:revision>4</cp:revision>
  <cp:lastPrinted>2023-04-25T14:38:00Z</cp:lastPrinted>
  <dcterms:created xsi:type="dcterms:W3CDTF">2023-04-25T14:38:00Z</dcterms:created>
  <dcterms:modified xsi:type="dcterms:W3CDTF">2023-04-25T14:39:00Z</dcterms:modified>
</cp:coreProperties>
</file>