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254E9E" w:rsidRDefault="00254E9E" w:rsidP="000F315B">
      <w:pPr>
        <w:pStyle w:val="ExecOffice"/>
        <w:framePr w:w="6926" w:wrap="notBeside" w:vAnchor="page" w:x="2884" w:y="711"/>
      </w:pPr>
      <w:r>
        <w:t>Bureau of Health Care Safety and Quality</w:t>
      </w:r>
    </w:p>
    <w:p w:rsidR="00254E9E" w:rsidRDefault="00254E9E" w:rsidP="000F315B">
      <w:pPr>
        <w:pStyle w:val="ExecOffice"/>
        <w:framePr w:w="6926" w:wrap="notBeside" w:vAnchor="page" w:x="2884" w:y="711"/>
      </w:pPr>
      <w:r>
        <w:t>99 Chauncy St., 11</w:t>
      </w:r>
      <w:r w:rsidRPr="00254E9E">
        <w:rPr>
          <w:vertAlign w:val="superscript"/>
        </w:rPr>
        <w:t>th</w:t>
      </w:r>
      <w:r>
        <w:t xml:space="preserve"> Floor</w:t>
      </w:r>
    </w:p>
    <w:p w:rsidR="00254E9E" w:rsidRDefault="00254E9E" w:rsidP="000F315B">
      <w:pPr>
        <w:pStyle w:val="ExecOffice"/>
        <w:framePr w:w="6926" w:wrap="notBeside" w:vAnchor="page" w:x="2884" w:y="711"/>
      </w:pPr>
      <w:r>
        <w:t>Boston, MA  02111</w:t>
      </w:r>
    </w:p>
    <w:p w:rsidR="00BA4055" w:rsidRDefault="00E86AB3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8E4F75E" wp14:editId="42F2AE36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033154" w:rsidRDefault="00033154" w:rsidP="0072610D"/>
    <w:p w:rsidR="00033154" w:rsidRDefault="00E86AB3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21805" wp14:editId="18305FD2">
                <wp:simplePos x="0" y="0"/>
                <wp:positionH relativeFrom="column">
                  <wp:posOffset>-565785</wp:posOffset>
                </wp:positionH>
                <wp:positionV relativeFrom="paragraph">
                  <wp:posOffset>124460</wp:posOffset>
                </wp:positionV>
                <wp:extent cx="1572895" cy="951230"/>
                <wp:effectExtent l="0" t="635" r="254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1218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55pt;margin-top:9.8pt;width:123.85pt;height:7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BGgQIAAA8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" stroked="f">
                <v:textbox>
                  <w:txbxContent>
                    <w:p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785B5C" w:rsidRDefault="00785B5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785B5C" w:rsidRDefault="00785B5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  <w:p w:rsidR="00785B5C" w:rsidRDefault="00785B5C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8B343" wp14:editId="1E61DF1E">
                <wp:simplePos x="0" y="0"/>
                <wp:positionH relativeFrom="column">
                  <wp:posOffset>4391025</wp:posOffset>
                </wp:positionH>
                <wp:positionV relativeFrom="paragraph">
                  <wp:posOffset>10795</wp:posOffset>
                </wp:positionV>
                <wp:extent cx="1943100" cy="113601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785B5C" w:rsidRPr="003A7AFC" w:rsidRDefault="00785B5C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785B5C" w:rsidRDefault="00785B5C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785B5C" w:rsidRDefault="00785B5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785B5C" w:rsidRDefault="00785B5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785B5C" w:rsidRPr="004813AC" w:rsidRDefault="00785B5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785B5C" w:rsidRPr="004813AC" w:rsidRDefault="00785B5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785B5C" w:rsidRPr="00FC6B42" w:rsidRDefault="00785B5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8B343" id="_x0000_s1027" type="#_x0000_t202" style="position:absolute;margin-left:345.75pt;margin-top:.85pt;width:153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zgwIAABc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" stroked="f">
                <v:textbox style="mso-fit-shape-to-text:t">
                  <w:txbxContent>
                    <w:p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785B5C" w:rsidRPr="003A7AFC" w:rsidRDefault="00785B5C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785B5C" w:rsidRDefault="00785B5C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785B5C" w:rsidRDefault="00785B5C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785B5C" w:rsidRDefault="00785B5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785B5C" w:rsidRPr="004813AC" w:rsidRDefault="00785B5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785B5C" w:rsidRPr="004813AC" w:rsidRDefault="00785B5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785B5C" w:rsidRPr="00FC6B42" w:rsidRDefault="00785B5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154" w:rsidRDefault="00033154" w:rsidP="0072610D"/>
    <w:p w:rsidR="00033154" w:rsidRDefault="00033154" w:rsidP="0072610D"/>
    <w:p w:rsidR="008E679C" w:rsidRDefault="008E679C" w:rsidP="0072610D"/>
    <w:p w:rsidR="008E679C" w:rsidRPr="008E679C" w:rsidRDefault="008E679C" w:rsidP="008E679C"/>
    <w:p w:rsidR="008E679C" w:rsidRDefault="008E679C" w:rsidP="008E679C"/>
    <w:p w:rsidR="006351D4" w:rsidRDefault="006351D4" w:rsidP="008E679C"/>
    <w:p w:rsidR="00412B8E" w:rsidRDefault="00412B8E" w:rsidP="0041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CIRCULAR LETTER: </w:t>
      </w:r>
      <w:r w:rsidR="00E425AF">
        <w:rPr>
          <w:b/>
          <w:sz w:val="28"/>
          <w:szCs w:val="28"/>
        </w:rPr>
        <w:t>DHCQ-</w:t>
      </w:r>
      <w:r w:rsidR="001F2475">
        <w:rPr>
          <w:b/>
          <w:sz w:val="28"/>
          <w:szCs w:val="28"/>
        </w:rPr>
        <w:t>1</w:t>
      </w:r>
      <w:r w:rsidR="006D6B21">
        <w:rPr>
          <w:b/>
          <w:sz w:val="28"/>
          <w:szCs w:val="28"/>
        </w:rPr>
        <w:t>9</w:t>
      </w:r>
      <w:r w:rsidR="001F2475">
        <w:rPr>
          <w:b/>
          <w:sz w:val="28"/>
          <w:szCs w:val="28"/>
        </w:rPr>
        <w:t>-</w:t>
      </w:r>
      <w:r w:rsidR="008056BE">
        <w:rPr>
          <w:b/>
          <w:sz w:val="28"/>
          <w:szCs w:val="28"/>
        </w:rPr>
        <w:t>4-689</w:t>
      </w:r>
      <w:bookmarkStart w:id="0" w:name="_GoBack"/>
      <w:bookmarkEnd w:id="0"/>
    </w:p>
    <w:p w:rsidR="00412B8E" w:rsidRDefault="00412B8E" w:rsidP="00412B8E">
      <w:pPr>
        <w:jc w:val="center"/>
        <w:rPr>
          <w:b/>
          <w:sz w:val="28"/>
          <w:szCs w:val="28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TO: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Acute Care Hospital Chief Executive Officers</w:t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E448F3">
        <w:rPr>
          <w:szCs w:val="24"/>
        </w:rPr>
        <w:tab/>
      </w:r>
      <w:r w:rsidR="00E448F3">
        <w:rPr>
          <w:szCs w:val="24"/>
        </w:rPr>
        <w:tab/>
      </w:r>
    </w:p>
    <w:p w:rsidR="006D6B21" w:rsidRDefault="00412B8E" w:rsidP="00412B8E">
      <w:pPr>
        <w:rPr>
          <w:szCs w:val="24"/>
        </w:rPr>
      </w:pPr>
      <w:r w:rsidRPr="000B6574">
        <w:rPr>
          <w:b/>
          <w:szCs w:val="24"/>
        </w:rPr>
        <w:t>FROM:</w:t>
      </w:r>
      <w:r w:rsidRPr="000B6574">
        <w:rPr>
          <w:b/>
          <w:szCs w:val="24"/>
        </w:rPr>
        <w:tab/>
      </w:r>
      <w:r w:rsidR="009924B0">
        <w:rPr>
          <w:szCs w:val="24"/>
        </w:rPr>
        <w:t xml:space="preserve">Elizabeth </w:t>
      </w:r>
      <w:r w:rsidR="006D6B21">
        <w:rPr>
          <w:szCs w:val="24"/>
        </w:rPr>
        <w:t>Daake Kelley, MBA</w:t>
      </w:r>
      <w:r w:rsidRPr="000B6574">
        <w:rPr>
          <w:szCs w:val="24"/>
        </w:rPr>
        <w:t xml:space="preserve">, </w:t>
      </w:r>
      <w:r w:rsidR="006D6B21">
        <w:rPr>
          <w:szCs w:val="24"/>
        </w:rPr>
        <w:t xml:space="preserve">MPH, </w:t>
      </w:r>
    </w:p>
    <w:p w:rsidR="00E54932" w:rsidRDefault="00412B8E" w:rsidP="006D6B21">
      <w:pPr>
        <w:ind w:left="720" w:firstLine="720"/>
        <w:rPr>
          <w:szCs w:val="24"/>
        </w:rPr>
      </w:pPr>
      <w:r w:rsidRPr="000B6574">
        <w:rPr>
          <w:szCs w:val="24"/>
        </w:rPr>
        <w:t>Director</w:t>
      </w:r>
      <w:r w:rsidR="00E86AB3" w:rsidRPr="000B6574">
        <w:rPr>
          <w:szCs w:val="24"/>
        </w:rPr>
        <w:t>, Bureau of Health Care Safety and Qual</w:t>
      </w:r>
      <w:r w:rsidR="00FB60BF" w:rsidRPr="000B6574">
        <w:rPr>
          <w:szCs w:val="24"/>
        </w:rPr>
        <w:t>it</w:t>
      </w:r>
      <w:r w:rsidR="00E86AB3" w:rsidRPr="000B6574">
        <w:rPr>
          <w:szCs w:val="24"/>
        </w:rPr>
        <w:t>y</w:t>
      </w:r>
    </w:p>
    <w:p w:rsidR="008556E4" w:rsidRDefault="008556E4" w:rsidP="0055488E">
      <w:pPr>
        <w:jc w:val="right"/>
        <w:rPr>
          <w:b/>
          <w:szCs w:val="24"/>
        </w:rPr>
      </w:pP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RE: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Submission of Trauma Data</w:t>
      </w:r>
      <w:r w:rsidRPr="000B6574">
        <w:rPr>
          <w:b/>
          <w:szCs w:val="24"/>
        </w:rPr>
        <w:t xml:space="preserve"> </w:t>
      </w: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ab/>
      </w: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DATE:</w:t>
      </w:r>
      <w:r w:rsidRPr="000B6574">
        <w:rPr>
          <w:b/>
          <w:szCs w:val="24"/>
        </w:rPr>
        <w:tab/>
      </w:r>
      <w:r w:rsidR="002A6E53">
        <w:rPr>
          <w:szCs w:val="24"/>
        </w:rPr>
        <w:t>April 16</w:t>
      </w:r>
      <w:r w:rsidR="001C3E6E">
        <w:rPr>
          <w:szCs w:val="24"/>
        </w:rPr>
        <w:t>,</w:t>
      </w:r>
      <w:r w:rsidR="00C95E18" w:rsidRPr="000B6574">
        <w:rPr>
          <w:szCs w:val="24"/>
        </w:rPr>
        <w:t xml:space="preserve"> 201</w:t>
      </w:r>
      <w:r w:rsidR="006D6B21">
        <w:rPr>
          <w:szCs w:val="24"/>
        </w:rPr>
        <w:t>9</w:t>
      </w:r>
    </w:p>
    <w:p w:rsidR="00412B8E" w:rsidRPr="000B6574" w:rsidRDefault="00412B8E" w:rsidP="00412B8E">
      <w:pPr>
        <w:rPr>
          <w:szCs w:val="24"/>
        </w:rPr>
      </w:pPr>
    </w:p>
    <w:p w:rsidR="00412B8E" w:rsidRPr="00E931E3" w:rsidRDefault="00412B8E" w:rsidP="00412B8E">
      <w:pPr>
        <w:rPr>
          <w:szCs w:val="24"/>
        </w:rPr>
      </w:pPr>
      <w:r w:rsidRPr="00E931E3">
        <w:rPr>
          <w:szCs w:val="24"/>
        </w:rPr>
        <w:t xml:space="preserve">Please note that this circular </w:t>
      </w:r>
      <w:r w:rsidR="00CB193C" w:rsidRPr="00E931E3">
        <w:rPr>
          <w:szCs w:val="24"/>
        </w:rPr>
        <w:t xml:space="preserve">letter </w:t>
      </w:r>
      <w:r w:rsidR="00615089" w:rsidRPr="00E931E3">
        <w:rPr>
          <w:szCs w:val="24"/>
        </w:rPr>
        <w:t>supersedes</w:t>
      </w:r>
      <w:r w:rsidRPr="00E931E3">
        <w:rPr>
          <w:szCs w:val="24"/>
        </w:rPr>
        <w:t xml:space="preserve"> DHCQ </w:t>
      </w:r>
      <w:r w:rsidR="00C95E18" w:rsidRPr="00E931E3">
        <w:rPr>
          <w:szCs w:val="24"/>
        </w:rPr>
        <w:t>1</w:t>
      </w:r>
      <w:r w:rsidR="006D6B21" w:rsidRPr="00E931E3">
        <w:rPr>
          <w:szCs w:val="24"/>
        </w:rPr>
        <w:t>8</w:t>
      </w:r>
      <w:r w:rsidR="00C95E18" w:rsidRPr="00E931E3">
        <w:rPr>
          <w:szCs w:val="24"/>
        </w:rPr>
        <w:t>-</w:t>
      </w:r>
      <w:r w:rsidR="00BE04CF" w:rsidRPr="00E931E3">
        <w:rPr>
          <w:szCs w:val="24"/>
        </w:rPr>
        <w:t>0</w:t>
      </w:r>
      <w:r w:rsidR="006D6B21" w:rsidRPr="00E931E3">
        <w:rPr>
          <w:szCs w:val="24"/>
        </w:rPr>
        <w:t>3</w:t>
      </w:r>
      <w:r w:rsidR="00C95E18" w:rsidRPr="00E931E3">
        <w:rPr>
          <w:szCs w:val="24"/>
        </w:rPr>
        <w:t>-6</w:t>
      </w:r>
      <w:r w:rsidR="007A363A" w:rsidRPr="00E931E3">
        <w:rPr>
          <w:szCs w:val="24"/>
        </w:rPr>
        <w:t>78</w:t>
      </w:r>
      <w:r w:rsidR="000D03A8" w:rsidRPr="00E931E3">
        <w:rPr>
          <w:szCs w:val="24"/>
        </w:rPr>
        <w:t>: Submission of Trauma Data.</w:t>
      </w:r>
    </w:p>
    <w:p w:rsidR="00412B8E" w:rsidRPr="000B6574" w:rsidRDefault="00412B8E" w:rsidP="00412B8E">
      <w:pPr>
        <w:rPr>
          <w:szCs w:val="24"/>
        </w:rPr>
      </w:pPr>
    </w:p>
    <w:p w:rsidR="007F4DDB" w:rsidRPr="000B6574" w:rsidRDefault="00412B8E" w:rsidP="007F4DDB">
      <w:pPr>
        <w:rPr>
          <w:szCs w:val="24"/>
        </w:rPr>
      </w:pPr>
      <w:r w:rsidRPr="000B6574">
        <w:rPr>
          <w:szCs w:val="24"/>
        </w:rPr>
        <w:t xml:space="preserve">The purpose of this memo is to </w:t>
      </w:r>
      <w:r w:rsidR="00291CF1" w:rsidRPr="000B6574">
        <w:rPr>
          <w:szCs w:val="24"/>
        </w:rPr>
        <w:t xml:space="preserve">provide </w:t>
      </w:r>
      <w:r w:rsidR="00291CF1">
        <w:rPr>
          <w:szCs w:val="24"/>
        </w:rPr>
        <w:t xml:space="preserve">updated guidance </w:t>
      </w:r>
      <w:r w:rsidR="00291CF1" w:rsidRPr="000B6574">
        <w:rPr>
          <w:szCs w:val="24"/>
        </w:rPr>
        <w:t xml:space="preserve">to all hospitals that offer emergency services </w:t>
      </w:r>
      <w:r w:rsidR="006E64D8">
        <w:rPr>
          <w:szCs w:val="24"/>
        </w:rPr>
        <w:t>and are required to submit data to the</w:t>
      </w:r>
      <w:r w:rsidRPr="000B6574">
        <w:rPr>
          <w:szCs w:val="24"/>
        </w:rPr>
        <w:t xml:space="preserve"> </w:t>
      </w:r>
      <w:r w:rsidR="007F4DDB">
        <w:rPr>
          <w:szCs w:val="24"/>
        </w:rPr>
        <w:t xml:space="preserve">State </w:t>
      </w:r>
      <w:r w:rsidRPr="000B6574">
        <w:rPr>
          <w:szCs w:val="24"/>
        </w:rPr>
        <w:t>Trauma Registry system</w:t>
      </w:r>
      <w:r w:rsidR="006E64D8">
        <w:rPr>
          <w:szCs w:val="24"/>
        </w:rPr>
        <w:t xml:space="preserve"> </w:t>
      </w:r>
      <w:r w:rsidRPr="000B6574">
        <w:rPr>
          <w:szCs w:val="24"/>
        </w:rPr>
        <w:t xml:space="preserve">for patients who receive medical care for traumatic injuries </w:t>
      </w:r>
      <w:r w:rsidR="003E04E2" w:rsidRPr="000B6574">
        <w:rPr>
          <w:szCs w:val="24"/>
        </w:rPr>
        <w:t>with</w:t>
      </w:r>
      <w:r w:rsidRPr="000B6574">
        <w:rPr>
          <w:szCs w:val="24"/>
        </w:rPr>
        <w:t xml:space="preserve">in Massachusetts hospitals.  </w:t>
      </w:r>
      <w:r w:rsidR="006E64D8">
        <w:rPr>
          <w:szCs w:val="24"/>
        </w:rPr>
        <w:t>Th</w:t>
      </w:r>
      <w:r w:rsidR="00056E6D">
        <w:rPr>
          <w:szCs w:val="24"/>
        </w:rPr>
        <w:t>is</w:t>
      </w:r>
      <w:r w:rsidR="006E64D8">
        <w:rPr>
          <w:szCs w:val="24"/>
        </w:rPr>
        <w:t xml:space="preserve"> guidance is consistent with other reporting years apart from </w:t>
      </w:r>
      <w:r w:rsidR="000006FA">
        <w:rPr>
          <w:szCs w:val="24"/>
        </w:rPr>
        <w:t>one</w:t>
      </w:r>
      <w:r w:rsidR="006E64D8">
        <w:rPr>
          <w:szCs w:val="24"/>
        </w:rPr>
        <w:t xml:space="preserve"> change </w:t>
      </w:r>
      <w:r w:rsidR="005A274C">
        <w:rPr>
          <w:szCs w:val="24"/>
        </w:rPr>
        <w:t xml:space="preserve">for hospitals providing trauma services </w:t>
      </w:r>
      <w:r w:rsidR="006E64D8">
        <w:rPr>
          <w:szCs w:val="24"/>
        </w:rPr>
        <w:t xml:space="preserve">described on </w:t>
      </w:r>
      <w:r w:rsidR="006E64D8" w:rsidRPr="007F1BA0">
        <w:rPr>
          <w:szCs w:val="24"/>
        </w:rPr>
        <w:t>page 2</w:t>
      </w:r>
      <w:r w:rsidR="00B27925">
        <w:rPr>
          <w:szCs w:val="24"/>
        </w:rPr>
        <w:t xml:space="preserve"> to align with the 2019 data submission requirements for the National Trauma Data Bank</w:t>
      </w:r>
      <w:r w:rsidR="006E64D8" w:rsidRPr="007F1BA0">
        <w:rPr>
          <w:szCs w:val="24"/>
        </w:rPr>
        <w:t>.</w:t>
      </w:r>
    </w:p>
    <w:p w:rsidR="007F4DDB" w:rsidRDefault="007F4DDB" w:rsidP="00412B8E">
      <w:pPr>
        <w:rPr>
          <w:szCs w:val="24"/>
        </w:rPr>
      </w:pPr>
    </w:p>
    <w:p w:rsidR="00090629" w:rsidRPr="000B6574" w:rsidRDefault="00770243" w:rsidP="00412B8E">
      <w:pPr>
        <w:rPr>
          <w:szCs w:val="24"/>
        </w:rPr>
      </w:pPr>
      <w:r>
        <w:rPr>
          <w:szCs w:val="24"/>
        </w:rPr>
        <w:t>T</w:t>
      </w:r>
      <w:r w:rsidR="00412B8E" w:rsidRPr="000B6574">
        <w:rPr>
          <w:szCs w:val="24"/>
        </w:rPr>
        <w:t xml:space="preserve">he Department of Public Health (the Department) </w:t>
      </w:r>
      <w:r>
        <w:rPr>
          <w:szCs w:val="24"/>
        </w:rPr>
        <w:t>hospital licensure regulation require</w:t>
      </w:r>
      <w:r w:rsidR="004B744F">
        <w:rPr>
          <w:szCs w:val="24"/>
        </w:rPr>
        <w:t xml:space="preserve">s hospitals that provide emergency services </w:t>
      </w:r>
      <w:r w:rsidR="005D4012">
        <w:rPr>
          <w:szCs w:val="24"/>
        </w:rPr>
        <w:t xml:space="preserve">to provide specific trauma data to </w:t>
      </w:r>
      <w:r w:rsidR="00412B8E" w:rsidRPr="000B6574">
        <w:rPr>
          <w:szCs w:val="24"/>
        </w:rPr>
        <w:t xml:space="preserve">the </w:t>
      </w:r>
      <w:r w:rsidR="00FB60BF" w:rsidRPr="000B6574">
        <w:rPr>
          <w:szCs w:val="24"/>
        </w:rPr>
        <w:t xml:space="preserve">Center for Health Information and Analysis </w:t>
      </w:r>
      <w:r w:rsidR="00D91ED4" w:rsidRPr="000B6574">
        <w:rPr>
          <w:szCs w:val="24"/>
        </w:rPr>
        <w:t>(CHIA)</w:t>
      </w:r>
      <w:r w:rsidR="00056E6D">
        <w:rPr>
          <w:rStyle w:val="FootnoteReference"/>
          <w:szCs w:val="24"/>
        </w:rPr>
        <w:footnoteReference w:id="1"/>
      </w:r>
      <w:r w:rsidR="00412B8E" w:rsidRPr="000B6574">
        <w:rPr>
          <w:szCs w:val="24"/>
        </w:rPr>
        <w:t xml:space="preserve"> </w:t>
      </w:r>
      <w:r w:rsidR="004B744F">
        <w:rPr>
          <w:szCs w:val="24"/>
        </w:rPr>
        <w:t xml:space="preserve"> </w:t>
      </w:r>
      <w:r w:rsidR="000006FA">
        <w:rPr>
          <w:szCs w:val="24"/>
        </w:rPr>
        <w:t xml:space="preserve">Hospitals fulfill the CHIA reporting requirement by using </w:t>
      </w:r>
      <w:r w:rsidR="000006FA" w:rsidRPr="000006FA">
        <w:rPr>
          <w:szCs w:val="24"/>
        </w:rPr>
        <w:t>the</w:t>
      </w:r>
      <w:r w:rsidR="000006FA">
        <w:rPr>
          <w:szCs w:val="24"/>
        </w:rPr>
        <w:t xml:space="preserve"> Health Safety Net</w:t>
      </w:r>
      <w:r w:rsidR="005D4012">
        <w:rPr>
          <w:szCs w:val="24"/>
        </w:rPr>
        <w:t>-</w:t>
      </w:r>
      <w:r w:rsidR="000006FA">
        <w:rPr>
          <w:szCs w:val="24"/>
        </w:rPr>
        <w:t>hosted</w:t>
      </w:r>
      <w:r w:rsidR="000006FA" w:rsidRPr="000006FA">
        <w:rPr>
          <w:szCs w:val="24"/>
        </w:rPr>
        <w:t xml:space="preserve"> SENDS/INET software application</w:t>
      </w:r>
      <w:r w:rsidR="000006FA">
        <w:rPr>
          <w:szCs w:val="24"/>
        </w:rPr>
        <w:t xml:space="preserve"> to report trauma data.</w:t>
      </w:r>
    </w:p>
    <w:p w:rsidR="00412B8E" w:rsidRPr="000B6574" w:rsidRDefault="00412B8E" w:rsidP="00412B8E">
      <w:pPr>
        <w:rPr>
          <w:szCs w:val="24"/>
        </w:rPr>
      </w:pPr>
    </w:p>
    <w:p w:rsidR="00412B8E" w:rsidRPr="00E931E3" w:rsidRDefault="00412B8E" w:rsidP="00E931E3">
      <w:pPr>
        <w:pStyle w:val="Default"/>
        <w:rPr>
          <w:rFonts w:ascii="Times New Roman" w:hAnsi="Times New Roman" w:cs="Times New Roman"/>
          <w:iCs/>
        </w:rPr>
      </w:pPr>
      <w:r w:rsidRPr="000B6574">
        <w:rPr>
          <w:rFonts w:ascii="Times New Roman" w:hAnsi="Times New Roman" w:cs="Times New Roman"/>
        </w:rPr>
        <w:t xml:space="preserve">As required </w:t>
      </w:r>
      <w:r w:rsidR="00D91ED4" w:rsidRPr="000B6574">
        <w:rPr>
          <w:rFonts w:ascii="Times New Roman" w:hAnsi="Times New Roman" w:cs="Times New Roman"/>
        </w:rPr>
        <w:t xml:space="preserve">by </w:t>
      </w:r>
      <w:r w:rsidRPr="000B6574">
        <w:rPr>
          <w:rFonts w:ascii="Times New Roman" w:hAnsi="Times New Roman" w:cs="Times New Roman"/>
        </w:rPr>
        <w:t>105 CMR 130.851 (</w:t>
      </w:r>
      <w:r w:rsidR="00A348E4" w:rsidRPr="000B6574">
        <w:rPr>
          <w:rFonts w:ascii="Times New Roman" w:hAnsi="Times New Roman" w:cs="Times New Roman"/>
        </w:rPr>
        <w:t>C</w:t>
      </w:r>
      <w:r w:rsidRPr="000B6574">
        <w:rPr>
          <w:rFonts w:ascii="Times New Roman" w:hAnsi="Times New Roman" w:cs="Times New Roman"/>
        </w:rPr>
        <w:t xml:space="preserve">): a </w:t>
      </w:r>
      <w:r w:rsidRPr="000B6574">
        <w:rPr>
          <w:rFonts w:ascii="Times New Roman" w:hAnsi="Times New Roman" w:cs="Times New Roman"/>
          <w:u w:val="single"/>
        </w:rPr>
        <w:t xml:space="preserve">hospital providing </w:t>
      </w:r>
      <w:r w:rsidR="00D91ED4" w:rsidRPr="000B6574">
        <w:rPr>
          <w:rFonts w:ascii="Times New Roman" w:hAnsi="Times New Roman" w:cs="Times New Roman"/>
          <w:u w:val="single"/>
        </w:rPr>
        <w:t>t</w:t>
      </w:r>
      <w:r w:rsidRPr="000B6574">
        <w:rPr>
          <w:rFonts w:ascii="Times New Roman" w:hAnsi="Times New Roman" w:cs="Times New Roman"/>
          <w:u w:val="single"/>
        </w:rPr>
        <w:t xml:space="preserve">rauma </w:t>
      </w:r>
      <w:r w:rsidR="00D91ED4" w:rsidRPr="000B6574">
        <w:rPr>
          <w:rFonts w:ascii="Times New Roman" w:hAnsi="Times New Roman" w:cs="Times New Roman"/>
          <w:u w:val="single"/>
        </w:rPr>
        <w:t>s</w:t>
      </w:r>
      <w:r w:rsidRPr="000B6574">
        <w:rPr>
          <w:rFonts w:ascii="Times New Roman" w:hAnsi="Times New Roman" w:cs="Times New Roman"/>
          <w:u w:val="single"/>
        </w:rPr>
        <w:t xml:space="preserve">ervices as a </w:t>
      </w:r>
      <w:r w:rsidR="00D91ED4" w:rsidRPr="000B6574">
        <w:rPr>
          <w:rFonts w:ascii="Times New Roman" w:hAnsi="Times New Roman" w:cs="Times New Roman"/>
          <w:u w:val="single"/>
        </w:rPr>
        <w:t>d</w:t>
      </w:r>
      <w:r w:rsidRPr="000B6574">
        <w:rPr>
          <w:rFonts w:ascii="Times New Roman" w:hAnsi="Times New Roman" w:cs="Times New Roman"/>
          <w:u w:val="single"/>
        </w:rPr>
        <w:t xml:space="preserve">esignated </w:t>
      </w:r>
      <w:r w:rsidR="00D91ED4" w:rsidRPr="000B6574">
        <w:rPr>
          <w:rFonts w:ascii="Times New Roman" w:hAnsi="Times New Roman" w:cs="Times New Roman"/>
          <w:u w:val="single"/>
        </w:rPr>
        <w:t>t</w:t>
      </w:r>
      <w:r w:rsidRPr="000B6574">
        <w:rPr>
          <w:rFonts w:ascii="Times New Roman" w:hAnsi="Times New Roman" w:cs="Times New Roman"/>
          <w:u w:val="single"/>
        </w:rPr>
        <w:t xml:space="preserve">rauma </w:t>
      </w:r>
      <w:r w:rsidR="00D91ED4" w:rsidRPr="000B6574">
        <w:rPr>
          <w:rFonts w:ascii="Times New Roman" w:hAnsi="Times New Roman" w:cs="Times New Roman"/>
          <w:u w:val="single"/>
        </w:rPr>
        <w:t>c</w:t>
      </w:r>
      <w:r w:rsidRPr="000B6574">
        <w:rPr>
          <w:rFonts w:ascii="Times New Roman" w:hAnsi="Times New Roman" w:cs="Times New Roman"/>
          <w:u w:val="single"/>
        </w:rPr>
        <w:t>enter</w:t>
      </w:r>
      <w:r w:rsidRPr="00F80E01">
        <w:rPr>
          <w:rFonts w:ascii="Times New Roman" w:hAnsi="Times New Roman" w:cs="Times New Roman"/>
        </w:rPr>
        <w:t xml:space="preserve"> </w:t>
      </w:r>
      <w:r w:rsidRPr="000B6574">
        <w:rPr>
          <w:rFonts w:ascii="Times New Roman" w:hAnsi="Times New Roman" w:cs="Times New Roman"/>
        </w:rPr>
        <w:t>must</w:t>
      </w:r>
      <w:r w:rsidR="00090629" w:rsidRPr="000B6574">
        <w:rPr>
          <w:rFonts w:ascii="Times New Roman" w:hAnsi="Times New Roman" w:cs="Times New Roman"/>
        </w:rPr>
        <w:t xml:space="preserve"> provide</w:t>
      </w:r>
      <w:r w:rsidRPr="000B6574">
        <w:rPr>
          <w:rFonts w:ascii="Times New Roman" w:hAnsi="Times New Roman" w:cs="Times New Roman"/>
        </w:rPr>
        <w:t xml:space="preserve">: </w:t>
      </w:r>
      <w:r w:rsidRPr="00E931E3">
        <w:rPr>
          <w:rFonts w:ascii="Times New Roman" w:hAnsi="Times New Roman" w:cs="Times New Roman"/>
          <w:iCs/>
        </w:rPr>
        <w:t xml:space="preserve">to the </w:t>
      </w:r>
      <w:r w:rsidR="00A348E4" w:rsidRPr="00E931E3">
        <w:rPr>
          <w:rFonts w:ascii="Times New Roman" w:hAnsi="Times New Roman" w:cs="Times New Roman"/>
          <w:iCs/>
        </w:rPr>
        <w:t>Center for Health Information Analysis (CHIA)</w:t>
      </w:r>
      <w:r w:rsidR="007F4DDB" w:rsidRPr="00E931E3">
        <w:rPr>
          <w:rFonts w:ascii="Times New Roman" w:hAnsi="Times New Roman" w:cs="Times New Roman"/>
          <w:iCs/>
        </w:rPr>
        <w:t xml:space="preserve"> </w:t>
      </w:r>
      <w:r w:rsidRPr="00E931E3">
        <w:rPr>
          <w:rFonts w:ascii="Times New Roman" w:hAnsi="Times New Roman" w:cs="Times New Roman"/>
          <w:iCs/>
        </w:rPr>
        <w:t>the designated trauma center data set</w:t>
      </w:r>
      <w:r w:rsidR="00090629" w:rsidRPr="00E931E3">
        <w:rPr>
          <w:rFonts w:ascii="Times New Roman" w:hAnsi="Times New Roman" w:cs="Times New Roman"/>
          <w:iCs/>
        </w:rPr>
        <w:t xml:space="preserve"> specified in</w:t>
      </w:r>
      <w:r w:rsidRPr="00E931E3">
        <w:rPr>
          <w:rFonts w:ascii="Times New Roman" w:hAnsi="Times New Roman" w:cs="Times New Roman"/>
          <w:iCs/>
        </w:rPr>
        <w:t xml:space="preserve"> Department</w:t>
      </w:r>
      <w:r w:rsidR="00A348E4" w:rsidRPr="00E931E3">
        <w:rPr>
          <w:rFonts w:ascii="Times New Roman" w:hAnsi="Times New Roman" w:cs="Times New Roman"/>
          <w:iCs/>
        </w:rPr>
        <w:t xml:space="preserve"> guidelines</w:t>
      </w:r>
      <w:r w:rsidR="00056E6D" w:rsidRPr="00E931E3">
        <w:rPr>
          <w:rFonts w:ascii="Times New Roman" w:hAnsi="Times New Roman" w:cs="Times New Roman"/>
          <w:iCs/>
        </w:rPr>
        <w:t>.</w:t>
      </w:r>
      <w:r w:rsidRPr="00E931E3">
        <w:rPr>
          <w:rFonts w:ascii="Times New Roman" w:hAnsi="Times New Roman" w:cs="Times New Roman"/>
          <w:iCs/>
        </w:rPr>
        <w:t xml:space="preserve"> </w:t>
      </w:r>
    </w:p>
    <w:p w:rsidR="00412B8E" w:rsidRPr="000B6574" w:rsidRDefault="00412B8E" w:rsidP="00412B8E">
      <w:pPr>
        <w:pStyle w:val="Default"/>
        <w:ind w:left="1440"/>
        <w:rPr>
          <w:rFonts w:ascii="Times New Roman" w:hAnsi="Times New Roman" w:cs="Times New Roman"/>
        </w:rPr>
      </w:pPr>
    </w:p>
    <w:p w:rsidR="00412B8E" w:rsidRPr="007F4DDB" w:rsidRDefault="00D91ED4" w:rsidP="007F4DDB">
      <w:pPr>
        <w:pStyle w:val="Default"/>
        <w:rPr>
          <w:rFonts w:ascii="Times New Roman" w:hAnsi="Times New Roman" w:cs="Times New Roman"/>
        </w:rPr>
      </w:pPr>
      <w:r w:rsidRPr="000B6574">
        <w:rPr>
          <w:rFonts w:ascii="Times New Roman" w:hAnsi="Times New Roman" w:cs="Times New Roman"/>
        </w:rPr>
        <w:lastRenderedPageBreak/>
        <w:t>A</w:t>
      </w:r>
      <w:r w:rsidR="003E04E2" w:rsidRPr="000B6574">
        <w:rPr>
          <w:rFonts w:ascii="Times New Roman" w:hAnsi="Times New Roman" w:cs="Times New Roman"/>
        </w:rPr>
        <w:t xml:space="preserve">s required </w:t>
      </w:r>
      <w:r w:rsidRPr="000B6574">
        <w:rPr>
          <w:rFonts w:ascii="Times New Roman" w:hAnsi="Times New Roman" w:cs="Times New Roman"/>
        </w:rPr>
        <w:t xml:space="preserve">by </w:t>
      </w:r>
      <w:r w:rsidR="00412B8E" w:rsidRPr="000B6574">
        <w:rPr>
          <w:rFonts w:ascii="Times New Roman" w:hAnsi="Times New Roman" w:cs="Times New Roman"/>
        </w:rPr>
        <w:t xml:space="preserve">105 CMR 130.852 (A), a </w:t>
      </w:r>
      <w:r w:rsidR="00412B8E" w:rsidRPr="000B6574">
        <w:rPr>
          <w:rFonts w:ascii="Times New Roman" w:hAnsi="Times New Roman" w:cs="Times New Roman"/>
          <w:u w:val="single"/>
        </w:rPr>
        <w:t>hospital that is not a designated trauma center</w:t>
      </w:r>
      <w:r w:rsidR="00A348E4" w:rsidRPr="000B6574">
        <w:rPr>
          <w:rFonts w:ascii="Times New Roman" w:hAnsi="Times New Roman" w:cs="Times New Roman"/>
          <w:u w:val="single"/>
        </w:rPr>
        <w:t xml:space="preserve"> </w:t>
      </w:r>
      <w:r w:rsidR="005D4012">
        <w:rPr>
          <w:rFonts w:ascii="Times New Roman" w:hAnsi="Times New Roman" w:cs="Times New Roman"/>
        </w:rPr>
        <w:t>that seeks to provide emergency services must also provide to CHIA the trauma service hospital data set specified in this guideline.</w:t>
      </w:r>
      <w:r w:rsidR="00412B8E" w:rsidRPr="007F4DDB">
        <w:rPr>
          <w:rFonts w:ascii="Times New Roman" w:hAnsi="Times New Roman" w:cs="Times New Roman"/>
          <w:i/>
          <w:iCs/>
        </w:rPr>
        <w:t>.</w:t>
      </w:r>
    </w:p>
    <w:p w:rsidR="00090629" w:rsidRPr="000B6574" w:rsidRDefault="00090629" w:rsidP="00412B8E">
      <w:pPr>
        <w:ind w:left="1440"/>
        <w:rPr>
          <w:i/>
          <w:iCs/>
          <w:szCs w:val="24"/>
        </w:rPr>
      </w:pPr>
    </w:p>
    <w:p w:rsidR="00412B8E" w:rsidRPr="000B6574" w:rsidRDefault="00412B8E" w:rsidP="00412B8E">
      <w:pPr>
        <w:rPr>
          <w:iCs/>
          <w:szCs w:val="24"/>
        </w:rPr>
      </w:pPr>
      <w:r w:rsidRPr="000B6574">
        <w:rPr>
          <w:iCs/>
          <w:szCs w:val="24"/>
        </w:rPr>
        <w:t>The Department ha</w:t>
      </w:r>
      <w:r w:rsidR="006014CC" w:rsidRPr="000B6574">
        <w:rPr>
          <w:iCs/>
          <w:szCs w:val="24"/>
        </w:rPr>
        <w:t>s</w:t>
      </w:r>
      <w:r w:rsidRPr="000B6574">
        <w:rPr>
          <w:iCs/>
          <w:szCs w:val="24"/>
        </w:rPr>
        <w:t xml:space="preserve"> completed the </w:t>
      </w:r>
      <w:r w:rsidR="00F275A3">
        <w:rPr>
          <w:iCs/>
          <w:szCs w:val="24"/>
        </w:rPr>
        <w:t xml:space="preserve">necessary system upgrades for the reporting of </w:t>
      </w:r>
      <w:r w:rsidRPr="000B6574">
        <w:rPr>
          <w:iCs/>
          <w:szCs w:val="24"/>
        </w:rPr>
        <w:t xml:space="preserve">trauma data to be used by hospitals for </w:t>
      </w:r>
      <w:r w:rsidR="00812A49">
        <w:rPr>
          <w:iCs/>
          <w:szCs w:val="24"/>
        </w:rPr>
        <w:t>2019</w:t>
      </w:r>
      <w:r w:rsidR="00C95E18" w:rsidRPr="000B6574">
        <w:rPr>
          <w:iCs/>
          <w:szCs w:val="24"/>
        </w:rPr>
        <w:t xml:space="preserve"> </w:t>
      </w:r>
      <w:r w:rsidR="00750EC5" w:rsidRPr="000B6574">
        <w:rPr>
          <w:iCs/>
          <w:szCs w:val="24"/>
        </w:rPr>
        <w:t xml:space="preserve">data </w:t>
      </w:r>
      <w:r w:rsidRPr="000B6574">
        <w:rPr>
          <w:iCs/>
          <w:szCs w:val="24"/>
        </w:rPr>
        <w:t xml:space="preserve">submission to the State Trauma Registry.  The trauma data submission </w:t>
      </w:r>
      <w:r w:rsidR="00FC61D0" w:rsidRPr="000B6574">
        <w:rPr>
          <w:iCs/>
          <w:szCs w:val="24"/>
        </w:rPr>
        <w:t>period</w:t>
      </w:r>
      <w:r w:rsidRPr="000B6574">
        <w:rPr>
          <w:iCs/>
          <w:szCs w:val="24"/>
        </w:rPr>
        <w:t xml:space="preserve"> will </w:t>
      </w:r>
      <w:r w:rsidR="003E04E2" w:rsidRPr="000B6574">
        <w:rPr>
          <w:iCs/>
          <w:szCs w:val="24"/>
        </w:rPr>
        <w:t xml:space="preserve">begin </w:t>
      </w:r>
      <w:r w:rsidRPr="000B6574">
        <w:rPr>
          <w:iCs/>
          <w:szCs w:val="24"/>
        </w:rPr>
        <w:t xml:space="preserve">on </w:t>
      </w:r>
      <w:r w:rsidR="00812A49">
        <w:rPr>
          <w:iCs/>
          <w:szCs w:val="24"/>
        </w:rPr>
        <w:t>March</w:t>
      </w:r>
      <w:r w:rsidR="00C95E18" w:rsidRPr="000B6574">
        <w:rPr>
          <w:iCs/>
          <w:szCs w:val="24"/>
        </w:rPr>
        <w:t xml:space="preserve"> 1, 201</w:t>
      </w:r>
      <w:r w:rsidR="00812A49">
        <w:rPr>
          <w:iCs/>
          <w:szCs w:val="24"/>
        </w:rPr>
        <w:t>9</w:t>
      </w:r>
      <w:r w:rsidR="00C95E18" w:rsidRPr="000B6574">
        <w:rPr>
          <w:iCs/>
          <w:szCs w:val="24"/>
        </w:rPr>
        <w:t xml:space="preserve"> </w:t>
      </w:r>
      <w:r w:rsidR="00D17DA4" w:rsidRPr="000B6574">
        <w:rPr>
          <w:iCs/>
          <w:szCs w:val="24"/>
        </w:rPr>
        <w:t xml:space="preserve">for </w:t>
      </w:r>
      <w:r w:rsidR="00C95E18" w:rsidRPr="000B6574">
        <w:rPr>
          <w:iCs/>
          <w:szCs w:val="24"/>
        </w:rPr>
        <w:t>201</w:t>
      </w:r>
      <w:r w:rsidR="00812A49">
        <w:rPr>
          <w:iCs/>
          <w:szCs w:val="24"/>
        </w:rPr>
        <w:t>9</w:t>
      </w:r>
      <w:r w:rsidRPr="000B6574">
        <w:rPr>
          <w:iCs/>
          <w:szCs w:val="24"/>
        </w:rPr>
        <w:t xml:space="preserve"> Quarter 1 (10/1/201</w:t>
      </w:r>
      <w:r w:rsidR="00812A49">
        <w:rPr>
          <w:iCs/>
          <w:szCs w:val="24"/>
        </w:rPr>
        <w:t>8</w:t>
      </w:r>
      <w:r w:rsidRPr="000B6574">
        <w:rPr>
          <w:iCs/>
          <w:szCs w:val="24"/>
        </w:rPr>
        <w:t xml:space="preserve"> – 12/31/201</w:t>
      </w:r>
      <w:r w:rsidR="00812A49">
        <w:rPr>
          <w:iCs/>
          <w:szCs w:val="24"/>
        </w:rPr>
        <w:t>8</w:t>
      </w:r>
      <w:r w:rsidRPr="000B6574">
        <w:rPr>
          <w:iCs/>
          <w:szCs w:val="24"/>
        </w:rPr>
        <w:t>)</w:t>
      </w:r>
      <w:r w:rsidR="00C95E18" w:rsidRPr="000B6574">
        <w:rPr>
          <w:iCs/>
          <w:szCs w:val="24"/>
        </w:rPr>
        <w:t xml:space="preserve"> submissions.</w:t>
      </w:r>
      <w:r w:rsidR="00A348E4" w:rsidRPr="000B6574">
        <w:rPr>
          <w:iCs/>
          <w:szCs w:val="24"/>
        </w:rPr>
        <w:t xml:space="preserve">  The </w:t>
      </w:r>
      <w:r w:rsidR="00FF67E3" w:rsidRPr="000B6574">
        <w:rPr>
          <w:iCs/>
          <w:szCs w:val="24"/>
        </w:rPr>
        <w:t xml:space="preserve">primary </w:t>
      </w:r>
      <w:r w:rsidR="00A348E4" w:rsidRPr="000B6574">
        <w:rPr>
          <w:iCs/>
          <w:szCs w:val="24"/>
        </w:rPr>
        <w:t xml:space="preserve">submission time period will run from </w:t>
      </w:r>
      <w:r w:rsidR="00812A49">
        <w:rPr>
          <w:iCs/>
          <w:szCs w:val="24"/>
        </w:rPr>
        <w:t>March</w:t>
      </w:r>
      <w:r w:rsidR="00A348E4" w:rsidRPr="000B6574">
        <w:rPr>
          <w:iCs/>
          <w:szCs w:val="24"/>
        </w:rPr>
        <w:t xml:space="preserve"> 1, 201</w:t>
      </w:r>
      <w:r w:rsidR="00812A49">
        <w:rPr>
          <w:iCs/>
          <w:szCs w:val="24"/>
        </w:rPr>
        <w:t xml:space="preserve">9 </w:t>
      </w:r>
      <w:r w:rsidR="00A348E4" w:rsidRPr="000B6574">
        <w:rPr>
          <w:iCs/>
          <w:szCs w:val="24"/>
        </w:rPr>
        <w:t>until June 14, 201</w:t>
      </w:r>
      <w:r w:rsidR="00812A49">
        <w:rPr>
          <w:iCs/>
          <w:szCs w:val="24"/>
        </w:rPr>
        <w:t>9</w:t>
      </w:r>
      <w:r w:rsidR="00FF67E3" w:rsidRPr="000B6574">
        <w:rPr>
          <w:iCs/>
          <w:szCs w:val="24"/>
        </w:rPr>
        <w:t>; submissions may be accepted after this time but every effort should be made to submit during this time period</w:t>
      </w:r>
      <w:r w:rsidR="00A348E4" w:rsidRPr="000B6574">
        <w:rPr>
          <w:iCs/>
          <w:szCs w:val="24"/>
        </w:rPr>
        <w:t xml:space="preserve">.  </w:t>
      </w:r>
      <w:r w:rsidR="00750EC5" w:rsidRPr="000B6574">
        <w:rPr>
          <w:iCs/>
          <w:szCs w:val="24"/>
        </w:rPr>
        <w:t xml:space="preserve">  </w:t>
      </w:r>
    </w:p>
    <w:p w:rsidR="00C636D3" w:rsidRDefault="00C636D3" w:rsidP="00412B8E">
      <w:pPr>
        <w:rPr>
          <w:b/>
          <w:szCs w:val="24"/>
        </w:rPr>
      </w:pPr>
    </w:p>
    <w:p w:rsidR="00757953" w:rsidRPr="00C636D3" w:rsidRDefault="00812A49" w:rsidP="00412B8E">
      <w:pPr>
        <w:rPr>
          <w:b/>
          <w:szCs w:val="24"/>
        </w:rPr>
      </w:pPr>
      <w:r>
        <w:rPr>
          <w:b/>
          <w:szCs w:val="24"/>
        </w:rPr>
        <w:t>2019</w:t>
      </w:r>
      <w:r w:rsidR="006E64D8">
        <w:rPr>
          <w:b/>
          <w:szCs w:val="24"/>
        </w:rPr>
        <w:t xml:space="preserve"> </w:t>
      </w:r>
      <w:r w:rsidR="007F4DDB" w:rsidRPr="00C636D3">
        <w:rPr>
          <w:b/>
          <w:szCs w:val="24"/>
        </w:rPr>
        <w:t>Reporting Guidance</w:t>
      </w:r>
    </w:p>
    <w:p w:rsidR="00471099" w:rsidRDefault="00471099" w:rsidP="00412B8E">
      <w:pPr>
        <w:rPr>
          <w:szCs w:val="24"/>
        </w:rPr>
      </w:pPr>
    </w:p>
    <w:p w:rsidR="00471099" w:rsidRDefault="00471099" w:rsidP="00412B8E">
      <w:pPr>
        <w:rPr>
          <w:szCs w:val="24"/>
        </w:rPr>
      </w:pPr>
      <w:r>
        <w:rPr>
          <w:szCs w:val="24"/>
        </w:rPr>
        <w:t xml:space="preserve">In order to </w:t>
      </w:r>
      <w:r w:rsidRPr="001C3E6E">
        <w:rPr>
          <w:szCs w:val="24"/>
        </w:rPr>
        <w:t xml:space="preserve">align with the </w:t>
      </w:r>
      <w:r w:rsidR="00812A49" w:rsidRPr="001C3E6E">
        <w:rPr>
          <w:szCs w:val="24"/>
        </w:rPr>
        <w:t>2019</w:t>
      </w:r>
      <w:r w:rsidRPr="001C3E6E">
        <w:rPr>
          <w:szCs w:val="24"/>
        </w:rPr>
        <w:t xml:space="preserve"> data submission requirements for the National Trauma Data Bank, the Department has </w:t>
      </w:r>
      <w:r w:rsidR="001C3E6E" w:rsidRPr="001C3E6E">
        <w:rPr>
          <w:szCs w:val="24"/>
        </w:rPr>
        <w:t xml:space="preserve">removed the </w:t>
      </w:r>
      <w:r w:rsidR="00F12E23">
        <w:rPr>
          <w:szCs w:val="24"/>
        </w:rPr>
        <w:t>“</w:t>
      </w:r>
      <w:r w:rsidR="001C3E6E" w:rsidRPr="001C3E6E">
        <w:rPr>
          <w:szCs w:val="24"/>
        </w:rPr>
        <w:t>complications</w:t>
      </w:r>
      <w:r w:rsidR="00F12E23">
        <w:rPr>
          <w:szCs w:val="24"/>
        </w:rPr>
        <w:t>”</w:t>
      </w:r>
      <w:r w:rsidR="001C3E6E" w:rsidRPr="001C3E6E">
        <w:rPr>
          <w:szCs w:val="24"/>
        </w:rPr>
        <w:t xml:space="preserve"> and </w:t>
      </w:r>
      <w:r w:rsidR="00F12E23">
        <w:rPr>
          <w:szCs w:val="24"/>
        </w:rPr>
        <w:t>“</w:t>
      </w:r>
      <w:r w:rsidR="001C3E6E" w:rsidRPr="001C3E6E">
        <w:rPr>
          <w:szCs w:val="24"/>
        </w:rPr>
        <w:t>comorbidity</w:t>
      </w:r>
      <w:r w:rsidR="00F12E23">
        <w:rPr>
          <w:szCs w:val="24"/>
        </w:rPr>
        <w:t>”</w:t>
      </w:r>
      <w:r w:rsidR="001C3E6E" w:rsidRPr="001C3E6E">
        <w:rPr>
          <w:szCs w:val="24"/>
        </w:rPr>
        <w:t xml:space="preserve"> fields </w:t>
      </w:r>
      <w:r w:rsidR="00C636D3" w:rsidRPr="001C3E6E">
        <w:rPr>
          <w:szCs w:val="24"/>
        </w:rPr>
        <w:t xml:space="preserve">from the previous requirements </w:t>
      </w:r>
      <w:r w:rsidRPr="001C3E6E">
        <w:rPr>
          <w:szCs w:val="24"/>
        </w:rPr>
        <w:t xml:space="preserve">and replaced them with the </w:t>
      </w:r>
      <w:r w:rsidR="001C3E6E" w:rsidRPr="001C3E6E">
        <w:rPr>
          <w:szCs w:val="24"/>
        </w:rPr>
        <w:t xml:space="preserve">yes/no indicator fields for all choices.  These changes only affect hospitals with a designated </w:t>
      </w:r>
      <w:r w:rsidR="00F12E23">
        <w:rPr>
          <w:szCs w:val="24"/>
        </w:rPr>
        <w:t>t</w:t>
      </w:r>
      <w:r w:rsidR="001C3E6E" w:rsidRPr="001C3E6E">
        <w:rPr>
          <w:szCs w:val="24"/>
        </w:rPr>
        <w:t xml:space="preserve">rauma </w:t>
      </w:r>
      <w:r w:rsidR="00F12E23">
        <w:rPr>
          <w:szCs w:val="24"/>
        </w:rPr>
        <w:t>c</w:t>
      </w:r>
      <w:r w:rsidR="001C3E6E" w:rsidRPr="001C3E6E">
        <w:rPr>
          <w:szCs w:val="24"/>
        </w:rPr>
        <w:t xml:space="preserve">enter.  </w:t>
      </w:r>
      <w:r w:rsidRPr="001C3E6E">
        <w:rPr>
          <w:szCs w:val="24"/>
        </w:rPr>
        <w:t xml:space="preserve">These changes are </w:t>
      </w:r>
      <w:r w:rsidR="001C3E6E" w:rsidRPr="001C3E6E">
        <w:rPr>
          <w:szCs w:val="24"/>
        </w:rPr>
        <w:t xml:space="preserve">captured </w:t>
      </w:r>
      <w:r w:rsidRPr="001C3E6E">
        <w:rPr>
          <w:szCs w:val="24"/>
        </w:rPr>
        <w:t xml:space="preserve">in the </w:t>
      </w:r>
      <w:r w:rsidR="00C636D3" w:rsidRPr="001C3E6E">
        <w:rPr>
          <w:szCs w:val="24"/>
        </w:rPr>
        <w:t>“</w:t>
      </w:r>
      <w:r w:rsidRPr="001C3E6E">
        <w:rPr>
          <w:szCs w:val="24"/>
        </w:rPr>
        <w:t>Data Elements to Be Reported to the Department Table</w:t>
      </w:r>
      <w:r w:rsidR="00C636D3" w:rsidRPr="001C3E6E">
        <w:rPr>
          <w:szCs w:val="24"/>
        </w:rPr>
        <w:t xml:space="preserve">” on page </w:t>
      </w:r>
      <w:r w:rsidR="001C3E6E" w:rsidRPr="001C3E6E">
        <w:rPr>
          <w:szCs w:val="24"/>
        </w:rPr>
        <w:t>4</w:t>
      </w:r>
      <w:r w:rsidRPr="001C3E6E">
        <w:rPr>
          <w:szCs w:val="24"/>
        </w:rPr>
        <w:t>.</w:t>
      </w:r>
      <w:r>
        <w:rPr>
          <w:szCs w:val="24"/>
        </w:rPr>
        <w:t xml:space="preserve">  </w:t>
      </w:r>
    </w:p>
    <w:p w:rsidR="00C636D3" w:rsidRDefault="00C636D3" w:rsidP="00412B8E">
      <w:pPr>
        <w:rPr>
          <w:szCs w:val="24"/>
        </w:rPr>
      </w:pPr>
    </w:p>
    <w:p w:rsidR="00C636D3" w:rsidRDefault="00C636D3" w:rsidP="00412B8E">
      <w:pPr>
        <w:rPr>
          <w:szCs w:val="24"/>
        </w:rPr>
      </w:pPr>
      <w:r>
        <w:rPr>
          <w:szCs w:val="24"/>
        </w:rPr>
        <w:t>Apart from the changes to these specific variables, the guidance outlined below is consistent with the previous data submission requirements.</w:t>
      </w:r>
    </w:p>
    <w:p w:rsidR="00471099" w:rsidRPr="000B6574" w:rsidRDefault="00471099" w:rsidP="00412B8E">
      <w:pPr>
        <w:rPr>
          <w:szCs w:val="24"/>
        </w:rPr>
      </w:pPr>
    </w:p>
    <w:p w:rsidR="00757953" w:rsidRPr="004E17E8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>Trauma Patient</w:t>
      </w:r>
    </w:p>
    <w:p w:rsidR="00412B8E" w:rsidRPr="000B6574" w:rsidRDefault="00412B8E" w:rsidP="00412B8E">
      <w:pPr>
        <w:rPr>
          <w:szCs w:val="24"/>
          <w:highlight w:val="yellow"/>
        </w:rPr>
      </w:pPr>
      <w:r w:rsidRPr="000B6574">
        <w:rPr>
          <w:szCs w:val="24"/>
        </w:rPr>
        <w:t xml:space="preserve">A </w:t>
      </w:r>
      <w:r w:rsidR="00D91ED4" w:rsidRPr="000B6574">
        <w:rPr>
          <w:szCs w:val="24"/>
        </w:rPr>
        <w:t>T</w:t>
      </w:r>
      <w:r w:rsidRPr="000B6574">
        <w:rPr>
          <w:szCs w:val="24"/>
        </w:rPr>
        <w:t xml:space="preserve">rauma </w:t>
      </w:r>
      <w:r w:rsidR="00D91ED4" w:rsidRPr="000B6574">
        <w:rPr>
          <w:szCs w:val="24"/>
        </w:rPr>
        <w:t>P</w:t>
      </w:r>
      <w:r w:rsidRPr="000B6574">
        <w:rPr>
          <w:szCs w:val="24"/>
        </w:rPr>
        <w:t>atient is defined as a patient sustaining a traumatic injury and meeting the following criteria as a princip</w:t>
      </w:r>
      <w:r w:rsidR="00E86AB3" w:rsidRPr="000B6574">
        <w:rPr>
          <w:szCs w:val="24"/>
        </w:rPr>
        <w:t>a</w:t>
      </w:r>
      <w:r w:rsidRPr="000B6574">
        <w:rPr>
          <w:szCs w:val="24"/>
        </w:rPr>
        <w:t>l or primary diagnosis:</w:t>
      </w:r>
    </w:p>
    <w:p w:rsidR="00FB60BF" w:rsidRPr="00FB60BF" w:rsidRDefault="00FB60BF" w:rsidP="00412B8E">
      <w:pPr>
        <w:rPr>
          <w:sz w:val="22"/>
          <w:szCs w:val="22"/>
        </w:rPr>
      </w:pP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I</w:t>
      </w:r>
      <w:r w:rsidR="00642E33" w:rsidRPr="000B6574">
        <w:rPr>
          <w:b/>
          <w:szCs w:val="24"/>
        </w:rPr>
        <w:t>nternational Classification of Diseases, 10</w:t>
      </w:r>
      <w:r w:rsidR="00642E33" w:rsidRPr="000B6574">
        <w:rPr>
          <w:b/>
          <w:szCs w:val="24"/>
          <w:vertAlign w:val="superscript"/>
        </w:rPr>
        <w:t>th</w:t>
      </w:r>
      <w:r w:rsidR="00642E33" w:rsidRPr="000B6574">
        <w:rPr>
          <w:b/>
          <w:szCs w:val="24"/>
        </w:rPr>
        <w:t xml:space="preserve"> Edition-Clinical Modification (I</w:t>
      </w:r>
      <w:r w:rsidRPr="000B6574">
        <w:rPr>
          <w:b/>
          <w:szCs w:val="24"/>
        </w:rPr>
        <w:t>CD-10-CM</w:t>
      </w:r>
      <w:r w:rsidR="00642E33" w:rsidRPr="000B6574">
        <w:rPr>
          <w:b/>
          <w:szCs w:val="24"/>
        </w:rPr>
        <w:t>):</w:t>
      </w:r>
      <w:r w:rsidRPr="000B6574">
        <w:rPr>
          <w:b/>
          <w:szCs w:val="24"/>
        </w:rPr>
        <w:t xml:space="preserve"> </w:t>
      </w:r>
    </w:p>
    <w:p w:rsidR="00412B8E" w:rsidRPr="000B6574" w:rsidRDefault="00412B8E" w:rsidP="00412B8E">
      <w:pPr>
        <w:rPr>
          <w:szCs w:val="24"/>
        </w:rPr>
      </w:pP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S00 – S99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A, B, or C only (</w:t>
      </w:r>
      <w:r w:rsidR="00E86AB3" w:rsidRPr="009924B0">
        <w:rPr>
          <w:szCs w:val="24"/>
        </w:rPr>
        <w:t>i</w:t>
      </w:r>
      <w:r w:rsidRPr="009924B0">
        <w:rPr>
          <w:szCs w:val="24"/>
        </w:rPr>
        <w:t>njuries to specific body parts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T07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multiple injuries)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T14 (</w:t>
      </w:r>
      <w:r w:rsidR="00D91ED4" w:rsidRPr="009924B0">
        <w:rPr>
          <w:szCs w:val="24"/>
        </w:rPr>
        <w:t>I</w:t>
      </w:r>
      <w:r w:rsidRPr="009924B0">
        <w:rPr>
          <w:szCs w:val="24"/>
        </w:rPr>
        <w:t>njury of unspecified body region)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T20 – T28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urns by specific body parts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T30 – T32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 by TBSA percentages)</w:t>
      </w:r>
    </w:p>
    <w:p w:rsidR="00CB193C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T79.A1 – T79.A19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 xml:space="preserve">pper extremity) </w:t>
      </w:r>
      <w:r w:rsidR="00CB193C" w:rsidRPr="009924B0">
        <w:rPr>
          <w:szCs w:val="24"/>
        </w:rPr>
        <w:t>with 7</w:t>
      </w:r>
      <w:r w:rsidR="00CB193C" w:rsidRPr="009924B0">
        <w:rPr>
          <w:szCs w:val="24"/>
          <w:vertAlign w:val="superscript"/>
        </w:rPr>
        <w:t>th</w:t>
      </w:r>
      <w:r w:rsidR="00CB193C" w:rsidRPr="009924B0">
        <w:rPr>
          <w:szCs w:val="24"/>
        </w:rPr>
        <w:t xml:space="preserve"> character modifier of A only (Traumatic compartment syndrome (extremity only)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T79.A2 - T79.A29 (</w:t>
      </w:r>
      <w:r w:rsidR="00E86AB3" w:rsidRPr="009924B0">
        <w:rPr>
          <w:szCs w:val="24"/>
        </w:rPr>
        <w:t>l</w:t>
      </w:r>
      <w:r w:rsidRPr="009924B0">
        <w:rPr>
          <w:szCs w:val="24"/>
        </w:rPr>
        <w:t>ower extremity)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T</w:t>
      </w:r>
      <w:r w:rsidRPr="009924B0">
        <w:rPr>
          <w:szCs w:val="24"/>
        </w:rPr>
        <w:t xml:space="preserve">raumatic </w:t>
      </w:r>
      <w:r w:rsidR="00E86AB3" w:rsidRPr="009924B0">
        <w:rPr>
          <w:szCs w:val="24"/>
        </w:rPr>
        <w:t>c</w:t>
      </w:r>
      <w:r w:rsidRPr="009924B0">
        <w:rPr>
          <w:szCs w:val="24"/>
        </w:rPr>
        <w:t xml:space="preserve">ompartment </w:t>
      </w:r>
      <w:r w:rsidR="00E86AB3" w:rsidRPr="009924B0">
        <w:rPr>
          <w:szCs w:val="24"/>
        </w:rPr>
        <w:t>s</w:t>
      </w:r>
      <w:r w:rsidRPr="009924B0">
        <w:rPr>
          <w:szCs w:val="24"/>
        </w:rPr>
        <w:t>yndrome (extremity only)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T75.1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 only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effects of drowning and nonfatal submersion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T71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 only (</w:t>
      </w:r>
      <w:r w:rsidR="00D91ED4" w:rsidRPr="009924B0">
        <w:rPr>
          <w:szCs w:val="24"/>
        </w:rPr>
        <w:t>A</w:t>
      </w:r>
      <w:r w:rsidRPr="009924B0">
        <w:rPr>
          <w:szCs w:val="24"/>
        </w:rPr>
        <w:t xml:space="preserve">sphyxiation / </w:t>
      </w:r>
      <w:r w:rsidR="00E86AB3" w:rsidRPr="009924B0">
        <w:rPr>
          <w:szCs w:val="24"/>
        </w:rPr>
        <w:t>s</w:t>
      </w:r>
      <w:r w:rsidRPr="009924B0">
        <w:rPr>
          <w:szCs w:val="24"/>
        </w:rPr>
        <w:t>trangulation – initial encounter)</w:t>
      </w:r>
    </w:p>
    <w:p w:rsidR="00412B8E" w:rsidRPr="000B6574" w:rsidRDefault="00412B8E" w:rsidP="00412B8E">
      <w:pPr>
        <w:rPr>
          <w:color w:val="FF0000"/>
          <w:szCs w:val="24"/>
        </w:rPr>
      </w:pPr>
    </w:p>
    <w:p w:rsidR="00412B8E" w:rsidRPr="000B6574" w:rsidRDefault="00CB193C" w:rsidP="00412B8E">
      <w:pPr>
        <w:rPr>
          <w:b/>
          <w:szCs w:val="24"/>
        </w:rPr>
      </w:pPr>
      <w:r w:rsidRPr="000B6574">
        <w:rPr>
          <w:b/>
          <w:szCs w:val="24"/>
        </w:rPr>
        <w:t xml:space="preserve">Exclude </w:t>
      </w:r>
      <w:r w:rsidR="00412B8E" w:rsidRPr="000B6574">
        <w:rPr>
          <w:b/>
          <w:szCs w:val="24"/>
        </w:rPr>
        <w:t>the following isolated injuries</w:t>
      </w:r>
      <w:r w:rsidRPr="000B6574">
        <w:rPr>
          <w:b/>
          <w:szCs w:val="24"/>
        </w:rPr>
        <w:t xml:space="preserve"> from submissions</w:t>
      </w:r>
      <w:r w:rsidR="00412B8E" w:rsidRPr="000B6574">
        <w:rPr>
          <w:b/>
          <w:szCs w:val="24"/>
        </w:rPr>
        <w:t>:</w:t>
      </w:r>
    </w:p>
    <w:p w:rsidR="00412B8E" w:rsidRPr="000B6574" w:rsidRDefault="00412B8E" w:rsidP="00412B8E">
      <w:pPr>
        <w:rPr>
          <w:szCs w:val="24"/>
        </w:rPr>
      </w:pP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lastRenderedPageBreak/>
        <w:t>S00 (Superficial injuries of the head)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S10 (Superficial injuries of the neck)</w:t>
      </w:r>
      <w:r w:rsidRPr="009924B0">
        <w:rPr>
          <w:szCs w:val="24"/>
        </w:rPr>
        <w:tab/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S20 (Superficial injuries of the thorax)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S30 (Superficial injuries of the abdomen, pelvis, lower back, and external genitals)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S40 (Superficial injuries of the shoulder and upper arm)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S50 (Superficial injuries of the elbow and forearm)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S60 (Superficial injuries of the wrist, hand, and fingers)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S70 (Superficial injuries of the hip and thigh)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S80 (Superficial injuries of the knee and lower leg)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S90 (Superficial injuries of the ankle, foot, and toes)</w:t>
      </w:r>
    </w:p>
    <w:p w:rsidR="00412B8E" w:rsidRPr="000B6574" w:rsidRDefault="00412B8E" w:rsidP="00412B8E">
      <w:pPr>
        <w:rPr>
          <w:szCs w:val="24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szCs w:val="24"/>
        </w:rPr>
        <w:t>Late effect codes, which are represented using the same range of injury diagnosis codes but with the 7</w:t>
      </w:r>
      <w:r w:rsidRPr="000B6574">
        <w:rPr>
          <w:szCs w:val="24"/>
          <w:vertAlign w:val="superscript"/>
        </w:rPr>
        <w:t>th</w:t>
      </w:r>
      <w:r w:rsidRPr="000B6574">
        <w:rPr>
          <w:szCs w:val="24"/>
        </w:rPr>
        <w:t xml:space="preserve"> digit modifier code of D through S, are also excluded.</w:t>
      </w:r>
    </w:p>
    <w:p w:rsidR="00412B8E" w:rsidRPr="000B6574" w:rsidRDefault="00412B8E" w:rsidP="00412B8E">
      <w:pPr>
        <w:rPr>
          <w:rFonts w:cs="Tahoma"/>
          <w:color w:val="FF0000"/>
          <w:szCs w:val="24"/>
        </w:rPr>
      </w:pPr>
    </w:p>
    <w:p w:rsidR="00412B8E" w:rsidRPr="000B6574" w:rsidRDefault="00412B8E" w:rsidP="00412B8E">
      <w:pPr>
        <w:jc w:val="center"/>
        <w:rPr>
          <w:b/>
          <w:szCs w:val="24"/>
        </w:rPr>
      </w:pPr>
      <w:r w:rsidRPr="000B6574">
        <w:rPr>
          <w:b/>
          <w:szCs w:val="24"/>
        </w:rPr>
        <w:t>AND</w:t>
      </w:r>
    </w:p>
    <w:p w:rsidR="00412B8E" w:rsidRPr="000B6574" w:rsidRDefault="00412B8E" w:rsidP="00412B8E">
      <w:pPr>
        <w:ind w:left="630" w:hanging="630"/>
        <w:rPr>
          <w:b/>
          <w:szCs w:val="24"/>
        </w:rPr>
      </w:pPr>
      <w:r w:rsidRPr="000B6574">
        <w:rPr>
          <w:b/>
          <w:szCs w:val="24"/>
        </w:rPr>
        <w:t>Patient Admission Definition:</w:t>
      </w:r>
    </w:p>
    <w:p w:rsidR="00412B8E" w:rsidRPr="000B6574" w:rsidRDefault="00412B8E" w:rsidP="00412B8E">
      <w:pPr>
        <w:ind w:left="630" w:hanging="630"/>
        <w:rPr>
          <w:b/>
          <w:szCs w:val="24"/>
        </w:rPr>
      </w:pPr>
    </w:p>
    <w:p w:rsidR="00412B8E" w:rsidRPr="000B6574" w:rsidRDefault="00412B8E" w:rsidP="00412B8E">
      <w:pPr>
        <w:numPr>
          <w:ilvl w:val="0"/>
          <w:numId w:val="4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Hospital inpatient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412B8E">
      <w:pPr>
        <w:numPr>
          <w:ilvl w:val="0"/>
          <w:numId w:val="4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Observation stay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412B8E">
      <w:pPr>
        <w:numPr>
          <w:ilvl w:val="0"/>
          <w:numId w:val="5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>Transfer patient via EMS transport (including air ambulance) from one hospital to another hospital</w:t>
      </w:r>
      <w:r w:rsidRPr="000B6574">
        <w:rPr>
          <w:szCs w:val="24"/>
        </w:rPr>
        <w:t xml:space="preserve"> (includes inpatient or observation or emergency department)</w:t>
      </w:r>
      <w:r w:rsidRPr="000B6574">
        <w:rPr>
          <w:color w:val="000000"/>
          <w:szCs w:val="24"/>
        </w:rPr>
        <w:t xml:space="preserve">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412B8E">
      <w:pPr>
        <w:numPr>
          <w:ilvl w:val="0"/>
          <w:numId w:val="5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Death (independent of hospital admission </w:t>
      </w:r>
      <w:r w:rsidRPr="000B6574">
        <w:rPr>
          <w:szCs w:val="24"/>
        </w:rPr>
        <w:t>source</w:t>
      </w:r>
      <w:r w:rsidRPr="000B6574">
        <w:rPr>
          <w:color w:val="000000"/>
          <w:szCs w:val="24"/>
        </w:rPr>
        <w:t xml:space="preserve"> or hospital transfer status) </w:t>
      </w:r>
    </w:p>
    <w:p w:rsidR="00412B8E" w:rsidRPr="000B6574" w:rsidRDefault="00412B8E" w:rsidP="00412B8E">
      <w:pPr>
        <w:rPr>
          <w:color w:val="000000"/>
          <w:szCs w:val="24"/>
        </w:rPr>
      </w:pPr>
    </w:p>
    <w:p w:rsidR="00412B8E" w:rsidRPr="000B6574" w:rsidRDefault="00412B8E" w:rsidP="00412B8E">
      <w:pPr>
        <w:rPr>
          <w:b/>
          <w:szCs w:val="24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Note</w:t>
      </w:r>
      <w:r w:rsidRPr="000B6574">
        <w:rPr>
          <w:szCs w:val="24"/>
        </w:rPr>
        <w:t>: When coding out all the variable fields</w:t>
      </w:r>
      <w:r w:rsidR="00E86AB3" w:rsidRPr="000B6574">
        <w:rPr>
          <w:szCs w:val="24"/>
        </w:rPr>
        <w:t>,</w:t>
      </w:r>
      <w:r w:rsidRPr="000B6574">
        <w:rPr>
          <w:szCs w:val="24"/>
        </w:rPr>
        <w:t xml:space="preserve"> use the best code to describe the direct injury or the information surrounding how the injury occurred. Avoid using non-specified codes unless there is no other code that is better suited for the field after reviewing all the necessary documentation around the injury.</w:t>
      </w:r>
    </w:p>
    <w:p w:rsidR="00757953" w:rsidRPr="00C636D3" w:rsidRDefault="00757953" w:rsidP="00412B8E">
      <w:pPr>
        <w:rPr>
          <w:szCs w:val="24"/>
        </w:rPr>
      </w:pPr>
    </w:p>
    <w:p w:rsidR="001C3E6E" w:rsidRDefault="001C3E6E" w:rsidP="001C3E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How to Submit Data</w:t>
      </w:r>
    </w:p>
    <w:p w:rsidR="001C3E6E" w:rsidRPr="000B6574" w:rsidRDefault="001C3E6E" w:rsidP="001C3E6E">
      <w:pPr>
        <w:rPr>
          <w:b/>
          <w:szCs w:val="24"/>
          <w:u w:val="single"/>
        </w:rPr>
      </w:pPr>
    </w:p>
    <w:p w:rsidR="001C3E6E" w:rsidRDefault="001C3E6E" w:rsidP="001C3E6E">
      <w:pPr>
        <w:rPr>
          <w:szCs w:val="24"/>
        </w:rPr>
      </w:pPr>
      <w:r>
        <w:rPr>
          <w:szCs w:val="24"/>
        </w:rPr>
        <w:t>The specifications for how h</w:t>
      </w:r>
      <w:r w:rsidRPr="00A110A8">
        <w:rPr>
          <w:szCs w:val="24"/>
        </w:rPr>
        <w:t xml:space="preserve">ospitals submit </w:t>
      </w:r>
      <w:r>
        <w:rPr>
          <w:szCs w:val="24"/>
        </w:rPr>
        <w:t xml:space="preserve">trauma data, including </w:t>
      </w:r>
      <w:r w:rsidRPr="00A110A8">
        <w:rPr>
          <w:szCs w:val="24"/>
        </w:rPr>
        <w:t>full file layout information</w:t>
      </w:r>
      <w:r>
        <w:rPr>
          <w:szCs w:val="24"/>
        </w:rPr>
        <w:t>,</w:t>
      </w:r>
      <w:r w:rsidRPr="00A110A8">
        <w:rPr>
          <w:szCs w:val="24"/>
        </w:rPr>
        <w:t xml:space="preserve"> file components, edit specifications, and future technical specifications</w:t>
      </w:r>
      <w:r>
        <w:rPr>
          <w:szCs w:val="24"/>
        </w:rPr>
        <w:t>,</w:t>
      </w:r>
      <w:r w:rsidRPr="00A110A8">
        <w:rPr>
          <w:szCs w:val="24"/>
        </w:rPr>
        <w:t xml:space="preserve"> </w:t>
      </w:r>
      <w:r>
        <w:rPr>
          <w:szCs w:val="24"/>
        </w:rPr>
        <w:t>may be found</w:t>
      </w:r>
      <w:r w:rsidRPr="00A110A8">
        <w:rPr>
          <w:szCs w:val="24"/>
        </w:rPr>
        <w:t xml:space="preserve"> under </w:t>
      </w:r>
      <w:r>
        <w:rPr>
          <w:szCs w:val="24"/>
        </w:rPr>
        <w:t xml:space="preserve">the </w:t>
      </w:r>
      <w:r w:rsidRPr="00A110A8">
        <w:rPr>
          <w:szCs w:val="24"/>
        </w:rPr>
        <w:t xml:space="preserve">State Trauma System </w:t>
      </w:r>
      <w:r>
        <w:rPr>
          <w:szCs w:val="24"/>
        </w:rPr>
        <w:t xml:space="preserve">heading </w:t>
      </w:r>
      <w:r w:rsidRPr="00A110A8">
        <w:rPr>
          <w:szCs w:val="24"/>
        </w:rPr>
        <w:t>at</w:t>
      </w:r>
      <w:r>
        <w:rPr>
          <w:szCs w:val="24"/>
        </w:rPr>
        <w:t>:</w:t>
      </w:r>
    </w:p>
    <w:p w:rsidR="001C3E6E" w:rsidRPr="00A110A8" w:rsidRDefault="005E2E4B" w:rsidP="001C3E6E">
      <w:pPr>
        <w:rPr>
          <w:szCs w:val="24"/>
        </w:rPr>
      </w:pPr>
      <w:hyperlink r:id="rId10" w:history="1">
        <w:r w:rsidR="001C3E6E">
          <w:rPr>
            <w:rStyle w:val="Hyperlink"/>
          </w:rPr>
          <w:t>https://www.mass.gov/service-details/state-trauma-registry-data-submission</w:t>
        </w:r>
      </w:hyperlink>
    </w:p>
    <w:p w:rsidR="001C3E6E" w:rsidRPr="00A110A8" w:rsidRDefault="001C3E6E" w:rsidP="001C3E6E">
      <w:pPr>
        <w:rPr>
          <w:szCs w:val="24"/>
        </w:rPr>
      </w:pPr>
    </w:p>
    <w:p w:rsidR="001C3E6E" w:rsidRPr="00A110A8" w:rsidRDefault="001C3E6E" w:rsidP="001C3E6E">
      <w:pPr>
        <w:autoSpaceDE w:val="0"/>
        <w:autoSpaceDN w:val="0"/>
        <w:adjustRightInd w:val="0"/>
        <w:ind w:left="540" w:hanging="540"/>
        <w:rPr>
          <w:color w:val="000000"/>
          <w:szCs w:val="24"/>
        </w:rPr>
      </w:pPr>
      <w:r w:rsidRPr="00A110A8">
        <w:rPr>
          <w:color w:val="000000"/>
          <w:szCs w:val="24"/>
        </w:rPr>
        <w:t xml:space="preserve">Note: Hospitals with affiliations may share resources for abstraction and submission of the trauma registry data into </w:t>
      </w:r>
      <w:r>
        <w:rPr>
          <w:color w:val="000000"/>
          <w:szCs w:val="24"/>
        </w:rPr>
        <w:t>the Department</w:t>
      </w:r>
      <w:r w:rsidRPr="00A110A8">
        <w:rPr>
          <w:color w:val="000000"/>
          <w:szCs w:val="24"/>
        </w:rPr>
        <w:t>.  The hospitals need to make sure the hospital filing number</w:t>
      </w:r>
      <w:r>
        <w:rPr>
          <w:color w:val="000000"/>
          <w:szCs w:val="24"/>
        </w:rPr>
        <w:t xml:space="preserve"> (FilingOrgId)</w:t>
      </w:r>
      <w:r w:rsidRPr="00A110A8">
        <w:rPr>
          <w:color w:val="000000"/>
          <w:szCs w:val="24"/>
        </w:rPr>
        <w:t xml:space="preserve"> represents the hospital</w:t>
      </w:r>
      <w:r>
        <w:rPr>
          <w:color w:val="000000"/>
          <w:szCs w:val="24"/>
        </w:rPr>
        <w:t xml:space="preserve"> that is submitting the data to the trauma registry</w:t>
      </w:r>
      <w:r w:rsidRPr="00A110A8">
        <w:rPr>
          <w:color w:val="000000"/>
          <w:szCs w:val="24"/>
        </w:rPr>
        <w:t xml:space="preserve"> and the hospital submitting number</w:t>
      </w:r>
      <w:r>
        <w:rPr>
          <w:color w:val="000000"/>
          <w:szCs w:val="24"/>
        </w:rPr>
        <w:t xml:space="preserve"> (SiteOrgId)</w:t>
      </w:r>
      <w:r w:rsidRPr="00A110A8">
        <w:rPr>
          <w:color w:val="000000"/>
          <w:szCs w:val="24"/>
        </w:rPr>
        <w:t xml:space="preserve"> represents the hospital</w:t>
      </w:r>
      <w:r>
        <w:rPr>
          <w:color w:val="000000"/>
          <w:szCs w:val="24"/>
        </w:rPr>
        <w:t xml:space="preserve"> where the patient received care</w:t>
      </w:r>
      <w:r w:rsidRPr="00A110A8">
        <w:rPr>
          <w:color w:val="000000"/>
          <w:szCs w:val="24"/>
        </w:rPr>
        <w:t xml:space="preserve">. </w:t>
      </w:r>
    </w:p>
    <w:p w:rsidR="001C3E6E" w:rsidRPr="00A110A8" w:rsidRDefault="001C3E6E" w:rsidP="001C3E6E">
      <w:pPr>
        <w:autoSpaceDE w:val="0"/>
        <w:autoSpaceDN w:val="0"/>
        <w:adjustRightInd w:val="0"/>
        <w:ind w:left="540" w:hanging="540"/>
        <w:rPr>
          <w:color w:val="000000"/>
          <w:szCs w:val="24"/>
        </w:rPr>
      </w:pPr>
    </w:p>
    <w:p w:rsidR="001C3E6E" w:rsidRPr="00A110A8" w:rsidRDefault="001C3E6E" w:rsidP="001C3E6E">
      <w:pPr>
        <w:autoSpaceDE w:val="0"/>
        <w:autoSpaceDN w:val="0"/>
        <w:adjustRightInd w:val="0"/>
        <w:ind w:left="540" w:hanging="540"/>
        <w:rPr>
          <w:color w:val="000000"/>
          <w:szCs w:val="24"/>
        </w:rPr>
      </w:pPr>
      <w:r w:rsidRPr="00A110A8">
        <w:rPr>
          <w:color w:val="000000"/>
          <w:szCs w:val="24"/>
        </w:rPr>
        <w:tab/>
        <w:t xml:space="preserve">If the hospital with affiliations </w:t>
      </w:r>
      <w:r>
        <w:rPr>
          <w:color w:val="000000"/>
          <w:szCs w:val="24"/>
        </w:rPr>
        <w:t>operates</w:t>
      </w:r>
      <w:r w:rsidRPr="00A110A8">
        <w:rPr>
          <w:color w:val="000000"/>
          <w:szCs w:val="24"/>
        </w:rPr>
        <w:t xml:space="preserve"> under one license, </w:t>
      </w:r>
      <w:r>
        <w:rPr>
          <w:color w:val="000000"/>
          <w:szCs w:val="24"/>
        </w:rPr>
        <w:t xml:space="preserve">then </w:t>
      </w:r>
      <w:r w:rsidRPr="00A110A8">
        <w:rPr>
          <w:color w:val="000000"/>
          <w:szCs w:val="24"/>
        </w:rPr>
        <w:t xml:space="preserve">the hospital should submit the trauma cases under the appropriate hospital submitting number that is designated for the </w:t>
      </w:r>
      <w:r>
        <w:rPr>
          <w:color w:val="000000"/>
          <w:szCs w:val="24"/>
        </w:rPr>
        <w:t>campus</w:t>
      </w:r>
      <w:r w:rsidRPr="00A110A8">
        <w:rPr>
          <w:color w:val="000000"/>
          <w:szCs w:val="24"/>
        </w:rPr>
        <w:t xml:space="preserve"> that received the trauma case.</w:t>
      </w:r>
    </w:p>
    <w:p w:rsidR="001C3E6E" w:rsidRPr="00A110A8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A110A8">
        <w:rPr>
          <w:color w:val="000000"/>
          <w:szCs w:val="24"/>
        </w:rPr>
        <w:lastRenderedPageBreak/>
        <w:t xml:space="preserve">Hospitals </w:t>
      </w:r>
      <w:r>
        <w:rPr>
          <w:color w:val="000000"/>
          <w:szCs w:val="24"/>
        </w:rPr>
        <w:t>are required to</w:t>
      </w:r>
      <w:r w:rsidRPr="00A110A8">
        <w:rPr>
          <w:color w:val="000000"/>
          <w:szCs w:val="24"/>
        </w:rPr>
        <w:t xml:space="preserve"> submit trauma data quarterly. </w:t>
      </w:r>
      <w:r w:rsidR="0087317B">
        <w:rPr>
          <w:color w:val="000000"/>
          <w:szCs w:val="24"/>
        </w:rPr>
        <w:t xml:space="preserve"> </w:t>
      </w:r>
      <w:r w:rsidRPr="00A110A8">
        <w:rPr>
          <w:color w:val="000000"/>
          <w:szCs w:val="24"/>
        </w:rPr>
        <w:t xml:space="preserve">After the </w:t>
      </w:r>
      <w:r>
        <w:rPr>
          <w:color w:val="000000"/>
          <w:szCs w:val="24"/>
        </w:rPr>
        <w:t xml:space="preserve">end of the </w:t>
      </w:r>
      <w:r w:rsidRPr="00A110A8">
        <w:rPr>
          <w:color w:val="000000"/>
          <w:szCs w:val="24"/>
        </w:rPr>
        <w:t xml:space="preserve">first submission deadline on </w:t>
      </w:r>
      <w:r w:rsidR="002A6E53">
        <w:rPr>
          <w:b/>
          <w:bCs/>
          <w:color w:val="000000"/>
          <w:szCs w:val="24"/>
        </w:rPr>
        <w:t>July 31</w:t>
      </w:r>
      <w:r w:rsidRPr="00A110A8">
        <w:rPr>
          <w:b/>
          <w:bCs/>
          <w:color w:val="000000"/>
          <w:szCs w:val="24"/>
        </w:rPr>
        <w:t>, 201</w:t>
      </w:r>
      <w:r>
        <w:rPr>
          <w:b/>
          <w:bCs/>
          <w:color w:val="000000"/>
          <w:szCs w:val="24"/>
        </w:rPr>
        <w:t>9</w:t>
      </w:r>
      <w:r w:rsidRPr="00A110A8">
        <w:rPr>
          <w:color w:val="000000"/>
          <w:szCs w:val="24"/>
        </w:rPr>
        <w:t>, trauma data submission</w:t>
      </w:r>
      <w:r>
        <w:rPr>
          <w:color w:val="000000"/>
          <w:szCs w:val="24"/>
        </w:rPr>
        <w:t>s</w:t>
      </w:r>
      <w:r w:rsidRPr="00A110A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are </w:t>
      </w:r>
      <w:r w:rsidRPr="00A110A8">
        <w:rPr>
          <w:color w:val="000000"/>
          <w:szCs w:val="24"/>
        </w:rPr>
        <w:t>due according to the following schedule:</w:t>
      </w:r>
    </w:p>
    <w:p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:rsidR="001C3E6E" w:rsidRPr="00CE6CB3" w:rsidRDefault="001C3E6E" w:rsidP="001C3E6E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CE6CB3">
        <w:rPr>
          <w:rFonts w:ascii="Arial" w:hAnsi="Arial" w:cs="Arial"/>
          <w:color w:val="000000"/>
          <w:szCs w:val="24"/>
        </w:rPr>
        <w:t xml:space="preserve">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2290"/>
        <w:gridCol w:w="2290"/>
      </w:tblGrid>
      <w:tr w:rsidR="001C3E6E" w:rsidRPr="00A23F0A" w:rsidTr="00615089">
        <w:trPr>
          <w:trHeight w:val="368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Quarter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Quarter Begin &amp; End Dates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>Due Date for Data File: 75 days following the end of the reporting period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C3E6E" w:rsidRPr="00A23F0A" w:rsidTr="00615089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10/1 – 12/31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3/16</w:t>
            </w:r>
          </w:p>
        </w:tc>
      </w:tr>
      <w:tr w:rsidR="001C3E6E" w:rsidRPr="00A23F0A" w:rsidTr="00615089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1/1 – 3/31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6/14</w:t>
            </w:r>
          </w:p>
        </w:tc>
      </w:tr>
      <w:tr w:rsidR="001C3E6E" w:rsidRPr="00A23F0A" w:rsidTr="00615089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4/1 – 6/30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9/13 </w:t>
            </w:r>
          </w:p>
        </w:tc>
      </w:tr>
      <w:tr w:rsidR="001C3E6E" w:rsidRPr="00A23F0A" w:rsidTr="00615089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7/1 – 9/30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12/14</w:t>
            </w:r>
          </w:p>
        </w:tc>
      </w:tr>
    </w:tbl>
    <w:p w:rsidR="001C3E6E" w:rsidRPr="00291CF1" w:rsidRDefault="001C3E6E" w:rsidP="001C3E6E">
      <w:pPr>
        <w:rPr>
          <w:szCs w:val="24"/>
        </w:rPr>
      </w:pPr>
      <w:r>
        <w:rPr>
          <w:szCs w:val="24"/>
        </w:rPr>
        <w:t>* All dates are approximate and subject to change by the Department.</w:t>
      </w:r>
    </w:p>
    <w:p w:rsidR="001C3E6E" w:rsidRPr="004B063C" w:rsidRDefault="001C3E6E" w:rsidP="001C3E6E">
      <w:pPr>
        <w:rPr>
          <w:szCs w:val="24"/>
        </w:rPr>
      </w:pPr>
    </w:p>
    <w:p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may, at its discretion, and for good cause, grant an extension in time to a hospital submitting trauma data. </w:t>
      </w:r>
    </w:p>
    <w:p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:rsidR="001C3E6E" w:rsidRDefault="001C3E6E" w:rsidP="001C3E6E">
      <w:pPr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If 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notifies a hospital that it is required to resubmit data because the submission was </w:t>
      </w:r>
      <w:r w:rsidRPr="007F4DDB">
        <w:rPr>
          <w:color w:val="000000"/>
          <w:szCs w:val="24"/>
        </w:rPr>
        <w:t xml:space="preserve">rejected </w:t>
      </w:r>
      <w:r w:rsidRPr="00291CF1">
        <w:rPr>
          <w:bCs/>
          <w:color w:val="000000"/>
          <w:szCs w:val="24"/>
        </w:rPr>
        <w:t>or as part of a data verification process</w:t>
      </w:r>
      <w:r w:rsidRPr="007F4DDB">
        <w:rPr>
          <w:color w:val="000000"/>
          <w:szCs w:val="24"/>
        </w:rPr>
        <w:t>, the hospital must submit its data no later than 30 days following the date of the notice to resubmit.</w:t>
      </w:r>
      <w:r w:rsidRPr="004B063C">
        <w:rPr>
          <w:color w:val="000000"/>
          <w:szCs w:val="24"/>
        </w:rPr>
        <w:t xml:space="preserve">  </w:t>
      </w:r>
    </w:p>
    <w:p w:rsidR="001C3E6E" w:rsidRDefault="001C3E6E" w:rsidP="001C3E6E">
      <w:pPr>
        <w:rPr>
          <w:color w:val="000000"/>
          <w:szCs w:val="24"/>
        </w:rPr>
      </w:pPr>
    </w:p>
    <w:p w:rsidR="00757953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 xml:space="preserve">Data Elements To Be Reported to the Department </w:t>
      </w:r>
    </w:p>
    <w:p w:rsidR="00901844" w:rsidRDefault="00901844" w:rsidP="00412B8E">
      <w:pPr>
        <w:rPr>
          <w:b/>
          <w:szCs w:val="24"/>
        </w:rPr>
      </w:pPr>
    </w:p>
    <w:p w:rsidR="00901844" w:rsidRPr="00901844" w:rsidRDefault="00901844" w:rsidP="00412B8E">
      <w:pPr>
        <w:rPr>
          <w:szCs w:val="24"/>
        </w:rPr>
      </w:pPr>
      <w:r>
        <w:rPr>
          <w:szCs w:val="24"/>
        </w:rPr>
        <w:t>Please refer to the attachment for the data elements that are required to be reported to the Department.</w:t>
      </w:r>
    </w:p>
    <w:p w:rsidR="001C3E6E" w:rsidRDefault="001C3E6E" w:rsidP="00412B8E">
      <w:pPr>
        <w:rPr>
          <w:szCs w:val="24"/>
        </w:rPr>
      </w:pPr>
    </w:p>
    <w:p w:rsidR="001C3E6E" w:rsidRDefault="00B27925" w:rsidP="00412B8E">
      <w:pPr>
        <w:rPr>
          <w:szCs w:val="24"/>
        </w:rPr>
      </w:pPr>
      <w:r>
        <w:rPr>
          <w:szCs w:val="24"/>
        </w:rPr>
        <w:t>The Department requests that h</w:t>
      </w:r>
      <w:r w:rsidR="001C3E6E" w:rsidRPr="001C3E6E">
        <w:rPr>
          <w:szCs w:val="24"/>
        </w:rPr>
        <w:t xml:space="preserve">ospitals contact the state trauma registry when there are any changes in trauma registry personnel, email addresses, or changes in designation.  The contact information needed is as follows: the name of the trauma registry contact(s), phone number(s), email address(es) and title(s).  Please submit updated contact information to </w:t>
      </w:r>
      <w:hyperlink r:id="rId11" w:history="1">
        <w:r w:rsidR="001C3E6E" w:rsidRPr="00780DA2">
          <w:rPr>
            <w:rStyle w:val="Hyperlink"/>
            <w:szCs w:val="24"/>
          </w:rPr>
          <w:t>Bertina.Backus@state.ma.us</w:t>
        </w:r>
      </w:hyperlink>
    </w:p>
    <w:p w:rsidR="00412B8E" w:rsidRPr="00A110A8" w:rsidRDefault="00412B8E" w:rsidP="00412B8E">
      <w:pPr>
        <w:rPr>
          <w:szCs w:val="24"/>
        </w:rPr>
      </w:pPr>
    </w:p>
    <w:p w:rsidR="00412B8E" w:rsidRPr="004B063C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For questions regarding the Trauma registry, please contact Bertina Backus, at 617-753-8013, or </w:t>
      </w:r>
      <w:hyperlink r:id="rId12" w:history="1">
        <w:r w:rsidR="007F4DDB" w:rsidRPr="00861858">
          <w:rPr>
            <w:rStyle w:val="Hyperlink"/>
            <w:szCs w:val="24"/>
          </w:rPr>
          <w:t>Bertina.Backus@state.ma.us</w:t>
        </w:r>
      </w:hyperlink>
      <w:r w:rsidRPr="004B063C">
        <w:rPr>
          <w:color w:val="000000"/>
          <w:szCs w:val="24"/>
        </w:rPr>
        <w:t>.</w:t>
      </w:r>
      <w:r w:rsidR="007F4DDB">
        <w:rPr>
          <w:color w:val="000000"/>
          <w:szCs w:val="24"/>
        </w:rPr>
        <w:t xml:space="preserve"> </w:t>
      </w:r>
      <w:r w:rsidRPr="004B063C">
        <w:rPr>
          <w:color w:val="000000"/>
          <w:szCs w:val="24"/>
        </w:rPr>
        <w:t xml:space="preserve"> </w:t>
      </w:r>
    </w:p>
    <w:p w:rsidR="00412B8E" w:rsidRPr="00A110A8" w:rsidRDefault="00412B8E" w:rsidP="00412B8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12B8E" w:rsidRPr="00A110A8" w:rsidRDefault="00412B8E" w:rsidP="00412B8E">
      <w:pPr>
        <w:tabs>
          <w:tab w:val="left" w:pos="23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B063C" w:rsidRPr="006D733D" w:rsidRDefault="004B063C" w:rsidP="00B100F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4B063C" w:rsidRPr="006D733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4B" w:rsidRDefault="005E2E4B" w:rsidP="008E679C">
      <w:r>
        <w:separator/>
      </w:r>
    </w:p>
  </w:endnote>
  <w:endnote w:type="continuationSeparator" w:id="0">
    <w:p w:rsidR="005E2E4B" w:rsidRDefault="005E2E4B" w:rsidP="008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46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B5C" w:rsidRDefault="00785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6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5B5C" w:rsidRDefault="00785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4B" w:rsidRDefault="005E2E4B" w:rsidP="008E679C">
      <w:r>
        <w:separator/>
      </w:r>
    </w:p>
  </w:footnote>
  <w:footnote w:type="continuationSeparator" w:id="0">
    <w:p w:rsidR="005E2E4B" w:rsidRDefault="005E2E4B" w:rsidP="008E679C">
      <w:r>
        <w:continuationSeparator/>
      </w:r>
    </w:p>
  </w:footnote>
  <w:footnote w:id="1">
    <w:p w:rsidR="00785B5C" w:rsidRDefault="00785B5C">
      <w:pPr>
        <w:pStyle w:val="FootnoteText"/>
      </w:pPr>
      <w:r>
        <w:rPr>
          <w:rStyle w:val="FootnoteReference"/>
        </w:rPr>
        <w:footnoteRef/>
      </w:r>
      <w:r>
        <w:t xml:space="preserve"> 105 CMR 130.850 - 130.854.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5C" w:rsidRDefault="00785B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624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4378CE"/>
    <w:multiLevelType w:val="multilevel"/>
    <w:tmpl w:val="7E8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C750B9"/>
    <w:multiLevelType w:val="hybridMultilevel"/>
    <w:tmpl w:val="0E64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D1910"/>
    <w:multiLevelType w:val="multilevel"/>
    <w:tmpl w:val="E3C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C90AAA"/>
    <w:multiLevelType w:val="hybridMultilevel"/>
    <w:tmpl w:val="761A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822A2"/>
    <w:multiLevelType w:val="hybridMultilevel"/>
    <w:tmpl w:val="965E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06FA"/>
    <w:rsid w:val="000155DF"/>
    <w:rsid w:val="00025CC2"/>
    <w:rsid w:val="00033154"/>
    <w:rsid w:val="00042048"/>
    <w:rsid w:val="000537DA"/>
    <w:rsid w:val="00056E6D"/>
    <w:rsid w:val="00060965"/>
    <w:rsid w:val="0008026F"/>
    <w:rsid w:val="00086C2F"/>
    <w:rsid w:val="00090629"/>
    <w:rsid w:val="000A3D49"/>
    <w:rsid w:val="000B6574"/>
    <w:rsid w:val="000D03A8"/>
    <w:rsid w:val="000F315B"/>
    <w:rsid w:val="001045B8"/>
    <w:rsid w:val="0015268B"/>
    <w:rsid w:val="00154921"/>
    <w:rsid w:val="00177C77"/>
    <w:rsid w:val="001C08AE"/>
    <w:rsid w:val="001C3E6E"/>
    <w:rsid w:val="001F2475"/>
    <w:rsid w:val="001F5FCC"/>
    <w:rsid w:val="00240D65"/>
    <w:rsid w:val="00254E9E"/>
    <w:rsid w:val="00256395"/>
    <w:rsid w:val="00276957"/>
    <w:rsid w:val="00276DCC"/>
    <w:rsid w:val="00291CF1"/>
    <w:rsid w:val="002A6E53"/>
    <w:rsid w:val="002F443E"/>
    <w:rsid w:val="003076DB"/>
    <w:rsid w:val="003138C9"/>
    <w:rsid w:val="00322B71"/>
    <w:rsid w:val="00332188"/>
    <w:rsid w:val="0035157F"/>
    <w:rsid w:val="003656E8"/>
    <w:rsid w:val="00385812"/>
    <w:rsid w:val="00392D0B"/>
    <w:rsid w:val="003A7AFC"/>
    <w:rsid w:val="003B0F1B"/>
    <w:rsid w:val="003C60EF"/>
    <w:rsid w:val="003E04E2"/>
    <w:rsid w:val="003E4BF8"/>
    <w:rsid w:val="00412B8E"/>
    <w:rsid w:val="0042177F"/>
    <w:rsid w:val="00447071"/>
    <w:rsid w:val="00454437"/>
    <w:rsid w:val="00471099"/>
    <w:rsid w:val="004813AC"/>
    <w:rsid w:val="00490076"/>
    <w:rsid w:val="004B063C"/>
    <w:rsid w:val="004B37A0"/>
    <w:rsid w:val="004B744F"/>
    <w:rsid w:val="004C57BE"/>
    <w:rsid w:val="004D3682"/>
    <w:rsid w:val="004D6B39"/>
    <w:rsid w:val="004E17E8"/>
    <w:rsid w:val="005240D1"/>
    <w:rsid w:val="0054405A"/>
    <w:rsid w:val="005442ED"/>
    <w:rsid w:val="005448AA"/>
    <w:rsid w:val="00544C0A"/>
    <w:rsid w:val="00546A14"/>
    <w:rsid w:val="0055488E"/>
    <w:rsid w:val="0056629B"/>
    <w:rsid w:val="005A274C"/>
    <w:rsid w:val="005D4012"/>
    <w:rsid w:val="005E2E4B"/>
    <w:rsid w:val="005E52F4"/>
    <w:rsid w:val="006014CC"/>
    <w:rsid w:val="00615089"/>
    <w:rsid w:val="006351D4"/>
    <w:rsid w:val="00642E33"/>
    <w:rsid w:val="006459E1"/>
    <w:rsid w:val="00651FAD"/>
    <w:rsid w:val="00670921"/>
    <w:rsid w:val="006755C4"/>
    <w:rsid w:val="00692874"/>
    <w:rsid w:val="00694157"/>
    <w:rsid w:val="006A355B"/>
    <w:rsid w:val="006D06D9"/>
    <w:rsid w:val="006D6B21"/>
    <w:rsid w:val="006D733D"/>
    <w:rsid w:val="006D77A6"/>
    <w:rsid w:val="006E64D8"/>
    <w:rsid w:val="00702109"/>
    <w:rsid w:val="0072610D"/>
    <w:rsid w:val="00727F31"/>
    <w:rsid w:val="0074057E"/>
    <w:rsid w:val="00750EC5"/>
    <w:rsid w:val="00756912"/>
    <w:rsid w:val="00757953"/>
    <w:rsid w:val="00770243"/>
    <w:rsid w:val="00785B5C"/>
    <w:rsid w:val="007A363A"/>
    <w:rsid w:val="007A5CE7"/>
    <w:rsid w:val="007B3F4B"/>
    <w:rsid w:val="007B7347"/>
    <w:rsid w:val="007D10F3"/>
    <w:rsid w:val="007D18CD"/>
    <w:rsid w:val="007D3D94"/>
    <w:rsid w:val="007F1BA0"/>
    <w:rsid w:val="007F4DDB"/>
    <w:rsid w:val="008056BE"/>
    <w:rsid w:val="008112B8"/>
    <w:rsid w:val="00812A49"/>
    <w:rsid w:val="00837DAD"/>
    <w:rsid w:val="008556E4"/>
    <w:rsid w:val="0087317B"/>
    <w:rsid w:val="0088471D"/>
    <w:rsid w:val="008B3A69"/>
    <w:rsid w:val="008B678A"/>
    <w:rsid w:val="008E2D23"/>
    <w:rsid w:val="008E679C"/>
    <w:rsid w:val="008F4F14"/>
    <w:rsid w:val="00901844"/>
    <w:rsid w:val="00932FB6"/>
    <w:rsid w:val="009736CE"/>
    <w:rsid w:val="009817B7"/>
    <w:rsid w:val="009908FF"/>
    <w:rsid w:val="009924B0"/>
    <w:rsid w:val="00995505"/>
    <w:rsid w:val="009B0F0A"/>
    <w:rsid w:val="009B55ED"/>
    <w:rsid w:val="009C77C0"/>
    <w:rsid w:val="00A110A8"/>
    <w:rsid w:val="00A23F0A"/>
    <w:rsid w:val="00A348E4"/>
    <w:rsid w:val="00A35ADA"/>
    <w:rsid w:val="00A35E9B"/>
    <w:rsid w:val="00A65101"/>
    <w:rsid w:val="00AB6C0E"/>
    <w:rsid w:val="00AE1A7D"/>
    <w:rsid w:val="00B100F9"/>
    <w:rsid w:val="00B27925"/>
    <w:rsid w:val="00B403BF"/>
    <w:rsid w:val="00B608D9"/>
    <w:rsid w:val="00B62CCF"/>
    <w:rsid w:val="00B77E3B"/>
    <w:rsid w:val="00BA4055"/>
    <w:rsid w:val="00BA7FB6"/>
    <w:rsid w:val="00BC7DAE"/>
    <w:rsid w:val="00BD2A8B"/>
    <w:rsid w:val="00BE04CF"/>
    <w:rsid w:val="00BF0C53"/>
    <w:rsid w:val="00C20BFE"/>
    <w:rsid w:val="00C410ED"/>
    <w:rsid w:val="00C53560"/>
    <w:rsid w:val="00C636D3"/>
    <w:rsid w:val="00C94381"/>
    <w:rsid w:val="00C95E18"/>
    <w:rsid w:val="00CA0020"/>
    <w:rsid w:val="00CB193C"/>
    <w:rsid w:val="00CC1778"/>
    <w:rsid w:val="00CC4CFC"/>
    <w:rsid w:val="00CD01A5"/>
    <w:rsid w:val="00CD7AD3"/>
    <w:rsid w:val="00CE575B"/>
    <w:rsid w:val="00CE644B"/>
    <w:rsid w:val="00CE6CB3"/>
    <w:rsid w:val="00CF3DE8"/>
    <w:rsid w:val="00D0493F"/>
    <w:rsid w:val="00D17DA4"/>
    <w:rsid w:val="00D203E1"/>
    <w:rsid w:val="00D21DDA"/>
    <w:rsid w:val="00D35B2F"/>
    <w:rsid w:val="00D532E3"/>
    <w:rsid w:val="00D56F91"/>
    <w:rsid w:val="00D632DA"/>
    <w:rsid w:val="00D7277A"/>
    <w:rsid w:val="00D8671C"/>
    <w:rsid w:val="00D91ED4"/>
    <w:rsid w:val="00DA0FD6"/>
    <w:rsid w:val="00DA57C3"/>
    <w:rsid w:val="00DB77F9"/>
    <w:rsid w:val="00DC3855"/>
    <w:rsid w:val="00DD4635"/>
    <w:rsid w:val="00DD689A"/>
    <w:rsid w:val="00E242A8"/>
    <w:rsid w:val="00E274B8"/>
    <w:rsid w:val="00E425AF"/>
    <w:rsid w:val="00E448F3"/>
    <w:rsid w:val="00E51151"/>
    <w:rsid w:val="00E52A33"/>
    <w:rsid w:val="00E54932"/>
    <w:rsid w:val="00E66985"/>
    <w:rsid w:val="00E72707"/>
    <w:rsid w:val="00E7446F"/>
    <w:rsid w:val="00E86AB3"/>
    <w:rsid w:val="00E87DF7"/>
    <w:rsid w:val="00E931E3"/>
    <w:rsid w:val="00EB037C"/>
    <w:rsid w:val="00EB644B"/>
    <w:rsid w:val="00ED0C36"/>
    <w:rsid w:val="00F03D04"/>
    <w:rsid w:val="00F0586E"/>
    <w:rsid w:val="00F12C13"/>
    <w:rsid w:val="00F12E23"/>
    <w:rsid w:val="00F22925"/>
    <w:rsid w:val="00F275A3"/>
    <w:rsid w:val="00F37F04"/>
    <w:rsid w:val="00F43932"/>
    <w:rsid w:val="00F65645"/>
    <w:rsid w:val="00F71B8C"/>
    <w:rsid w:val="00F80E01"/>
    <w:rsid w:val="00F954BC"/>
    <w:rsid w:val="00FB60BF"/>
    <w:rsid w:val="00FC1363"/>
    <w:rsid w:val="00FC61D0"/>
    <w:rsid w:val="00FC6B42"/>
    <w:rsid w:val="00FE6FFE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E6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E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ertina.Backus@state.ma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rtina.Backus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service-details/state-trauma-registry-data-submiss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D24F-273A-4DF3-948A-AFC6591B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8095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mailto:Bertina.Backus@state.ma.us</vt:lpwstr>
      </vt:variant>
      <vt:variant>
        <vt:lpwstr/>
      </vt:variant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http://www.mass.gov/eohhs/gov/departments/dph/programs/hcq/oems/trauma-data/public-health-oems-trauma-system.html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 </cp:lastModifiedBy>
  <cp:revision>2</cp:revision>
  <cp:lastPrinted>2019-02-05T13:46:00Z</cp:lastPrinted>
  <dcterms:created xsi:type="dcterms:W3CDTF">2019-04-16T13:40:00Z</dcterms:created>
  <dcterms:modified xsi:type="dcterms:W3CDTF">2019-04-16T13:40:00Z</dcterms:modified>
</cp:coreProperties>
</file>