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A" w:rsidRDefault="000537DA" w:rsidP="00AF5942">
      <w:pPr>
        <w:framePr w:w="6926" w:hSpace="187" w:wrap="notBeside" w:vAnchor="page" w:hAnchor="page" w:x="2884" w:y="72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RDefault="000537DA" w:rsidP="00AF5942">
      <w:pPr>
        <w:pStyle w:val="ExecOffice"/>
        <w:framePr w:w="6926" w:wrap="notBeside" w:vAnchor="page" w:x="2884" w:y="721"/>
      </w:pPr>
      <w:r>
        <w:t>Executive Office of Health and Human Services</w:t>
      </w:r>
    </w:p>
    <w:p w:rsidR="000537DA" w:rsidRDefault="000537DA" w:rsidP="00AF5942">
      <w:pPr>
        <w:pStyle w:val="ExecOffice"/>
        <w:framePr w:w="6926" w:wrap="notBeside" w:vAnchor="page" w:x="2884" w:y="721"/>
      </w:pPr>
      <w:r>
        <w:t>Department of Public Health</w:t>
      </w:r>
    </w:p>
    <w:p w:rsidR="00254E9E" w:rsidRDefault="00254E9E" w:rsidP="00AF5942">
      <w:pPr>
        <w:pStyle w:val="ExecOffice"/>
        <w:framePr w:w="6926" w:wrap="notBeside" w:vAnchor="page" w:x="2884" w:y="721"/>
      </w:pPr>
      <w:r>
        <w:t>Bureau of Health Care Safety and Quality</w:t>
      </w:r>
    </w:p>
    <w:p w:rsidR="00254E9E" w:rsidRDefault="00254E9E" w:rsidP="00AF5942">
      <w:pPr>
        <w:pStyle w:val="ExecOffice"/>
        <w:framePr w:w="6926" w:wrap="notBeside" w:vAnchor="page" w:x="2884" w:y="721"/>
      </w:pPr>
      <w:r>
        <w:t>99 Chauncy St., 11</w:t>
      </w:r>
      <w:r w:rsidRPr="00254E9E">
        <w:rPr>
          <w:vertAlign w:val="superscript"/>
        </w:rPr>
        <w:t>th</w:t>
      </w:r>
      <w:r>
        <w:t xml:space="preserve"> Floor</w:t>
      </w:r>
    </w:p>
    <w:p w:rsidR="00254E9E" w:rsidRDefault="00254E9E" w:rsidP="00AF5942">
      <w:pPr>
        <w:pStyle w:val="ExecOffice"/>
        <w:framePr w:w="6926" w:wrap="notBeside" w:vAnchor="page" w:x="2884" w:y="721"/>
      </w:pPr>
      <w:r>
        <w:t>Boston, MA  02111</w:t>
      </w:r>
    </w:p>
    <w:p w:rsidR="00BA4055" w:rsidRDefault="00A6036C" w:rsidP="00AF5942">
      <w:pPr>
        <w:framePr w:w="1927" w:hSpace="180" w:wrap="auto" w:vAnchor="text" w:hAnchor="page" w:x="766" w:y="-91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RDefault="009908FF" w:rsidP="0072610D"/>
    <w:p w:rsidR="00033154" w:rsidRDefault="00033154" w:rsidP="0072610D"/>
    <w:p w:rsidR="00033154" w:rsidRDefault="00A6036C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124460</wp:posOffset>
                </wp:positionV>
                <wp:extent cx="1572895" cy="951230"/>
                <wp:effectExtent l="0" t="635" r="254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EEC" w:rsidRDefault="00786EE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786EEC" w:rsidRDefault="00786EE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5pt;margin-top:9.8pt;width:123.85pt;height:7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BGgQIAAA8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T7H&#10;SJEOKHrgg0dLPaA8VKc3rgKjewNmfoBtYDlm6sydpl8cUvqmJWrDr63VfcsJg+iycDM5uTriuACy&#10;7t9rBm7I1usINDS2C6WDYiBAB5Yej8yEUGhwOb3MZ+UUIwpn5TTLzyN1CakOt411/i3XHQqTGltg&#10;PqKT3Z3zIRpSHUyCM6elYCshZVzYzfpGWrQjoJJV/GICL8ykCsZKh2sj4rgDQYKPcBbCjaw/lVle&#10;pMu8nKwuZpeTYlVMJ+VlOpukWbksL9KiLG5X30OAWVG1gjGu7oTiBwVmxd8xvO+FUTtRg6gP9cmn&#10;I0V/TDKN3++S7ISHhpSiq/HsaESqQOwbxSBtUnki5DhPfg4/VhlqcPjHqkQZBOZHDfhhPQBK0MZa&#10;s0cQhNXAF7AOrwhMWm2/YdRDR9bYfd0SyzGS7xSIqsyKIrRwXBQgCFjY05P16QlRFKBq7DEapzd+&#10;bPutsWLTgqdRxkpfgxAbETXyHNVevtB1MZn9CxHa+nQdrZ7fscUPAAAA//8DAFBLAwQUAAYACAAA&#10;ACEAXqdLPN0AAAAKAQAADwAAAGRycy9kb3ducmV2LnhtbEyPQU+DQBCF7yb+h82YeDHtUtNSQJZG&#10;TTReW/sDBpgCkZ0l7LbQf+/0pLc3eV/evJfvZturC42+c2xgtYxAEVeu7rgxcPz+WCSgfECusXdM&#10;Bq7kYVfc3+WY1W7iPV0OoVESwj5DA20IQ6a1r1qy6JduIBbv5EaLQc6x0fWIk4TbXj9HUawtdiwf&#10;WhzovaXq53C2Bk5f09MmncrPcNzu1/EbdtvSXY15fJhfX0AFmsMfDLf6Uh0K6VS6M9de9QYWSboS&#10;VIw0BnUDNomIUkScrkEXuf4/ofgFAAD//wMAUEsBAi0AFAAGAAgAAAAhALaDOJL+AAAA4QEAABMA&#10;AAAAAAAAAAAAAAAAAAAAAFtDb250ZW50X1R5cGVzXS54bWxQSwECLQAUAAYACAAAACEAOP0h/9YA&#10;AACUAQAACwAAAAAAAAAAAAAAAAAvAQAAX3JlbHMvLnJlbHNQSwECLQAUAAYACAAAACEAx4sgRoEC&#10;AAAPBQAADgAAAAAAAAAAAAAAAAAuAgAAZHJzL2Uyb0RvYy54bWxQSwECLQAUAAYACAAAACEAXqdL&#10;PN0AAAAKAQAADwAAAAAAAAAAAAAAAADbBAAAZHJzL2Rvd25yZXYueG1sUEsFBgAAAAAEAAQA8wAA&#10;AOUFAAAAAA==&#10;" stroked="f">
                <v:textbox>
                  <w:txbxContent>
                    <w:p w:rsidR="00786EEC" w:rsidRDefault="00786EE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786EEC" w:rsidRDefault="00786EE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786EEC" w:rsidRDefault="00786EEC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786EEC" w:rsidRDefault="00786EE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786EEC" w:rsidRDefault="00786EEC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  <w:p w:rsidR="00786EEC" w:rsidRDefault="00786EEC" w:rsidP="00FC6B42">
                      <w:pPr>
                        <w:pStyle w:val="Governo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10795</wp:posOffset>
                </wp:positionV>
                <wp:extent cx="1943100" cy="113601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EEC" w:rsidRDefault="00786EEC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786EEC" w:rsidRPr="003A7AFC" w:rsidRDefault="00786EEC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786EEC" w:rsidRDefault="00786EEC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786EEC" w:rsidRDefault="00786EEC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786EEC" w:rsidRDefault="00786EE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786EEC" w:rsidRPr="004813AC" w:rsidRDefault="00786EE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786EEC" w:rsidRPr="004813AC" w:rsidRDefault="00786EE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786EEC" w:rsidRPr="00FC6B42" w:rsidRDefault="00786EE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5.75pt;margin-top:.85pt;width:153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KzgwIAABc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HloTuDcRU43Rtw8yP8BpZjpc7cafrZIaVvOqI2/MpaPXScMMguCyeTk6MTjgsg&#10;6+GdZhCGbL2OQGNr+9A6aAYCdGDp8chMSIWGkGXxKkvBRMGWZa8WaTaPMUh1OG6s82+47lFY1NgC&#10;9RGe7O6cD+mQ6uASojktBWuElHFjN+sbadGOgEya+OzRn7lJFZyVDscmxOkPZAkxgi3kG2n/VmZ5&#10;kV7n5axZLM9nRVPMZ+V5upylWXldLtKiLG6b7yHBrKg6wRhXd0LxgwSz4u8o3g/DJJ4oQjTUuJzn&#10;84mjPxaZxud3RfbCw0RK0dd4eXQiVWD2tWJQNqk8EXJaJ8/Tj12GHhy+sStRB4H6SQR+XI9RcFEk&#10;QSNrzR5BGFYDbUAx3Caw6LT9itEAk1lj92VLLMdIvlUgrjIrijDKcVPMz3PY2FPL+tRCFAWoGnuM&#10;puWNn8Z/a6zYdBDpIOcrEGQjolSestrLGKYv1rS/KcJ4n+6j19N9tvoBAAD//wMAUEsDBBQABgAI&#10;AAAAIQByDVjj3AAAAAkBAAAPAAAAZHJzL2Rvd25yZXYueG1sTI/BTsMwEETvSPyDtUjcqFOkpk0a&#10;p6qouHBAoiDB0Y2dOKq9tmw3DX/PcoLj04xm3za72Vk26ZhGjwKWiwKYxs6rEQcBH+/PDxtgKUtU&#10;0nrUAr51gl17e9PIWvkrvunpmAdGI5hqKcDkHGrOU2e0k2nhg0bKeh+dzIRx4CrKK407yx+LouRO&#10;jkgXjAz6yejufLw4AZ/OjOoQX796ZafDS79fhTkGIe7v5v0WWNZz/ivDrz6pQ0tOJ39BlZgVUFbL&#10;FVUpWAOjvKrWxCfiTVECbxv+/4P2BwAA//8DAFBLAQItABQABgAIAAAAIQC2gziS/gAAAOEBAAAT&#10;AAAAAAAAAAAAAAAAAAAAAABbQ29udGVudF9UeXBlc10ueG1sUEsBAi0AFAAGAAgAAAAhADj9If/W&#10;AAAAlAEAAAsAAAAAAAAAAAAAAAAALwEAAF9yZWxzLy5yZWxzUEsBAi0AFAAGAAgAAAAhAN2d8rOD&#10;AgAAFwUAAA4AAAAAAAAAAAAAAAAALgIAAGRycy9lMm9Eb2MueG1sUEsBAi0AFAAGAAgAAAAhAHIN&#10;WOPcAAAACQEAAA8AAAAAAAAAAAAAAAAA3QQAAGRycy9kb3ducmV2LnhtbFBLBQYAAAAABAAEAPMA&#10;AADmBQAAAAA=&#10;" stroked="f">
                <v:textbox style="mso-fit-shape-to-text:t">
                  <w:txbxContent>
                    <w:p w:rsidR="00786EEC" w:rsidRDefault="00786EEC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786EEC" w:rsidRPr="003A7AFC" w:rsidRDefault="00786EEC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786EEC" w:rsidRDefault="00786EEC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786EEC" w:rsidRDefault="00786EEC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786EEC" w:rsidRDefault="00786EE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786EEC" w:rsidRPr="004813AC" w:rsidRDefault="00786EE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786EEC" w:rsidRPr="004813AC" w:rsidRDefault="00786EE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786EEC" w:rsidRPr="00FC6B42" w:rsidRDefault="00786EE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3154" w:rsidRDefault="00033154" w:rsidP="0072610D"/>
    <w:p w:rsidR="00033154" w:rsidRDefault="00033154" w:rsidP="0072610D"/>
    <w:p w:rsidR="008E679C" w:rsidRDefault="008E679C" w:rsidP="0072610D"/>
    <w:p w:rsidR="00786EEC" w:rsidRDefault="00786EEC" w:rsidP="00D04597">
      <w:pPr>
        <w:rPr>
          <w:rFonts w:ascii="Cambria" w:hAnsi="Cambria"/>
          <w:szCs w:val="24"/>
        </w:rPr>
      </w:pPr>
    </w:p>
    <w:p w:rsidR="0081308A" w:rsidRDefault="0081308A" w:rsidP="00D04597">
      <w:pPr>
        <w:rPr>
          <w:rFonts w:ascii="Cambria" w:hAnsi="Cambria"/>
          <w:szCs w:val="24"/>
        </w:rPr>
      </w:pPr>
    </w:p>
    <w:p w:rsidR="0094479E" w:rsidRPr="0094479E" w:rsidRDefault="0081308A" w:rsidP="0094479E">
      <w:pPr>
        <w:ind w:left="1440" w:hanging="1440"/>
        <w:rPr>
          <w:rFonts w:cs="Arial"/>
          <w:b/>
          <w:szCs w:val="24"/>
        </w:rPr>
      </w:pP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</w:p>
    <w:p w:rsidR="0094479E" w:rsidRPr="0094479E" w:rsidRDefault="0094479E" w:rsidP="0094479E">
      <w:pPr>
        <w:ind w:left="1440" w:hanging="1440"/>
        <w:jc w:val="center"/>
        <w:outlineLvl w:val="0"/>
        <w:rPr>
          <w:rFonts w:cs="Arial"/>
          <w:b/>
          <w:szCs w:val="24"/>
        </w:rPr>
      </w:pPr>
      <w:r w:rsidRPr="00B94C95">
        <w:rPr>
          <w:rFonts w:cs="Arial"/>
          <w:b/>
          <w:szCs w:val="24"/>
        </w:rPr>
        <w:t>Circular Letter:  DHCQ</w:t>
      </w:r>
      <w:r w:rsidR="00EE4CD4">
        <w:rPr>
          <w:rFonts w:cs="Arial"/>
          <w:b/>
          <w:szCs w:val="24"/>
        </w:rPr>
        <w:t xml:space="preserve"> 19-5-691</w:t>
      </w:r>
      <w:r w:rsidRPr="0094479E">
        <w:rPr>
          <w:rFonts w:cs="Arial"/>
          <w:b/>
          <w:szCs w:val="24"/>
        </w:rPr>
        <w:t xml:space="preserve"> </w:t>
      </w:r>
    </w:p>
    <w:p w:rsidR="0094479E" w:rsidRPr="0094479E" w:rsidRDefault="0094479E" w:rsidP="0094479E">
      <w:pPr>
        <w:ind w:left="1440" w:hanging="1440"/>
        <w:rPr>
          <w:rFonts w:cs="Arial"/>
          <w:b/>
          <w:szCs w:val="24"/>
        </w:rPr>
      </w:pPr>
    </w:p>
    <w:p w:rsidR="0094479E" w:rsidRDefault="0094479E" w:rsidP="00E1765D">
      <w:pPr>
        <w:ind w:left="1440" w:hanging="1440"/>
        <w:rPr>
          <w:rFonts w:cs="Arial"/>
          <w:szCs w:val="24"/>
        </w:rPr>
      </w:pPr>
      <w:r w:rsidRPr="0094479E">
        <w:rPr>
          <w:rFonts w:cs="Arial"/>
          <w:b/>
          <w:szCs w:val="24"/>
        </w:rPr>
        <w:t>TO:</w:t>
      </w:r>
      <w:r w:rsidRPr="0094479E">
        <w:rPr>
          <w:rFonts w:cs="Arial"/>
          <w:szCs w:val="24"/>
        </w:rPr>
        <w:tab/>
      </w:r>
      <w:r w:rsidR="00E1765D" w:rsidRPr="0001512D">
        <w:rPr>
          <w:szCs w:val="24"/>
        </w:rPr>
        <w:t>Out</w:t>
      </w:r>
      <w:r w:rsidR="00EF2FEE">
        <w:rPr>
          <w:szCs w:val="24"/>
        </w:rPr>
        <w:t>-of-hospital</w:t>
      </w:r>
      <w:r w:rsidR="00E1765D" w:rsidRPr="0001512D">
        <w:rPr>
          <w:szCs w:val="24"/>
        </w:rPr>
        <w:t xml:space="preserve"> Dialysis</w:t>
      </w:r>
      <w:r w:rsidR="00EF2FEE">
        <w:rPr>
          <w:szCs w:val="24"/>
        </w:rPr>
        <w:t xml:space="preserve"> Unit</w:t>
      </w:r>
      <w:r w:rsidR="00893731">
        <w:rPr>
          <w:szCs w:val="24"/>
        </w:rPr>
        <w:t xml:space="preserve"> </w:t>
      </w:r>
      <w:r w:rsidR="00E1765D" w:rsidRPr="0001512D">
        <w:rPr>
          <w:rFonts w:cs="Arial"/>
          <w:szCs w:val="24"/>
        </w:rPr>
        <w:t>Administrators</w:t>
      </w:r>
    </w:p>
    <w:p w:rsidR="00E1765D" w:rsidRDefault="00E1765D" w:rsidP="00E1765D">
      <w:pPr>
        <w:ind w:left="1440" w:hanging="1440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</w:p>
    <w:p w:rsidR="0094479E" w:rsidRPr="0094479E" w:rsidRDefault="0094479E" w:rsidP="001B28F3">
      <w:pPr>
        <w:rPr>
          <w:rFonts w:cs="Arial"/>
          <w:szCs w:val="24"/>
        </w:rPr>
      </w:pPr>
    </w:p>
    <w:p w:rsidR="006D5414" w:rsidRPr="00972312" w:rsidRDefault="0094479E" w:rsidP="0094479E">
      <w:pPr>
        <w:rPr>
          <w:rFonts w:cs="Arial"/>
          <w:szCs w:val="24"/>
        </w:rPr>
      </w:pPr>
      <w:r w:rsidRPr="0094479E">
        <w:rPr>
          <w:rFonts w:cs="Arial"/>
          <w:b/>
          <w:szCs w:val="24"/>
        </w:rPr>
        <w:t>FROM:</w:t>
      </w:r>
      <w:r w:rsidRPr="0094479E">
        <w:rPr>
          <w:rFonts w:cs="Arial"/>
          <w:szCs w:val="24"/>
        </w:rPr>
        <w:t xml:space="preserve"> </w:t>
      </w:r>
      <w:r w:rsidRPr="0094479E">
        <w:rPr>
          <w:rFonts w:cs="Arial"/>
          <w:szCs w:val="24"/>
        </w:rPr>
        <w:tab/>
      </w:r>
      <w:r w:rsidR="00B470D6">
        <w:rPr>
          <w:rFonts w:cs="Arial"/>
          <w:szCs w:val="24"/>
        </w:rPr>
        <w:t xml:space="preserve">Elizabeth D. </w:t>
      </w:r>
      <w:r w:rsidR="00972312">
        <w:rPr>
          <w:rFonts w:cs="Arial"/>
          <w:szCs w:val="24"/>
        </w:rPr>
        <w:t>Kelley, MPH, MBA</w:t>
      </w:r>
      <w:r w:rsidR="009A1148">
        <w:rPr>
          <w:rFonts w:cs="Arial"/>
          <w:szCs w:val="24"/>
        </w:rPr>
        <w:t xml:space="preserve"> </w:t>
      </w:r>
    </w:p>
    <w:p w:rsidR="0094479E" w:rsidRPr="0094479E" w:rsidRDefault="0094479E" w:rsidP="0094479E">
      <w:pPr>
        <w:ind w:left="720" w:firstLine="720"/>
        <w:rPr>
          <w:rFonts w:eastAsia="MS Mincho"/>
          <w:szCs w:val="24"/>
          <w:lang w:eastAsia="ja-JP"/>
        </w:rPr>
      </w:pPr>
      <w:r w:rsidRPr="0094479E">
        <w:rPr>
          <w:rFonts w:eastAsia="MS Mincho"/>
          <w:szCs w:val="24"/>
          <w:lang w:eastAsia="ja-JP"/>
        </w:rPr>
        <w:t>Director, Bureau of Health Care Safety and Quality</w:t>
      </w:r>
    </w:p>
    <w:p w:rsidR="0094479E" w:rsidRPr="0094479E" w:rsidRDefault="009A1148" w:rsidP="0094479E">
      <w:pPr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rFonts w:cs="Arial"/>
          <w:szCs w:val="24"/>
        </w:rPr>
        <w:t>Massachusetts Department of Public Health</w:t>
      </w:r>
    </w:p>
    <w:p w:rsidR="0094479E" w:rsidRPr="0094479E" w:rsidRDefault="0094479E" w:rsidP="0094479E">
      <w:pPr>
        <w:rPr>
          <w:rFonts w:cs="Arial"/>
          <w:szCs w:val="24"/>
        </w:rPr>
      </w:pPr>
      <w:r w:rsidRPr="0094479E">
        <w:rPr>
          <w:rFonts w:cs="Arial"/>
          <w:szCs w:val="24"/>
        </w:rPr>
        <w:tab/>
      </w:r>
      <w:r w:rsidRPr="0094479E">
        <w:rPr>
          <w:rFonts w:cs="Arial"/>
          <w:szCs w:val="24"/>
        </w:rPr>
        <w:tab/>
      </w:r>
    </w:p>
    <w:p w:rsidR="0094479E" w:rsidRPr="0094479E" w:rsidRDefault="0094479E" w:rsidP="0094479E">
      <w:pPr>
        <w:outlineLvl w:val="0"/>
        <w:rPr>
          <w:rFonts w:cs="Arial"/>
          <w:szCs w:val="24"/>
        </w:rPr>
      </w:pPr>
      <w:r w:rsidRPr="0094479E">
        <w:rPr>
          <w:rFonts w:cs="Arial"/>
          <w:b/>
          <w:szCs w:val="24"/>
        </w:rPr>
        <w:t>DATE:</w:t>
      </w:r>
      <w:r w:rsidRPr="0094479E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="00B94C95">
        <w:rPr>
          <w:rFonts w:cs="Arial"/>
          <w:szCs w:val="24"/>
        </w:rPr>
        <w:t xml:space="preserve">May 2, </w:t>
      </w:r>
      <w:r w:rsidR="00E35E71">
        <w:rPr>
          <w:rFonts w:cs="Arial"/>
          <w:szCs w:val="24"/>
        </w:rPr>
        <w:t>2019</w:t>
      </w:r>
    </w:p>
    <w:p w:rsidR="0094479E" w:rsidRPr="0094479E" w:rsidRDefault="0094479E" w:rsidP="0094479E">
      <w:pPr>
        <w:rPr>
          <w:rFonts w:cs="Arial"/>
          <w:szCs w:val="24"/>
        </w:rPr>
      </w:pPr>
    </w:p>
    <w:p w:rsidR="00974E34" w:rsidRPr="00F649A9" w:rsidRDefault="0094479E" w:rsidP="00F649A9">
      <w:pPr>
        <w:ind w:left="1440" w:hanging="1440"/>
        <w:rPr>
          <w:rFonts w:cs="Arial"/>
          <w:szCs w:val="24"/>
        </w:rPr>
      </w:pPr>
      <w:r w:rsidRPr="0094479E">
        <w:rPr>
          <w:rFonts w:cs="Arial"/>
          <w:b/>
          <w:szCs w:val="24"/>
        </w:rPr>
        <w:t>RE:</w:t>
      </w:r>
      <w:r w:rsidRPr="0094479E">
        <w:rPr>
          <w:rFonts w:cs="Arial"/>
          <w:szCs w:val="24"/>
        </w:rPr>
        <w:tab/>
      </w:r>
      <w:bookmarkStart w:id="0" w:name="_GoBack"/>
      <w:r w:rsidR="0001512D">
        <w:rPr>
          <w:szCs w:val="24"/>
        </w:rPr>
        <w:t xml:space="preserve">New </w:t>
      </w:r>
      <w:r w:rsidRPr="0094479E">
        <w:rPr>
          <w:szCs w:val="24"/>
        </w:rPr>
        <w:t>Requirements for Reporting Healthcare-Associated Infection (HAI)</w:t>
      </w:r>
      <w:r w:rsidR="0001512D">
        <w:rPr>
          <w:szCs w:val="24"/>
        </w:rPr>
        <w:t>/Antibiotic Resistance (AR)</w:t>
      </w:r>
      <w:r w:rsidRPr="0094479E">
        <w:rPr>
          <w:szCs w:val="24"/>
        </w:rPr>
        <w:t xml:space="preserve"> Data</w:t>
      </w:r>
      <w:bookmarkEnd w:id="0"/>
      <w:r w:rsidRPr="0094479E">
        <w:rPr>
          <w:szCs w:val="24"/>
        </w:rPr>
        <w:t xml:space="preserve"> </w:t>
      </w:r>
    </w:p>
    <w:p w:rsidR="0094479E" w:rsidRPr="0094479E" w:rsidRDefault="0094479E" w:rsidP="0094479E">
      <w:pPr>
        <w:rPr>
          <w:b/>
          <w:szCs w:val="24"/>
        </w:rPr>
      </w:pPr>
    </w:p>
    <w:p w:rsidR="002B4067" w:rsidRPr="00893731" w:rsidRDefault="002B4067" w:rsidP="002B4067">
      <w:pPr>
        <w:rPr>
          <w:b/>
          <w:szCs w:val="24"/>
        </w:rPr>
      </w:pPr>
      <w:r w:rsidRPr="00893731">
        <w:rPr>
          <w:b/>
          <w:szCs w:val="24"/>
        </w:rPr>
        <w:t>Background</w:t>
      </w:r>
    </w:p>
    <w:p w:rsidR="00121DAD" w:rsidRPr="0094479E" w:rsidRDefault="00121DAD" w:rsidP="0094479E">
      <w:pPr>
        <w:outlineLvl w:val="0"/>
        <w:rPr>
          <w:b/>
          <w:szCs w:val="24"/>
        </w:rPr>
      </w:pPr>
    </w:p>
    <w:p w:rsidR="00C92170" w:rsidRDefault="00663FCC" w:rsidP="00121DAD">
      <w:pPr>
        <w:rPr>
          <w:szCs w:val="24"/>
        </w:rPr>
      </w:pPr>
      <w:r>
        <w:rPr>
          <w:szCs w:val="24"/>
        </w:rPr>
        <w:t>T</w:t>
      </w:r>
      <w:r w:rsidR="00C92170">
        <w:rPr>
          <w:szCs w:val="24"/>
        </w:rPr>
        <w:t xml:space="preserve">he </w:t>
      </w:r>
      <w:r>
        <w:rPr>
          <w:szCs w:val="24"/>
        </w:rPr>
        <w:t xml:space="preserve">Department of Public Health (Department) </w:t>
      </w:r>
      <w:r w:rsidR="00F320F3">
        <w:rPr>
          <w:szCs w:val="24"/>
        </w:rPr>
        <w:t>has</w:t>
      </w:r>
      <w:r>
        <w:rPr>
          <w:szCs w:val="24"/>
        </w:rPr>
        <w:t xml:space="preserve"> </w:t>
      </w:r>
      <w:r w:rsidR="00C92170">
        <w:rPr>
          <w:szCs w:val="24"/>
        </w:rPr>
        <w:t xml:space="preserve">promulgated updated out-of-hospital dialysis unit regulations.  </w:t>
      </w:r>
      <w:r w:rsidR="00A156DA">
        <w:rPr>
          <w:szCs w:val="24"/>
        </w:rPr>
        <w:t>To ensure patient safety</w:t>
      </w:r>
      <w:r w:rsidR="00C92170">
        <w:rPr>
          <w:szCs w:val="24"/>
        </w:rPr>
        <w:t xml:space="preserve">, the updated regulations require out-of-hospital dialysis units to </w:t>
      </w:r>
      <w:r w:rsidR="00C77100">
        <w:rPr>
          <w:szCs w:val="24"/>
        </w:rPr>
        <w:t xml:space="preserve">report and </w:t>
      </w:r>
      <w:r w:rsidR="00C92170">
        <w:rPr>
          <w:szCs w:val="24"/>
        </w:rPr>
        <w:t>address healthcare associated infection (HAI) and antibiotic resistance (AR</w:t>
      </w:r>
      <w:r>
        <w:rPr>
          <w:szCs w:val="24"/>
        </w:rPr>
        <w:t>)</w:t>
      </w:r>
      <w:r w:rsidR="00C92170">
        <w:rPr>
          <w:szCs w:val="24"/>
        </w:rPr>
        <w:t xml:space="preserve">.  The purpose of this </w:t>
      </w:r>
      <w:r>
        <w:rPr>
          <w:szCs w:val="24"/>
        </w:rPr>
        <w:t>circular letter</w:t>
      </w:r>
      <w:r w:rsidR="00C92170">
        <w:rPr>
          <w:szCs w:val="24"/>
        </w:rPr>
        <w:t xml:space="preserve"> is to </w:t>
      </w:r>
      <w:r>
        <w:rPr>
          <w:szCs w:val="24"/>
        </w:rPr>
        <w:t>provide guidance to</w:t>
      </w:r>
      <w:r w:rsidR="00C92170">
        <w:rPr>
          <w:szCs w:val="24"/>
        </w:rPr>
        <w:t xml:space="preserve"> out-of-hospital dialysis units </w:t>
      </w:r>
      <w:r w:rsidR="008C14EF">
        <w:rPr>
          <w:szCs w:val="24"/>
        </w:rPr>
        <w:t xml:space="preserve">on </w:t>
      </w:r>
      <w:r w:rsidR="00C92170">
        <w:rPr>
          <w:szCs w:val="24"/>
        </w:rPr>
        <w:t>how to report HAI</w:t>
      </w:r>
      <w:r w:rsidR="008C14EF">
        <w:rPr>
          <w:szCs w:val="24"/>
        </w:rPr>
        <w:t xml:space="preserve"> and </w:t>
      </w:r>
      <w:r w:rsidR="00C92170">
        <w:rPr>
          <w:szCs w:val="24"/>
        </w:rPr>
        <w:t xml:space="preserve">AR data to </w:t>
      </w:r>
      <w:r>
        <w:rPr>
          <w:szCs w:val="24"/>
        </w:rPr>
        <w:t>t</w:t>
      </w:r>
      <w:r w:rsidR="0094479E" w:rsidRPr="0094479E">
        <w:rPr>
          <w:szCs w:val="24"/>
        </w:rPr>
        <w:t xml:space="preserve">he </w:t>
      </w:r>
      <w:r w:rsidR="009A1148">
        <w:rPr>
          <w:szCs w:val="24"/>
        </w:rPr>
        <w:t>Department</w:t>
      </w:r>
      <w:r w:rsidR="00C92170">
        <w:rPr>
          <w:szCs w:val="24"/>
        </w:rPr>
        <w:t xml:space="preserve">.  </w:t>
      </w:r>
    </w:p>
    <w:p w:rsidR="00F338BB" w:rsidRDefault="00F338BB" w:rsidP="00121DAD">
      <w:pPr>
        <w:rPr>
          <w:szCs w:val="24"/>
        </w:rPr>
      </w:pPr>
    </w:p>
    <w:p w:rsidR="00F338BB" w:rsidRPr="0094479E" w:rsidRDefault="00F338BB" w:rsidP="00F338BB">
      <w:pPr>
        <w:rPr>
          <w:rFonts w:eastAsia="Calibri"/>
          <w:szCs w:val="24"/>
        </w:rPr>
      </w:pPr>
      <w:r w:rsidRPr="0094479E">
        <w:rPr>
          <w:rFonts w:eastAsia="Calibri"/>
          <w:szCs w:val="24"/>
        </w:rPr>
        <w:t>Public reporting of HAIs promote</w:t>
      </w:r>
      <w:r w:rsidR="002B4067">
        <w:rPr>
          <w:rFonts w:eastAsia="Calibri"/>
          <w:szCs w:val="24"/>
        </w:rPr>
        <w:t>s</w:t>
      </w:r>
      <w:r w:rsidRPr="0094479E">
        <w:rPr>
          <w:rFonts w:eastAsia="Calibri"/>
          <w:szCs w:val="24"/>
        </w:rPr>
        <w:t xml:space="preserve"> quality improvement, patient sa</w:t>
      </w:r>
      <w:r>
        <w:rPr>
          <w:rFonts w:eastAsia="Calibri"/>
          <w:szCs w:val="24"/>
        </w:rPr>
        <w:t>fety and transparency in health</w:t>
      </w:r>
      <w:r w:rsidRPr="0094479E">
        <w:rPr>
          <w:rFonts w:eastAsia="Calibri"/>
          <w:szCs w:val="24"/>
        </w:rPr>
        <w:t xml:space="preserve">care settings. </w:t>
      </w:r>
      <w:r w:rsidR="002B4067" w:rsidRPr="0094479E">
        <w:rPr>
          <w:rFonts w:eastAsia="Calibri"/>
          <w:szCs w:val="24"/>
        </w:rPr>
        <w:t>Expan</w:t>
      </w:r>
      <w:r w:rsidR="002B4067">
        <w:rPr>
          <w:rFonts w:eastAsia="Calibri"/>
          <w:szCs w:val="24"/>
        </w:rPr>
        <w:t>ding</w:t>
      </w:r>
      <w:r w:rsidRPr="0094479E">
        <w:rPr>
          <w:rFonts w:eastAsia="Calibri"/>
          <w:szCs w:val="24"/>
        </w:rPr>
        <w:t xml:space="preserve"> the reporting requirements </w:t>
      </w:r>
      <w:r w:rsidR="002B4067">
        <w:rPr>
          <w:rFonts w:eastAsia="Calibri"/>
          <w:szCs w:val="24"/>
        </w:rPr>
        <w:t xml:space="preserve">to include out-of-hospital dialysis </w:t>
      </w:r>
      <w:r w:rsidRPr="0094479E">
        <w:rPr>
          <w:rFonts w:eastAsia="Calibri"/>
          <w:szCs w:val="24"/>
        </w:rPr>
        <w:t xml:space="preserve">demonstrates </w:t>
      </w:r>
      <w:r>
        <w:rPr>
          <w:rFonts w:eastAsia="Calibri"/>
          <w:szCs w:val="24"/>
        </w:rPr>
        <w:t>the Department</w:t>
      </w:r>
      <w:r w:rsidRPr="0094479E">
        <w:rPr>
          <w:rFonts w:eastAsia="Calibri"/>
          <w:szCs w:val="24"/>
        </w:rPr>
        <w:t xml:space="preserve">’s ongoing commitment to patient safety, and towards the eventual elimination of HAI.  </w:t>
      </w:r>
    </w:p>
    <w:p w:rsidR="00F338BB" w:rsidRDefault="00F338BB" w:rsidP="00121DAD">
      <w:pPr>
        <w:rPr>
          <w:szCs w:val="24"/>
        </w:rPr>
      </w:pPr>
    </w:p>
    <w:p w:rsidR="00C92170" w:rsidRDefault="002B4067" w:rsidP="00121DAD">
      <w:pPr>
        <w:rPr>
          <w:szCs w:val="24"/>
        </w:rPr>
      </w:pPr>
      <w:r>
        <w:rPr>
          <w:b/>
          <w:szCs w:val="24"/>
        </w:rPr>
        <w:t>Reporting Requirements</w:t>
      </w:r>
    </w:p>
    <w:p w:rsidR="00144B3C" w:rsidRDefault="00144B3C" w:rsidP="00121DAD">
      <w:pPr>
        <w:rPr>
          <w:szCs w:val="24"/>
        </w:rPr>
      </w:pPr>
    </w:p>
    <w:p w:rsidR="00E35E71" w:rsidRDefault="0083144D" w:rsidP="00121DAD">
      <w:pPr>
        <w:rPr>
          <w:szCs w:val="24"/>
        </w:rPr>
      </w:pPr>
      <w:r>
        <w:rPr>
          <w:szCs w:val="24"/>
        </w:rPr>
        <w:t xml:space="preserve">The </w:t>
      </w:r>
      <w:r w:rsidR="00E334D0">
        <w:rPr>
          <w:szCs w:val="24"/>
        </w:rPr>
        <w:t xml:space="preserve">Department is adopting the Centers for Medicare and Medicaid Services (CMS) HAI/AR reporting requirements for facilities participating in End Stage Renal Disease Quality Incentive Programs (QIP). </w:t>
      </w:r>
      <w:r w:rsidR="00AA5ADA">
        <w:rPr>
          <w:szCs w:val="24"/>
        </w:rPr>
        <w:t>The reporting requirements of the End Stage Renal Disease QIP include</w:t>
      </w:r>
      <w:r w:rsidR="00E334D0">
        <w:rPr>
          <w:szCs w:val="24"/>
        </w:rPr>
        <w:t xml:space="preserve"> </w:t>
      </w:r>
      <w:r w:rsidR="00AA5ADA">
        <w:rPr>
          <w:szCs w:val="24"/>
        </w:rPr>
        <w:t xml:space="preserve">the following dialysis events, </w:t>
      </w:r>
      <w:r w:rsidR="00E334D0">
        <w:rPr>
          <w:szCs w:val="24"/>
        </w:rPr>
        <w:t>positive blood cultures, intravenous antimicrobial starts and signs of vascular access</w:t>
      </w:r>
      <w:r w:rsidR="00AA5ADA">
        <w:rPr>
          <w:szCs w:val="24"/>
        </w:rPr>
        <w:t xml:space="preserve"> infection</w:t>
      </w:r>
      <w:r w:rsidR="00E334D0">
        <w:rPr>
          <w:szCs w:val="24"/>
        </w:rPr>
        <w:t>. Please refer to the CDC Dialysis Event Surveillance Protocol for additional information</w:t>
      </w:r>
      <w:r w:rsidR="00AA5ADA">
        <w:rPr>
          <w:szCs w:val="24"/>
        </w:rPr>
        <w:t xml:space="preserve"> on these reporting </w:t>
      </w:r>
      <w:r w:rsidR="00AA5ADA">
        <w:rPr>
          <w:szCs w:val="24"/>
        </w:rPr>
        <w:lastRenderedPageBreak/>
        <w:t>requirements</w:t>
      </w:r>
      <w:r w:rsidR="00E334D0">
        <w:rPr>
          <w:szCs w:val="24"/>
        </w:rPr>
        <w:t>.</w:t>
      </w:r>
      <w:r w:rsidR="00E334D0">
        <w:rPr>
          <w:rStyle w:val="FootnoteReference"/>
          <w:szCs w:val="24"/>
        </w:rPr>
        <w:footnoteReference w:id="1"/>
      </w:r>
      <w:r w:rsidR="00E334D0">
        <w:rPr>
          <w:szCs w:val="24"/>
        </w:rPr>
        <w:t xml:space="preserve"> </w:t>
      </w:r>
      <w:r w:rsidR="00144B3C">
        <w:rPr>
          <w:szCs w:val="24"/>
        </w:rPr>
        <w:t>The Department is requiring all l</w:t>
      </w:r>
      <w:r w:rsidR="00AA5ADA">
        <w:rPr>
          <w:szCs w:val="24"/>
        </w:rPr>
        <w:t xml:space="preserve">icensed out-of-hospital dialysis units </w:t>
      </w:r>
      <w:r w:rsidR="00144B3C">
        <w:rPr>
          <w:szCs w:val="24"/>
        </w:rPr>
        <w:t>to</w:t>
      </w:r>
      <w:r w:rsidR="00AA5ADA">
        <w:rPr>
          <w:szCs w:val="24"/>
        </w:rPr>
        <w:t xml:space="preserve"> report the ESRD QIP dialysis events to the Department. </w:t>
      </w:r>
    </w:p>
    <w:p w:rsidR="00E334D0" w:rsidRDefault="00E334D0" w:rsidP="00121DAD">
      <w:pPr>
        <w:rPr>
          <w:szCs w:val="24"/>
        </w:rPr>
      </w:pPr>
    </w:p>
    <w:p w:rsidR="00E334D0" w:rsidRDefault="00E334D0" w:rsidP="00121DAD">
      <w:pPr>
        <w:rPr>
          <w:szCs w:val="24"/>
        </w:rPr>
      </w:pPr>
      <w:r>
        <w:rPr>
          <w:szCs w:val="24"/>
        </w:rPr>
        <w:t>Please note that while the End Stage Renal Dis</w:t>
      </w:r>
      <w:r w:rsidR="00EF0AB6">
        <w:rPr>
          <w:szCs w:val="24"/>
        </w:rPr>
        <w:t>ease QIP no longer requires out-of-</w:t>
      </w:r>
      <w:r>
        <w:rPr>
          <w:szCs w:val="24"/>
        </w:rPr>
        <w:t>hospital dialysis units to submit healthcare personnel (HCP) influenza vaccination data, reporting HCP influenza data to the Department is required</w:t>
      </w:r>
      <w:r w:rsidR="00EF0AB6">
        <w:rPr>
          <w:szCs w:val="24"/>
        </w:rPr>
        <w:t xml:space="preserve"> by the out-of-</w:t>
      </w:r>
      <w:r>
        <w:rPr>
          <w:szCs w:val="24"/>
        </w:rPr>
        <w:t>hospital dialysis regulations.</w:t>
      </w:r>
      <w:r>
        <w:rPr>
          <w:rStyle w:val="FootnoteReference"/>
          <w:szCs w:val="24"/>
        </w:rPr>
        <w:footnoteReference w:id="2"/>
      </w:r>
      <w:r>
        <w:rPr>
          <w:szCs w:val="24"/>
        </w:rPr>
        <w:t xml:space="preserve"> </w:t>
      </w:r>
    </w:p>
    <w:p w:rsidR="00E334D0" w:rsidRDefault="00E334D0" w:rsidP="00121DAD">
      <w:pPr>
        <w:rPr>
          <w:szCs w:val="24"/>
        </w:rPr>
      </w:pPr>
    </w:p>
    <w:p w:rsidR="00E334D0" w:rsidRDefault="00E74EBC" w:rsidP="00121DAD">
      <w:pPr>
        <w:rPr>
          <w:szCs w:val="24"/>
        </w:rPr>
      </w:pPr>
      <w:r>
        <w:rPr>
          <w:szCs w:val="24"/>
        </w:rPr>
        <w:t>O</w:t>
      </w:r>
      <w:r w:rsidR="00EF0AB6">
        <w:rPr>
          <w:szCs w:val="24"/>
        </w:rPr>
        <w:t>ut-of-</w:t>
      </w:r>
      <w:r>
        <w:rPr>
          <w:szCs w:val="24"/>
        </w:rPr>
        <w:t xml:space="preserve">hospital dialysis units </w:t>
      </w:r>
      <w:r w:rsidR="00223D79">
        <w:rPr>
          <w:szCs w:val="24"/>
        </w:rPr>
        <w:t>must report all required data, including HAI/AR and HCP influenza vaccination data, to the Centers for Disease Control and Prevention’s National Healthcare Safety Network (NHSN) and make the data available to the Department. Since 2016, o</w:t>
      </w:r>
      <w:r w:rsidR="00EF0AB6">
        <w:rPr>
          <w:szCs w:val="24"/>
        </w:rPr>
        <w:t>ut-of-</w:t>
      </w:r>
      <w:r w:rsidR="00223D79">
        <w:rPr>
          <w:szCs w:val="24"/>
        </w:rPr>
        <w:t xml:space="preserve">hospital dialysis units have been reporting HCP influenza data in this manner to NHSN. Additionally, any </w:t>
      </w:r>
      <w:r w:rsidR="00EF0AB6">
        <w:rPr>
          <w:szCs w:val="24"/>
        </w:rPr>
        <w:t>out-of-</w:t>
      </w:r>
      <w:r w:rsidR="00223D79">
        <w:rPr>
          <w:szCs w:val="24"/>
        </w:rPr>
        <w:t>hospital dialysis units participating</w:t>
      </w:r>
      <w:r w:rsidR="00A156DA">
        <w:rPr>
          <w:szCs w:val="24"/>
        </w:rPr>
        <w:t xml:space="preserve"> in End Stage Renal Disease QIP have been required to report using NHSN since 2012. </w:t>
      </w:r>
    </w:p>
    <w:p w:rsidR="00A156DA" w:rsidRDefault="00A156DA" w:rsidP="00121DAD">
      <w:pPr>
        <w:rPr>
          <w:szCs w:val="24"/>
        </w:rPr>
      </w:pPr>
    </w:p>
    <w:p w:rsidR="00A156DA" w:rsidRDefault="00A156DA" w:rsidP="00121DAD">
      <w:pPr>
        <w:rPr>
          <w:szCs w:val="24"/>
        </w:rPr>
      </w:pPr>
      <w:r>
        <w:rPr>
          <w:szCs w:val="24"/>
        </w:rPr>
        <w:t>All o</w:t>
      </w:r>
      <w:r w:rsidR="00EF0AB6">
        <w:rPr>
          <w:szCs w:val="24"/>
        </w:rPr>
        <w:t>ut-of-</w:t>
      </w:r>
      <w:r>
        <w:rPr>
          <w:szCs w:val="24"/>
        </w:rPr>
        <w:t xml:space="preserve">hospital dialysis units are required to provide the Department access to the NHSN data measures by </w:t>
      </w:r>
      <w:r w:rsidR="00975894">
        <w:rPr>
          <w:szCs w:val="24"/>
        </w:rPr>
        <w:t>July</w:t>
      </w:r>
      <w:r>
        <w:rPr>
          <w:szCs w:val="24"/>
        </w:rPr>
        <w:t xml:space="preserve"> 1, 2019. </w:t>
      </w:r>
    </w:p>
    <w:p w:rsidR="00112540" w:rsidRDefault="00112540" w:rsidP="00121DAD">
      <w:pPr>
        <w:rPr>
          <w:szCs w:val="24"/>
        </w:rPr>
      </w:pPr>
    </w:p>
    <w:p w:rsidR="00F649A9" w:rsidRDefault="00F649A9" w:rsidP="00F649A9">
      <w:pPr>
        <w:rPr>
          <w:szCs w:val="24"/>
        </w:rPr>
      </w:pPr>
      <w:r>
        <w:rPr>
          <w:rFonts w:eastAsia="Calibri"/>
          <w:szCs w:val="24"/>
        </w:rPr>
        <w:t xml:space="preserve">Any facility not currently enrolled </w:t>
      </w:r>
      <w:r w:rsidR="00ED6F00">
        <w:rPr>
          <w:rFonts w:eastAsia="Calibri"/>
          <w:szCs w:val="24"/>
        </w:rPr>
        <w:t xml:space="preserve">in NHSN must do so immediately. NHSN enrollment guidance is available at the following link: </w:t>
      </w:r>
      <w:hyperlink r:id="rId10" w:history="1">
        <w:r w:rsidR="00ED6F00" w:rsidRPr="005956C0">
          <w:rPr>
            <w:rStyle w:val="Hyperlink"/>
            <w:szCs w:val="24"/>
          </w:rPr>
          <w:t>http://www.cdc.gov/nhsn/dialysis/enroll.html</w:t>
        </w:r>
      </w:hyperlink>
      <w:r w:rsidR="00B470D6" w:rsidRPr="005956C0">
        <w:rPr>
          <w:rFonts w:eastAsia="Calibri"/>
          <w:szCs w:val="24"/>
        </w:rPr>
        <w:t xml:space="preserve">. </w:t>
      </w:r>
      <w:r w:rsidRPr="00F649A9">
        <w:rPr>
          <w:szCs w:val="24"/>
        </w:rPr>
        <w:t>All out</w:t>
      </w:r>
      <w:r w:rsidR="00CF293E">
        <w:rPr>
          <w:szCs w:val="24"/>
        </w:rPr>
        <w:t>-of-hospital</w:t>
      </w:r>
      <w:r w:rsidRPr="00F649A9">
        <w:rPr>
          <w:szCs w:val="24"/>
        </w:rPr>
        <w:t xml:space="preserve"> dialysis </w:t>
      </w:r>
      <w:r w:rsidR="005727E9">
        <w:rPr>
          <w:szCs w:val="24"/>
        </w:rPr>
        <w:t xml:space="preserve">units </w:t>
      </w:r>
      <w:r>
        <w:rPr>
          <w:szCs w:val="24"/>
        </w:rPr>
        <w:t xml:space="preserve">must also “JOIN” the </w:t>
      </w:r>
      <w:r w:rsidRPr="00F649A9">
        <w:rPr>
          <w:szCs w:val="24"/>
        </w:rPr>
        <w:t xml:space="preserve">DPH NHSN “Group” and </w:t>
      </w:r>
      <w:r>
        <w:rPr>
          <w:szCs w:val="24"/>
        </w:rPr>
        <w:t xml:space="preserve">“Confer Rights” to the data to </w:t>
      </w:r>
      <w:r w:rsidR="0087164B">
        <w:rPr>
          <w:szCs w:val="24"/>
        </w:rPr>
        <w:t>the Department</w:t>
      </w:r>
      <w:r w:rsidRPr="00F649A9">
        <w:rPr>
          <w:szCs w:val="24"/>
        </w:rPr>
        <w:t>. Please see the attached guidance to complete this requirement.</w:t>
      </w:r>
    </w:p>
    <w:p w:rsidR="00F338BB" w:rsidRDefault="00F338BB" w:rsidP="00F649A9">
      <w:pPr>
        <w:rPr>
          <w:szCs w:val="24"/>
        </w:rPr>
      </w:pPr>
    </w:p>
    <w:p w:rsidR="008E3326" w:rsidRDefault="00F338BB" w:rsidP="001B28F3">
      <w:pPr>
        <w:rPr>
          <w:szCs w:val="24"/>
        </w:rPr>
      </w:pPr>
      <w:r w:rsidRPr="0094479E">
        <w:rPr>
          <w:rFonts w:eastAsia="Calibri"/>
          <w:szCs w:val="24"/>
        </w:rPr>
        <w:t>The D</w:t>
      </w:r>
      <w:r>
        <w:rPr>
          <w:rFonts w:eastAsia="Calibri"/>
          <w:szCs w:val="24"/>
        </w:rPr>
        <w:t>epartment</w:t>
      </w:r>
      <w:r w:rsidRPr="0094479E">
        <w:rPr>
          <w:rFonts w:eastAsia="Calibri"/>
          <w:szCs w:val="24"/>
        </w:rPr>
        <w:t xml:space="preserve"> HAI/AR program will continue to assist facilities in reporting HAI</w:t>
      </w:r>
      <w:r>
        <w:rPr>
          <w:rFonts w:eastAsia="Calibri"/>
          <w:szCs w:val="24"/>
        </w:rPr>
        <w:t>/AR</w:t>
      </w:r>
      <w:r w:rsidRPr="0094479E">
        <w:rPr>
          <w:rFonts w:eastAsia="Calibri"/>
          <w:szCs w:val="24"/>
        </w:rPr>
        <w:t xml:space="preserve"> data to NHSN and provide guidance as new </w:t>
      </w:r>
      <w:r>
        <w:rPr>
          <w:rFonts w:eastAsia="Calibri"/>
          <w:szCs w:val="24"/>
        </w:rPr>
        <w:t xml:space="preserve">HAIs become reportable. </w:t>
      </w:r>
      <w:r w:rsidRPr="0094479E">
        <w:rPr>
          <w:rFonts w:eastAsia="Calibri"/>
          <w:szCs w:val="24"/>
        </w:rPr>
        <w:t>The data will be used to monitor state and national trends over time and to iden</w:t>
      </w:r>
      <w:r>
        <w:rPr>
          <w:rFonts w:eastAsia="Calibri"/>
          <w:szCs w:val="24"/>
        </w:rPr>
        <w:t xml:space="preserve">tify areas for improvement. </w:t>
      </w:r>
    </w:p>
    <w:p w:rsidR="00E1765D" w:rsidRPr="00E1765D" w:rsidRDefault="00E1765D" w:rsidP="00E1765D">
      <w:pPr>
        <w:rPr>
          <w:rFonts w:ascii="Helvetica" w:hAnsi="Helvetica" w:cs="Arial"/>
          <w:color w:val="0A0A0A"/>
          <w:szCs w:val="24"/>
          <w:lang w:val="en"/>
        </w:rPr>
      </w:pPr>
    </w:p>
    <w:p w:rsidR="0094479E" w:rsidRPr="0094479E" w:rsidRDefault="0094479E" w:rsidP="0094479E">
      <w:pPr>
        <w:autoSpaceDE w:val="0"/>
        <w:autoSpaceDN w:val="0"/>
        <w:adjustRightInd w:val="0"/>
        <w:rPr>
          <w:color w:val="000000"/>
          <w:szCs w:val="24"/>
        </w:rPr>
      </w:pPr>
      <w:r w:rsidRPr="0094479E">
        <w:rPr>
          <w:b/>
          <w:bCs/>
          <w:color w:val="000000"/>
          <w:szCs w:val="24"/>
        </w:rPr>
        <w:t xml:space="preserve">Please forward this circular letter </w:t>
      </w:r>
      <w:r w:rsidR="001B28F3">
        <w:rPr>
          <w:b/>
          <w:bCs/>
          <w:color w:val="000000"/>
          <w:szCs w:val="24"/>
        </w:rPr>
        <w:t xml:space="preserve">to all persons in your facility </w:t>
      </w:r>
      <w:r w:rsidRPr="0094479E">
        <w:rPr>
          <w:b/>
          <w:bCs/>
          <w:color w:val="000000"/>
          <w:szCs w:val="24"/>
        </w:rPr>
        <w:t xml:space="preserve">responsible for infection prevention, and quality management reporting including: Infection Preventionists, </w:t>
      </w:r>
      <w:r w:rsidR="00E1765D">
        <w:rPr>
          <w:b/>
          <w:bCs/>
          <w:color w:val="000000"/>
          <w:szCs w:val="24"/>
        </w:rPr>
        <w:t xml:space="preserve">Medical Directors, </w:t>
      </w:r>
      <w:r w:rsidRPr="0094479E">
        <w:rPr>
          <w:b/>
          <w:bCs/>
          <w:color w:val="000000"/>
          <w:szCs w:val="24"/>
        </w:rPr>
        <w:t>Chief Nursing Officers, and Directors of Quality Improvement.</w:t>
      </w:r>
    </w:p>
    <w:p w:rsidR="0094479E" w:rsidRPr="0094479E" w:rsidRDefault="0094479E" w:rsidP="0094479E">
      <w:pPr>
        <w:autoSpaceDE w:val="0"/>
        <w:autoSpaceDN w:val="0"/>
        <w:adjustRightInd w:val="0"/>
        <w:rPr>
          <w:color w:val="000000"/>
          <w:szCs w:val="24"/>
        </w:rPr>
      </w:pPr>
    </w:p>
    <w:p w:rsidR="0094479E" w:rsidRPr="0094479E" w:rsidRDefault="0094479E" w:rsidP="0094479E">
      <w:pPr>
        <w:autoSpaceDE w:val="0"/>
        <w:autoSpaceDN w:val="0"/>
        <w:adjustRightInd w:val="0"/>
        <w:rPr>
          <w:szCs w:val="24"/>
        </w:rPr>
      </w:pPr>
      <w:r w:rsidRPr="0094479E">
        <w:rPr>
          <w:szCs w:val="24"/>
        </w:rPr>
        <w:t>For questions related to the expanded reporting requirement, please contact Eileen McHale</w:t>
      </w:r>
      <w:r w:rsidR="008B5659">
        <w:rPr>
          <w:szCs w:val="24"/>
        </w:rPr>
        <w:t xml:space="preserve">, DPH HAI Coordinator at </w:t>
      </w:r>
      <w:r w:rsidRPr="0094479E">
        <w:rPr>
          <w:color w:val="800080"/>
          <w:u w:val="single"/>
        </w:rPr>
        <w:t>Eileen.mchale</w:t>
      </w:r>
      <w:r w:rsidRPr="0094479E">
        <w:rPr>
          <w:color w:val="800080"/>
          <w:u w:val="single"/>
        </w:rPr>
        <w:t>@</w:t>
      </w:r>
      <w:r w:rsidRPr="0094479E">
        <w:rPr>
          <w:color w:val="800080"/>
          <w:u w:val="single"/>
        </w:rPr>
        <w:t>state.ma.us</w:t>
      </w:r>
    </w:p>
    <w:p w:rsidR="0094479E" w:rsidRPr="0094479E" w:rsidRDefault="0094479E" w:rsidP="0094479E">
      <w:pPr>
        <w:rPr>
          <w:sz w:val="22"/>
          <w:szCs w:val="22"/>
        </w:rPr>
      </w:pPr>
    </w:p>
    <w:p w:rsidR="0094479E" w:rsidRPr="0094479E" w:rsidRDefault="0094479E" w:rsidP="0094479E">
      <w:pPr>
        <w:autoSpaceDE w:val="0"/>
        <w:autoSpaceDN w:val="0"/>
        <w:adjustRightInd w:val="0"/>
        <w:rPr>
          <w:color w:val="000000"/>
          <w:szCs w:val="24"/>
        </w:rPr>
      </w:pPr>
    </w:p>
    <w:p w:rsidR="000467AB" w:rsidRDefault="000467AB" w:rsidP="000467AB">
      <w:pPr>
        <w:rPr>
          <w:rFonts w:ascii="Cambria" w:hAnsi="Cambria"/>
          <w:szCs w:val="24"/>
        </w:rPr>
      </w:pPr>
    </w:p>
    <w:sectPr w:rsidR="000467AB" w:rsidSect="008B6A6B">
      <w:footerReference w:type="default" r:id="rId11"/>
      <w:endnotePr>
        <w:numFmt w:val="decimal"/>
      </w:endnotePr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3E" w:rsidRDefault="00D6443E" w:rsidP="008E679C">
      <w:r>
        <w:separator/>
      </w:r>
    </w:p>
  </w:endnote>
  <w:endnote w:type="continuationSeparator" w:id="0">
    <w:p w:rsidR="00D6443E" w:rsidRDefault="00D6443E" w:rsidP="008E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BB" w:rsidRPr="00ED6F00" w:rsidRDefault="00F338BB" w:rsidP="00F338BB">
    <w:pPr>
      <w:pStyle w:val="NoSpacing"/>
      <w:rPr>
        <w:rFonts w:ascii="Times New Roman" w:hAnsi="Times New Roman"/>
        <w:sz w:val="24"/>
        <w:szCs w:val="24"/>
      </w:rPr>
    </w:pPr>
  </w:p>
  <w:p w:rsidR="00F338BB" w:rsidRDefault="00F338BB">
    <w:pPr>
      <w:pStyle w:val="Footer"/>
    </w:pPr>
  </w:p>
  <w:p w:rsidR="005956C0" w:rsidRDefault="00595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3E" w:rsidRDefault="00D6443E" w:rsidP="008E679C">
      <w:r>
        <w:separator/>
      </w:r>
    </w:p>
  </w:footnote>
  <w:footnote w:type="continuationSeparator" w:id="0">
    <w:p w:rsidR="00D6443E" w:rsidRDefault="00D6443E" w:rsidP="008E679C">
      <w:r>
        <w:continuationSeparator/>
      </w:r>
    </w:p>
  </w:footnote>
  <w:footnote w:id="1">
    <w:p w:rsidR="00E334D0" w:rsidRPr="00ED6F00" w:rsidRDefault="00E334D0" w:rsidP="00E334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D6F00">
          <w:rPr>
            <w:rStyle w:val="Hyperlink"/>
            <w:rFonts w:ascii="Times New Roman" w:hAnsi="Times New Roman"/>
            <w:sz w:val="24"/>
            <w:szCs w:val="24"/>
          </w:rPr>
          <w:t>https://www.cdc.gov/nhsn/PDFs/pscMa</w:t>
        </w:r>
        <w:r w:rsidRPr="00ED6F00">
          <w:rPr>
            <w:rStyle w:val="Hyperlink"/>
            <w:rFonts w:ascii="Times New Roman" w:hAnsi="Times New Roman"/>
            <w:sz w:val="24"/>
            <w:szCs w:val="24"/>
          </w:rPr>
          <w:t>n</w:t>
        </w:r>
        <w:r w:rsidRPr="00ED6F00">
          <w:rPr>
            <w:rStyle w:val="Hyperlink"/>
            <w:rFonts w:ascii="Times New Roman" w:hAnsi="Times New Roman"/>
            <w:sz w:val="24"/>
            <w:szCs w:val="24"/>
          </w:rPr>
          <w:t>ual/8pscDialysisEvent</w:t>
        </w:r>
        <w:r w:rsidRPr="00ED6F00">
          <w:rPr>
            <w:rStyle w:val="Hyperlink"/>
            <w:rFonts w:ascii="Times New Roman" w:hAnsi="Times New Roman"/>
            <w:sz w:val="24"/>
            <w:szCs w:val="24"/>
          </w:rPr>
          <w:t>c</w:t>
        </w:r>
        <w:r w:rsidRPr="00ED6F00">
          <w:rPr>
            <w:rStyle w:val="Hyperlink"/>
            <w:rFonts w:ascii="Times New Roman" w:hAnsi="Times New Roman"/>
            <w:sz w:val="24"/>
            <w:szCs w:val="24"/>
          </w:rPr>
          <w:t>urrent.pdf</w:t>
        </w:r>
      </w:hyperlink>
    </w:p>
    <w:p w:rsidR="00E334D0" w:rsidRDefault="00E334D0">
      <w:pPr>
        <w:pStyle w:val="FootnoteText"/>
      </w:pPr>
    </w:p>
  </w:footnote>
  <w:footnote w:id="2">
    <w:p w:rsidR="00E334D0" w:rsidRDefault="00E334D0">
      <w:pPr>
        <w:pStyle w:val="FootnoteText"/>
      </w:pPr>
      <w:r>
        <w:rPr>
          <w:rStyle w:val="FootnoteReference"/>
        </w:rPr>
        <w:footnoteRef/>
      </w:r>
      <w:r>
        <w:t xml:space="preserve"> 105 CMR 145.900.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C0F"/>
    <w:multiLevelType w:val="hybridMultilevel"/>
    <w:tmpl w:val="52A4B7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352788"/>
    <w:multiLevelType w:val="hybridMultilevel"/>
    <w:tmpl w:val="77989838"/>
    <w:lvl w:ilvl="0" w:tplc="3A2E83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D64F1E"/>
    <w:multiLevelType w:val="hybridMultilevel"/>
    <w:tmpl w:val="F61C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A24CE"/>
    <w:multiLevelType w:val="hybridMultilevel"/>
    <w:tmpl w:val="D376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630C9"/>
    <w:multiLevelType w:val="hybridMultilevel"/>
    <w:tmpl w:val="3C5872E8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05D39E8"/>
    <w:multiLevelType w:val="hybridMultilevel"/>
    <w:tmpl w:val="FDC4F4C0"/>
    <w:lvl w:ilvl="0" w:tplc="AC76B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D4875"/>
    <w:multiLevelType w:val="hybridMultilevel"/>
    <w:tmpl w:val="933AB192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>
    <w:nsid w:val="7D946760"/>
    <w:multiLevelType w:val="hybridMultilevel"/>
    <w:tmpl w:val="1654DA06"/>
    <w:lvl w:ilvl="0" w:tplc="3A2E834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A6"/>
    <w:rsid w:val="0001512D"/>
    <w:rsid w:val="000252C9"/>
    <w:rsid w:val="00033154"/>
    <w:rsid w:val="000368BA"/>
    <w:rsid w:val="00040EFE"/>
    <w:rsid w:val="00042048"/>
    <w:rsid w:val="000467AB"/>
    <w:rsid w:val="000537DA"/>
    <w:rsid w:val="00060965"/>
    <w:rsid w:val="00077914"/>
    <w:rsid w:val="000F00AB"/>
    <w:rsid w:val="000F315B"/>
    <w:rsid w:val="00112540"/>
    <w:rsid w:val="00121DAD"/>
    <w:rsid w:val="00137159"/>
    <w:rsid w:val="00144B3C"/>
    <w:rsid w:val="00152471"/>
    <w:rsid w:val="0015268B"/>
    <w:rsid w:val="001566C8"/>
    <w:rsid w:val="00164060"/>
    <w:rsid w:val="00177C77"/>
    <w:rsid w:val="00180770"/>
    <w:rsid w:val="00197CDE"/>
    <w:rsid w:val="001A3831"/>
    <w:rsid w:val="001A4A8F"/>
    <w:rsid w:val="001B28F3"/>
    <w:rsid w:val="001F1C8D"/>
    <w:rsid w:val="00223D79"/>
    <w:rsid w:val="00237A97"/>
    <w:rsid w:val="00237C1A"/>
    <w:rsid w:val="00240D65"/>
    <w:rsid w:val="00254E9E"/>
    <w:rsid w:val="002630F5"/>
    <w:rsid w:val="00276957"/>
    <w:rsid w:val="00276DCC"/>
    <w:rsid w:val="00282B46"/>
    <w:rsid w:val="002A2ABA"/>
    <w:rsid w:val="002A3BC8"/>
    <w:rsid w:val="002B4067"/>
    <w:rsid w:val="002E1E6F"/>
    <w:rsid w:val="002F443E"/>
    <w:rsid w:val="00321DF3"/>
    <w:rsid w:val="00332188"/>
    <w:rsid w:val="003374AC"/>
    <w:rsid w:val="00385812"/>
    <w:rsid w:val="00392D0B"/>
    <w:rsid w:val="003A7AFC"/>
    <w:rsid w:val="003C60EF"/>
    <w:rsid w:val="003D0994"/>
    <w:rsid w:val="003F0095"/>
    <w:rsid w:val="003F3008"/>
    <w:rsid w:val="003F341D"/>
    <w:rsid w:val="00406038"/>
    <w:rsid w:val="00413106"/>
    <w:rsid w:val="00435503"/>
    <w:rsid w:val="00435A0E"/>
    <w:rsid w:val="0045558C"/>
    <w:rsid w:val="00460102"/>
    <w:rsid w:val="00460341"/>
    <w:rsid w:val="00470A4F"/>
    <w:rsid w:val="004813AC"/>
    <w:rsid w:val="004B37A0"/>
    <w:rsid w:val="004C1B3D"/>
    <w:rsid w:val="004D3682"/>
    <w:rsid w:val="004D6B39"/>
    <w:rsid w:val="00535DFD"/>
    <w:rsid w:val="005442ED"/>
    <w:rsid w:val="005448AA"/>
    <w:rsid w:val="005727E9"/>
    <w:rsid w:val="005956C0"/>
    <w:rsid w:val="00595F4B"/>
    <w:rsid w:val="005B0EF3"/>
    <w:rsid w:val="005B25D1"/>
    <w:rsid w:val="005C1823"/>
    <w:rsid w:val="005C19BF"/>
    <w:rsid w:val="005C2F41"/>
    <w:rsid w:val="005F2412"/>
    <w:rsid w:val="005F4C62"/>
    <w:rsid w:val="005F6BE7"/>
    <w:rsid w:val="006351D4"/>
    <w:rsid w:val="00663FCC"/>
    <w:rsid w:val="00666D0D"/>
    <w:rsid w:val="00692874"/>
    <w:rsid w:val="006A1EFD"/>
    <w:rsid w:val="006A36C1"/>
    <w:rsid w:val="006A46C3"/>
    <w:rsid w:val="006B6916"/>
    <w:rsid w:val="006C6DDA"/>
    <w:rsid w:val="006D06D9"/>
    <w:rsid w:val="006D5414"/>
    <w:rsid w:val="006D77A6"/>
    <w:rsid w:val="006E1AAA"/>
    <w:rsid w:val="00702109"/>
    <w:rsid w:val="00706F83"/>
    <w:rsid w:val="00713BC2"/>
    <w:rsid w:val="007162D6"/>
    <w:rsid w:val="00723493"/>
    <w:rsid w:val="0072610D"/>
    <w:rsid w:val="00740E8A"/>
    <w:rsid w:val="0075028C"/>
    <w:rsid w:val="00786EEC"/>
    <w:rsid w:val="007B3F4B"/>
    <w:rsid w:val="007B7347"/>
    <w:rsid w:val="007C2FD1"/>
    <w:rsid w:val="007C4E2A"/>
    <w:rsid w:val="007D10F3"/>
    <w:rsid w:val="007D3D94"/>
    <w:rsid w:val="007D57ED"/>
    <w:rsid w:val="007F70D5"/>
    <w:rsid w:val="008112B8"/>
    <w:rsid w:val="0081308A"/>
    <w:rsid w:val="00814165"/>
    <w:rsid w:val="00820159"/>
    <w:rsid w:val="0083144D"/>
    <w:rsid w:val="00835712"/>
    <w:rsid w:val="00837DAD"/>
    <w:rsid w:val="00854FD7"/>
    <w:rsid w:val="0087164B"/>
    <w:rsid w:val="00884465"/>
    <w:rsid w:val="00893731"/>
    <w:rsid w:val="008B5659"/>
    <w:rsid w:val="008B678A"/>
    <w:rsid w:val="008B6A6B"/>
    <w:rsid w:val="008C14EF"/>
    <w:rsid w:val="008C6D88"/>
    <w:rsid w:val="008E3326"/>
    <w:rsid w:val="008E679C"/>
    <w:rsid w:val="008F4F14"/>
    <w:rsid w:val="00907999"/>
    <w:rsid w:val="009228C8"/>
    <w:rsid w:val="0094479E"/>
    <w:rsid w:val="009472EB"/>
    <w:rsid w:val="009529C3"/>
    <w:rsid w:val="00964FB8"/>
    <w:rsid w:val="00972312"/>
    <w:rsid w:val="009736D9"/>
    <w:rsid w:val="00974E34"/>
    <w:rsid w:val="00975894"/>
    <w:rsid w:val="009817B7"/>
    <w:rsid w:val="0098219D"/>
    <w:rsid w:val="009908FF"/>
    <w:rsid w:val="00995505"/>
    <w:rsid w:val="00995A3F"/>
    <w:rsid w:val="009A1148"/>
    <w:rsid w:val="009C2861"/>
    <w:rsid w:val="00A156DA"/>
    <w:rsid w:val="00A17B4F"/>
    <w:rsid w:val="00A357FC"/>
    <w:rsid w:val="00A43D03"/>
    <w:rsid w:val="00A505AC"/>
    <w:rsid w:val="00A6036C"/>
    <w:rsid w:val="00A65101"/>
    <w:rsid w:val="00AA5ADA"/>
    <w:rsid w:val="00AB708F"/>
    <w:rsid w:val="00AE3769"/>
    <w:rsid w:val="00AF3246"/>
    <w:rsid w:val="00AF5942"/>
    <w:rsid w:val="00B0051E"/>
    <w:rsid w:val="00B02E23"/>
    <w:rsid w:val="00B06F2A"/>
    <w:rsid w:val="00B403BF"/>
    <w:rsid w:val="00B470D6"/>
    <w:rsid w:val="00B505B7"/>
    <w:rsid w:val="00B608D9"/>
    <w:rsid w:val="00B77D69"/>
    <w:rsid w:val="00B8420A"/>
    <w:rsid w:val="00B94C95"/>
    <w:rsid w:val="00B963E7"/>
    <w:rsid w:val="00B96E30"/>
    <w:rsid w:val="00BA003E"/>
    <w:rsid w:val="00BA4055"/>
    <w:rsid w:val="00BA7FB6"/>
    <w:rsid w:val="00BC7904"/>
    <w:rsid w:val="00BF064E"/>
    <w:rsid w:val="00BF0C53"/>
    <w:rsid w:val="00C104C1"/>
    <w:rsid w:val="00C20BFE"/>
    <w:rsid w:val="00C66616"/>
    <w:rsid w:val="00C77100"/>
    <w:rsid w:val="00C92170"/>
    <w:rsid w:val="00CA03D6"/>
    <w:rsid w:val="00CC1778"/>
    <w:rsid w:val="00CD01A5"/>
    <w:rsid w:val="00CD550A"/>
    <w:rsid w:val="00CE575B"/>
    <w:rsid w:val="00CE590E"/>
    <w:rsid w:val="00CE7F93"/>
    <w:rsid w:val="00CF293E"/>
    <w:rsid w:val="00CF3DE8"/>
    <w:rsid w:val="00D004E1"/>
    <w:rsid w:val="00D04597"/>
    <w:rsid w:val="00D0493F"/>
    <w:rsid w:val="00D23200"/>
    <w:rsid w:val="00D251A9"/>
    <w:rsid w:val="00D35B2F"/>
    <w:rsid w:val="00D43B91"/>
    <w:rsid w:val="00D56F91"/>
    <w:rsid w:val="00D6443E"/>
    <w:rsid w:val="00D8671C"/>
    <w:rsid w:val="00DA0496"/>
    <w:rsid w:val="00DA57C3"/>
    <w:rsid w:val="00DB77F9"/>
    <w:rsid w:val="00DC3855"/>
    <w:rsid w:val="00DD67A2"/>
    <w:rsid w:val="00E03233"/>
    <w:rsid w:val="00E06943"/>
    <w:rsid w:val="00E1765D"/>
    <w:rsid w:val="00E22031"/>
    <w:rsid w:val="00E242A8"/>
    <w:rsid w:val="00E274B8"/>
    <w:rsid w:val="00E33263"/>
    <w:rsid w:val="00E334D0"/>
    <w:rsid w:val="00E35E71"/>
    <w:rsid w:val="00E42A7B"/>
    <w:rsid w:val="00E723C9"/>
    <w:rsid w:val="00E72707"/>
    <w:rsid w:val="00E74EBC"/>
    <w:rsid w:val="00EB0B89"/>
    <w:rsid w:val="00ED6F00"/>
    <w:rsid w:val="00EE2766"/>
    <w:rsid w:val="00EE4CD4"/>
    <w:rsid w:val="00EF09F2"/>
    <w:rsid w:val="00EF0AB6"/>
    <w:rsid w:val="00EF2FEE"/>
    <w:rsid w:val="00F0586E"/>
    <w:rsid w:val="00F12C13"/>
    <w:rsid w:val="00F23AD5"/>
    <w:rsid w:val="00F320F3"/>
    <w:rsid w:val="00F338BB"/>
    <w:rsid w:val="00F35B0A"/>
    <w:rsid w:val="00F43932"/>
    <w:rsid w:val="00F541F9"/>
    <w:rsid w:val="00F649A9"/>
    <w:rsid w:val="00F71450"/>
    <w:rsid w:val="00FC1F15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DFD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customStyle="1" w:styleId="Default">
    <w:name w:val="Default"/>
    <w:rsid w:val="0081308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NoSpacing">
    <w:name w:val="No Spacing"/>
    <w:uiPriority w:val="1"/>
    <w:qFormat/>
    <w:rsid w:val="0081308A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130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308A"/>
    <w:rPr>
      <w:sz w:val="24"/>
    </w:rPr>
  </w:style>
  <w:style w:type="paragraph" w:styleId="Footer">
    <w:name w:val="footer"/>
    <w:basedOn w:val="Normal"/>
    <w:link w:val="FooterChar"/>
    <w:uiPriority w:val="99"/>
    <w:rsid w:val="008130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308A"/>
    <w:rPr>
      <w:sz w:val="24"/>
    </w:rPr>
  </w:style>
  <w:style w:type="character" w:styleId="FollowedHyperlink">
    <w:name w:val="FollowedHyperlink"/>
    <w:rsid w:val="0094479E"/>
    <w:rPr>
      <w:color w:val="800080"/>
      <w:u w:val="single"/>
    </w:rPr>
  </w:style>
  <w:style w:type="character" w:styleId="CommentReference">
    <w:name w:val="annotation reference"/>
    <w:rsid w:val="00A43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D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3D03"/>
  </w:style>
  <w:style w:type="paragraph" w:styleId="CommentSubject">
    <w:name w:val="annotation subject"/>
    <w:basedOn w:val="CommentText"/>
    <w:next w:val="CommentText"/>
    <w:link w:val="CommentSubjectChar"/>
    <w:rsid w:val="00A43D03"/>
    <w:rPr>
      <w:b/>
      <w:bCs/>
    </w:rPr>
  </w:style>
  <w:style w:type="character" w:customStyle="1" w:styleId="CommentSubjectChar">
    <w:name w:val="Comment Subject Char"/>
    <w:link w:val="CommentSubject"/>
    <w:rsid w:val="00A43D03"/>
    <w:rPr>
      <w:b/>
      <w:bCs/>
    </w:rPr>
  </w:style>
  <w:style w:type="paragraph" w:styleId="EndnoteText">
    <w:name w:val="endnote text"/>
    <w:basedOn w:val="Normal"/>
    <w:link w:val="EndnoteTextChar"/>
    <w:rsid w:val="008B6A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6A6B"/>
  </w:style>
  <w:style w:type="character" w:styleId="EndnoteReference">
    <w:name w:val="endnote reference"/>
    <w:rsid w:val="008B6A6B"/>
    <w:rPr>
      <w:vertAlign w:val="superscript"/>
    </w:rPr>
  </w:style>
  <w:style w:type="table" w:styleId="TableGrid">
    <w:name w:val="Table Grid"/>
    <w:basedOn w:val="TableNormal"/>
    <w:rsid w:val="00F3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DFD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8E67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E67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679C"/>
  </w:style>
  <w:style w:type="paragraph" w:customStyle="1" w:styleId="Default">
    <w:name w:val="Default"/>
    <w:rsid w:val="0081308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NoSpacing">
    <w:name w:val="No Spacing"/>
    <w:uiPriority w:val="1"/>
    <w:qFormat/>
    <w:rsid w:val="0081308A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130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308A"/>
    <w:rPr>
      <w:sz w:val="24"/>
    </w:rPr>
  </w:style>
  <w:style w:type="paragraph" w:styleId="Footer">
    <w:name w:val="footer"/>
    <w:basedOn w:val="Normal"/>
    <w:link w:val="FooterChar"/>
    <w:uiPriority w:val="99"/>
    <w:rsid w:val="008130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308A"/>
    <w:rPr>
      <w:sz w:val="24"/>
    </w:rPr>
  </w:style>
  <w:style w:type="character" w:styleId="FollowedHyperlink">
    <w:name w:val="FollowedHyperlink"/>
    <w:rsid w:val="0094479E"/>
    <w:rPr>
      <w:color w:val="800080"/>
      <w:u w:val="single"/>
    </w:rPr>
  </w:style>
  <w:style w:type="character" w:styleId="CommentReference">
    <w:name w:val="annotation reference"/>
    <w:rsid w:val="00A43D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D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3D03"/>
  </w:style>
  <w:style w:type="paragraph" w:styleId="CommentSubject">
    <w:name w:val="annotation subject"/>
    <w:basedOn w:val="CommentText"/>
    <w:next w:val="CommentText"/>
    <w:link w:val="CommentSubjectChar"/>
    <w:rsid w:val="00A43D03"/>
    <w:rPr>
      <w:b/>
      <w:bCs/>
    </w:rPr>
  </w:style>
  <w:style w:type="character" w:customStyle="1" w:styleId="CommentSubjectChar">
    <w:name w:val="Comment Subject Char"/>
    <w:link w:val="CommentSubject"/>
    <w:rsid w:val="00A43D03"/>
    <w:rPr>
      <w:b/>
      <w:bCs/>
    </w:rPr>
  </w:style>
  <w:style w:type="paragraph" w:styleId="EndnoteText">
    <w:name w:val="endnote text"/>
    <w:basedOn w:val="Normal"/>
    <w:link w:val="EndnoteTextChar"/>
    <w:rsid w:val="008B6A6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B6A6B"/>
  </w:style>
  <w:style w:type="character" w:styleId="EndnoteReference">
    <w:name w:val="endnote reference"/>
    <w:rsid w:val="008B6A6B"/>
    <w:rPr>
      <w:vertAlign w:val="superscript"/>
    </w:rPr>
  </w:style>
  <w:style w:type="table" w:styleId="TableGrid">
    <w:name w:val="Table Grid"/>
    <w:basedOn w:val="TableNormal"/>
    <w:rsid w:val="00F3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300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27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dc.gov/nhsn/dialysis/enroll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nhsn/PDFs/pscManual/8pscDialysisEventcurren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5342-B527-40DF-8116-D3583FB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3983</CharactersWithSpaces>
  <SharedDoc>false</SharedDoc>
  <HLinks>
    <vt:vector size="12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http://www.cdc.gov/nhsn/dialysis/enroll.html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https://www.cdc.gov/nhsn/PDFs/pscManual/8pscDialysisEventcurrent.pdf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BHCSQ</dc:creator>
  <cp:lastModifiedBy> Marybeth McCabe</cp:lastModifiedBy>
  <cp:revision>2</cp:revision>
  <cp:lastPrinted>2019-04-01T18:00:00Z</cp:lastPrinted>
  <dcterms:created xsi:type="dcterms:W3CDTF">2019-05-06T14:56:00Z</dcterms:created>
  <dcterms:modified xsi:type="dcterms:W3CDTF">2019-05-06T14:56:00Z</dcterms:modified>
</cp:coreProperties>
</file>