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74" w:rsidRPr="00CF1A48" w:rsidRDefault="00392674" w:rsidP="00392674">
      <w:pPr>
        <w:framePr w:w="6926" w:hSpace="187" w:wrap="notBeside" w:vAnchor="page" w:hAnchor="page" w:x="2884" w:y="711"/>
        <w:jc w:val="center"/>
      </w:pPr>
      <w:r w:rsidRPr="00CF1A48">
        <w:t>The Commonwealth of Massachusetts</w:t>
      </w:r>
    </w:p>
    <w:p w:rsidR="00392674" w:rsidRPr="00CF1A48" w:rsidRDefault="00392674" w:rsidP="00392674">
      <w:pPr>
        <w:pStyle w:val="ExecOffice"/>
        <w:framePr w:w="6926" w:wrap="notBeside" w:vAnchor="page" w:x="2884" w:y="711"/>
        <w:rPr>
          <w:rFonts w:ascii="Times New Roman" w:hAnsi="Times New Roman"/>
          <w:sz w:val="24"/>
          <w:szCs w:val="24"/>
        </w:rPr>
      </w:pPr>
      <w:r w:rsidRPr="00CF1A48">
        <w:rPr>
          <w:rFonts w:ascii="Times New Roman" w:hAnsi="Times New Roman"/>
          <w:sz w:val="24"/>
          <w:szCs w:val="24"/>
        </w:rPr>
        <w:t>Executive Office of Health and Human Services</w:t>
      </w:r>
    </w:p>
    <w:p w:rsidR="00392674" w:rsidRDefault="00392674" w:rsidP="00392674">
      <w:pPr>
        <w:pStyle w:val="ExecOffice"/>
        <w:framePr w:w="6926" w:wrap="notBeside" w:vAnchor="page" w:x="2884" w:y="711"/>
        <w:rPr>
          <w:rFonts w:ascii="Times New Roman" w:hAnsi="Times New Roman"/>
          <w:sz w:val="24"/>
          <w:szCs w:val="24"/>
        </w:rPr>
      </w:pPr>
      <w:r w:rsidRPr="00CF1A48">
        <w:rPr>
          <w:rFonts w:ascii="Times New Roman" w:hAnsi="Times New Roman"/>
          <w:sz w:val="24"/>
          <w:szCs w:val="24"/>
        </w:rPr>
        <w:t>Department of Public Health</w:t>
      </w:r>
    </w:p>
    <w:p w:rsidR="00392674" w:rsidRPr="00CF1A48" w:rsidRDefault="00392674" w:rsidP="00392674">
      <w:pPr>
        <w:pStyle w:val="ExecOffice"/>
        <w:framePr w:w="6926" w:wrap="notBeside" w:vAnchor="page" w:x="2884" w:y="711"/>
        <w:rPr>
          <w:rFonts w:ascii="Times New Roman" w:hAnsi="Times New Roman"/>
          <w:sz w:val="24"/>
          <w:szCs w:val="24"/>
        </w:rPr>
      </w:pPr>
      <w:r>
        <w:rPr>
          <w:rFonts w:ascii="Times New Roman" w:hAnsi="Times New Roman"/>
          <w:sz w:val="24"/>
          <w:szCs w:val="24"/>
        </w:rPr>
        <w:t>Bureau of Health Care Safety and Quality</w:t>
      </w:r>
    </w:p>
    <w:p w:rsidR="00392674" w:rsidRPr="00CF1A48" w:rsidRDefault="00E05A28" w:rsidP="00392674">
      <w:pPr>
        <w:pStyle w:val="ExecOffice"/>
        <w:framePr w:w="6926" w:wrap="notBeside" w:vAnchor="page" w:x="2884" w:y="711"/>
        <w:rPr>
          <w:rFonts w:ascii="Times New Roman" w:hAnsi="Times New Roman"/>
          <w:sz w:val="24"/>
          <w:szCs w:val="24"/>
        </w:rPr>
      </w:pPr>
      <w:r>
        <w:rPr>
          <w:rFonts w:ascii="Times New Roman" w:hAnsi="Times New Roman"/>
          <w:sz w:val="24"/>
          <w:szCs w:val="24"/>
        </w:rPr>
        <w:t>67 Forest Street, Marlborough, MA 01752</w:t>
      </w:r>
    </w:p>
    <w:p w:rsidR="00392674" w:rsidRPr="00CF1A48" w:rsidRDefault="00F3392D" w:rsidP="00392674">
      <w:pPr>
        <w:framePr w:w="1927" w:hSpace="180" w:wrap="auto" w:vAnchor="text" w:hAnchor="page" w:x="940" w:y="-951"/>
      </w:pPr>
      <w:r>
        <w:rPr>
          <w:noProof/>
        </w:rPr>
        <w:drawing>
          <wp:inline distT="0" distB="0" distL="0" distR="0">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392674" w:rsidRPr="00CF1A48" w:rsidRDefault="00F3392D" w:rsidP="00392674">
      <w:r>
        <w:rPr>
          <w:noProof/>
        </w:rPr>
        <mc:AlternateContent>
          <mc:Choice Requires="wps">
            <w:drawing>
              <wp:anchor distT="0" distB="0" distL="114300" distR="114300" simplePos="0" relativeHeight="251660288" behindDoc="0" locked="0" layoutInCell="1" allowOverlap="1">
                <wp:simplePos x="0" y="0"/>
                <wp:positionH relativeFrom="column">
                  <wp:posOffset>4141470</wp:posOffset>
                </wp:positionH>
                <wp:positionV relativeFrom="paragraph">
                  <wp:posOffset>539750</wp:posOffset>
                </wp:positionV>
                <wp:extent cx="1572895" cy="1136015"/>
                <wp:effectExtent l="0" t="0" r="825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674" w:rsidRDefault="00392674" w:rsidP="00392674">
                            <w:pPr>
                              <w:pStyle w:val="Governor"/>
                              <w:spacing w:after="0"/>
                              <w:rPr>
                                <w:sz w:val="16"/>
                              </w:rPr>
                            </w:pPr>
                          </w:p>
                          <w:p w:rsidR="00392674" w:rsidRPr="003A7AFC" w:rsidRDefault="00392674" w:rsidP="00392674">
                            <w:pPr>
                              <w:pStyle w:val="Weld"/>
                            </w:pPr>
                            <w:r>
                              <w:t>MARYLOU SUDDERS</w:t>
                            </w:r>
                          </w:p>
                          <w:p w:rsidR="00392674" w:rsidRDefault="00392674" w:rsidP="00392674">
                            <w:pPr>
                              <w:pStyle w:val="Governor"/>
                            </w:pPr>
                            <w:r>
                              <w:t>Secretary</w:t>
                            </w:r>
                          </w:p>
                          <w:p w:rsidR="00392674" w:rsidRPr="00FC6B42" w:rsidRDefault="00392674" w:rsidP="00392674">
                            <w:pPr>
                              <w:pStyle w:val="Governor"/>
                              <w:spacing w:after="0"/>
                              <w:rPr>
                                <w:sz w:val="16"/>
                                <w:szCs w:val="16"/>
                              </w:rPr>
                            </w:pPr>
                            <w:r>
                              <w:rPr>
                                <w:sz w:val="16"/>
                                <w:szCs w:val="16"/>
                              </w:rPr>
                              <w:t>Monica Bharel</w:t>
                            </w:r>
                          </w:p>
                          <w:p w:rsidR="00392674" w:rsidRDefault="00392674" w:rsidP="00392674">
                            <w:pPr>
                              <w:jc w:val="center"/>
                              <w:rPr>
                                <w:rFonts w:ascii="Arial Rounded MT Bold" w:hAnsi="Arial Rounded MT Bold"/>
                                <w:sz w:val="14"/>
                                <w:szCs w:val="14"/>
                              </w:rPr>
                            </w:pPr>
                            <w:r w:rsidRPr="00FC6B42">
                              <w:rPr>
                                <w:rFonts w:ascii="Arial Rounded MT Bold" w:hAnsi="Arial Rounded MT Bold"/>
                                <w:sz w:val="14"/>
                                <w:szCs w:val="14"/>
                              </w:rPr>
                              <w:t>Commissioner</w:t>
                            </w:r>
                          </w:p>
                          <w:p w:rsidR="00392674" w:rsidRDefault="00392674" w:rsidP="00392674">
                            <w:pPr>
                              <w:jc w:val="center"/>
                              <w:rPr>
                                <w:rFonts w:ascii="Arial Rounded MT Bold" w:hAnsi="Arial Rounded MT Bold"/>
                                <w:sz w:val="14"/>
                                <w:szCs w:val="14"/>
                              </w:rPr>
                            </w:pPr>
                          </w:p>
                          <w:p w:rsidR="00392674" w:rsidRPr="004813AC" w:rsidRDefault="00392674" w:rsidP="00392674">
                            <w:pPr>
                              <w:jc w:val="center"/>
                              <w:rPr>
                                <w:rFonts w:ascii="Arial" w:hAnsi="Arial" w:cs="Arial"/>
                                <w:b/>
                                <w:sz w:val="14"/>
                                <w:szCs w:val="14"/>
                              </w:rPr>
                            </w:pPr>
                            <w:r w:rsidRPr="004813AC">
                              <w:rPr>
                                <w:rFonts w:ascii="Arial" w:hAnsi="Arial" w:cs="Arial"/>
                                <w:b/>
                                <w:sz w:val="14"/>
                                <w:szCs w:val="14"/>
                              </w:rPr>
                              <w:t>Tel: 617-624-6000</w:t>
                            </w:r>
                          </w:p>
                          <w:p w:rsidR="00392674" w:rsidRPr="004813AC" w:rsidRDefault="00392674" w:rsidP="00392674">
                            <w:pPr>
                              <w:jc w:val="center"/>
                              <w:rPr>
                                <w:rFonts w:ascii="Arial" w:hAnsi="Arial" w:cs="Arial"/>
                                <w:b/>
                                <w:sz w:val="14"/>
                                <w:szCs w:val="14"/>
                                <w:lang w:val="fr-FR"/>
                              </w:rPr>
                            </w:pPr>
                            <w:r w:rsidRPr="004813AC">
                              <w:rPr>
                                <w:rFonts w:ascii="Arial" w:hAnsi="Arial" w:cs="Arial"/>
                                <w:b/>
                                <w:sz w:val="14"/>
                                <w:szCs w:val="14"/>
                                <w:lang w:val="fr-FR"/>
                              </w:rPr>
                              <w:t>www.mass.gov/dph</w:t>
                            </w:r>
                          </w:p>
                          <w:p w:rsidR="00392674" w:rsidRPr="00FC6B42" w:rsidRDefault="00392674" w:rsidP="00392674">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6.1pt;margin-top:42.5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GygAIAABA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" stroked="f">
                <v:textbox style="mso-fit-shape-to-text:t">
                  <w:txbxContent>
                    <w:p w:rsidR="00392674" w:rsidRDefault="00392674" w:rsidP="00392674">
                      <w:pPr>
                        <w:pStyle w:val="Governor"/>
                        <w:spacing w:after="0"/>
                        <w:rPr>
                          <w:sz w:val="16"/>
                        </w:rPr>
                      </w:pPr>
                    </w:p>
                    <w:p w:rsidR="00392674" w:rsidRPr="003A7AFC" w:rsidRDefault="00392674" w:rsidP="00392674">
                      <w:pPr>
                        <w:pStyle w:val="Weld"/>
                      </w:pPr>
                      <w:r>
                        <w:t>MARYLOU SUDDERS</w:t>
                      </w:r>
                    </w:p>
                    <w:p w:rsidR="00392674" w:rsidRDefault="00392674" w:rsidP="00392674">
                      <w:pPr>
                        <w:pStyle w:val="Governor"/>
                      </w:pPr>
                      <w:r>
                        <w:t>Secretary</w:t>
                      </w:r>
                    </w:p>
                    <w:p w:rsidR="00392674" w:rsidRPr="00FC6B42" w:rsidRDefault="00392674" w:rsidP="00392674">
                      <w:pPr>
                        <w:pStyle w:val="Governor"/>
                        <w:spacing w:after="0"/>
                        <w:rPr>
                          <w:sz w:val="16"/>
                          <w:szCs w:val="16"/>
                        </w:rPr>
                      </w:pPr>
                      <w:r>
                        <w:rPr>
                          <w:sz w:val="16"/>
                          <w:szCs w:val="16"/>
                        </w:rPr>
                        <w:t>Monica Bharel</w:t>
                      </w:r>
                    </w:p>
                    <w:p w:rsidR="00392674" w:rsidRDefault="00392674" w:rsidP="00392674">
                      <w:pPr>
                        <w:jc w:val="center"/>
                        <w:rPr>
                          <w:rFonts w:ascii="Arial Rounded MT Bold" w:hAnsi="Arial Rounded MT Bold"/>
                          <w:sz w:val="14"/>
                          <w:szCs w:val="14"/>
                        </w:rPr>
                      </w:pPr>
                      <w:r w:rsidRPr="00FC6B42">
                        <w:rPr>
                          <w:rFonts w:ascii="Arial Rounded MT Bold" w:hAnsi="Arial Rounded MT Bold"/>
                          <w:sz w:val="14"/>
                          <w:szCs w:val="14"/>
                        </w:rPr>
                        <w:t>Commissioner</w:t>
                      </w:r>
                    </w:p>
                    <w:p w:rsidR="00392674" w:rsidRDefault="00392674" w:rsidP="00392674">
                      <w:pPr>
                        <w:jc w:val="center"/>
                        <w:rPr>
                          <w:rFonts w:ascii="Arial Rounded MT Bold" w:hAnsi="Arial Rounded MT Bold"/>
                          <w:sz w:val="14"/>
                          <w:szCs w:val="14"/>
                        </w:rPr>
                      </w:pPr>
                    </w:p>
                    <w:p w:rsidR="00392674" w:rsidRPr="004813AC" w:rsidRDefault="00392674" w:rsidP="00392674">
                      <w:pPr>
                        <w:jc w:val="center"/>
                        <w:rPr>
                          <w:rFonts w:ascii="Arial" w:hAnsi="Arial" w:cs="Arial"/>
                          <w:b/>
                          <w:sz w:val="14"/>
                          <w:szCs w:val="14"/>
                        </w:rPr>
                      </w:pPr>
                      <w:r w:rsidRPr="004813AC">
                        <w:rPr>
                          <w:rFonts w:ascii="Arial" w:hAnsi="Arial" w:cs="Arial"/>
                          <w:b/>
                          <w:sz w:val="14"/>
                          <w:szCs w:val="14"/>
                        </w:rPr>
                        <w:t>Tel: 617-624-6000</w:t>
                      </w:r>
                    </w:p>
                    <w:p w:rsidR="00392674" w:rsidRPr="004813AC" w:rsidRDefault="00392674" w:rsidP="00392674">
                      <w:pPr>
                        <w:jc w:val="center"/>
                        <w:rPr>
                          <w:rFonts w:ascii="Arial" w:hAnsi="Arial" w:cs="Arial"/>
                          <w:b/>
                          <w:sz w:val="14"/>
                          <w:szCs w:val="14"/>
                          <w:lang w:val="fr-FR"/>
                        </w:rPr>
                      </w:pPr>
                      <w:r w:rsidRPr="004813AC">
                        <w:rPr>
                          <w:rFonts w:ascii="Arial" w:hAnsi="Arial" w:cs="Arial"/>
                          <w:b/>
                          <w:sz w:val="14"/>
                          <w:szCs w:val="14"/>
                          <w:lang w:val="fr-FR"/>
                        </w:rPr>
                        <w:t>www.mass.gov/dph</w:t>
                      </w:r>
                    </w:p>
                    <w:p w:rsidR="00392674" w:rsidRPr="00FC6B42" w:rsidRDefault="00392674" w:rsidP="00392674">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539750</wp:posOffset>
                </wp:positionV>
                <wp:extent cx="1572895" cy="802005"/>
                <wp:effectExtent l="0" t="0" r="825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674" w:rsidRDefault="00392674" w:rsidP="00392674">
                            <w:pPr>
                              <w:pStyle w:val="Governor"/>
                              <w:spacing w:after="0"/>
                              <w:rPr>
                                <w:sz w:val="16"/>
                              </w:rPr>
                            </w:pPr>
                          </w:p>
                          <w:p w:rsidR="00392674" w:rsidRDefault="00392674" w:rsidP="00392674">
                            <w:pPr>
                              <w:pStyle w:val="Governor"/>
                              <w:spacing w:after="0"/>
                              <w:rPr>
                                <w:sz w:val="16"/>
                              </w:rPr>
                            </w:pPr>
                            <w:r>
                              <w:rPr>
                                <w:sz w:val="16"/>
                              </w:rPr>
                              <w:t>CHARLES D. BAKER</w:t>
                            </w:r>
                          </w:p>
                          <w:p w:rsidR="00392674" w:rsidRDefault="00392674" w:rsidP="00392674">
                            <w:pPr>
                              <w:pStyle w:val="Governor"/>
                            </w:pPr>
                            <w:r>
                              <w:t>Governor</w:t>
                            </w:r>
                          </w:p>
                          <w:p w:rsidR="00392674" w:rsidRDefault="00392674" w:rsidP="00392674">
                            <w:pPr>
                              <w:pStyle w:val="Governor"/>
                              <w:spacing w:after="0"/>
                              <w:rPr>
                                <w:sz w:val="16"/>
                              </w:rPr>
                            </w:pPr>
                            <w:r>
                              <w:rPr>
                                <w:sz w:val="16"/>
                              </w:rPr>
                              <w:t>KARYN E. POLITO</w:t>
                            </w:r>
                          </w:p>
                          <w:p w:rsidR="00392674" w:rsidRDefault="00392674" w:rsidP="00392674">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lMqS&#10;JoECAAAWBQAADgAAAAAAAAAAAAAAAAAuAgAAZHJzL2Uyb0RvYy54bWxQSwECLQAUAAYACAAAACEA&#10;WMPVTuAAAAALAQAADwAAAAAAAAAAAAAAAADbBAAAZHJzL2Rvd25yZXYueG1sUEsFBgAAAAAEAAQA&#10;8wAAAOgFAAAAAA==&#10;" stroked="f">
                <v:textbox style="mso-fit-shape-to-text:t">
                  <w:txbxContent>
                    <w:p w:rsidR="00392674" w:rsidRDefault="00392674" w:rsidP="00392674">
                      <w:pPr>
                        <w:pStyle w:val="Governor"/>
                        <w:spacing w:after="0"/>
                        <w:rPr>
                          <w:sz w:val="16"/>
                        </w:rPr>
                      </w:pPr>
                    </w:p>
                    <w:p w:rsidR="00392674" w:rsidRDefault="00392674" w:rsidP="00392674">
                      <w:pPr>
                        <w:pStyle w:val="Governor"/>
                        <w:spacing w:after="0"/>
                        <w:rPr>
                          <w:sz w:val="16"/>
                        </w:rPr>
                      </w:pPr>
                      <w:r>
                        <w:rPr>
                          <w:sz w:val="16"/>
                        </w:rPr>
                        <w:t>CHARLES D. BAKER</w:t>
                      </w:r>
                    </w:p>
                    <w:p w:rsidR="00392674" w:rsidRDefault="00392674" w:rsidP="00392674">
                      <w:pPr>
                        <w:pStyle w:val="Governor"/>
                      </w:pPr>
                      <w:r>
                        <w:t>Governor</w:t>
                      </w:r>
                    </w:p>
                    <w:p w:rsidR="00392674" w:rsidRDefault="00392674" w:rsidP="00392674">
                      <w:pPr>
                        <w:pStyle w:val="Governor"/>
                        <w:spacing w:after="0"/>
                        <w:rPr>
                          <w:sz w:val="16"/>
                        </w:rPr>
                      </w:pPr>
                      <w:r>
                        <w:rPr>
                          <w:sz w:val="16"/>
                        </w:rPr>
                        <w:t>KARYN E. POLITO</w:t>
                      </w:r>
                    </w:p>
                    <w:p w:rsidR="00392674" w:rsidRDefault="00392674" w:rsidP="00392674">
                      <w:pPr>
                        <w:pStyle w:val="Governor"/>
                      </w:pPr>
                      <w:r>
                        <w:t>Lieutenant Governor</w:t>
                      </w:r>
                    </w:p>
                  </w:txbxContent>
                </v:textbox>
              </v:shape>
            </w:pict>
          </mc:Fallback>
        </mc:AlternateContent>
      </w:r>
    </w:p>
    <w:p w:rsidR="00392674" w:rsidRPr="00CF1A48" w:rsidRDefault="00392674" w:rsidP="00392674"/>
    <w:p w:rsidR="00392674" w:rsidRPr="00CF1A48" w:rsidRDefault="00392674" w:rsidP="00392674"/>
    <w:p w:rsidR="00392674" w:rsidRPr="00CF1A48" w:rsidRDefault="00392674" w:rsidP="00392674">
      <w:pPr>
        <w:rPr>
          <w:b/>
        </w:rPr>
      </w:pPr>
    </w:p>
    <w:p w:rsidR="00392674" w:rsidRPr="00CF1A48" w:rsidRDefault="00392674" w:rsidP="00392674">
      <w:pPr>
        <w:rPr>
          <w:b/>
        </w:rPr>
      </w:pPr>
    </w:p>
    <w:p w:rsidR="00392674" w:rsidRPr="00CF1A48" w:rsidRDefault="00392674" w:rsidP="00392674">
      <w:pPr>
        <w:rPr>
          <w:b/>
        </w:rPr>
      </w:pPr>
    </w:p>
    <w:p w:rsidR="00392674" w:rsidRPr="00CF1A48" w:rsidRDefault="00392674" w:rsidP="00392674">
      <w:pPr>
        <w:jc w:val="center"/>
      </w:pPr>
      <w:r>
        <w:rPr>
          <w:b/>
        </w:rPr>
        <w:t xml:space="preserve">Circular </w:t>
      </w:r>
      <w:r w:rsidR="00914147">
        <w:rPr>
          <w:b/>
        </w:rPr>
        <w:t>Letter D</w:t>
      </w:r>
      <w:r>
        <w:rPr>
          <w:b/>
        </w:rPr>
        <w:t xml:space="preserve">HCQ </w:t>
      </w:r>
      <w:r w:rsidR="007F763C">
        <w:rPr>
          <w:b/>
        </w:rPr>
        <w:t>20</w:t>
      </w:r>
      <w:r>
        <w:rPr>
          <w:b/>
        </w:rPr>
        <w:t>-</w:t>
      </w:r>
      <w:r w:rsidR="007F763C">
        <w:rPr>
          <w:b/>
        </w:rPr>
        <w:t>03</w:t>
      </w:r>
      <w:r>
        <w:rPr>
          <w:b/>
        </w:rPr>
        <w:t>-</w:t>
      </w:r>
      <w:r w:rsidR="007F763C">
        <w:rPr>
          <w:b/>
        </w:rPr>
        <w:t>701</w:t>
      </w:r>
    </w:p>
    <w:p w:rsidR="00E05A28" w:rsidRPr="00FB4C77" w:rsidRDefault="00E05A28" w:rsidP="00E05A28">
      <w:pPr>
        <w:autoSpaceDE w:val="0"/>
        <w:autoSpaceDN w:val="0"/>
        <w:adjustRightInd w:val="0"/>
        <w:rPr>
          <w:rFonts w:eastAsia="@Batang"/>
        </w:rPr>
      </w:pPr>
    </w:p>
    <w:p w:rsidR="00E05A28" w:rsidRPr="00FB4C77" w:rsidRDefault="00E05A28" w:rsidP="00E05A28">
      <w:pPr>
        <w:autoSpaceDE w:val="0"/>
        <w:autoSpaceDN w:val="0"/>
        <w:adjustRightInd w:val="0"/>
        <w:rPr>
          <w:rFonts w:eastAsia="@Batang"/>
        </w:rPr>
      </w:pPr>
      <w:r w:rsidRPr="00FB4C77">
        <w:rPr>
          <w:rFonts w:eastAsia="@Batang"/>
          <w:b/>
        </w:rPr>
        <w:t>TO:</w:t>
      </w:r>
      <w:r w:rsidRPr="00FB4C77">
        <w:rPr>
          <w:rFonts w:eastAsia="@Batang"/>
        </w:rPr>
        <w:tab/>
      </w:r>
      <w:r w:rsidRPr="00FB4C77">
        <w:rPr>
          <w:rFonts w:eastAsia="@Batang"/>
        </w:rPr>
        <w:tab/>
        <w:t>Acute Care Hospital Chief Executive Officers</w:t>
      </w:r>
    </w:p>
    <w:p w:rsidR="00E05A28" w:rsidRPr="00FB4C77" w:rsidRDefault="00E05A28" w:rsidP="00E05A28">
      <w:pPr>
        <w:autoSpaceDE w:val="0"/>
        <w:autoSpaceDN w:val="0"/>
        <w:adjustRightInd w:val="0"/>
        <w:rPr>
          <w:rFonts w:eastAsia="@Batang"/>
        </w:rPr>
      </w:pPr>
      <w:r w:rsidRPr="00FB4C77">
        <w:rPr>
          <w:rFonts w:eastAsia="@Batang"/>
        </w:rPr>
        <w:tab/>
      </w:r>
      <w:r w:rsidRPr="00FB4C77">
        <w:rPr>
          <w:rFonts w:eastAsia="@Batang"/>
        </w:rPr>
        <w:tab/>
        <w:t>Emergency Department Directors</w:t>
      </w:r>
    </w:p>
    <w:p w:rsidR="00E05A28" w:rsidRPr="00FB4C77" w:rsidRDefault="00E05A28" w:rsidP="00E05A28">
      <w:pPr>
        <w:autoSpaceDE w:val="0"/>
        <w:autoSpaceDN w:val="0"/>
        <w:adjustRightInd w:val="0"/>
        <w:rPr>
          <w:rFonts w:eastAsia="@Batang"/>
        </w:rPr>
      </w:pPr>
      <w:r w:rsidRPr="00FB4C77">
        <w:rPr>
          <w:rFonts w:eastAsia="@Batang"/>
        </w:rPr>
        <w:tab/>
      </w:r>
      <w:r w:rsidRPr="00FB4C77">
        <w:rPr>
          <w:rFonts w:eastAsia="@Batang"/>
        </w:rPr>
        <w:tab/>
        <w:t>Chief Medical Officers</w:t>
      </w:r>
    </w:p>
    <w:p w:rsidR="00E05A28" w:rsidRPr="00FB4C77" w:rsidRDefault="00E05A28" w:rsidP="00E05A28">
      <w:pPr>
        <w:autoSpaceDE w:val="0"/>
        <w:autoSpaceDN w:val="0"/>
        <w:adjustRightInd w:val="0"/>
        <w:ind w:left="720" w:firstLine="720"/>
        <w:rPr>
          <w:rFonts w:eastAsia="@Batang"/>
        </w:rPr>
      </w:pPr>
      <w:r w:rsidRPr="00FB4C77">
        <w:rPr>
          <w:rFonts w:eastAsia="@Batang"/>
        </w:rPr>
        <w:t>Chief Nursing Officers</w:t>
      </w:r>
      <w:r w:rsidR="00F3392D">
        <w:rPr>
          <w:rFonts w:eastAsia="@Batang"/>
        </w:rPr>
        <w:br/>
      </w:r>
    </w:p>
    <w:p w:rsidR="003F1F09" w:rsidRDefault="00E05A28" w:rsidP="00E05A28">
      <w:pPr>
        <w:autoSpaceDE w:val="0"/>
        <w:autoSpaceDN w:val="0"/>
        <w:adjustRightInd w:val="0"/>
        <w:rPr>
          <w:rFonts w:eastAsia="@Batang"/>
        </w:rPr>
      </w:pPr>
      <w:r w:rsidRPr="00FB4C77">
        <w:rPr>
          <w:rFonts w:eastAsia="@Batang"/>
          <w:b/>
        </w:rPr>
        <w:t>FROM:</w:t>
      </w:r>
      <w:r w:rsidRPr="00FB4C77">
        <w:rPr>
          <w:rFonts w:eastAsia="@Batang"/>
        </w:rPr>
        <w:t xml:space="preserve">          Elizabeth Kelley, </w:t>
      </w:r>
      <w:r w:rsidR="002C3C91">
        <w:rPr>
          <w:rFonts w:eastAsia="@Batang"/>
        </w:rPr>
        <w:t xml:space="preserve">MPH, MBA, </w:t>
      </w:r>
      <w:r w:rsidRPr="00FB4C77">
        <w:rPr>
          <w:rFonts w:eastAsia="@Batang"/>
        </w:rPr>
        <w:t>Director</w:t>
      </w:r>
    </w:p>
    <w:p w:rsidR="00E05A28" w:rsidRPr="00FB4C77" w:rsidRDefault="003F1F09" w:rsidP="003F1F09">
      <w:pPr>
        <w:autoSpaceDE w:val="0"/>
        <w:autoSpaceDN w:val="0"/>
        <w:adjustRightInd w:val="0"/>
        <w:ind w:left="720" w:firstLine="720"/>
        <w:rPr>
          <w:rFonts w:eastAsia="@Batang"/>
        </w:rPr>
      </w:pPr>
      <w:r>
        <w:rPr>
          <w:rFonts w:eastAsia="@Batang"/>
        </w:rPr>
        <w:t>Bureau of Health Care Safety and Quality</w:t>
      </w:r>
      <w:r>
        <w:rPr>
          <w:rFonts w:eastAsia="@Batang"/>
        </w:rPr>
        <w:tab/>
      </w:r>
    </w:p>
    <w:p w:rsidR="00E05A28" w:rsidRPr="00FB4C77" w:rsidRDefault="00E05A28" w:rsidP="00E05A28">
      <w:pPr>
        <w:autoSpaceDE w:val="0"/>
        <w:autoSpaceDN w:val="0"/>
        <w:adjustRightInd w:val="0"/>
        <w:rPr>
          <w:rFonts w:eastAsia="@Batang"/>
        </w:rPr>
      </w:pPr>
      <w:r w:rsidRPr="00FB4C77">
        <w:rPr>
          <w:rFonts w:eastAsia="@Batang"/>
        </w:rPr>
        <w:tab/>
      </w:r>
      <w:r w:rsidRPr="00FB4C77">
        <w:rPr>
          <w:rFonts w:eastAsia="@Batang"/>
        </w:rPr>
        <w:tab/>
      </w:r>
    </w:p>
    <w:p w:rsidR="00E05A28" w:rsidRPr="00FB4C77" w:rsidRDefault="00E05A28" w:rsidP="00E05A28">
      <w:pPr>
        <w:tabs>
          <w:tab w:val="left" w:pos="1440"/>
          <w:tab w:val="left" w:pos="1980"/>
        </w:tabs>
        <w:autoSpaceDE w:val="0"/>
        <w:autoSpaceDN w:val="0"/>
        <w:adjustRightInd w:val="0"/>
        <w:ind w:left="1980" w:hanging="1980"/>
        <w:rPr>
          <w:rFonts w:eastAsia="@Batang"/>
        </w:rPr>
      </w:pPr>
      <w:r w:rsidRPr="00FB4C77">
        <w:rPr>
          <w:rFonts w:eastAsia="@Batang"/>
          <w:b/>
        </w:rPr>
        <w:t>SUBJECT:</w:t>
      </w:r>
      <w:r w:rsidRPr="00FB4C77">
        <w:rPr>
          <w:rFonts w:eastAsia="@Batang"/>
        </w:rPr>
        <w:t xml:space="preserve">    (1)   </w:t>
      </w:r>
      <w:r w:rsidR="002C3C91">
        <w:rPr>
          <w:rFonts w:eastAsia="@Batang"/>
        </w:rPr>
        <w:tab/>
      </w:r>
      <w:r w:rsidRPr="00FB4C77">
        <w:rPr>
          <w:rFonts w:eastAsia="@Batang"/>
        </w:rPr>
        <w:t>Reducing or Eliminating the Need for Boarding of Patients in the Hospital Emergency</w:t>
      </w:r>
      <w:r>
        <w:rPr>
          <w:rFonts w:eastAsia="@Batang"/>
        </w:rPr>
        <w:t xml:space="preserve"> </w:t>
      </w:r>
      <w:r w:rsidRPr="00FB4C77">
        <w:rPr>
          <w:rFonts w:eastAsia="@Batang"/>
        </w:rPr>
        <w:t xml:space="preserve">Department, and </w:t>
      </w:r>
    </w:p>
    <w:p w:rsidR="00E05A28" w:rsidRPr="00FB4C77" w:rsidRDefault="00E05A28" w:rsidP="00E05A28">
      <w:pPr>
        <w:numPr>
          <w:ilvl w:val="0"/>
          <w:numId w:val="15"/>
        </w:numPr>
        <w:tabs>
          <w:tab w:val="left" w:pos="1440"/>
        </w:tabs>
        <w:autoSpaceDE w:val="0"/>
        <w:autoSpaceDN w:val="0"/>
        <w:adjustRightInd w:val="0"/>
      </w:pPr>
      <w:r w:rsidRPr="00FB4C77">
        <w:t xml:space="preserve"> </w:t>
      </w:r>
      <w:r w:rsidR="002C3C91">
        <w:t xml:space="preserve">  A</w:t>
      </w:r>
      <w:r w:rsidRPr="00FB4C77">
        <w:t>uthorization and Guidelines for Use of Alternate Space for Treatment of</w:t>
      </w:r>
    </w:p>
    <w:p w:rsidR="00E05A28" w:rsidRPr="00FB4C77" w:rsidRDefault="00E05A28" w:rsidP="00E05A28">
      <w:pPr>
        <w:tabs>
          <w:tab w:val="left" w:pos="1440"/>
        </w:tabs>
        <w:autoSpaceDE w:val="0"/>
        <w:autoSpaceDN w:val="0"/>
        <w:adjustRightInd w:val="0"/>
        <w:ind w:left="1440"/>
      </w:pPr>
      <w:r w:rsidRPr="00FB4C77">
        <w:t xml:space="preserve">       </w:t>
      </w:r>
      <w:r w:rsidR="002C3C91">
        <w:t xml:space="preserve">  </w:t>
      </w:r>
      <w:r w:rsidRPr="00FB4C77">
        <w:t>Ambulatory Patients Presenting with</w:t>
      </w:r>
      <w:r>
        <w:t xml:space="preserve"> </w:t>
      </w:r>
      <w:r w:rsidRPr="00FB4C77">
        <w:t>possible COVID-19</w:t>
      </w:r>
    </w:p>
    <w:p w:rsidR="00E05A28" w:rsidRPr="00FB4C77" w:rsidRDefault="00E05A28" w:rsidP="00E05A28">
      <w:pPr>
        <w:autoSpaceDE w:val="0"/>
        <w:autoSpaceDN w:val="0"/>
        <w:adjustRightInd w:val="0"/>
        <w:rPr>
          <w:rFonts w:eastAsia="@Batang"/>
        </w:rPr>
      </w:pPr>
      <w:r w:rsidRPr="00FB4C77">
        <w:tab/>
      </w:r>
      <w:r w:rsidRPr="00FB4C77">
        <w:tab/>
        <w:t xml:space="preserve"> </w:t>
      </w:r>
    </w:p>
    <w:p w:rsidR="00E05A28" w:rsidRPr="00FB4C77" w:rsidRDefault="00E05A28" w:rsidP="00E05A28">
      <w:pPr>
        <w:autoSpaceDE w:val="0"/>
        <w:autoSpaceDN w:val="0"/>
        <w:adjustRightInd w:val="0"/>
        <w:rPr>
          <w:rFonts w:eastAsia="@Batang"/>
        </w:rPr>
      </w:pPr>
      <w:r w:rsidRPr="00FB4C77">
        <w:rPr>
          <w:rFonts w:eastAsia="@Batang"/>
          <w:b/>
        </w:rPr>
        <w:t>DATE:</w:t>
      </w:r>
      <w:r w:rsidRPr="00FB4C77">
        <w:rPr>
          <w:rFonts w:eastAsia="@Batang"/>
          <w:b/>
        </w:rPr>
        <w:tab/>
      </w:r>
      <w:r w:rsidRPr="00FB4C77">
        <w:rPr>
          <w:rFonts w:eastAsia="@Batang"/>
        </w:rPr>
        <w:t xml:space="preserve">March </w:t>
      </w:r>
      <w:r w:rsidR="007F763C">
        <w:rPr>
          <w:rFonts w:eastAsia="@Batang"/>
        </w:rPr>
        <w:t>6</w:t>
      </w:r>
      <w:r w:rsidRPr="00FB4C77">
        <w:rPr>
          <w:rFonts w:eastAsia="@Batang"/>
        </w:rPr>
        <w:t>, 2020</w:t>
      </w:r>
    </w:p>
    <w:p w:rsidR="00E05A28" w:rsidRPr="00FB4C77" w:rsidRDefault="00E05A28" w:rsidP="00E05A28">
      <w:pPr>
        <w:autoSpaceDE w:val="0"/>
        <w:autoSpaceDN w:val="0"/>
        <w:adjustRightInd w:val="0"/>
        <w:rPr>
          <w:rFonts w:eastAsia="@Batang"/>
        </w:rPr>
      </w:pPr>
    </w:p>
    <w:p w:rsidR="00E05A28" w:rsidRPr="00FB4C77" w:rsidRDefault="00E05A28" w:rsidP="00E0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C77">
        <w:t>Providing care for people seeking treatment for possible novel Coronavirus 2019 (COVID-19) may prove to be especially challenging for all health care practitioners and facilities should a surge in volume of patients with possible</w:t>
      </w:r>
      <w:r w:rsidR="004F1369">
        <w:t xml:space="preserve"> exposure to or symptoms of</w:t>
      </w:r>
      <w:r w:rsidRPr="00FB4C77">
        <w:t xml:space="preserve"> COVID-19</w:t>
      </w:r>
      <w:r w:rsidR="004F1369">
        <w:t xml:space="preserve"> illness</w:t>
      </w:r>
      <w:r w:rsidRPr="00FB4C77">
        <w:t xml:space="preserve"> overwhelm the capacity of emergency departments. As part of ongoing statewide preparations and to address the potential influx of patients with possible COVID-19</w:t>
      </w:r>
      <w:r w:rsidR="003274CB">
        <w:t xml:space="preserve"> exposure or symptomology</w:t>
      </w:r>
      <w:r w:rsidRPr="00FB4C77">
        <w:t xml:space="preserve"> to hospital emergency departments (ED), the Department of Public Health (DPH) is issuing this guidance to acute care hospitals.</w:t>
      </w:r>
      <w:bookmarkStart w:id="0" w:name="_GoBack"/>
      <w:bookmarkEnd w:id="0"/>
      <w:r w:rsidRPr="00FB4C77">
        <w:t xml:space="preserve">  Hospitals are reminded to review, test and update as necessary all applicable emergency management/disaster plans and protocols. To protect the essential functions of the ED to assess, stabilize and care for the acutely ill or injured, such protocols should include a plan to reduce or eliminate the need for boarding patients in the ED, and to triage stable possible COVID-19</w:t>
      </w:r>
      <w:r w:rsidR="004F1369">
        <w:t xml:space="preserve"> exposed or symptomatic</w:t>
      </w:r>
      <w:r w:rsidRPr="00FB4C77">
        <w:t xml:space="preserve"> patients in alternate space on the hospital premises for evaluation and treatment when volume necessitates.</w:t>
      </w:r>
    </w:p>
    <w:p w:rsidR="00E05A28" w:rsidRPr="00FB4C77" w:rsidRDefault="00E05A28" w:rsidP="00E05A28"/>
    <w:p w:rsidR="00E05A28" w:rsidRPr="00FB4C77" w:rsidRDefault="00E05A28" w:rsidP="00E05A28">
      <w:r w:rsidRPr="00FB4C77">
        <w:t xml:space="preserve">Hospitals also should establish, test and update as necessary plans and mechanisms for ongoing communication with patients, health care providers, and state and local agencies to promote and increase situational awareness of </w:t>
      </w:r>
      <w:r w:rsidR="004F1369">
        <w:t xml:space="preserve">the </w:t>
      </w:r>
      <w:r w:rsidRPr="00FB4C77">
        <w:t>possible</w:t>
      </w:r>
      <w:r w:rsidR="004F1369">
        <w:t xml:space="preserve"> presence of</w:t>
      </w:r>
      <w:r w:rsidRPr="00FB4C77">
        <w:t xml:space="preserve"> COVID-19</w:t>
      </w:r>
      <w:r w:rsidR="004F1369">
        <w:t xml:space="preserve"> exposures</w:t>
      </w:r>
      <w:r w:rsidRPr="00FB4C77">
        <w:t xml:space="preserve"> in Massachusetts and elsewhere.  Hospitals also should consider establishing a “COVID-19 Hotline” to help provide patient advice/direction and to avoid unnecessary visits to the ED.</w:t>
      </w:r>
    </w:p>
    <w:p w:rsidR="00E05A28" w:rsidRPr="00FB4C77" w:rsidRDefault="00E05A28" w:rsidP="00E05A28"/>
    <w:p w:rsidR="00E05A28" w:rsidRPr="00FB4C77" w:rsidRDefault="00E05A28" w:rsidP="00E05A28">
      <w:pPr>
        <w:rPr>
          <w:u w:val="single"/>
        </w:rPr>
      </w:pPr>
      <w:r w:rsidRPr="00FB4C77">
        <w:t xml:space="preserve">(1) </w:t>
      </w:r>
      <w:r w:rsidRPr="00FB4C77">
        <w:rPr>
          <w:rFonts w:eastAsia="@Batang"/>
          <w:u w:val="single"/>
        </w:rPr>
        <w:t>Reducing or Eliminating the Need for Boarding of Patients in the Hospital Emergency Department</w:t>
      </w:r>
    </w:p>
    <w:p w:rsidR="00E05A28" w:rsidRPr="00FB4C77" w:rsidRDefault="00E05A28" w:rsidP="00E05A28">
      <w:pPr>
        <w:autoSpaceDE w:val="0"/>
        <w:autoSpaceDN w:val="0"/>
        <w:adjustRightInd w:val="0"/>
      </w:pPr>
    </w:p>
    <w:p w:rsidR="00E05A28" w:rsidRPr="00FB4C77" w:rsidRDefault="00E05A28" w:rsidP="00E05A28">
      <w:pPr>
        <w:autoSpaceDE w:val="0"/>
        <w:autoSpaceDN w:val="0"/>
        <w:adjustRightInd w:val="0"/>
      </w:pPr>
      <w:r w:rsidRPr="00FB4C77">
        <w:rPr>
          <w:b/>
          <w:u w:val="single"/>
        </w:rPr>
        <w:t>Hospitals in the Commonwealth are expected to test and be prepared at all times to activate Code Help policies</w:t>
      </w:r>
      <w:r w:rsidRPr="00FB4C77">
        <w:t xml:space="preserve">.  A hospital’s full census and emergency management/disaster plans and protocols should ensure timely discharge of inpatients, expedite the movement of admitted ED patients to alternative holding areas or hallway beds as necessary with appropriate coordination, and provide for the appropriate transfer of patients to other facilities and rescheduling of elective admissions and surgeries as the situation requires. The Code Help policy is intended to optimize patient flow throughout the hospital by redeploying staff and resources with the goal of moving all admitted patients out of the ED within thirty minutes.  </w:t>
      </w:r>
    </w:p>
    <w:p w:rsidR="00E05A28" w:rsidRPr="00FB4C77" w:rsidRDefault="00E05A28" w:rsidP="00E05A28">
      <w:pPr>
        <w:autoSpaceDE w:val="0"/>
        <w:autoSpaceDN w:val="0"/>
        <w:adjustRightInd w:val="0"/>
      </w:pPr>
      <w:r w:rsidRPr="00FB4C77">
        <w:tab/>
        <w:t xml:space="preserve"> </w:t>
      </w:r>
    </w:p>
    <w:p w:rsidR="00E05A28" w:rsidRPr="00FB4C77" w:rsidRDefault="00E05A28" w:rsidP="00E05A28">
      <w:pPr>
        <w:autoSpaceDE w:val="0"/>
        <w:autoSpaceDN w:val="0"/>
        <w:adjustRightInd w:val="0"/>
        <w:rPr>
          <w:b/>
          <w:color w:val="FF0000"/>
        </w:rPr>
      </w:pPr>
      <w:r w:rsidRPr="00FB4C77">
        <w:t xml:space="preserve">If implementation of the Code Help policy does not eliminate the burden of admitted patients in the ED in a timely fashion, or if the severity of the initial situation warrants it, then the hospital must consider implementation of any necessary elements of the CMS-required emergency management/disaster plans and protocols to create additional inpatient capacity.  </w:t>
      </w:r>
    </w:p>
    <w:p w:rsidR="00E05A28" w:rsidRPr="00FB4C77" w:rsidRDefault="00E05A28" w:rsidP="00E05A28">
      <w:pPr>
        <w:rPr>
          <w:color w:val="FF0000"/>
        </w:rPr>
      </w:pPr>
    </w:p>
    <w:p w:rsidR="00E05A28" w:rsidRPr="00FB4C77" w:rsidRDefault="00E05A28" w:rsidP="00E05A28">
      <w:pPr>
        <w:autoSpaceDE w:val="0"/>
        <w:autoSpaceDN w:val="0"/>
        <w:adjustRightInd w:val="0"/>
        <w:rPr>
          <w:rFonts w:eastAsia="@Batang"/>
        </w:rPr>
      </w:pPr>
      <w:r w:rsidRPr="00FB4C77">
        <w:t xml:space="preserve">DPH has </w:t>
      </w:r>
      <w:r w:rsidR="00A11495">
        <w:t xml:space="preserve">in the past </w:t>
      </w:r>
      <w:r w:rsidRPr="00FB4C77">
        <w:t xml:space="preserve">issued letters to hospital administrators regarding best practices for helping to reduce patient boarding in the ED and to maximize patient flow throughout the hospital.  </w:t>
      </w:r>
      <w:r w:rsidRPr="00FB4C77">
        <w:rPr>
          <w:color w:val="000000"/>
        </w:rPr>
        <w:t>T</w:t>
      </w:r>
      <w:r w:rsidRPr="00FB4C77">
        <w:t xml:space="preserve">hese letters can be accessed via the Division of Health Care Quality’s web page </w:t>
      </w:r>
      <w:r w:rsidRPr="00FB4C77">
        <w:rPr>
          <w:color w:val="000000"/>
        </w:rPr>
        <w:t>on</w:t>
      </w:r>
      <w:r w:rsidR="00417201">
        <w:rPr>
          <w:color w:val="000000"/>
        </w:rPr>
        <w:t xml:space="preserve">: </w:t>
      </w:r>
      <w:hyperlink r:id="rId10" w:history="1">
        <w:r w:rsidR="00417201">
          <w:rPr>
            <w:rStyle w:val="Hyperlink"/>
          </w:rPr>
          <w:t>https://www.mass.gov/lists/hospital-circular-letters-general</w:t>
        </w:r>
      </w:hyperlink>
    </w:p>
    <w:p w:rsidR="00E05A28" w:rsidRPr="00FB4C77" w:rsidRDefault="00E05A28" w:rsidP="00E05A28"/>
    <w:p w:rsidR="00E05A28" w:rsidRPr="00FB4C77" w:rsidRDefault="00E05A28" w:rsidP="00E05A28">
      <w:pPr>
        <w:rPr>
          <w:u w:val="single"/>
        </w:rPr>
      </w:pPr>
      <w:r w:rsidRPr="00FB4C77">
        <w:t xml:space="preserve">(2)  </w:t>
      </w:r>
      <w:r w:rsidRPr="00FB4C77">
        <w:rPr>
          <w:u w:val="single"/>
        </w:rPr>
        <w:t>Authorization and Guidelines for Use of Alternate Space for Treatment of Ambulatory Patients Presenting with Possible COVID-19</w:t>
      </w:r>
      <w:r w:rsidR="004F1369">
        <w:rPr>
          <w:u w:val="single"/>
        </w:rPr>
        <w:t xml:space="preserve"> illness</w:t>
      </w:r>
    </w:p>
    <w:p w:rsidR="00E05A28" w:rsidRPr="00FB4C77" w:rsidRDefault="00E05A28" w:rsidP="00E05A28">
      <w:pPr>
        <w:rPr>
          <w:u w:val="single"/>
        </w:rPr>
      </w:pPr>
    </w:p>
    <w:p w:rsidR="00E05A28" w:rsidRPr="00FB4C77" w:rsidRDefault="00E05A28" w:rsidP="00E05A28">
      <w:r w:rsidRPr="00FB4C77">
        <w:t xml:space="preserve">DPH has received requests from hospitals to use space not currently approved for ED or outpatient use, on the hospital campus, to temporarily establish COVID-19-screening areas for the screening, evaluation and treatment of stable ambulatory patients in the event of a surge in patients presenting to the ED or outpatient services.  As part of the hospital’s emergency management/disaster planning, DPH encourages each hospital to identify appropriate alternate space to accommodate a surge in patients requiring COVID-19 screening.  Hospitals may identify and use existing non-patient care space, or other outpatient or inpatient care space, for COVID-19 screening, evaluation and treatment, consistent with this letter and enclosed Guidelines.  </w:t>
      </w:r>
    </w:p>
    <w:p w:rsidR="00E05A28" w:rsidRPr="00FB4C77" w:rsidRDefault="00E05A28" w:rsidP="00E05A28"/>
    <w:p w:rsidR="00E05A28" w:rsidRPr="00FB4C77" w:rsidRDefault="00E05A28" w:rsidP="00E05A28">
      <w:r w:rsidRPr="00FB4C77">
        <w:t xml:space="preserve">DPH has developed the attached </w:t>
      </w:r>
      <w:r w:rsidRPr="00FB4C77">
        <w:rPr>
          <w:i/>
        </w:rPr>
        <w:t>Guidelines for Use Of Alternate Space for Treatment of Ambulatory Patients Presenting with possible COVID-19</w:t>
      </w:r>
      <w:r w:rsidR="003274CB">
        <w:rPr>
          <w:i/>
        </w:rPr>
        <w:t xml:space="preserve"> Exposure or Illness</w:t>
      </w:r>
      <w:r w:rsidRPr="00FB4C77">
        <w:t>, hereinafter referred to as Guidelines (Attachment A) for use when a hospital has available space located on the hospital’s campus that can be used for screening, evaluating and treating ambulatory patients who are presenting to the hospital with possible COVID-19</w:t>
      </w:r>
      <w:r w:rsidR="003274CB">
        <w:t xml:space="preserve"> exposure</w:t>
      </w:r>
      <w:r w:rsidR="00A11495">
        <w:t xml:space="preserve"> </w:t>
      </w:r>
      <w:r w:rsidRPr="00FB4C77">
        <w:t xml:space="preserve">during the 2020 outbreak (March </w:t>
      </w:r>
      <w:r w:rsidR="007F763C">
        <w:t>6</w:t>
      </w:r>
      <w:r w:rsidRPr="00FB4C77">
        <w:t>, 2020</w:t>
      </w:r>
      <w:r w:rsidR="00417201">
        <w:t xml:space="preserve"> </w:t>
      </w:r>
      <w:r w:rsidRPr="00FB4C77">
        <w:t>-</w:t>
      </w:r>
      <w:r w:rsidR="00417201">
        <w:t xml:space="preserve"> </w:t>
      </w:r>
      <w:r w:rsidRPr="00FB4C77">
        <w:t>July 1, 2020).  The Guidelines outline the conditions for temporary use of alternate space at the hospital to screen, evaluate and provide treatment to stable, ambulatory patients with possible COVID-19</w:t>
      </w:r>
      <w:r w:rsidR="003274CB">
        <w:t xml:space="preserve"> exposure</w:t>
      </w:r>
      <w:r w:rsidRPr="00FB4C77">
        <w:t xml:space="preserve"> in the event such a need arises at your hospital.  Each hospital should use the Guidelines to identify appropriate alternate screening space(s), if available</w:t>
      </w:r>
      <w:r w:rsidRPr="00FB4C77">
        <w:rPr>
          <w:b/>
        </w:rPr>
        <w:t xml:space="preserve">.  </w:t>
      </w:r>
      <w:r w:rsidRPr="00FB4C77">
        <w:t>Through this letter, DPH authorizes use of alternate space(s) selected by the hospital for screening of possible COVID-19</w:t>
      </w:r>
      <w:r w:rsidR="00A11495">
        <w:t xml:space="preserve"> </w:t>
      </w:r>
      <w:r w:rsidRPr="00FB4C77">
        <w:t>patients during the 2020</w:t>
      </w:r>
      <w:r w:rsidR="00A11495">
        <w:t xml:space="preserve"> </w:t>
      </w:r>
      <w:r w:rsidRPr="00FB4C77">
        <w:t xml:space="preserve">outbreak, provided that the hospital complies with the Guidelines.  DPH is not requiring hospitals to submit a copy of their written </w:t>
      </w:r>
      <w:r w:rsidRPr="00FB4C77">
        <w:lastRenderedPageBreak/>
        <w:t xml:space="preserve">plan for use of alternate space at this time.  A hospital must, however, provide DPH with written documentation of its compliance with these Guidelines if requested by DPH.  </w:t>
      </w:r>
    </w:p>
    <w:p w:rsidR="00E05A28" w:rsidRPr="00FB4C77" w:rsidRDefault="00E05A28" w:rsidP="00E05A28"/>
    <w:p w:rsidR="00E05A28" w:rsidRPr="00FB4C77" w:rsidRDefault="00E05A28" w:rsidP="00E05A28">
      <w:r w:rsidRPr="00FB4C77">
        <w:t xml:space="preserve">Also, please refer to the linked Fact Sheet published by the Centers for Medicare &amp; Medicaid Services (CMS) which provides important information concerning </w:t>
      </w:r>
      <w:r w:rsidRPr="00FB4C77">
        <w:rPr>
          <w:i/>
        </w:rPr>
        <w:t>Emergency Medical Treatment and Labor Act (EMTALA) &amp; Surges in Demand for Emergency Department (ED) Services During a Pandemic</w:t>
      </w:r>
      <w:r w:rsidRPr="00FB4C77">
        <w:t xml:space="preserve">.  The fact sheet is available on the CMS website at </w:t>
      </w:r>
      <w:hyperlink r:id="rId11" w:tooltip="http://www.cms.hhs.gov/SurveyCertificationGenInfo/" w:history="1">
        <w:r w:rsidRPr="00FB4C77">
          <w:rPr>
            <w:rStyle w:val="Hyperlink"/>
            <w:i/>
            <w:iCs/>
          </w:rPr>
          <w:t>http://www.cms.hhs.gov/SurveyCertificationGenInfo/</w:t>
        </w:r>
      </w:hyperlink>
      <w:r w:rsidRPr="00FB4C77">
        <w:t xml:space="preserve"> click “policy and memos to states” S&amp;C-09-52 issued 8/14/09.</w:t>
      </w:r>
    </w:p>
    <w:p w:rsidR="00E05A28" w:rsidRPr="00FB4C77" w:rsidRDefault="00E05A28" w:rsidP="00E05A28"/>
    <w:p w:rsidR="00E05A28" w:rsidRPr="00FB4C77" w:rsidRDefault="00E05A28" w:rsidP="00E05A28">
      <w:r w:rsidRPr="00FB4C77">
        <w:t>Please be aware that Emergency Medical Treatment and Active Labor Act (EMTALA) obligations are not waived unless:</w:t>
      </w:r>
    </w:p>
    <w:p w:rsidR="00E05A28" w:rsidRPr="00FB4C77" w:rsidRDefault="00E05A28" w:rsidP="00417201">
      <w:pPr>
        <w:ind w:left="720" w:hanging="720"/>
      </w:pPr>
      <w:r w:rsidRPr="00FB4C77">
        <w:t>i.</w:t>
      </w:r>
      <w:r w:rsidRPr="00FB4C77">
        <w:tab/>
        <w:t>The United States President and the Secretary of Health and Human Services (HHS) have both declared a national emergency; AND</w:t>
      </w:r>
    </w:p>
    <w:p w:rsidR="00E05A28" w:rsidRPr="00FB4C77" w:rsidRDefault="00E05A28" w:rsidP="00E05A28">
      <w:r w:rsidRPr="00FB4C77">
        <w:t>ii.</w:t>
      </w:r>
      <w:r w:rsidRPr="00FB4C77">
        <w:tab/>
        <w:t>HHS has authorized EMTALA waivers; AND</w:t>
      </w:r>
    </w:p>
    <w:p w:rsidR="00E05A28" w:rsidRPr="00FB4C77" w:rsidRDefault="00E05A28" w:rsidP="00417201">
      <w:pPr>
        <w:ind w:left="720" w:hanging="720"/>
      </w:pPr>
      <w:r w:rsidRPr="00FB4C77">
        <w:t>iii.</w:t>
      </w:r>
      <w:r w:rsidRPr="00FB4C77">
        <w:tab/>
        <w:t xml:space="preserve">The Covered </w:t>
      </w:r>
      <w:r w:rsidR="00A11495">
        <w:t>E</w:t>
      </w:r>
      <w:r w:rsidRPr="00FB4C77">
        <w:t>ntity applies for the waiver (UNLESS waivers are granted for an entire geographic region); AND</w:t>
      </w:r>
    </w:p>
    <w:p w:rsidR="00E05A28" w:rsidRPr="00FB4C77" w:rsidRDefault="00E05A28" w:rsidP="00417201">
      <w:pPr>
        <w:ind w:left="720" w:hanging="720"/>
      </w:pPr>
      <w:r w:rsidRPr="00FB4C77">
        <w:t>iv.</w:t>
      </w:r>
      <w:r w:rsidRPr="00FB4C77">
        <w:tab/>
        <w:t>Both the facility and the state have activated their emergency operations plans or pandemic plans.</w:t>
      </w:r>
    </w:p>
    <w:p w:rsidR="00E05A28" w:rsidRPr="00FB4C77" w:rsidRDefault="00E05A28" w:rsidP="00E05A28">
      <w:pPr>
        <w:autoSpaceDE w:val="0"/>
        <w:autoSpaceDN w:val="0"/>
        <w:adjustRightInd w:val="0"/>
        <w:rPr>
          <w:color w:val="000000"/>
          <w:u w:val="single"/>
        </w:rPr>
      </w:pPr>
    </w:p>
    <w:p w:rsidR="00E05A28" w:rsidRPr="00FB4C77" w:rsidRDefault="00E05A28" w:rsidP="00E05A28">
      <w:pPr>
        <w:autoSpaceDE w:val="0"/>
        <w:autoSpaceDN w:val="0"/>
        <w:adjustRightInd w:val="0"/>
        <w:rPr>
          <w:color w:val="000000"/>
          <w:u w:val="single"/>
        </w:rPr>
      </w:pPr>
    </w:p>
    <w:p w:rsidR="00E05A28" w:rsidRPr="00FB4C77" w:rsidRDefault="00E05A28" w:rsidP="00E05A28">
      <w:pPr>
        <w:autoSpaceDE w:val="0"/>
        <w:autoSpaceDN w:val="0"/>
        <w:adjustRightInd w:val="0"/>
        <w:rPr>
          <w:b/>
          <w:color w:val="000000"/>
          <w:u w:val="single"/>
        </w:rPr>
      </w:pPr>
      <w:r w:rsidRPr="00FB4C77">
        <w:rPr>
          <w:color w:val="000000"/>
          <w:u w:val="single"/>
        </w:rPr>
        <w:t xml:space="preserve">Additional Resources and References:  </w:t>
      </w:r>
    </w:p>
    <w:p w:rsidR="00E05A28" w:rsidRPr="00FB4C77" w:rsidRDefault="00E05A28" w:rsidP="00E05A28">
      <w:pPr>
        <w:autoSpaceDE w:val="0"/>
        <w:autoSpaceDN w:val="0"/>
        <w:adjustRightInd w:val="0"/>
        <w:rPr>
          <w:color w:val="000000"/>
        </w:rPr>
      </w:pPr>
    </w:p>
    <w:p w:rsidR="00E05A28" w:rsidRPr="00FB4C77" w:rsidRDefault="00E05A28" w:rsidP="00E05A28">
      <w:pPr>
        <w:autoSpaceDE w:val="0"/>
        <w:autoSpaceDN w:val="0"/>
        <w:adjustRightInd w:val="0"/>
        <w:ind w:left="720"/>
        <w:rPr>
          <w:color w:val="000000"/>
        </w:rPr>
      </w:pPr>
    </w:p>
    <w:p w:rsidR="007F763C" w:rsidRDefault="007F763C" w:rsidP="00417201">
      <w:pPr>
        <w:autoSpaceDE w:val="0"/>
        <w:autoSpaceDN w:val="0"/>
        <w:adjustRightInd w:val="0"/>
      </w:pPr>
      <w:r>
        <w:t xml:space="preserve">CDC Hospital Assessment Tools </w:t>
      </w:r>
    </w:p>
    <w:p w:rsidR="007F763C" w:rsidRDefault="007F763C" w:rsidP="00417201">
      <w:pPr>
        <w:autoSpaceDE w:val="0"/>
        <w:autoSpaceDN w:val="0"/>
        <w:adjustRightInd w:val="0"/>
      </w:pPr>
      <w:hyperlink r:id="rId12" w:history="1">
        <w:r>
          <w:rPr>
            <w:rStyle w:val="Hyperlink"/>
          </w:rPr>
          <w:t>https://www.cdc.gov/coronavirus/2019-ncov/hcp/hcp-hospital-checklist.html</w:t>
        </w:r>
      </w:hyperlink>
    </w:p>
    <w:p w:rsidR="007F763C" w:rsidRDefault="007F763C" w:rsidP="00417201">
      <w:pPr>
        <w:autoSpaceDE w:val="0"/>
        <w:autoSpaceDN w:val="0"/>
        <w:adjustRightInd w:val="0"/>
      </w:pPr>
    </w:p>
    <w:p w:rsidR="00E05A28" w:rsidRPr="00FB4C77" w:rsidRDefault="00E05A28" w:rsidP="00417201">
      <w:pPr>
        <w:autoSpaceDE w:val="0"/>
        <w:autoSpaceDN w:val="0"/>
        <w:adjustRightInd w:val="0"/>
      </w:pPr>
      <w:r w:rsidRPr="00FB4C77">
        <w:t>SOM:  Appendix Z- Emergency Preparedness for All Provider and Certified Supplier Types Interpretive Guidance</w:t>
      </w:r>
    </w:p>
    <w:p w:rsidR="00E05A28" w:rsidRPr="00FB4C77" w:rsidRDefault="00A11495" w:rsidP="00417201">
      <w:pPr>
        <w:autoSpaceDE w:val="0"/>
        <w:autoSpaceDN w:val="0"/>
        <w:adjustRightInd w:val="0"/>
      </w:pPr>
      <w:hyperlink r:id="rId13" w:history="1">
        <w:r w:rsidRPr="00A11495">
          <w:rPr>
            <w:rStyle w:val="Hyperlink"/>
          </w:rPr>
          <w:t>https://www.cms.gov/Medicare/Provider-Enrollment-and-Certification/SurveyCertEmergPrep/Downloads/Appendix-Z-EP-SOM-February-2019.pdf</w:t>
        </w:r>
      </w:hyperlink>
    </w:p>
    <w:p w:rsidR="00E05A28" w:rsidRPr="00FB4C77" w:rsidRDefault="00E05A28" w:rsidP="00E05A28">
      <w:pPr>
        <w:autoSpaceDE w:val="0"/>
        <w:autoSpaceDN w:val="0"/>
        <w:adjustRightInd w:val="0"/>
        <w:ind w:left="720"/>
        <w:rPr>
          <w:color w:val="000000"/>
        </w:rPr>
      </w:pPr>
    </w:p>
    <w:p w:rsidR="00E05A28" w:rsidRPr="00FB4C77" w:rsidRDefault="00E05A28" w:rsidP="00417201">
      <w:pPr>
        <w:autoSpaceDE w:val="0"/>
        <w:autoSpaceDN w:val="0"/>
        <w:adjustRightInd w:val="0"/>
        <w:rPr>
          <w:color w:val="000000"/>
        </w:rPr>
      </w:pPr>
      <w:r w:rsidRPr="00FB4C77">
        <w:rPr>
          <w:color w:val="000000"/>
        </w:rPr>
        <w:t xml:space="preserve">Survey &amp; Certification Emergency Preparedness Initiative: Provider Survey &amp; </w:t>
      </w:r>
    </w:p>
    <w:p w:rsidR="00E05A28" w:rsidRPr="00FB4C77" w:rsidRDefault="00E05A28" w:rsidP="00417201">
      <w:pPr>
        <w:autoSpaceDE w:val="0"/>
        <w:autoSpaceDN w:val="0"/>
        <w:adjustRightInd w:val="0"/>
        <w:rPr>
          <w:color w:val="000000"/>
        </w:rPr>
      </w:pPr>
      <w:r w:rsidRPr="00FB4C77">
        <w:rPr>
          <w:color w:val="000000"/>
        </w:rPr>
        <w:t>Certification Declared Public Health Emergency FAQs – All Hazards:</w:t>
      </w:r>
    </w:p>
    <w:p w:rsidR="00E05A28" w:rsidRPr="00FB4C77" w:rsidRDefault="00A11495" w:rsidP="00417201">
      <w:pPr>
        <w:autoSpaceDE w:val="0"/>
        <w:autoSpaceDN w:val="0"/>
        <w:adjustRightInd w:val="0"/>
        <w:rPr>
          <w:color w:val="000000"/>
        </w:rPr>
      </w:pPr>
      <w:hyperlink r:id="rId14" w:history="1">
        <w:r w:rsidRPr="00A11495">
          <w:rPr>
            <w:rStyle w:val="Hyperlink"/>
          </w:rPr>
          <w:t>http://www.cms.gov/Medicare/Provider-Enrollment-and-Certification/SurveyCertificationGenInfo/downloads/SCLetter08-01.pdf</w:t>
        </w:r>
      </w:hyperlink>
    </w:p>
    <w:p w:rsidR="00E05A28" w:rsidRPr="00FB4C77" w:rsidRDefault="00E05A28" w:rsidP="00E05A28">
      <w:pPr>
        <w:autoSpaceDE w:val="0"/>
        <w:autoSpaceDN w:val="0"/>
        <w:adjustRightInd w:val="0"/>
        <w:ind w:left="720"/>
        <w:rPr>
          <w:color w:val="000000"/>
        </w:rPr>
      </w:pPr>
    </w:p>
    <w:p w:rsidR="00E05A28" w:rsidRPr="00FB4C77" w:rsidRDefault="00E05A28" w:rsidP="00417201">
      <w:pPr>
        <w:autoSpaceDE w:val="0"/>
        <w:autoSpaceDN w:val="0"/>
        <w:adjustRightInd w:val="0"/>
        <w:rPr>
          <w:color w:val="000000"/>
        </w:rPr>
      </w:pPr>
    </w:p>
    <w:p w:rsidR="00E05A28" w:rsidRPr="00FB4C77" w:rsidRDefault="00E05A28" w:rsidP="00417201">
      <w:pPr>
        <w:autoSpaceDE w:val="0"/>
        <w:autoSpaceDN w:val="0"/>
        <w:adjustRightInd w:val="0"/>
        <w:rPr>
          <w:color w:val="000000"/>
        </w:rPr>
      </w:pPr>
      <w:r w:rsidRPr="00FB4C77">
        <w:rPr>
          <w:color w:val="000000"/>
        </w:rPr>
        <w:t>CMS Provider Survey and Certification Frequently Asked Questions:</w:t>
      </w:r>
    </w:p>
    <w:p w:rsidR="00E05A28" w:rsidRPr="00FB4C77" w:rsidRDefault="00A11495" w:rsidP="00417201">
      <w:pPr>
        <w:autoSpaceDE w:val="0"/>
        <w:autoSpaceDN w:val="0"/>
        <w:adjustRightInd w:val="0"/>
        <w:rPr>
          <w:color w:val="000000"/>
        </w:rPr>
      </w:pPr>
      <w:hyperlink r:id="rId15" w:history="1">
        <w:r w:rsidRPr="00A11495">
          <w:rPr>
            <w:rStyle w:val="Hyperlink"/>
          </w:rPr>
          <w:t>http://www.cms.gov/Medicare/Provider-Enrollment-and-Certification/SurveyCertEmergPrep/downloads/AllHazardsFAQs.pdf</w:t>
        </w:r>
      </w:hyperlink>
    </w:p>
    <w:p w:rsidR="00E05A28" w:rsidRPr="00FB4C77" w:rsidRDefault="00E05A28" w:rsidP="00E05A28">
      <w:pPr>
        <w:autoSpaceDE w:val="0"/>
        <w:autoSpaceDN w:val="0"/>
        <w:adjustRightInd w:val="0"/>
        <w:ind w:left="720"/>
        <w:rPr>
          <w:color w:val="000000"/>
        </w:rPr>
      </w:pPr>
    </w:p>
    <w:p w:rsidR="00E05A28" w:rsidRPr="00FB4C77" w:rsidRDefault="00E05A28" w:rsidP="00E05A28">
      <w:pPr>
        <w:autoSpaceDE w:val="0"/>
        <w:autoSpaceDN w:val="0"/>
        <w:adjustRightInd w:val="0"/>
        <w:ind w:left="720"/>
        <w:rPr>
          <w:color w:val="000000"/>
        </w:rPr>
      </w:pPr>
    </w:p>
    <w:p w:rsidR="00E05A28" w:rsidRPr="00FB4C77" w:rsidRDefault="00E05A28" w:rsidP="00417201">
      <w:pPr>
        <w:autoSpaceDE w:val="0"/>
        <w:autoSpaceDN w:val="0"/>
        <w:adjustRightInd w:val="0"/>
        <w:rPr>
          <w:color w:val="000000"/>
        </w:rPr>
      </w:pPr>
      <w:r w:rsidRPr="00FB4C77">
        <w:rPr>
          <w:color w:val="000000"/>
        </w:rPr>
        <w:t xml:space="preserve">Massachusetts Department of Public Health’s website that provides up-to-date information on COVID-19:  </w:t>
      </w:r>
      <w:hyperlink r:id="rId16" w:history="1">
        <w:r w:rsidRPr="00A11495">
          <w:rPr>
            <w:rStyle w:val="Hyperlink"/>
          </w:rPr>
          <w:t>https://www.mass.gov/2019coronavirus</w:t>
        </w:r>
      </w:hyperlink>
    </w:p>
    <w:p w:rsidR="00E05A28" w:rsidRPr="00FB4C77" w:rsidRDefault="00E05A28" w:rsidP="00E05A28">
      <w:pPr>
        <w:autoSpaceDE w:val="0"/>
        <w:autoSpaceDN w:val="0"/>
        <w:adjustRightInd w:val="0"/>
        <w:rPr>
          <w:color w:val="000000"/>
        </w:rPr>
      </w:pPr>
      <w:r w:rsidRPr="00FB4C77">
        <w:rPr>
          <w:color w:val="000000"/>
        </w:rPr>
        <w:t xml:space="preserve">  </w:t>
      </w:r>
    </w:p>
    <w:p w:rsidR="00E05A28" w:rsidRPr="00FB4C77" w:rsidRDefault="00E05A28" w:rsidP="00E05A28">
      <w:pPr>
        <w:autoSpaceDE w:val="0"/>
        <w:autoSpaceDN w:val="0"/>
        <w:adjustRightInd w:val="0"/>
      </w:pPr>
    </w:p>
    <w:p w:rsidR="00F44EF3" w:rsidRDefault="00E05A28" w:rsidP="00E05A28">
      <w:pPr>
        <w:autoSpaceDE w:val="0"/>
        <w:autoSpaceDN w:val="0"/>
        <w:adjustRightInd w:val="0"/>
      </w:pPr>
      <w:r w:rsidRPr="00FB4C77">
        <w:t xml:space="preserve">Please share this information with the appropriate staff at your hospital.  We appreciate the efforts Massachusetts hospitals have been making to improve patient flow and the commitment of all hospital staff as they work to continuously provide safe and appropriate care to all patients and to meet the current challenges associated with COVID-19.  </w:t>
      </w:r>
    </w:p>
    <w:p w:rsidR="00F44EF3" w:rsidRDefault="00F44EF3" w:rsidP="00E05A28">
      <w:pPr>
        <w:autoSpaceDE w:val="0"/>
        <w:autoSpaceDN w:val="0"/>
        <w:adjustRightInd w:val="0"/>
      </w:pPr>
    </w:p>
    <w:p w:rsidR="00E05A28" w:rsidRPr="00FB4C77" w:rsidRDefault="00E05A28" w:rsidP="00F44EF3">
      <w:pPr>
        <w:autoSpaceDE w:val="0"/>
        <w:autoSpaceDN w:val="0"/>
        <w:adjustRightInd w:val="0"/>
      </w:pPr>
      <w:r w:rsidRPr="00FB4C77">
        <w:t>If you have any questions about this information, please contact</w:t>
      </w:r>
      <w:r w:rsidR="00A11495">
        <w:t xml:space="preserve"> the</w:t>
      </w:r>
      <w:r w:rsidR="00F44EF3">
        <w:t xml:space="preserve"> </w:t>
      </w:r>
      <w:r w:rsidRPr="00FB4C77">
        <w:t>Hospital Complaint Unit Supervisor at 617-753-8204</w:t>
      </w:r>
      <w:r w:rsidR="00F44EF3">
        <w:t>.</w:t>
      </w:r>
    </w:p>
    <w:p w:rsidR="00E05A28" w:rsidRPr="00FB4C77" w:rsidRDefault="00E05A28" w:rsidP="00E05A28"/>
    <w:p w:rsidR="00E05A28" w:rsidRPr="00FB4C77" w:rsidRDefault="00E05A28" w:rsidP="00E05A28">
      <w:r w:rsidRPr="00FB4C77">
        <w:t>Attachment A: Guidelines for Use of Alternate Space for Treatment of Ambulatory Patients Presenting with possible COVID-19</w:t>
      </w:r>
      <w:r w:rsidR="00F44EF3">
        <w:t>.</w:t>
      </w:r>
    </w:p>
    <w:p w:rsidR="00E05A28" w:rsidRPr="00FB4C77" w:rsidRDefault="00E05A28" w:rsidP="00E05A28"/>
    <w:p w:rsidR="00E05A28" w:rsidRPr="00FB4C77" w:rsidRDefault="00E05A28" w:rsidP="00E05A28">
      <w:r w:rsidRPr="00FB4C77">
        <w:br w:type="page"/>
      </w:r>
    </w:p>
    <w:p w:rsidR="00E05A28" w:rsidRPr="00FB4C77" w:rsidRDefault="00E05A28" w:rsidP="00E05A28">
      <w:pPr>
        <w:jc w:val="center"/>
        <w:rPr>
          <w:b/>
        </w:rPr>
      </w:pPr>
      <w:r w:rsidRPr="00FB4C77">
        <w:rPr>
          <w:b/>
        </w:rPr>
        <w:t xml:space="preserve">ATTACHMENT A – Updated </w:t>
      </w:r>
      <w:r w:rsidR="002C3C91">
        <w:rPr>
          <w:b/>
        </w:rPr>
        <w:t xml:space="preserve">March </w:t>
      </w:r>
      <w:r w:rsidR="007F763C">
        <w:rPr>
          <w:b/>
        </w:rPr>
        <w:t>6</w:t>
      </w:r>
      <w:r w:rsidRPr="00FB4C77">
        <w:rPr>
          <w:b/>
        </w:rPr>
        <w:t xml:space="preserve">, 2020 </w:t>
      </w:r>
    </w:p>
    <w:p w:rsidR="00E05A28" w:rsidRPr="00FB4C77" w:rsidRDefault="00E05A28" w:rsidP="00E05A28">
      <w:pPr>
        <w:jc w:val="center"/>
        <w:rPr>
          <w:b/>
        </w:rPr>
      </w:pPr>
    </w:p>
    <w:p w:rsidR="00E05A28" w:rsidRPr="00FB4C77" w:rsidRDefault="00E05A28" w:rsidP="00E05A28">
      <w:pPr>
        <w:rPr>
          <w:b/>
          <w:u w:val="single"/>
        </w:rPr>
      </w:pPr>
    </w:p>
    <w:p w:rsidR="00E05A28" w:rsidRPr="00FB4C77" w:rsidRDefault="00E05A28" w:rsidP="00E05A28">
      <w:pPr>
        <w:jc w:val="center"/>
        <w:rPr>
          <w:u w:val="single"/>
        </w:rPr>
      </w:pPr>
      <w:r w:rsidRPr="00FB4C77">
        <w:rPr>
          <w:u w:val="single"/>
        </w:rPr>
        <w:t>Guidelines for Use of Alternate Space for Treatment of Ambulatory Patients Presenting with Possible COVID-19</w:t>
      </w:r>
      <w:r w:rsidR="003274CB">
        <w:rPr>
          <w:u w:val="single"/>
        </w:rPr>
        <w:t xml:space="preserve"> Exposure or Illness</w:t>
      </w:r>
    </w:p>
    <w:p w:rsidR="00E05A28" w:rsidRPr="00FB4C77" w:rsidRDefault="00E05A28" w:rsidP="00E05A28">
      <w:pPr>
        <w:jc w:val="center"/>
        <w:rPr>
          <w:u w:val="single"/>
        </w:rPr>
      </w:pPr>
    </w:p>
    <w:p w:rsidR="00E05A28" w:rsidRPr="00FB4C77" w:rsidRDefault="00E05A28" w:rsidP="00E05A28">
      <w:pPr>
        <w:jc w:val="center"/>
      </w:pPr>
      <w:r w:rsidRPr="00FB4C77">
        <w:t>(Effective, unless rescinded, amended or superseded)</w:t>
      </w:r>
    </w:p>
    <w:p w:rsidR="00E05A28" w:rsidRPr="00FB4C77" w:rsidRDefault="00E05A28" w:rsidP="00E05A28">
      <w:pPr>
        <w:jc w:val="center"/>
        <w:rPr>
          <w:u w:val="single"/>
        </w:rPr>
      </w:pPr>
    </w:p>
    <w:p w:rsidR="00E05A28" w:rsidRPr="00FB4C77" w:rsidRDefault="00E05A28" w:rsidP="00E05A28">
      <w:pPr>
        <w:rPr>
          <w:b/>
        </w:rPr>
      </w:pPr>
      <w:r w:rsidRPr="00FB4C77">
        <w:rPr>
          <w:u w:val="single"/>
        </w:rPr>
        <w:t>Purpose</w:t>
      </w:r>
      <w:r w:rsidRPr="00FB4C77">
        <w:t>:  Alternate use space is provided as an option to more efficiently evaluate and provide care to ambulatory individuals who present to the hospital ED or outpatient service(s) with possible COVID-19</w:t>
      </w:r>
      <w:r w:rsidR="003274CB">
        <w:t xml:space="preserve"> exposure or illness</w:t>
      </w:r>
      <w:r w:rsidRPr="00FB4C77">
        <w:t xml:space="preserve">.  </w:t>
      </w:r>
      <w:r w:rsidRPr="00FB4C77">
        <w:rPr>
          <w:b/>
        </w:rPr>
        <w:t>The alternate space is limited to use for COVID-19 screening during the 2020 outbreak. The hospital must ensure that the following conditions are met:</w:t>
      </w:r>
    </w:p>
    <w:p w:rsidR="00E05A28" w:rsidRPr="00FB4C77" w:rsidRDefault="00E05A28" w:rsidP="00E05A28">
      <w:pPr>
        <w:rPr>
          <w:u w:val="single"/>
        </w:rPr>
      </w:pPr>
    </w:p>
    <w:p w:rsidR="00E05A28" w:rsidRPr="00FB4C77" w:rsidRDefault="00E05A28" w:rsidP="00E05A28">
      <w:pPr>
        <w:rPr>
          <w:i/>
          <w:u w:val="single"/>
        </w:rPr>
      </w:pPr>
      <w:r w:rsidRPr="00FB4C77">
        <w:rPr>
          <w:i/>
          <w:u w:val="single"/>
        </w:rPr>
        <w:t>The hospital must have written guidelines that address the following:</w:t>
      </w:r>
    </w:p>
    <w:p w:rsidR="00E05A28" w:rsidRPr="00FB4C77" w:rsidRDefault="00E05A28" w:rsidP="00E05A28">
      <w:pPr>
        <w:rPr>
          <w:u w:val="single"/>
        </w:rPr>
      </w:pPr>
    </w:p>
    <w:p w:rsidR="00E05A28" w:rsidRPr="00FB4C77" w:rsidRDefault="00E05A28" w:rsidP="00E05A28">
      <w:pPr>
        <w:numPr>
          <w:ilvl w:val="0"/>
          <w:numId w:val="14"/>
        </w:numPr>
      </w:pPr>
      <w:r w:rsidRPr="00FB4C77">
        <w:t>Criteria to activate use of identified alternate-use space and to de-activate use of the space</w:t>
      </w:r>
    </w:p>
    <w:p w:rsidR="00E05A28" w:rsidRPr="00FB4C77" w:rsidRDefault="00E05A28" w:rsidP="00E05A28"/>
    <w:p w:rsidR="00E05A28" w:rsidRPr="00FB4C77" w:rsidRDefault="00E05A28" w:rsidP="00E05A28">
      <w:pPr>
        <w:numPr>
          <w:ilvl w:val="0"/>
          <w:numId w:val="14"/>
        </w:numPr>
      </w:pPr>
      <w:r w:rsidRPr="00FB4C77">
        <w:t xml:space="preserve">A staffing plan with staff qualifications, including appropriate orientation and training </w:t>
      </w:r>
    </w:p>
    <w:p w:rsidR="00E05A28" w:rsidRPr="00FB4C77" w:rsidRDefault="00E05A28" w:rsidP="00E05A28"/>
    <w:p w:rsidR="00E05A28" w:rsidRPr="00FB4C77" w:rsidRDefault="00E05A28" w:rsidP="00E05A28">
      <w:pPr>
        <w:numPr>
          <w:ilvl w:val="0"/>
          <w:numId w:val="14"/>
        </w:numPr>
      </w:pPr>
      <w:r w:rsidRPr="00FB4C77">
        <w:t>Protocols defining patient selection criteria for screening in alternate space: inclusions/exclusions</w:t>
      </w:r>
    </w:p>
    <w:p w:rsidR="00E05A28" w:rsidRPr="00FB4C77" w:rsidRDefault="00E05A28" w:rsidP="00E05A28"/>
    <w:p w:rsidR="00E05A28" w:rsidRPr="00FB4C77" w:rsidRDefault="00E05A28" w:rsidP="00E05A28">
      <w:pPr>
        <w:numPr>
          <w:ilvl w:val="0"/>
          <w:numId w:val="14"/>
        </w:numPr>
      </w:pPr>
      <w:r w:rsidRPr="00FB4C77">
        <w:t>Patient flow systems addressing triage, screening exam, treatment, transport to ED/inpatient, etc.</w:t>
      </w:r>
    </w:p>
    <w:p w:rsidR="00E05A28" w:rsidRPr="00FB4C77" w:rsidRDefault="00E05A28" w:rsidP="00E05A28"/>
    <w:p w:rsidR="00E05A28" w:rsidRPr="00FB4C77" w:rsidRDefault="00E05A28" w:rsidP="00E05A28">
      <w:pPr>
        <w:numPr>
          <w:ilvl w:val="0"/>
          <w:numId w:val="14"/>
        </w:numPr>
      </w:pPr>
      <w:r w:rsidRPr="00FB4C77">
        <w:t>Policy for security of patients, facilities, supplies, pharmaceuticals / crowd management</w:t>
      </w:r>
    </w:p>
    <w:p w:rsidR="00E05A28" w:rsidRPr="00FB4C77" w:rsidRDefault="00E05A28" w:rsidP="00E05A28">
      <w:pPr>
        <w:rPr>
          <w:u w:val="single"/>
        </w:rPr>
      </w:pPr>
    </w:p>
    <w:p w:rsidR="00E05A28" w:rsidRPr="00FB4C77" w:rsidRDefault="00E05A28" w:rsidP="00E05A28">
      <w:pPr>
        <w:rPr>
          <w:i/>
          <w:u w:val="single"/>
        </w:rPr>
      </w:pPr>
      <w:r w:rsidRPr="00FB4C77">
        <w:rPr>
          <w:i/>
          <w:u w:val="single"/>
        </w:rPr>
        <w:t>The physical space must conform to the following requirements:</w:t>
      </w:r>
    </w:p>
    <w:p w:rsidR="00E05A28" w:rsidRPr="00FB4C77" w:rsidRDefault="00E05A28" w:rsidP="00E05A28">
      <w:pPr>
        <w:ind w:left="360"/>
        <w:rPr>
          <w:i/>
          <w:u w:val="single"/>
        </w:rPr>
      </w:pPr>
    </w:p>
    <w:p w:rsidR="00E05A28" w:rsidRPr="00FB4C77" w:rsidRDefault="00E05A28" w:rsidP="00E05A28">
      <w:pPr>
        <w:ind w:left="360"/>
      </w:pPr>
      <w:r w:rsidRPr="00FB4C77">
        <w:t>1)</w:t>
      </w:r>
      <w:r w:rsidRPr="00FB4C77">
        <w:tab/>
        <w:t xml:space="preserve"> Limited to on-campus locations only</w:t>
      </w:r>
    </w:p>
    <w:p w:rsidR="00E05A28" w:rsidRPr="00FB4C77" w:rsidRDefault="00E05A28" w:rsidP="00E05A28">
      <w:pPr>
        <w:ind w:left="360"/>
      </w:pPr>
    </w:p>
    <w:p w:rsidR="00E05A28" w:rsidRPr="00FB4C77" w:rsidRDefault="00E05A28" w:rsidP="00E05A28">
      <w:pPr>
        <w:ind w:left="360"/>
      </w:pPr>
      <w:r w:rsidRPr="00FB4C77">
        <w:t>2)</w:t>
      </w:r>
      <w:r w:rsidRPr="00FB4C77">
        <w:tab/>
        <w:t xml:space="preserve"> Limited to existing non-patient care space, or inpatient or outpatient care space </w:t>
      </w:r>
    </w:p>
    <w:p w:rsidR="00E05A28" w:rsidRPr="00FB4C77" w:rsidRDefault="00E05A28" w:rsidP="00E05A28"/>
    <w:p w:rsidR="00E05A28" w:rsidRPr="00FB4C77" w:rsidRDefault="00E05A28" w:rsidP="00E05A28">
      <w:pPr>
        <w:ind w:left="360"/>
      </w:pPr>
      <w:r w:rsidRPr="00FB4C77">
        <w:t>3)</w:t>
      </w:r>
      <w:r w:rsidRPr="00FB4C77">
        <w:tab/>
        <w:t xml:space="preserve"> Limited to use by ambulatory care patients only </w:t>
      </w:r>
    </w:p>
    <w:p w:rsidR="00E05A28" w:rsidRPr="00FB4C77" w:rsidRDefault="00E05A28" w:rsidP="00E05A28"/>
    <w:p w:rsidR="00E05A28" w:rsidRPr="00FB4C77" w:rsidRDefault="00E05A28" w:rsidP="00E05A28">
      <w:pPr>
        <w:ind w:left="360"/>
      </w:pPr>
      <w:r w:rsidRPr="00FB4C77">
        <w:t>4)</w:t>
      </w:r>
      <w:r w:rsidRPr="00FB4C77">
        <w:tab/>
        <w:t xml:space="preserve"> Space cannot be accessed through inpatient units</w:t>
      </w:r>
    </w:p>
    <w:p w:rsidR="00E05A28" w:rsidRPr="00FB4C77" w:rsidRDefault="00E05A28" w:rsidP="00E05A28"/>
    <w:p w:rsidR="00E05A28" w:rsidRPr="00FB4C77" w:rsidRDefault="00E05A28" w:rsidP="00E05A28">
      <w:pPr>
        <w:ind w:left="360"/>
      </w:pPr>
      <w:r w:rsidRPr="00FB4C77">
        <w:t>5)  Minimum four-foot aisles maintained between patient exam chairs</w:t>
      </w:r>
    </w:p>
    <w:p w:rsidR="00E05A28" w:rsidRPr="00FB4C77" w:rsidRDefault="00E05A28" w:rsidP="00E05A28"/>
    <w:p w:rsidR="00E05A28" w:rsidRPr="00FB4C77" w:rsidRDefault="00E05A28" w:rsidP="00E05A28">
      <w:pPr>
        <w:ind w:left="360"/>
      </w:pPr>
      <w:r w:rsidRPr="00FB4C77">
        <w:t>6) Convenient access to waiting areas and toilet facilities</w:t>
      </w:r>
    </w:p>
    <w:p w:rsidR="00E05A28" w:rsidRPr="00FB4C77" w:rsidRDefault="00E05A28" w:rsidP="00E05A28"/>
    <w:p w:rsidR="00E05A28" w:rsidRPr="00FB4C77" w:rsidRDefault="00E05A28" w:rsidP="00E05A28">
      <w:pPr>
        <w:ind w:left="360"/>
      </w:pPr>
      <w:r w:rsidRPr="00FB4C77">
        <w:t>7) Immediate access to hand wash sinks or other forms of hand hygiene</w:t>
      </w:r>
    </w:p>
    <w:p w:rsidR="00E05A28" w:rsidRPr="00FB4C77" w:rsidRDefault="00E05A28" w:rsidP="00E05A28"/>
    <w:p w:rsidR="00E05A28" w:rsidRPr="00FB4C77" w:rsidRDefault="00E05A28" w:rsidP="00E05A28">
      <w:pPr>
        <w:ind w:left="720" w:hanging="360"/>
      </w:pPr>
      <w:r w:rsidRPr="00FB4C77">
        <w:lastRenderedPageBreak/>
        <w:t>8) Reasonably sized workspace with privacy considerations for patient screening examination and treatment</w:t>
      </w:r>
    </w:p>
    <w:p w:rsidR="00E05A28" w:rsidRPr="00FB4C77" w:rsidRDefault="00E05A28" w:rsidP="00E05A28">
      <w:pPr>
        <w:ind w:left="720" w:hanging="360"/>
      </w:pPr>
      <w:r w:rsidRPr="00FB4C77">
        <w:t xml:space="preserve"> </w:t>
      </w:r>
    </w:p>
    <w:p w:rsidR="00E05A28" w:rsidRPr="00FB4C77" w:rsidRDefault="00E05A28" w:rsidP="00E05A28">
      <w:pPr>
        <w:ind w:left="720" w:hanging="360"/>
      </w:pPr>
      <w:r w:rsidRPr="00FB4C77">
        <w:t>9)</w:t>
      </w:r>
      <w:r w:rsidRPr="00FB4C77">
        <w:tab/>
        <w:t xml:space="preserve"> Provision for environmental cleaning, sanitization and appropriate decontamination</w:t>
      </w:r>
    </w:p>
    <w:p w:rsidR="00E05A28" w:rsidRPr="00FB4C77" w:rsidRDefault="00E05A28" w:rsidP="00E05A28"/>
    <w:p w:rsidR="00E05A28" w:rsidRPr="00FB4C77" w:rsidRDefault="00E05A28" w:rsidP="00E05A28">
      <w:pPr>
        <w:ind w:left="360"/>
      </w:pPr>
      <w:r w:rsidRPr="00FB4C77">
        <w:t>10)</w:t>
      </w:r>
      <w:r w:rsidRPr="00FB4C77">
        <w:tab/>
        <w:t xml:space="preserve"> Access to supplies, including emergency supplies such as a Code Cart equipped with portable oxygen and suction equipment.</w:t>
      </w:r>
    </w:p>
    <w:p w:rsidR="00E05A28" w:rsidRPr="00FB4C77" w:rsidRDefault="00E05A28" w:rsidP="00E05A28"/>
    <w:p w:rsidR="00E05A28" w:rsidRPr="00FB4C77" w:rsidRDefault="00E05A28" w:rsidP="00E05A28">
      <w:pPr>
        <w:ind w:left="360"/>
      </w:pPr>
      <w:r w:rsidRPr="00FB4C77">
        <w:t>11)</w:t>
      </w:r>
      <w:r w:rsidRPr="00FB4C77">
        <w:tab/>
        <w:t xml:space="preserve"> Space, cabinets or carts for storage of supplies and specimens</w:t>
      </w:r>
    </w:p>
    <w:p w:rsidR="00E05A28" w:rsidRPr="00FB4C77" w:rsidRDefault="00E05A28" w:rsidP="00E05A28"/>
    <w:p w:rsidR="00E05A28" w:rsidRPr="00FB4C77" w:rsidRDefault="00E05A28" w:rsidP="00E05A28">
      <w:pPr>
        <w:ind w:left="720" w:hanging="360"/>
      </w:pPr>
      <w:r w:rsidRPr="00FB4C77">
        <w:t>12) Provision for medical recordkeeping, including measures to ensure patient confidentiality</w:t>
      </w:r>
    </w:p>
    <w:p w:rsidR="00E05A28" w:rsidRPr="00FB4C77" w:rsidRDefault="00E05A28" w:rsidP="00E05A28">
      <w:pPr>
        <w:ind w:left="360"/>
      </w:pPr>
    </w:p>
    <w:p w:rsidR="00E05A28" w:rsidRPr="00FB4C77" w:rsidRDefault="00E05A28" w:rsidP="00E05A28">
      <w:pPr>
        <w:ind w:left="360"/>
      </w:pPr>
      <w:r w:rsidRPr="00FB4C77">
        <w:t xml:space="preserve">13) Conveniently accessible communication systems </w:t>
      </w:r>
    </w:p>
    <w:p w:rsidR="00E05A28" w:rsidRPr="00FB4C77" w:rsidRDefault="00E05A28" w:rsidP="00E05A28"/>
    <w:p w:rsidR="00E05A28" w:rsidRPr="00FB4C77" w:rsidRDefault="00E05A28" w:rsidP="00E05A28">
      <w:pPr>
        <w:ind w:left="720" w:hanging="360"/>
      </w:pPr>
      <w:r w:rsidRPr="00FB4C77">
        <w:t xml:space="preserve">14) Considerations for fire safety e.g., egress not obstructed, staff trained in fire evacuation plan </w:t>
      </w:r>
    </w:p>
    <w:p w:rsidR="00E05A28" w:rsidRPr="00FB4C77" w:rsidRDefault="00E05A28" w:rsidP="00E05A28"/>
    <w:p w:rsidR="00E05A28" w:rsidRPr="00FB4C77" w:rsidRDefault="00E05A28" w:rsidP="00E05A28">
      <w:pPr>
        <w:ind w:left="540" w:hanging="180"/>
      </w:pPr>
      <w:r w:rsidRPr="00FB4C77">
        <w:t>15) Signage to direct patients to the alternate use space</w:t>
      </w:r>
    </w:p>
    <w:p w:rsidR="00E05A28" w:rsidRPr="00FB4C77" w:rsidRDefault="00E05A28" w:rsidP="00E05A28"/>
    <w:p w:rsidR="00E05A28" w:rsidRPr="00FB4C77" w:rsidRDefault="00E05A28" w:rsidP="00E05A28"/>
    <w:p w:rsidR="00E05A28" w:rsidRPr="00FB4C77" w:rsidRDefault="00E05A28" w:rsidP="00E05A28">
      <w:r w:rsidRPr="00FB4C77">
        <w:t>If you have any questions regarding these guidelines, please contact:</w:t>
      </w:r>
    </w:p>
    <w:p w:rsidR="00E05A28" w:rsidRPr="00FB4C77" w:rsidRDefault="00E05A28" w:rsidP="00E05A28"/>
    <w:p w:rsidR="00E05A28" w:rsidRPr="00FB4C77" w:rsidRDefault="00E05A28" w:rsidP="00E05A28">
      <w:r w:rsidRPr="00FB4C77">
        <w:t>Hospital Complaint Supervisor at 617-753-8204</w:t>
      </w:r>
    </w:p>
    <w:p w:rsidR="00902B46" w:rsidRDefault="00902B46"/>
    <w:sectPr w:rsidR="00902B4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3E" w:rsidRDefault="00B9073E" w:rsidP="00225886">
      <w:r>
        <w:separator/>
      </w:r>
    </w:p>
  </w:endnote>
  <w:endnote w:type="continuationSeparator" w:id="0">
    <w:p w:rsidR="00B9073E" w:rsidRDefault="00B9073E" w:rsidP="002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3E" w:rsidRDefault="00B9073E" w:rsidP="00225886">
      <w:r>
        <w:separator/>
      </w:r>
    </w:p>
  </w:footnote>
  <w:footnote w:type="continuationSeparator" w:id="0">
    <w:p w:rsidR="00B9073E" w:rsidRDefault="00B9073E" w:rsidP="0022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6" w:rsidRDefault="0022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80"/>
    <w:multiLevelType w:val="hybridMultilevel"/>
    <w:tmpl w:val="00005DB2"/>
    <w:lvl w:ilvl="0" w:tplc="000033EA">
      <w:start w:val="1"/>
      <w:numFmt w:val="upperLetter"/>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91E31"/>
    <w:multiLevelType w:val="hybridMultilevel"/>
    <w:tmpl w:val="DC04289A"/>
    <w:lvl w:ilvl="0" w:tplc="0588B02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522EC"/>
    <w:multiLevelType w:val="hybridMultilevel"/>
    <w:tmpl w:val="DC16B3B0"/>
    <w:lvl w:ilvl="0" w:tplc="00EC9990">
      <w:start w:val="1"/>
      <w:numFmt w:val="bullet"/>
      <w:lvlText w:val=""/>
      <w:lvlJc w:val="left"/>
      <w:pPr>
        <w:tabs>
          <w:tab w:val="num" w:pos="720"/>
        </w:tabs>
        <w:ind w:left="720" w:hanging="360"/>
      </w:pPr>
      <w:rPr>
        <w:rFonts w:ascii="Symbol" w:hAnsi="Symbol" w:hint="default"/>
        <w:sz w:val="20"/>
      </w:rPr>
    </w:lvl>
    <w:lvl w:ilvl="1" w:tplc="900A51A2">
      <w:start w:val="1"/>
      <w:numFmt w:val="bullet"/>
      <w:lvlText w:val="o"/>
      <w:lvlJc w:val="left"/>
      <w:pPr>
        <w:tabs>
          <w:tab w:val="num" w:pos="1440"/>
        </w:tabs>
        <w:ind w:left="1440" w:hanging="360"/>
      </w:pPr>
      <w:rPr>
        <w:rFonts w:ascii="Courier New" w:hAnsi="Courier New" w:hint="default"/>
        <w:sz w:val="20"/>
      </w:rPr>
    </w:lvl>
    <w:lvl w:ilvl="2" w:tplc="3EC0C7B8">
      <w:start w:val="1"/>
      <w:numFmt w:val="bullet"/>
      <w:lvlText w:val=""/>
      <w:lvlJc w:val="left"/>
      <w:pPr>
        <w:tabs>
          <w:tab w:val="num" w:pos="2160"/>
        </w:tabs>
        <w:ind w:left="2160" w:hanging="360"/>
      </w:pPr>
      <w:rPr>
        <w:rFonts w:ascii="Wingdings" w:hAnsi="Wingdings" w:hint="default"/>
        <w:sz w:val="20"/>
      </w:rPr>
    </w:lvl>
    <w:lvl w:ilvl="3" w:tplc="5DD29426">
      <w:start w:val="1"/>
      <w:numFmt w:val="bullet"/>
      <w:lvlText w:val=""/>
      <w:lvlJc w:val="left"/>
      <w:pPr>
        <w:tabs>
          <w:tab w:val="num" w:pos="2880"/>
        </w:tabs>
        <w:ind w:left="2880" w:hanging="360"/>
      </w:pPr>
      <w:rPr>
        <w:rFonts w:ascii="Wingdings" w:hAnsi="Wingdings" w:hint="default"/>
        <w:sz w:val="20"/>
      </w:rPr>
    </w:lvl>
    <w:lvl w:ilvl="4" w:tplc="D856DC1A">
      <w:start w:val="1"/>
      <w:numFmt w:val="bullet"/>
      <w:lvlText w:val=""/>
      <w:lvlJc w:val="left"/>
      <w:pPr>
        <w:tabs>
          <w:tab w:val="num" w:pos="3600"/>
        </w:tabs>
        <w:ind w:left="3600" w:hanging="360"/>
      </w:pPr>
      <w:rPr>
        <w:rFonts w:ascii="Wingdings" w:hAnsi="Wingdings" w:hint="default"/>
        <w:sz w:val="20"/>
      </w:rPr>
    </w:lvl>
    <w:lvl w:ilvl="5" w:tplc="800A9D8E">
      <w:start w:val="1"/>
      <w:numFmt w:val="bullet"/>
      <w:lvlText w:val=""/>
      <w:lvlJc w:val="left"/>
      <w:pPr>
        <w:tabs>
          <w:tab w:val="num" w:pos="4320"/>
        </w:tabs>
        <w:ind w:left="4320" w:hanging="360"/>
      </w:pPr>
      <w:rPr>
        <w:rFonts w:ascii="Wingdings" w:hAnsi="Wingdings" w:hint="default"/>
        <w:sz w:val="20"/>
      </w:rPr>
    </w:lvl>
    <w:lvl w:ilvl="6" w:tplc="E6B8B310">
      <w:start w:val="1"/>
      <w:numFmt w:val="bullet"/>
      <w:lvlText w:val=""/>
      <w:lvlJc w:val="left"/>
      <w:pPr>
        <w:tabs>
          <w:tab w:val="num" w:pos="5040"/>
        </w:tabs>
        <w:ind w:left="5040" w:hanging="360"/>
      </w:pPr>
      <w:rPr>
        <w:rFonts w:ascii="Wingdings" w:hAnsi="Wingdings" w:hint="default"/>
        <w:sz w:val="20"/>
      </w:rPr>
    </w:lvl>
    <w:lvl w:ilvl="7" w:tplc="DB002FC8">
      <w:start w:val="1"/>
      <w:numFmt w:val="bullet"/>
      <w:lvlText w:val=""/>
      <w:lvlJc w:val="left"/>
      <w:pPr>
        <w:tabs>
          <w:tab w:val="num" w:pos="5760"/>
        </w:tabs>
        <w:ind w:left="5760" w:hanging="360"/>
      </w:pPr>
      <w:rPr>
        <w:rFonts w:ascii="Wingdings" w:hAnsi="Wingdings" w:hint="default"/>
        <w:sz w:val="20"/>
      </w:rPr>
    </w:lvl>
    <w:lvl w:ilvl="8" w:tplc="91BE938C">
      <w:start w:val="1"/>
      <w:numFmt w:val="bullet"/>
      <w:lvlText w:val=""/>
      <w:lvlJc w:val="left"/>
      <w:pPr>
        <w:tabs>
          <w:tab w:val="num" w:pos="6480"/>
        </w:tabs>
        <w:ind w:left="6480" w:hanging="360"/>
      </w:pPr>
      <w:rPr>
        <w:rFonts w:ascii="Wingdings" w:hAnsi="Wingdings" w:hint="default"/>
        <w:sz w:val="20"/>
      </w:rPr>
    </w:lvl>
  </w:abstractNum>
  <w:abstractNum w:abstractNumId="3">
    <w:nsid w:val="0FAB4263"/>
    <w:multiLevelType w:val="hybridMultilevel"/>
    <w:tmpl w:val="08DE84C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B905B7"/>
    <w:multiLevelType w:val="hybridMultilevel"/>
    <w:tmpl w:val="D78E09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C5C2972"/>
    <w:multiLevelType w:val="hybridMultilevel"/>
    <w:tmpl w:val="75C44780"/>
    <w:lvl w:ilvl="0" w:tplc="6EA8C0D6">
      <w:start w:val="1"/>
      <w:numFmt w:val="bullet"/>
      <w:lvlText w:val=""/>
      <w:lvlJc w:val="left"/>
      <w:pPr>
        <w:tabs>
          <w:tab w:val="num" w:pos="720"/>
        </w:tabs>
        <w:ind w:left="720" w:hanging="360"/>
      </w:pPr>
      <w:rPr>
        <w:rFonts w:ascii="Symbol" w:hAnsi="Symbol" w:hint="default"/>
        <w:sz w:val="20"/>
      </w:rPr>
    </w:lvl>
    <w:lvl w:ilvl="1" w:tplc="5FD04640">
      <w:start w:val="1"/>
      <w:numFmt w:val="bullet"/>
      <w:lvlText w:val="o"/>
      <w:lvlJc w:val="left"/>
      <w:pPr>
        <w:tabs>
          <w:tab w:val="num" w:pos="1440"/>
        </w:tabs>
        <w:ind w:left="1440" w:hanging="360"/>
      </w:pPr>
      <w:rPr>
        <w:rFonts w:ascii="Courier New" w:hAnsi="Courier New" w:hint="default"/>
        <w:sz w:val="20"/>
      </w:rPr>
    </w:lvl>
    <w:lvl w:ilvl="2" w:tplc="7B6EAED6">
      <w:start w:val="1"/>
      <w:numFmt w:val="bullet"/>
      <w:lvlText w:val=""/>
      <w:lvlJc w:val="left"/>
      <w:pPr>
        <w:tabs>
          <w:tab w:val="num" w:pos="2160"/>
        </w:tabs>
        <w:ind w:left="2160" w:hanging="360"/>
      </w:pPr>
      <w:rPr>
        <w:rFonts w:ascii="Wingdings" w:hAnsi="Wingdings" w:hint="default"/>
        <w:sz w:val="20"/>
      </w:rPr>
    </w:lvl>
    <w:lvl w:ilvl="3" w:tplc="D41E2388">
      <w:start w:val="1"/>
      <w:numFmt w:val="bullet"/>
      <w:lvlText w:val=""/>
      <w:lvlJc w:val="left"/>
      <w:pPr>
        <w:tabs>
          <w:tab w:val="num" w:pos="2880"/>
        </w:tabs>
        <w:ind w:left="2880" w:hanging="360"/>
      </w:pPr>
      <w:rPr>
        <w:rFonts w:ascii="Wingdings" w:hAnsi="Wingdings" w:hint="default"/>
        <w:sz w:val="20"/>
      </w:rPr>
    </w:lvl>
    <w:lvl w:ilvl="4" w:tplc="824CFC08">
      <w:start w:val="1"/>
      <w:numFmt w:val="bullet"/>
      <w:lvlText w:val=""/>
      <w:lvlJc w:val="left"/>
      <w:pPr>
        <w:tabs>
          <w:tab w:val="num" w:pos="3600"/>
        </w:tabs>
        <w:ind w:left="3600" w:hanging="360"/>
      </w:pPr>
      <w:rPr>
        <w:rFonts w:ascii="Wingdings" w:hAnsi="Wingdings" w:hint="default"/>
        <w:sz w:val="20"/>
      </w:rPr>
    </w:lvl>
    <w:lvl w:ilvl="5" w:tplc="64D820F8">
      <w:start w:val="1"/>
      <w:numFmt w:val="bullet"/>
      <w:lvlText w:val=""/>
      <w:lvlJc w:val="left"/>
      <w:pPr>
        <w:tabs>
          <w:tab w:val="num" w:pos="4320"/>
        </w:tabs>
        <w:ind w:left="4320" w:hanging="360"/>
      </w:pPr>
      <w:rPr>
        <w:rFonts w:ascii="Wingdings" w:hAnsi="Wingdings" w:hint="default"/>
        <w:sz w:val="20"/>
      </w:rPr>
    </w:lvl>
    <w:lvl w:ilvl="6" w:tplc="4126E04E">
      <w:start w:val="1"/>
      <w:numFmt w:val="bullet"/>
      <w:lvlText w:val=""/>
      <w:lvlJc w:val="left"/>
      <w:pPr>
        <w:tabs>
          <w:tab w:val="num" w:pos="5040"/>
        </w:tabs>
        <w:ind w:left="5040" w:hanging="360"/>
      </w:pPr>
      <w:rPr>
        <w:rFonts w:ascii="Wingdings" w:hAnsi="Wingdings" w:hint="default"/>
        <w:sz w:val="20"/>
      </w:rPr>
    </w:lvl>
    <w:lvl w:ilvl="7" w:tplc="A6D81E04">
      <w:start w:val="1"/>
      <w:numFmt w:val="bullet"/>
      <w:lvlText w:val=""/>
      <w:lvlJc w:val="left"/>
      <w:pPr>
        <w:tabs>
          <w:tab w:val="num" w:pos="5760"/>
        </w:tabs>
        <w:ind w:left="5760" w:hanging="360"/>
      </w:pPr>
      <w:rPr>
        <w:rFonts w:ascii="Wingdings" w:hAnsi="Wingdings" w:hint="default"/>
        <w:sz w:val="20"/>
      </w:rPr>
    </w:lvl>
    <w:lvl w:ilvl="8" w:tplc="F82A0DAA">
      <w:start w:val="1"/>
      <w:numFmt w:val="bullet"/>
      <w:lvlText w:val=""/>
      <w:lvlJc w:val="left"/>
      <w:pPr>
        <w:tabs>
          <w:tab w:val="num" w:pos="6480"/>
        </w:tabs>
        <w:ind w:left="6480" w:hanging="360"/>
      </w:pPr>
      <w:rPr>
        <w:rFonts w:ascii="Wingdings" w:hAnsi="Wingdings" w:hint="default"/>
        <w:sz w:val="20"/>
      </w:rPr>
    </w:lvl>
  </w:abstractNum>
  <w:abstractNum w:abstractNumId="6">
    <w:nsid w:val="27883955"/>
    <w:multiLevelType w:val="hybridMultilevel"/>
    <w:tmpl w:val="4648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02106"/>
    <w:multiLevelType w:val="hybridMultilevel"/>
    <w:tmpl w:val="53E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10708"/>
    <w:multiLevelType w:val="hybridMultilevel"/>
    <w:tmpl w:val="BFB625BE"/>
    <w:lvl w:ilvl="0" w:tplc="256C04C8">
      <w:start w:val="2"/>
      <w:numFmt w:val="decimal"/>
      <w:lvlText w:val="(%1)"/>
      <w:lvlJc w:val="left"/>
      <w:pPr>
        <w:tabs>
          <w:tab w:val="num" w:pos="1800"/>
        </w:tabs>
        <w:ind w:left="1800" w:hanging="360"/>
      </w:pPr>
      <w:rPr>
        <w:rFonts w:eastAsia="@Batang"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A4E0919"/>
    <w:multiLevelType w:val="hybridMultilevel"/>
    <w:tmpl w:val="551EC2F6"/>
    <w:lvl w:ilvl="0" w:tplc="0588B026">
      <w:start w:val="1"/>
      <w:numFmt w:val="bullet"/>
      <w:lvlText w:val=""/>
      <w:lvlJc w:val="left"/>
      <w:pPr>
        <w:tabs>
          <w:tab w:val="num" w:pos="720"/>
        </w:tabs>
        <w:ind w:left="720" w:hanging="360"/>
      </w:pPr>
      <w:rPr>
        <w:rFonts w:ascii="Symbol" w:hAnsi="Symbol" w:hint="default"/>
        <w:sz w:val="20"/>
      </w:rPr>
    </w:lvl>
    <w:lvl w:ilvl="1" w:tplc="3086107E">
      <w:start w:val="1"/>
      <w:numFmt w:val="bullet"/>
      <w:lvlText w:val="o"/>
      <w:lvlJc w:val="left"/>
      <w:pPr>
        <w:tabs>
          <w:tab w:val="num" w:pos="1440"/>
        </w:tabs>
        <w:ind w:left="1440" w:hanging="360"/>
      </w:pPr>
      <w:rPr>
        <w:rFonts w:ascii="Courier New" w:hAnsi="Courier New" w:hint="default"/>
        <w:sz w:val="20"/>
      </w:rPr>
    </w:lvl>
    <w:lvl w:ilvl="2" w:tplc="25FEE32A">
      <w:start w:val="1"/>
      <w:numFmt w:val="bullet"/>
      <w:lvlText w:val=""/>
      <w:lvlJc w:val="left"/>
      <w:pPr>
        <w:tabs>
          <w:tab w:val="num" w:pos="2160"/>
        </w:tabs>
        <w:ind w:left="2160" w:hanging="360"/>
      </w:pPr>
      <w:rPr>
        <w:rFonts w:ascii="Wingdings" w:hAnsi="Wingdings" w:hint="default"/>
        <w:sz w:val="20"/>
      </w:rPr>
    </w:lvl>
    <w:lvl w:ilvl="3" w:tplc="4DD2CCB6">
      <w:start w:val="1"/>
      <w:numFmt w:val="bullet"/>
      <w:lvlText w:val=""/>
      <w:lvlJc w:val="left"/>
      <w:pPr>
        <w:tabs>
          <w:tab w:val="num" w:pos="2880"/>
        </w:tabs>
        <w:ind w:left="2880" w:hanging="360"/>
      </w:pPr>
      <w:rPr>
        <w:rFonts w:ascii="Wingdings" w:hAnsi="Wingdings" w:hint="default"/>
        <w:sz w:val="20"/>
      </w:rPr>
    </w:lvl>
    <w:lvl w:ilvl="4" w:tplc="1D6657BA">
      <w:start w:val="1"/>
      <w:numFmt w:val="bullet"/>
      <w:lvlText w:val=""/>
      <w:lvlJc w:val="left"/>
      <w:pPr>
        <w:tabs>
          <w:tab w:val="num" w:pos="3600"/>
        </w:tabs>
        <w:ind w:left="3600" w:hanging="360"/>
      </w:pPr>
      <w:rPr>
        <w:rFonts w:ascii="Wingdings" w:hAnsi="Wingdings" w:hint="default"/>
        <w:sz w:val="20"/>
      </w:rPr>
    </w:lvl>
    <w:lvl w:ilvl="5" w:tplc="F6269580">
      <w:start w:val="1"/>
      <w:numFmt w:val="bullet"/>
      <w:lvlText w:val=""/>
      <w:lvlJc w:val="left"/>
      <w:pPr>
        <w:tabs>
          <w:tab w:val="num" w:pos="4320"/>
        </w:tabs>
        <w:ind w:left="4320" w:hanging="360"/>
      </w:pPr>
      <w:rPr>
        <w:rFonts w:ascii="Wingdings" w:hAnsi="Wingdings" w:hint="default"/>
        <w:sz w:val="20"/>
      </w:rPr>
    </w:lvl>
    <w:lvl w:ilvl="6" w:tplc="F29AB80E">
      <w:start w:val="1"/>
      <w:numFmt w:val="bullet"/>
      <w:lvlText w:val=""/>
      <w:lvlJc w:val="left"/>
      <w:pPr>
        <w:tabs>
          <w:tab w:val="num" w:pos="5040"/>
        </w:tabs>
        <w:ind w:left="5040" w:hanging="360"/>
      </w:pPr>
      <w:rPr>
        <w:rFonts w:ascii="Wingdings" w:hAnsi="Wingdings" w:hint="default"/>
        <w:sz w:val="20"/>
      </w:rPr>
    </w:lvl>
    <w:lvl w:ilvl="7" w:tplc="783E53DC">
      <w:start w:val="1"/>
      <w:numFmt w:val="bullet"/>
      <w:lvlText w:val=""/>
      <w:lvlJc w:val="left"/>
      <w:pPr>
        <w:tabs>
          <w:tab w:val="num" w:pos="5760"/>
        </w:tabs>
        <w:ind w:left="5760" w:hanging="360"/>
      </w:pPr>
      <w:rPr>
        <w:rFonts w:ascii="Wingdings" w:hAnsi="Wingdings" w:hint="default"/>
        <w:sz w:val="20"/>
      </w:rPr>
    </w:lvl>
    <w:lvl w:ilvl="8" w:tplc="A7CA69F4">
      <w:start w:val="1"/>
      <w:numFmt w:val="bullet"/>
      <w:lvlText w:val=""/>
      <w:lvlJc w:val="left"/>
      <w:pPr>
        <w:tabs>
          <w:tab w:val="num" w:pos="6480"/>
        </w:tabs>
        <w:ind w:left="6480" w:hanging="360"/>
      </w:pPr>
      <w:rPr>
        <w:rFonts w:ascii="Wingdings" w:hAnsi="Wingdings" w:hint="default"/>
        <w:sz w:val="20"/>
      </w:rPr>
    </w:lvl>
  </w:abstractNum>
  <w:abstractNum w:abstractNumId="10">
    <w:nsid w:val="3F6019A2"/>
    <w:multiLevelType w:val="hybridMultilevel"/>
    <w:tmpl w:val="19BCAF0E"/>
    <w:lvl w:ilvl="0" w:tplc="5C1887E8">
      <w:start w:val="1"/>
      <w:numFmt w:val="bullet"/>
      <w:lvlText w:val=""/>
      <w:lvlJc w:val="left"/>
      <w:pPr>
        <w:tabs>
          <w:tab w:val="num" w:pos="720"/>
        </w:tabs>
        <w:ind w:left="720" w:hanging="360"/>
      </w:pPr>
      <w:rPr>
        <w:rFonts w:ascii="Symbol" w:hAnsi="Symbol" w:hint="default"/>
        <w:sz w:val="20"/>
      </w:rPr>
    </w:lvl>
    <w:lvl w:ilvl="1" w:tplc="3AEA9D36">
      <w:start w:val="1"/>
      <w:numFmt w:val="bullet"/>
      <w:lvlText w:val="o"/>
      <w:lvlJc w:val="left"/>
      <w:pPr>
        <w:tabs>
          <w:tab w:val="num" w:pos="1440"/>
        </w:tabs>
        <w:ind w:left="1440" w:hanging="360"/>
      </w:pPr>
      <w:rPr>
        <w:rFonts w:ascii="Courier New" w:hAnsi="Courier New" w:hint="default"/>
        <w:sz w:val="20"/>
      </w:rPr>
    </w:lvl>
    <w:lvl w:ilvl="2" w:tplc="CE760AFC">
      <w:start w:val="1"/>
      <w:numFmt w:val="bullet"/>
      <w:lvlText w:val=""/>
      <w:lvlJc w:val="left"/>
      <w:pPr>
        <w:tabs>
          <w:tab w:val="num" w:pos="2160"/>
        </w:tabs>
        <w:ind w:left="2160" w:hanging="360"/>
      </w:pPr>
      <w:rPr>
        <w:rFonts w:ascii="Wingdings" w:hAnsi="Wingdings" w:hint="default"/>
        <w:sz w:val="20"/>
      </w:rPr>
    </w:lvl>
    <w:lvl w:ilvl="3" w:tplc="AD7E392C">
      <w:start w:val="1"/>
      <w:numFmt w:val="bullet"/>
      <w:lvlText w:val=""/>
      <w:lvlJc w:val="left"/>
      <w:pPr>
        <w:tabs>
          <w:tab w:val="num" w:pos="2880"/>
        </w:tabs>
        <w:ind w:left="2880" w:hanging="360"/>
      </w:pPr>
      <w:rPr>
        <w:rFonts w:ascii="Wingdings" w:hAnsi="Wingdings" w:hint="default"/>
        <w:sz w:val="20"/>
      </w:rPr>
    </w:lvl>
    <w:lvl w:ilvl="4" w:tplc="9B1CF776">
      <w:start w:val="1"/>
      <w:numFmt w:val="bullet"/>
      <w:lvlText w:val=""/>
      <w:lvlJc w:val="left"/>
      <w:pPr>
        <w:tabs>
          <w:tab w:val="num" w:pos="3600"/>
        </w:tabs>
        <w:ind w:left="3600" w:hanging="360"/>
      </w:pPr>
      <w:rPr>
        <w:rFonts w:ascii="Wingdings" w:hAnsi="Wingdings" w:hint="default"/>
        <w:sz w:val="20"/>
      </w:rPr>
    </w:lvl>
    <w:lvl w:ilvl="5" w:tplc="EB662BE8">
      <w:start w:val="1"/>
      <w:numFmt w:val="bullet"/>
      <w:lvlText w:val=""/>
      <w:lvlJc w:val="left"/>
      <w:pPr>
        <w:tabs>
          <w:tab w:val="num" w:pos="4320"/>
        </w:tabs>
        <w:ind w:left="4320" w:hanging="360"/>
      </w:pPr>
      <w:rPr>
        <w:rFonts w:ascii="Wingdings" w:hAnsi="Wingdings" w:hint="default"/>
        <w:sz w:val="20"/>
      </w:rPr>
    </w:lvl>
    <w:lvl w:ilvl="6" w:tplc="B67A043C">
      <w:start w:val="1"/>
      <w:numFmt w:val="bullet"/>
      <w:lvlText w:val=""/>
      <w:lvlJc w:val="left"/>
      <w:pPr>
        <w:tabs>
          <w:tab w:val="num" w:pos="5040"/>
        </w:tabs>
        <w:ind w:left="5040" w:hanging="360"/>
      </w:pPr>
      <w:rPr>
        <w:rFonts w:ascii="Wingdings" w:hAnsi="Wingdings" w:hint="default"/>
        <w:sz w:val="20"/>
      </w:rPr>
    </w:lvl>
    <w:lvl w:ilvl="7" w:tplc="DB5E2C20">
      <w:start w:val="1"/>
      <w:numFmt w:val="bullet"/>
      <w:lvlText w:val=""/>
      <w:lvlJc w:val="left"/>
      <w:pPr>
        <w:tabs>
          <w:tab w:val="num" w:pos="5760"/>
        </w:tabs>
        <w:ind w:left="5760" w:hanging="360"/>
      </w:pPr>
      <w:rPr>
        <w:rFonts w:ascii="Wingdings" w:hAnsi="Wingdings" w:hint="default"/>
        <w:sz w:val="20"/>
      </w:rPr>
    </w:lvl>
    <w:lvl w:ilvl="8" w:tplc="32622D9E">
      <w:start w:val="1"/>
      <w:numFmt w:val="bullet"/>
      <w:lvlText w:val=""/>
      <w:lvlJc w:val="left"/>
      <w:pPr>
        <w:tabs>
          <w:tab w:val="num" w:pos="6480"/>
        </w:tabs>
        <w:ind w:left="6480" w:hanging="360"/>
      </w:pPr>
      <w:rPr>
        <w:rFonts w:ascii="Wingdings" w:hAnsi="Wingdings" w:hint="default"/>
        <w:sz w:val="20"/>
      </w:rPr>
    </w:lvl>
  </w:abstractNum>
  <w:abstractNum w:abstractNumId="11">
    <w:nsid w:val="40007949"/>
    <w:multiLevelType w:val="hybridMultilevel"/>
    <w:tmpl w:val="8DBCF16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4C731E5E"/>
    <w:multiLevelType w:val="hybridMultilevel"/>
    <w:tmpl w:val="7562A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913E36"/>
    <w:multiLevelType w:val="hybridMultilevel"/>
    <w:tmpl w:val="C7046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72B046E"/>
    <w:multiLevelType w:val="hybridMultilevel"/>
    <w:tmpl w:val="3E4E8F00"/>
    <w:lvl w:ilvl="0" w:tplc="57663850">
      <w:start w:val="1"/>
      <w:numFmt w:val="decimal"/>
      <w:lvlText w:val="%1."/>
      <w:lvlJc w:val="left"/>
      <w:pPr>
        <w:tabs>
          <w:tab w:val="num" w:pos="720"/>
        </w:tabs>
        <w:ind w:left="720" w:hanging="360"/>
      </w:pPr>
      <w:rPr>
        <w:rFonts w:cs="Times New Roman"/>
      </w:rPr>
    </w:lvl>
    <w:lvl w:ilvl="1" w:tplc="ACA0F0BE">
      <w:start w:val="1"/>
      <w:numFmt w:val="decimal"/>
      <w:lvlText w:val="%2."/>
      <w:lvlJc w:val="left"/>
      <w:pPr>
        <w:tabs>
          <w:tab w:val="num" w:pos="1440"/>
        </w:tabs>
        <w:ind w:left="1440" w:hanging="360"/>
      </w:pPr>
      <w:rPr>
        <w:rFonts w:cs="Times New Roman"/>
      </w:rPr>
    </w:lvl>
    <w:lvl w:ilvl="2" w:tplc="36165DAC">
      <w:start w:val="1"/>
      <w:numFmt w:val="decimal"/>
      <w:lvlText w:val="%3."/>
      <w:lvlJc w:val="left"/>
      <w:pPr>
        <w:tabs>
          <w:tab w:val="num" w:pos="2160"/>
        </w:tabs>
        <w:ind w:left="2160" w:hanging="360"/>
      </w:pPr>
      <w:rPr>
        <w:rFonts w:cs="Times New Roman"/>
      </w:rPr>
    </w:lvl>
    <w:lvl w:ilvl="3" w:tplc="E61C5CC6">
      <w:start w:val="1"/>
      <w:numFmt w:val="decimal"/>
      <w:lvlText w:val="%4."/>
      <w:lvlJc w:val="left"/>
      <w:pPr>
        <w:tabs>
          <w:tab w:val="num" w:pos="2880"/>
        </w:tabs>
        <w:ind w:left="2880" w:hanging="360"/>
      </w:pPr>
      <w:rPr>
        <w:rFonts w:cs="Times New Roman"/>
      </w:rPr>
    </w:lvl>
    <w:lvl w:ilvl="4" w:tplc="69ECD99A">
      <w:start w:val="1"/>
      <w:numFmt w:val="decimal"/>
      <w:lvlText w:val="%5."/>
      <w:lvlJc w:val="left"/>
      <w:pPr>
        <w:tabs>
          <w:tab w:val="num" w:pos="3600"/>
        </w:tabs>
        <w:ind w:left="3600" w:hanging="360"/>
      </w:pPr>
      <w:rPr>
        <w:rFonts w:cs="Times New Roman"/>
      </w:rPr>
    </w:lvl>
    <w:lvl w:ilvl="5" w:tplc="7152B80E">
      <w:start w:val="1"/>
      <w:numFmt w:val="decimal"/>
      <w:lvlText w:val="%6."/>
      <w:lvlJc w:val="left"/>
      <w:pPr>
        <w:tabs>
          <w:tab w:val="num" w:pos="4320"/>
        </w:tabs>
        <w:ind w:left="4320" w:hanging="360"/>
      </w:pPr>
      <w:rPr>
        <w:rFonts w:cs="Times New Roman"/>
      </w:rPr>
    </w:lvl>
    <w:lvl w:ilvl="6" w:tplc="6EF2C646">
      <w:start w:val="1"/>
      <w:numFmt w:val="decimal"/>
      <w:lvlText w:val="%7."/>
      <w:lvlJc w:val="left"/>
      <w:pPr>
        <w:tabs>
          <w:tab w:val="num" w:pos="5040"/>
        </w:tabs>
        <w:ind w:left="5040" w:hanging="360"/>
      </w:pPr>
      <w:rPr>
        <w:rFonts w:cs="Times New Roman"/>
      </w:rPr>
    </w:lvl>
    <w:lvl w:ilvl="7" w:tplc="03C2946C">
      <w:start w:val="1"/>
      <w:numFmt w:val="decimal"/>
      <w:lvlText w:val="%8."/>
      <w:lvlJc w:val="left"/>
      <w:pPr>
        <w:tabs>
          <w:tab w:val="num" w:pos="5760"/>
        </w:tabs>
        <w:ind w:left="5760" w:hanging="360"/>
      </w:pPr>
      <w:rPr>
        <w:rFonts w:cs="Times New Roman"/>
      </w:rPr>
    </w:lvl>
    <w:lvl w:ilvl="8" w:tplc="7E7CCFAC">
      <w:start w:val="1"/>
      <w:numFmt w:val="decimal"/>
      <w:lvlText w:val="%9."/>
      <w:lvlJc w:val="left"/>
      <w:pPr>
        <w:tabs>
          <w:tab w:val="num" w:pos="6480"/>
        </w:tabs>
        <w:ind w:left="6480" w:hanging="360"/>
      </w:pPr>
      <w:rPr>
        <w:rFonts w:cs="Times New Roman"/>
      </w:rPr>
    </w:lvl>
  </w:abstractNum>
  <w:num w:numId="1">
    <w:abstractNumId w:val="5"/>
  </w:num>
  <w:num w:numId="2">
    <w:abstractNumId w:val="10"/>
  </w:num>
  <w:num w:numId="3">
    <w:abstractNumId w:val="9"/>
  </w:num>
  <w:num w:numId="4">
    <w:abstractNumId w:val="2"/>
  </w:num>
  <w:num w:numId="5">
    <w:abstractNumId w:val="14"/>
  </w:num>
  <w:num w:numId="6">
    <w:abstractNumId w:val="11"/>
  </w:num>
  <w:num w:numId="7">
    <w:abstractNumId w:val="4"/>
  </w:num>
  <w:num w:numId="8">
    <w:abstractNumId w:val="7"/>
  </w:num>
  <w:num w:numId="9">
    <w:abstractNumId w:val="6"/>
  </w:num>
  <w:num w:numId="10">
    <w:abstractNumId w:val="12"/>
  </w:num>
  <w:num w:numId="11">
    <w:abstractNumId w:val="13"/>
  </w:num>
  <w:num w:numId="12">
    <w:abstractNumId w:val="0"/>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EA"/>
    <w:rsid w:val="00005395"/>
    <w:rsid w:val="00022EDC"/>
    <w:rsid w:val="000503C6"/>
    <w:rsid w:val="00065F35"/>
    <w:rsid w:val="000727C5"/>
    <w:rsid w:val="000806F7"/>
    <w:rsid w:val="00091611"/>
    <w:rsid w:val="000A26FD"/>
    <w:rsid w:val="00107838"/>
    <w:rsid w:val="00114704"/>
    <w:rsid w:val="0014396C"/>
    <w:rsid w:val="00156713"/>
    <w:rsid w:val="00156CCE"/>
    <w:rsid w:val="00167F96"/>
    <w:rsid w:val="0019322A"/>
    <w:rsid w:val="001D3779"/>
    <w:rsid w:val="001E02F0"/>
    <w:rsid w:val="001F0257"/>
    <w:rsid w:val="00200BF4"/>
    <w:rsid w:val="00204619"/>
    <w:rsid w:val="0021746D"/>
    <w:rsid w:val="00225886"/>
    <w:rsid w:val="00254917"/>
    <w:rsid w:val="002803A3"/>
    <w:rsid w:val="0028087E"/>
    <w:rsid w:val="002827AF"/>
    <w:rsid w:val="0028294A"/>
    <w:rsid w:val="002A5B08"/>
    <w:rsid w:val="002B5BE0"/>
    <w:rsid w:val="002C3C91"/>
    <w:rsid w:val="002D5120"/>
    <w:rsid w:val="002F41DB"/>
    <w:rsid w:val="003274CB"/>
    <w:rsid w:val="003310B3"/>
    <w:rsid w:val="003453A1"/>
    <w:rsid w:val="003674ED"/>
    <w:rsid w:val="00374306"/>
    <w:rsid w:val="00392674"/>
    <w:rsid w:val="003A7AFC"/>
    <w:rsid w:val="003B6D64"/>
    <w:rsid w:val="003F1F09"/>
    <w:rsid w:val="00417201"/>
    <w:rsid w:val="00417CE7"/>
    <w:rsid w:val="00442BB1"/>
    <w:rsid w:val="00446245"/>
    <w:rsid w:val="00453A00"/>
    <w:rsid w:val="00465B1B"/>
    <w:rsid w:val="004813AC"/>
    <w:rsid w:val="004A1C32"/>
    <w:rsid w:val="004A43EE"/>
    <w:rsid w:val="004F1369"/>
    <w:rsid w:val="00500979"/>
    <w:rsid w:val="00505C6A"/>
    <w:rsid w:val="00514001"/>
    <w:rsid w:val="0058244E"/>
    <w:rsid w:val="005A6B53"/>
    <w:rsid w:val="005E3B5A"/>
    <w:rsid w:val="005E5D1E"/>
    <w:rsid w:val="00615FEB"/>
    <w:rsid w:val="00652DD7"/>
    <w:rsid w:val="006776A4"/>
    <w:rsid w:val="006815B4"/>
    <w:rsid w:val="00681ABC"/>
    <w:rsid w:val="006948A2"/>
    <w:rsid w:val="006B4804"/>
    <w:rsid w:val="006B72A8"/>
    <w:rsid w:val="006D0BE4"/>
    <w:rsid w:val="006D38E9"/>
    <w:rsid w:val="007241BF"/>
    <w:rsid w:val="00732AA7"/>
    <w:rsid w:val="00733176"/>
    <w:rsid w:val="007529DC"/>
    <w:rsid w:val="00755D95"/>
    <w:rsid w:val="00767373"/>
    <w:rsid w:val="00767604"/>
    <w:rsid w:val="00770AA0"/>
    <w:rsid w:val="00794A76"/>
    <w:rsid w:val="00795718"/>
    <w:rsid w:val="007D14E9"/>
    <w:rsid w:val="007E255A"/>
    <w:rsid w:val="007F4DEA"/>
    <w:rsid w:val="007F52F7"/>
    <w:rsid w:val="007F6771"/>
    <w:rsid w:val="007F763C"/>
    <w:rsid w:val="0081005F"/>
    <w:rsid w:val="008225A5"/>
    <w:rsid w:val="00832902"/>
    <w:rsid w:val="0085429B"/>
    <w:rsid w:val="00896595"/>
    <w:rsid w:val="008C0C06"/>
    <w:rsid w:val="008C1088"/>
    <w:rsid w:val="008C406F"/>
    <w:rsid w:val="008F30AA"/>
    <w:rsid w:val="00902B46"/>
    <w:rsid w:val="00914147"/>
    <w:rsid w:val="00952105"/>
    <w:rsid w:val="00970E05"/>
    <w:rsid w:val="009A794E"/>
    <w:rsid w:val="009C0000"/>
    <w:rsid w:val="009C1FC9"/>
    <w:rsid w:val="009D4B08"/>
    <w:rsid w:val="009E40E3"/>
    <w:rsid w:val="009F1103"/>
    <w:rsid w:val="009F3A7B"/>
    <w:rsid w:val="00A11495"/>
    <w:rsid w:val="00A312CB"/>
    <w:rsid w:val="00A90F27"/>
    <w:rsid w:val="00A93A24"/>
    <w:rsid w:val="00AB745B"/>
    <w:rsid w:val="00AC1E1F"/>
    <w:rsid w:val="00AE16B8"/>
    <w:rsid w:val="00AE52B0"/>
    <w:rsid w:val="00AE6243"/>
    <w:rsid w:val="00B003B5"/>
    <w:rsid w:val="00B00957"/>
    <w:rsid w:val="00B46D2D"/>
    <w:rsid w:val="00B57FB2"/>
    <w:rsid w:val="00B6093E"/>
    <w:rsid w:val="00B71741"/>
    <w:rsid w:val="00B9073E"/>
    <w:rsid w:val="00C12EBA"/>
    <w:rsid w:val="00C13742"/>
    <w:rsid w:val="00C42244"/>
    <w:rsid w:val="00CB47E5"/>
    <w:rsid w:val="00CD78C1"/>
    <w:rsid w:val="00CE485E"/>
    <w:rsid w:val="00CE7056"/>
    <w:rsid w:val="00CF1A48"/>
    <w:rsid w:val="00D07EAB"/>
    <w:rsid w:val="00D13825"/>
    <w:rsid w:val="00D17CFB"/>
    <w:rsid w:val="00D566CA"/>
    <w:rsid w:val="00D766A8"/>
    <w:rsid w:val="00D85BBB"/>
    <w:rsid w:val="00E02D65"/>
    <w:rsid w:val="00E05A28"/>
    <w:rsid w:val="00E10B58"/>
    <w:rsid w:val="00E32927"/>
    <w:rsid w:val="00E41EAD"/>
    <w:rsid w:val="00E47AAB"/>
    <w:rsid w:val="00E65D66"/>
    <w:rsid w:val="00E91633"/>
    <w:rsid w:val="00EA1D9E"/>
    <w:rsid w:val="00EE2C29"/>
    <w:rsid w:val="00F0135F"/>
    <w:rsid w:val="00F255EA"/>
    <w:rsid w:val="00F27F71"/>
    <w:rsid w:val="00F3392D"/>
    <w:rsid w:val="00F43F65"/>
    <w:rsid w:val="00F44EF3"/>
    <w:rsid w:val="00F70ECB"/>
    <w:rsid w:val="00FB4C77"/>
    <w:rsid w:val="00FB70AF"/>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Normal (Web)" w:semiHidden="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1">
    <w:name w:val="maintitle1"/>
    <w:basedOn w:val="DefaultParagraphFont"/>
    <w:uiPriority w:val="99"/>
    <w:rPr>
      <w:rFonts w:ascii="Arial" w:hAnsi="Arial" w:cs="Arial"/>
      <w:b/>
      <w:bCs/>
      <w:color w:val="000000"/>
      <w:sz w:val="30"/>
      <w:szCs w:val="30"/>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Unicode MS" w:eastAsia="Arial Unicode MS" w:cs="Arial Unicode MS"/>
      <w:color w:val="000000"/>
    </w:rPr>
  </w:style>
  <w:style w:type="character" w:styleId="CommentReference">
    <w:name w:val="annotation reference"/>
    <w:basedOn w:val="DefaultParagraphFont"/>
    <w:uiPriority w:val="99"/>
    <w:unhideWhenUsed/>
    <w:rsid w:val="007F4DEA"/>
    <w:rPr>
      <w:rFonts w:cs="Times New Roman"/>
      <w:sz w:val="16"/>
      <w:szCs w:val="16"/>
    </w:rPr>
  </w:style>
  <w:style w:type="paragraph" w:styleId="CommentText">
    <w:name w:val="annotation text"/>
    <w:basedOn w:val="Normal"/>
    <w:link w:val="CommentTextChar"/>
    <w:uiPriority w:val="99"/>
    <w:unhideWhenUsed/>
    <w:rsid w:val="007F4DEA"/>
    <w:rPr>
      <w:sz w:val="20"/>
      <w:szCs w:val="20"/>
    </w:rPr>
  </w:style>
  <w:style w:type="character" w:customStyle="1" w:styleId="CommentTextChar">
    <w:name w:val="Comment Text Char"/>
    <w:basedOn w:val="DefaultParagraphFont"/>
    <w:link w:val="CommentText"/>
    <w:uiPriority w:val="99"/>
    <w:locked/>
    <w:rsid w:val="007F4D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DEA"/>
    <w:rPr>
      <w:b/>
      <w:bCs/>
    </w:rPr>
  </w:style>
  <w:style w:type="character" w:customStyle="1" w:styleId="CommentSubjectChar">
    <w:name w:val="Comment Subject Char"/>
    <w:basedOn w:val="CommentTextChar"/>
    <w:link w:val="CommentSubject"/>
    <w:uiPriority w:val="99"/>
    <w:semiHidden/>
    <w:locked/>
    <w:rsid w:val="007F4D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F4D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DEA"/>
    <w:rPr>
      <w:rFonts w:ascii="Tahoma" w:hAnsi="Tahoma" w:cs="Tahoma"/>
      <w:sz w:val="16"/>
      <w:szCs w:val="16"/>
    </w:rPr>
  </w:style>
  <w:style w:type="paragraph" w:customStyle="1" w:styleId="ExecOffice">
    <w:name w:val="Exec Office"/>
    <w:basedOn w:val="Normal"/>
    <w:rsid w:val="00392674"/>
    <w:pPr>
      <w:framePr w:w="6927" w:hSpace="187" w:wrap="notBeside" w:vAnchor="text" w:hAnchor="page" w:x="3594" w:y="1"/>
      <w:jc w:val="center"/>
    </w:pPr>
    <w:rPr>
      <w:rFonts w:ascii="Arial" w:hAnsi="Arial"/>
      <w:sz w:val="28"/>
      <w:szCs w:val="20"/>
    </w:rPr>
  </w:style>
  <w:style w:type="paragraph" w:customStyle="1" w:styleId="Weld">
    <w:name w:val="Weld"/>
    <w:basedOn w:val="Normal"/>
    <w:rsid w:val="00392674"/>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392674"/>
    <w:pPr>
      <w:framePr w:hSpace="187" w:wrap="notBeside" w:vAnchor="text" w:hAnchor="page" w:x="546" w:y="141"/>
      <w:spacing w:after="120"/>
      <w:jc w:val="center"/>
    </w:pPr>
    <w:rPr>
      <w:rFonts w:ascii="Arial Rounded MT Bold" w:hAnsi="Arial Rounded MT Bold"/>
      <w:sz w:val="14"/>
      <w:szCs w:val="20"/>
    </w:rPr>
  </w:style>
  <w:style w:type="paragraph" w:styleId="Header">
    <w:name w:val="header"/>
    <w:basedOn w:val="Normal"/>
    <w:link w:val="HeaderChar"/>
    <w:uiPriority w:val="99"/>
    <w:unhideWhenUsed/>
    <w:rsid w:val="00225886"/>
    <w:pPr>
      <w:tabs>
        <w:tab w:val="center" w:pos="4680"/>
        <w:tab w:val="right" w:pos="9360"/>
      </w:tabs>
    </w:pPr>
  </w:style>
  <w:style w:type="character" w:customStyle="1" w:styleId="HeaderChar">
    <w:name w:val="Header Char"/>
    <w:basedOn w:val="DefaultParagraphFont"/>
    <w:link w:val="Header"/>
    <w:uiPriority w:val="99"/>
    <w:locked/>
    <w:rsid w:val="00225886"/>
    <w:rPr>
      <w:rFonts w:ascii="Times New Roman" w:hAnsi="Times New Roman" w:cs="Times New Roman"/>
      <w:sz w:val="24"/>
      <w:szCs w:val="24"/>
    </w:rPr>
  </w:style>
  <w:style w:type="paragraph" w:styleId="Footer">
    <w:name w:val="footer"/>
    <w:basedOn w:val="Normal"/>
    <w:link w:val="FooterChar"/>
    <w:uiPriority w:val="99"/>
    <w:unhideWhenUsed/>
    <w:rsid w:val="00225886"/>
    <w:pPr>
      <w:tabs>
        <w:tab w:val="center" w:pos="4680"/>
        <w:tab w:val="right" w:pos="9360"/>
      </w:tabs>
    </w:pPr>
  </w:style>
  <w:style w:type="character" w:customStyle="1" w:styleId="FooterChar">
    <w:name w:val="Footer Char"/>
    <w:basedOn w:val="DefaultParagraphFont"/>
    <w:link w:val="Footer"/>
    <w:uiPriority w:val="99"/>
    <w:locked/>
    <w:rsid w:val="00225886"/>
    <w:rPr>
      <w:rFonts w:ascii="Times New Roman" w:hAnsi="Times New Roman" w:cs="Times New Roman"/>
      <w:sz w:val="24"/>
      <w:szCs w:val="24"/>
    </w:rPr>
  </w:style>
  <w:style w:type="character" w:styleId="Hyperlink">
    <w:name w:val="Hyperlink"/>
    <w:basedOn w:val="DefaultParagraphFont"/>
    <w:uiPriority w:val="99"/>
    <w:rsid w:val="00D13825"/>
    <w:rPr>
      <w:rFonts w:cs="Times New Roman"/>
      <w:color w:val="0000FF" w:themeColor="hyperlink"/>
      <w:u w:val="single"/>
    </w:rPr>
  </w:style>
  <w:style w:type="character" w:styleId="FollowedHyperlink">
    <w:name w:val="FollowedHyperlink"/>
    <w:basedOn w:val="DefaultParagraphFont"/>
    <w:uiPriority w:val="99"/>
    <w:rsid w:val="00D07EAB"/>
    <w:rPr>
      <w:rFonts w:cs="Times New Roman"/>
      <w:color w:val="800080" w:themeColor="followedHyperlink"/>
      <w:u w:val="single"/>
    </w:rPr>
  </w:style>
  <w:style w:type="paragraph" w:styleId="FootnoteText">
    <w:name w:val="footnote text"/>
    <w:basedOn w:val="Normal"/>
    <w:link w:val="FootnoteTextChar"/>
    <w:uiPriority w:val="99"/>
    <w:rsid w:val="00832902"/>
    <w:rPr>
      <w:sz w:val="20"/>
      <w:szCs w:val="20"/>
    </w:rPr>
  </w:style>
  <w:style w:type="character" w:customStyle="1" w:styleId="FootnoteTextChar">
    <w:name w:val="Footnote Text Char"/>
    <w:basedOn w:val="DefaultParagraphFont"/>
    <w:link w:val="FootnoteText"/>
    <w:uiPriority w:val="99"/>
    <w:locked/>
    <w:rsid w:val="00832902"/>
    <w:rPr>
      <w:rFonts w:ascii="Times New Roman" w:hAnsi="Times New Roman" w:cs="Times New Roman"/>
      <w:sz w:val="20"/>
      <w:szCs w:val="20"/>
    </w:rPr>
  </w:style>
  <w:style w:type="character" w:styleId="FootnoteReference">
    <w:name w:val="footnote reference"/>
    <w:basedOn w:val="DefaultParagraphFont"/>
    <w:uiPriority w:val="99"/>
    <w:rsid w:val="00832902"/>
    <w:rPr>
      <w:rFonts w:cs="Times New Roman"/>
      <w:vertAlign w:val="superscript"/>
    </w:rPr>
  </w:style>
  <w:style w:type="character" w:customStyle="1" w:styleId="UnresolvedMention">
    <w:name w:val="Unresolved Mention"/>
    <w:basedOn w:val="DefaultParagraphFont"/>
    <w:uiPriority w:val="99"/>
    <w:semiHidden/>
    <w:unhideWhenUsed/>
    <w:rsid w:val="00E9163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Normal (Web)" w:semiHidden="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1">
    <w:name w:val="maintitle1"/>
    <w:basedOn w:val="DefaultParagraphFont"/>
    <w:uiPriority w:val="99"/>
    <w:rPr>
      <w:rFonts w:ascii="Arial" w:hAnsi="Arial" w:cs="Arial"/>
      <w:b/>
      <w:bCs/>
      <w:color w:val="000000"/>
      <w:sz w:val="30"/>
      <w:szCs w:val="30"/>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Unicode MS" w:eastAsia="Arial Unicode MS" w:cs="Arial Unicode MS"/>
      <w:color w:val="000000"/>
    </w:rPr>
  </w:style>
  <w:style w:type="character" w:styleId="CommentReference">
    <w:name w:val="annotation reference"/>
    <w:basedOn w:val="DefaultParagraphFont"/>
    <w:uiPriority w:val="99"/>
    <w:unhideWhenUsed/>
    <w:rsid w:val="007F4DEA"/>
    <w:rPr>
      <w:rFonts w:cs="Times New Roman"/>
      <w:sz w:val="16"/>
      <w:szCs w:val="16"/>
    </w:rPr>
  </w:style>
  <w:style w:type="paragraph" w:styleId="CommentText">
    <w:name w:val="annotation text"/>
    <w:basedOn w:val="Normal"/>
    <w:link w:val="CommentTextChar"/>
    <w:uiPriority w:val="99"/>
    <w:unhideWhenUsed/>
    <w:rsid w:val="007F4DEA"/>
    <w:rPr>
      <w:sz w:val="20"/>
      <w:szCs w:val="20"/>
    </w:rPr>
  </w:style>
  <w:style w:type="character" w:customStyle="1" w:styleId="CommentTextChar">
    <w:name w:val="Comment Text Char"/>
    <w:basedOn w:val="DefaultParagraphFont"/>
    <w:link w:val="CommentText"/>
    <w:uiPriority w:val="99"/>
    <w:locked/>
    <w:rsid w:val="007F4D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DEA"/>
    <w:rPr>
      <w:b/>
      <w:bCs/>
    </w:rPr>
  </w:style>
  <w:style w:type="character" w:customStyle="1" w:styleId="CommentSubjectChar">
    <w:name w:val="Comment Subject Char"/>
    <w:basedOn w:val="CommentTextChar"/>
    <w:link w:val="CommentSubject"/>
    <w:uiPriority w:val="99"/>
    <w:semiHidden/>
    <w:locked/>
    <w:rsid w:val="007F4D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F4D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DEA"/>
    <w:rPr>
      <w:rFonts w:ascii="Tahoma" w:hAnsi="Tahoma" w:cs="Tahoma"/>
      <w:sz w:val="16"/>
      <w:szCs w:val="16"/>
    </w:rPr>
  </w:style>
  <w:style w:type="paragraph" w:customStyle="1" w:styleId="ExecOffice">
    <w:name w:val="Exec Office"/>
    <w:basedOn w:val="Normal"/>
    <w:rsid w:val="00392674"/>
    <w:pPr>
      <w:framePr w:w="6927" w:hSpace="187" w:wrap="notBeside" w:vAnchor="text" w:hAnchor="page" w:x="3594" w:y="1"/>
      <w:jc w:val="center"/>
    </w:pPr>
    <w:rPr>
      <w:rFonts w:ascii="Arial" w:hAnsi="Arial"/>
      <w:sz w:val="28"/>
      <w:szCs w:val="20"/>
    </w:rPr>
  </w:style>
  <w:style w:type="paragraph" w:customStyle="1" w:styleId="Weld">
    <w:name w:val="Weld"/>
    <w:basedOn w:val="Normal"/>
    <w:rsid w:val="00392674"/>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392674"/>
    <w:pPr>
      <w:framePr w:hSpace="187" w:wrap="notBeside" w:vAnchor="text" w:hAnchor="page" w:x="546" w:y="141"/>
      <w:spacing w:after="120"/>
      <w:jc w:val="center"/>
    </w:pPr>
    <w:rPr>
      <w:rFonts w:ascii="Arial Rounded MT Bold" w:hAnsi="Arial Rounded MT Bold"/>
      <w:sz w:val="14"/>
      <w:szCs w:val="20"/>
    </w:rPr>
  </w:style>
  <w:style w:type="paragraph" w:styleId="Header">
    <w:name w:val="header"/>
    <w:basedOn w:val="Normal"/>
    <w:link w:val="HeaderChar"/>
    <w:uiPriority w:val="99"/>
    <w:unhideWhenUsed/>
    <w:rsid w:val="00225886"/>
    <w:pPr>
      <w:tabs>
        <w:tab w:val="center" w:pos="4680"/>
        <w:tab w:val="right" w:pos="9360"/>
      </w:tabs>
    </w:pPr>
  </w:style>
  <w:style w:type="character" w:customStyle="1" w:styleId="HeaderChar">
    <w:name w:val="Header Char"/>
    <w:basedOn w:val="DefaultParagraphFont"/>
    <w:link w:val="Header"/>
    <w:uiPriority w:val="99"/>
    <w:locked/>
    <w:rsid w:val="00225886"/>
    <w:rPr>
      <w:rFonts w:ascii="Times New Roman" w:hAnsi="Times New Roman" w:cs="Times New Roman"/>
      <w:sz w:val="24"/>
      <w:szCs w:val="24"/>
    </w:rPr>
  </w:style>
  <w:style w:type="paragraph" w:styleId="Footer">
    <w:name w:val="footer"/>
    <w:basedOn w:val="Normal"/>
    <w:link w:val="FooterChar"/>
    <w:uiPriority w:val="99"/>
    <w:unhideWhenUsed/>
    <w:rsid w:val="00225886"/>
    <w:pPr>
      <w:tabs>
        <w:tab w:val="center" w:pos="4680"/>
        <w:tab w:val="right" w:pos="9360"/>
      </w:tabs>
    </w:pPr>
  </w:style>
  <w:style w:type="character" w:customStyle="1" w:styleId="FooterChar">
    <w:name w:val="Footer Char"/>
    <w:basedOn w:val="DefaultParagraphFont"/>
    <w:link w:val="Footer"/>
    <w:uiPriority w:val="99"/>
    <w:locked/>
    <w:rsid w:val="00225886"/>
    <w:rPr>
      <w:rFonts w:ascii="Times New Roman" w:hAnsi="Times New Roman" w:cs="Times New Roman"/>
      <w:sz w:val="24"/>
      <w:szCs w:val="24"/>
    </w:rPr>
  </w:style>
  <w:style w:type="character" w:styleId="Hyperlink">
    <w:name w:val="Hyperlink"/>
    <w:basedOn w:val="DefaultParagraphFont"/>
    <w:uiPriority w:val="99"/>
    <w:rsid w:val="00D13825"/>
    <w:rPr>
      <w:rFonts w:cs="Times New Roman"/>
      <w:color w:val="0000FF" w:themeColor="hyperlink"/>
      <w:u w:val="single"/>
    </w:rPr>
  </w:style>
  <w:style w:type="character" w:styleId="FollowedHyperlink">
    <w:name w:val="FollowedHyperlink"/>
    <w:basedOn w:val="DefaultParagraphFont"/>
    <w:uiPriority w:val="99"/>
    <w:rsid w:val="00D07EAB"/>
    <w:rPr>
      <w:rFonts w:cs="Times New Roman"/>
      <w:color w:val="800080" w:themeColor="followedHyperlink"/>
      <w:u w:val="single"/>
    </w:rPr>
  </w:style>
  <w:style w:type="paragraph" w:styleId="FootnoteText">
    <w:name w:val="footnote text"/>
    <w:basedOn w:val="Normal"/>
    <w:link w:val="FootnoteTextChar"/>
    <w:uiPriority w:val="99"/>
    <w:rsid w:val="00832902"/>
    <w:rPr>
      <w:sz w:val="20"/>
      <w:szCs w:val="20"/>
    </w:rPr>
  </w:style>
  <w:style w:type="character" w:customStyle="1" w:styleId="FootnoteTextChar">
    <w:name w:val="Footnote Text Char"/>
    <w:basedOn w:val="DefaultParagraphFont"/>
    <w:link w:val="FootnoteText"/>
    <w:uiPriority w:val="99"/>
    <w:locked/>
    <w:rsid w:val="00832902"/>
    <w:rPr>
      <w:rFonts w:ascii="Times New Roman" w:hAnsi="Times New Roman" w:cs="Times New Roman"/>
      <w:sz w:val="20"/>
      <w:szCs w:val="20"/>
    </w:rPr>
  </w:style>
  <w:style w:type="character" w:styleId="FootnoteReference">
    <w:name w:val="footnote reference"/>
    <w:basedOn w:val="DefaultParagraphFont"/>
    <w:uiPriority w:val="99"/>
    <w:rsid w:val="00832902"/>
    <w:rPr>
      <w:rFonts w:cs="Times New Roman"/>
      <w:vertAlign w:val="superscript"/>
    </w:rPr>
  </w:style>
  <w:style w:type="character" w:customStyle="1" w:styleId="UnresolvedMention">
    <w:name w:val="Unresolved Mention"/>
    <w:basedOn w:val="DefaultParagraphFont"/>
    <w:uiPriority w:val="99"/>
    <w:semiHidden/>
    <w:unhideWhenUsed/>
    <w:rsid w:val="00E9163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Provider-Enrollment-and-Certification/SurveyCertEmergPrep/Downloads/Appendix-Z-EP-SOM-February-201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dc.gov/coronavirus/2019-ncov/hcp/hcp-hospital-checklis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2019coronavir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hhs.gov/SurveyCertificationGenInf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ms.gov/Medicare/Provider-Enrollment-and-Certification/SurveyCertEmergPrep/downloads/AllHazardsFAQs.pdf" TargetMode="External"/><Relationship Id="rId23" Type="http://schemas.openxmlformats.org/officeDocument/2006/relationships/fontTable" Target="fontTable.xml"/><Relationship Id="rId10" Type="http://schemas.openxmlformats.org/officeDocument/2006/relationships/hyperlink" Target="https://www.mass.gov/lists/hospital-circular-letters-gener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ms.gov/Medicare/Provider-Enrollment-and-Certification/SurveyCertificationGenInfo/downloads/SCLetter08-0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20C7-0BA0-4197-918F-7D4B3E62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Circular letter: DHCQ 04-03-439</vt:lpstr>
    </vt:vector>
  </TitlesOfParts>
  <Company>Department of Public Health</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04-03-439</dc:title>
  <dc:creator>DPHUSER</dc:creator>
  <cp:lastModifiedBy> Marybeth McCabe</cp:lastModifiedBy>
  <cp:revision>2</cp:revision>
  <cp:lastPrinted>2018-12-27T16:55:00Z</cp:lastPrinted>
  <dcterms:created xsi:type="dcterms:W3CDTF">2020-03-11T15:38:00Z</dcterms:created>
  <dcterms:modified xsi:type="dcterms:W3CDTF">2020-03-11T15:38:00Z</dcterms:modified>
</cp:coreProperties>
</file>