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88F73" w14:textId="77777777" w:rsidR="001963CA" w:rsidRDefault="001963CA" w:rsidP="001963CA">
      <w:pPr>
        <w:pStyle w:val="Title"/>
      </w:pPr>
      <w:bookmarkStart w:id="0" w:name="_GoBack"/>
      <w:bookmarkEnd w:id="0"/>
      <w:r>
        <w:t>COMMONWEALTH OF MASSACHUSETTS</w:t>
      </w:r>
    </w:p>
    <w:p w14:paraId="7B13FD39" w14:textId="77777777" w:rsidR="001963CA" w:rsidRDefault="001963CA" w:rsidP="001963CA">
      <w:pPr>
        <w:jc w:val="center"/>
        <w:rPr>
          <w:rFonts w:ascii="Courier New" w:hAnsi="Courier New" w:cs="Courier New"/>
          <w:b/>
          <w:bCs/>
        </w:rPr>
      </w:pPr>
    </w:p>
    <w:p w14:paraId="48E67ABA" w14:textId="1EC9C153" w:rsidR="001963CA" w:rsidRDefault="001963CA" w:rsidP="004A3D12">
      <w:pPr>
        <w:tabs>
          <w:tab w:val="left" w:pos="675"/>
          <w:tab w:val="center" w:pos="3727"/>
        </w:tabs>
        <w:jc w:val="center"/>
        <w:rPr>
          <w:rFonts w:ascii="Courier New" w:hAnsi="Courier New" w:cs="Courier New"/>
          <w:b/>
          <w:bCs/>
        </w:rPr>
      </w:pPr>
      <w:r>
        <w:rPr>
          <w:rFonts w:ascii="Courier New" w:hAnsi="Courier New" w:cs="Courier New"/>
          <w:b/>
          <w:bCs/>
        </w:rPr>
        <w:t>APPELLATE TAX BOARD</w:t>
      </w:r>
    </w:p>
    <w:p w14:paraId="4AF3DD62" w14:textId="77777777" w:rsidR="001963CA" w:rsidRDefault="001963CA" w:rsidP="001963CA">
      <w:pPr>
        <w:jc w:val="both"/>
        <w:rPr>
          <w:rFonts w:ascii="Courier New" w:hAnsi="Courier New" w:cs="Courier New"/>
          <w:b/>
          <w:bCs/>
        </w:rPr>
      </w:pPr>
    </w:p>
    <w:p w14:paraId="6024DF08" w14:textId="279B44BE" w:rsidR="00246D17" w:rsidRPr="00246D17" w:rsidRDefault="00732732" w:rsidP="008E4706">
      <w:pPr>
        <w:pStyle w:val="Heading1"/>
        <w:tabs>
          <w:tab w:val="left" w:pos="4320"/>
        </w:tabs>
      </w:pPr>
      <w:r>
        <w:t>CITRIX SYSTEMS, INC.</w:t>
      </w:r>
      <w:r w:rsidR="00467AB7">
        <w:t>  </w:t>
      </w:r>
      <w:r w:rsidR="00F97836">
        <w:t xml:space="preserve">  </w:t>
      </w:r>
      <w:r w:rsidR="00AE3DBC">
        <w:t>   </w:t>
      </w:r>
      <w:r w:rsidR="001963CA" w:rsidRPr="002F5974">
        <w:t>v.</w:t>
      </w:r>
      <w:r w:rsidR="001963CA" w:rsidRPr="002F5974">
        <w:tab/>
      </w:r>
      <w:r w:rsidR="00467AB7">
        <w:t>     </w:t>
      </w:r>
      <w:r w:rsidR="001963CA" w:rsidRPr="002F5974">
        <w:t>COMMISSIONER OF REVENUE</w:t>
      </w:r>
      <w:r w:rsidR="00BD32D3">
        <w:t xml:space="preserve">   </w:t>
      </w:r>
      <w:r w:rsidR="001963CA">
        <w:t xml:space="preserve"> </w:t>
      </w:r>
      <w:r w:rsidR="001963CA">
        <w:tab/>
      </w:r>
      <w:r w:rsidR="001963CA">
        <w:tab/>
      </w:r>
      <w:r w:rsidR="001963CA">
        <w:tab/>
      </w:r>
      <w:r w:rsidR="001963CA">
        <w:tab/>
      </w:r>
    </w:p>
    <w:p w14:paraId="018D22C8" w14:textId="5E64E889" w:rsidR="001963CA" w:rsidRDefault="00F52215" w:rsidP="001963CA">
      <w:pPr>
        <w:jc w:val="both"/>
        <w:rPr>
          <w:rFonts w:ascii="Courier New" w:hAnsi="Courier New" w:cs="Courier New"/>
        </w:rPr>
      </w:pPr>
      <w:r>
        <w:rPr>
          <w:rFonts w:ascii="Courier New" w:hAnsi="Courier New" w:cs="Courier New"/>
        </w:rPr>
        <w:t>Docket No</w:t>
      </w:r>
      <w:r w:rsidR="00732732">
        <w:rPr>
          <w:rFonts w:ascii="Courier New" w:hAnsi="Courier New" w:cs="Courier New"/>
        </w:rPr>
        <w:t>s</w:t>
      </w:r>
      <w:r>
        <w:rPr>
          <w:rFonts w:ascii="Courier New" w:hAnsi="Courier New" w:cs="Courier New"/>
        </w:rPr>
        <w:t>.</w:t>
      </w:r>
      <w:r w:rsidR="00166CAB">
        <w:rPr>
          <w:rFonts w:ascii="Courier New" w:hAnsi="Courier New" w:cs="Courier New"/>
        </w:rPr>
        <w:t xml:space="preserve"> C</w:t>
      </w:r>
      <w:r w:rsidR="00732732">
        <w:rPr>
          <w:rFonts w:ascii="Courier New" w:hAnsi="Courier New" w:cs="Courier New"/>
        </w:rPr>
        <w:t>321160</w:t>
      </w:r>
      <w:r w:rsidR="00135A23">
        <w:rPr>
          <w:rFonts w:ascii="Courier New" w:hAnsi="Courier New" w:cs="Courier New"/>
        </w:rPr>
        <w:tab/>
      </w:r>
      <w:r w:rsidR="006A738B">
        <w:rPr>
          <w:rFonts w:ascii="Courier New" w:hAnsi="Courier New" w:cs="Courier New"/>
        </w:rPr>
        <w:tab/>
      </w:r>
      <w:r w:rsidR="006A738B">
        <w:rPr>
          <w:rFonts w:ascii="Courier New" w:hAnsi="Courier New" w:cs="Courier New"/>
        </w:rPr>
        <w:tab/>
      </w:r>
      <w:r w:rsidR="006A738B">
        <w:rPr>
          <w:rFonts w:ascii="Courier New" w:hAnsi="Courier New" w:cs="Courier New"/>
        </w:rPr>
        <w:tab/>
      </w:r>
      <w:r w:rsidR="001963CA">
        <w:rPr>
          <w:rFonts w:ascii="Courier New" w:hAnsi="Courier New" w:cs="Courier New"/>
        </w:rPr>
        <w:t>Promulgated:</w:t>
      </w:r>
    </w:p>
    <w:p w14:paraId="1E7C0336" w14:textId="3C008CE1" w:rsidR="00097CDC" w:rsidRDefault="00AE3DBC" w:rsidP="001963CA">
      <w:pPr>
        <w:jc w:val="both"/>
        <w:rPr>
          <w:rFonts w:ascii="Courier New" w:hAnsi="Courier New" w:cs="Courier New"/>
        </w:rPr>
      </w:pPr>
      <w:r>
        <w:rPr>
          <w:rFonts w:ascii="Courier New" w:hAnsi="Courier New" w:cs="Courier New"/>
        </w:rPr>
        <w:tab/>
      </w:r>
      <w:r>
        <w:rPr>
          <w:rFonts w:ascii="Courier New" w:hAnsi="Courier New" w:cs="Courier New"/>
        </w:rPr>
        <w:tab/>
      </w:r>
      <w:r w:rsidR="00732732">
        <w:rPr>
          <w:rFonts w:ascii="Courier New" w:hAnsi="Courier New" w:cs="Courier New"/>
        </w:rPr>
        <w:t xml:space="preserve">  C325421</w:t>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F7229E">
        <w:rPr>
          <w:rFonts w:ascii="Courier New" w:hAnsi="Courier New" w:cs="Courier New"/>
        </w:rPr>
        <w:t>November 2, 2018</w:t>
      </w:r>
    </w:p>
    <w:p w14:paraId="46606156" w14:textId="77777777" w:rsidR="00732732" w:rsidRDefault="00732732" w:rsidP="001963CA">
      <w:pPr>
        <w:jc w:val="both"/>
        <w:rPr>
          <w:rFonts w:ascii="Courier New" w:hAnsi="Courier New" w:cs="Courier New"/>
        </w:rPr>
      </w:pPr>
    </w:p>
    <w:p w14:paraId="7A82EE80" w14:textId="77777777" w:rsidR="001963CA" w:rsidRDefault="001963CA" w:rsidP="001963CA">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t xml:space="preserve"> </w:t>
      </w:r>
    </w:p>
    <w:p w14:paraId="0C04AD53" w14:textId="739BE6FB" w:rsidR="001963CA" w:rsidRDefault="001963CA" w:rsidP="001963CA">
      <w:pPr>
        <w:spacing w:line="480" w:lineRule="auto"/>
        <w:jc w:val="both"/>
        <w:rPr>
          <w:rFonts w:ascii="Courier New" w:hAnsi="Courier New" w:cs="Courier New"/>
        </w:rPr>
      </w:pPr>
      <w:r>
        <w:rPr>
          <w:rFonts w:ascii="Courier New" w:hAnsi="Courier New" w:cs="Courier New"/>
        </w:rPr>
        <w:tab/>
        <w:t>Th</w:t>
      </w:r>
      <w:r w:rsidR="00732732">
        <w:rPr>
          <w:rFonts w:ascii="Courier New" w:hAnsi="Courier New" w:cs="Courier New"/>
        </w:rPr>
        <w:t>ese</w:t>
      </w:r>
      <w:r w:rsidR="006721C8">
        <w:rPr>
          <w:rFonts w:ascii="Courier New" w:hAnsi="Courier New" w:cs="Courier New"/>
        </w:rPr>
        <w:t xml:space="preserve"> </w:t>
      </w:r>
      <w:r w:rsidR="00732732">
        <w:rPr>
          <w:rFonts w:ascii="Courier New" w:hAnsi="Courier New" w:cs="Courier New"/>
        </w:rPr>
        <w:t>are</w:t>
      </w:r>
      <w:r w:rsidR="006721C8">
        <w:rPr>
          <w:rFonts w:ascii="Courier New" w:hAnsi="Courier New" w:cs="Courier New"/>
        </w:rPr>
        <w:t xml:space="preserve"> </w:t>
      </w:r>
      <w:r>
        <w:rPr>
          <w:rFonts w:ascii="Courier New" w:hAnsi="Courier New" w:cs="Courier New"/>
        </w:rPr>
        <w:t>appeal</w:t>
      </w:r>
      <w:r w:rsidR="00732732">
        <w:rPr>
          <w:rFonts w:ascii="Courier New" w:hAnsi="Courier New" w:cs="Courier New"/>
        </w:rPr>
        <w:t>s</w:t>
      </w:r>
      <w:r>
        <w:rPr>
          <w:rFonts w:ascii="Courier New" w:hAnsi="Courier New" w:cs="Courier New"/>
        </w:rPr>
        <w:t xml:space="preserve"> filed under the </w:t>
      </w:r>
      <w:r w:rsidRPr="006F59B0">
        <w:rPr>
          <w:rFonts w:ascii="Courier New" w:hAnsi="Courier New" w:cs="Courier New"/>
        </w:rPr>
        <w:t>forma</w:t>
      </w:r>
      <w:r>
        <w:rPr>
          <w:rFonts w:ascii="Courier New" w:hAnsi="Courier New" w:cs="Courier New"/>
        </w:rPr>
        <w:t xml:space="preserve">l procedure pursuant to G.L. c. 58A, § 7 and G.L. c. 62C, § 39 from the refusal of </w:t>
      </w:r>
      <w:r w:rsidR="00BB7F5B">
        <w:rPr>
          <w:rFonts w:ascii="Courier New" w:hAnsi="Courier New" w:cs="Courier New"/>
        </w:rPr>
        <w:t xml:space="preserve">the </w:t>
      </w:r>
      <w:r>
        <w:rPr>
          <w:rFonts w:ascii="Courier New" w:hAnsi="Courier New" w:cs="Courier New"/>
        </w:rPr>
        <w:t>Commissioner of Revenue (“Commissioner”</w:t>
      </w:r>
      <w:r w:rsidR="00553BEC">
        <w:rPr>
          <w:rFonts w:ascii="Courier New" w:hAnsi="Courier New" w:cs="Courier New"/>
        </w:rPr>
        <w:t xml:space="preserve"> or “appellee”</w:t>
      </w:r>
      <w:r>
        <w:rPr>
          <w:rFonts w:ascii="Courier New" w:hAnsi="Courier New" w:cs="Courier New"/>
        </w:rPr>
        <w:t xml:space="preserve">), to abate </w:t>
      </w:r>
      <w:r w:rsidR="00732732">
        <w:rPr>
          <w:rFonts w:ascii="Courier New" w:hAnsi="Courier New" w:cs="Courier New"/>
        </w:rPr>
        <w:t xml:space="preserve">sales </w:t>
      </w:r>
      <w:r>
        <w:rPr>
          <w:rFonts w:ascii="Courier New" w:hAnsi="Courier New" w:cs="Courier New"/>
        </w:rPr>
        <w:t xml:space="preserve">taxes assessed </w:t>
      </w:r>
      <w:r w:rsidR="001A3FDB">
        <w:rPr>
          <w:rFonts w:ascii="Courier New" w:hAnsi="Courier New" w:cs="Courier New"/>
        </w:rPr>
        <w:t xml:space="preserve">against </w:t>
      </w:r>
      <w:r w:rsidR="00732732">
        <w:rPr>
          <w:rFonts w:ascii="Courier New" w:hAnsi="Courier New" w:cs="Courier New"/>
        </w:rPr>
        <w:t>Citrix Systems, Inc.</w:t>
      </w:r>
      <w:r w:rsidR="00AE3DBC" w:rsidRPr="00AE3DBC">
        <w:rPr>
          <w:rFonts w:ascii="Courier New" w:hAnsi="Courier New" w:cs="Courier New"/>
        </w:rPr>
        <w:t xml:space="preserve"> </w:t>
      </w:r>
      <w:r w:rsidR="00AE3DBC">
        <w:rPr>
          <w:rFonts w:ascii="Courier New" w:hAnsi="Courier New" w:cs="Courier New"/>
        </w:rPr>
        <w:t>(“</w:t>
      </w:r>
      <w:r w:rsidR="00732732">
        <w:rPr>
          <w:rFonts w:ascii="Courier New" w:hAnsi="Courier New" w:cs="Courier New"/>
        </w:rPr>
        <w:t>Citrix</w:t>
      </w:r>
      <w:r w:rsidR="00AE3DBC">
        <w:rPr>
          <w:rFonts w:ascii="Courier New" w:hAnsi="Courier New" w:cs="Courier New"/>
        </w:rPr>
        <w:t>”</w:t>
      </w:r>
      <w:r w:rsidR="0083123C">
        <w:rPr>
          <w:rFonts w:ascii="Courier New" w:hAnsi="Courier New" w:cs="Courier New"/>
        </w:rPr>
        <w:t xml:space="preserve"> or “appellant”</w:t>
      </w:r>
      <w:r w:rsidR="00AE3DBC">
        <w:rPr>
          <w:rFonts w:ascii="Courier New" w:hAnsi="Courier New" w:cs="Courier New"/>
        </w:rPr>
        <w:t>)</w:t>
      </w:r>
      <w:r w:rsidR="006721C8">
        <w:rPr>
          <w:rFonts w:ascii="Courier New" w:hAnsi="Courier New" w:cs="Courier New"/>
        </w:rPr>
        <w:t xml:space="preserve"> </w:t>
      </w:r>
      <w:r w:rsidR="0016467E">
        <w:rPr>
          <w:rFonts w:ascii="Courier New" w:hAnsi="Courier New" w:cs="Courier New"/>
        </w:rPr>
        <w:t xml:space="preserve">for the tax </w:t>
      </w:r>
      <w:r w:rsidR="00553BEC">
        <w:rPr>
          <w:rFonts w:ascii="Courier New" w:hAnsi="Courier New" w:cs="Courier New"/>
        </w:rPr>
        <w:t xml:space="preserve">periods </w:t>
      </w:r>
      <w:r w:rsidR="006721C8">
        <w:rPr>
          <w:rFonts w:ascii="Courier New" w:hAnsi="Courier New" w:cs="Courier New"/>
        </w:rPr>
        <w:t xml:space="preserve">ended </w:t>
      </w:r>
      <w:r w:rsidR="00A20928">
        <w:rPr>
          <w:rFonts w:ascii="Courier New" w:hAnsi="Courier New" w:cs="Courier New"/>
        </w:rPr>
        <w:t xml:space="preserve">April 30, 2007 through June 30, 2009 and October 31, 2009 through </w:t>
      </w:r>
      <w:r w:rsidR="006721C8">
        <w:rPr>
          <w:rFonts w:ascii="Courier New" w:hAnsi="Courier New" w:cs="Courier New"/>
        </w:rPr>
        <w:t>December</w:t>
      </w:r>
      <w:r w:rsidR="007607D5">
        <w:rPr>
          <w:rFonts w:ascii="Courier New" w:hAnsi="Courier New" w:cs="Courier New"/>
        </w:rPr>
        <w:t> </w:t>
      </w:r>
      <w:r w:rsidR="006721C8">
        <w:rPr>
          <w:rFonts w:ascii="Courier New" w:hAnsi="Courier New" w:cs="Courier New"/>
        </w:rPr>
        <w:t>31, 20</w:t>
      </w:r>
      <w:r w:rsidR="00A20928">
        <w:rPr>
          <w:rFonts w:ascii="Courier New" w:hAnsi="Courier New" w:cs="Courier New"/>
        </w:rPr>
        <w:t>11</w:t>
      </w:r>
      <w:r>
        <w:rPr>
          <w:rFonts w:ascii="Courier New" w:hAnsi="Courier New" w:cs="Courier New"/>
        </w:rPr>
        <w:t xml:space="preserve"> </w:t>
      </w:r>
      <w:r w:rsidR="00E21BDA">
        <w:rPr>
          <w:rFonts w:ascii="Courier New" w:hAnsi="Courier New" w:cs="Courier New"/>
        </w:rPr>
        <w:t>(</w:t>
      </w:r>
      <w:r w:rsidR="00732732">
        <w:rPr>
          <w:rFonts w:ascii="Courier New" w:hAnsi="Courier New" w:cs="Courier New"/>
        </w:rPr>
        <w:t xml:space="preserve">collectively, the </w:t>
      </w:r>
      <w:r w:rsidR="00E21BDA">
        <w:rPr>
          <w:rFonts w:ascii="Courier New" w:hAnsi="Courier New" w:cs="Courier New"/>
        </w:rPr>
        <w:t>“</w:t>
      </w:r>
      <w:r w:rsidR="00732732">
        <w:rPr>
          <w:rFonts w:ascii="Courier New" w:hAnsi="Courier New" w:cs="Courier New"/>
        </w:rPr>
        <w:t xml:space="preserve">periods </w:t>
      </w:r>
      <w:r w:rsidR="00E21BDA">
        <w:rPr>
          <w:rFonts w:ascii="Courier New" w:hAnsi="Courier New" w:cs="Courier New"/>
        </w:rPr>
        <w:t>at issue”).</w:t>
      </w:r>
    </w:p>
    <w:p w14:paraId="2A79F057" w14:textId="19E9EE4A" w:rsidR="00553BEC" w:rsidRDefault="007A7A4F" w:rsidP="00553BEC">
      <w:pPr>
        <w:spacing w:line="480" w:lineRule="auto"/>
        <w:ind w:firstLine="720"/>
        <w:contextualSpacing/>
        <w:jc w:val="both"/>
        <w:rPr>
          <w:rFonts w:ascii="Courier New" w:hAnsi="Courier New" w:cs="Courier New"/>
        </w:rPr>
      </w:pPr>
      <w:r>
        <w:rPr>
          <w:rFonts w:ascii="Courier New" w:hAnsi="Courier New" w:cs="Courier New"/>
        </w:rPr>
        <w:t xml:space="preserve">Commissioner </w:t>
      </w:r>
      <w:r w:rsidR="00732732">
        <w:rPr>
          <w:rFonts w:ascii="Courier New" w:hAnsi="Courier New" w:cs="Courier New"/>
        </w:rPr>
        <w:t>Scharaffa</w:t>
      </w:r>
      <w:r w:rsidR="004E077B" w:rsidRPr="004E077B">
        <w:rPr>
          <w:rFonts w:ascii="Courier New" w:hAnsi="Courier New" w:cs="Courier New"/>
        </w:rPr>
        <w:t xml:space="preserve"> heard th</w:t>
      </w:r>
      <w:r w:rsidR="00732732">
        <w:rPr>
          <w:rFonts w:ascii="Courier New" w:hAnsi="Courier New" w:cs="Courier New"/>
        </w:rPr>
        <w:t>ese</w:t>
      </w:r>
      <w:r w:rsidR="004E077B" w:rsidRPr="004E077B">
        <w:rPr>
          <w:rFonts w:ascii="Courier New" w:hAnsi="Courier New" w:cs="Courier New"/>
        </w:rPr>
        <w:t xml:space="preserve"> appeal</w:t>
      </w:r>
      <w:r w:rsidR="00732732">
        <w:rPr>
          <w:rFonts w:ascii="Courier New" w:hAnsi="Courier New" w:cs="Courier New"/>
        </w:rPr>
        <w:t>s</w:t>
      </w:r>
      <w:r w:rsidR="00553BEC" w:rsidRPr="00553BEC">
        <w:rPr>
          <w:rFonts w:ascii="Courier New" w:hAnsi="Courier New" w:cs="Courier New"/>
        </w:rPr>
        <w:t xml:space="preserve"> </w:t>
      </w:r>
      <w:r w:rsidR="00553BEC">
        <w:rPr>
          <w:rFonts w:ascii="Courier New" w:hAnsi="Courier New" w:cs="Courier New"/>
        </w:rPr>
        <w:t>and was joined by Chairman Hammond and Commissioners Rose, Chmielinski, and Good in the decision</w:t>
      </w:r>
      <w:r w:rsidR="00FF6D8E">
        <w:rPr>
          <w:rFonts w:ascii="Courier New" w:hAnsi="Courier New" w:cs="Courier New"/>
        </w:rPr>
        <w:t>s</w:t>
      </w:r>
      <w:r w:rsidR="00553BEC">
        <w:rPr>
          <w:rFonts w:ascii="Courier New" w:hAnsi="Courier New" w:cs="Courier New"/>
        </w:rPr>
        <w:t xml:space="preserve"> for the </w:t>
      </w:r>
      <w:r w:rsidR="00494FBB">
        <w:rPr>
          <w:rFonts w:ascii="Courier New" w:hAnsi="Courier New" w:cs="Courier New"/>
        </w:rPr>
        <w:t>a</w:t>
      </w:r>
      <w:r w:rsidR="00553BEC">
        <w:rPr>
          <w:rFonts w:ascii="Courier New" w:hAnsi="Courier New" w:cs="Courier New"/>
        </w:rPr>
        <w:t>ppellee.</w:t>
      </w:r>
      <w:r w:rsidR="00BC4F63">
        <w:rPr>
          <w:rStyle w:val="FootnoteReference"/>
          <w:rFonts w:ascii="Courier New" w:hAnsi="Courier New" w:cs="Courier New"/>
        </w:rPr>
        <w:footnoteReference w:id="1"/>
      </w:r>
    </w:p>
    <w:p w14:paraId="2306135F" w14:textId="6634CF11" w:rsidR="00AE3DBC" w:rsidRDefault="00043555" w:rsidP="00D575EE">
      <w:pPr>
        <w:spacing w:line="480" w:lineRule="auto"/>
        <w:ind w:firstLine="720"/>
        <w:jc w:val="both"/>
        <w:rPr>
          <w:rFonts w:ascii="Courier New" w:hAnsi="Courier New" w:cs="Courier New"/>
        </w:rPr>
      </w:pPr>
      <w:r>
        <w:rPr>
          <w:rFonts w:ascii="Courier New" w:hAnsi="Courier New" w:cs="Courier New"/>
        </w:rPr>
        <w:t>The</w:t>
      </w:r>
      <w:r w:rsidR="006A738B">
        <w:rPr>
          <w:rFonts w:ascii="Courier New" w:hAnsi="Courier New" w:cs="Courier New"/>
        </w:rPr>
        <w:t>se</w:t>
      </w:r>
      <w:r w:rsidR="001963CA">
        <w:rPr>
          <w:rFonts w:ascii="Courier New" w:hAnsi="Courier New" w:cs="Courier New"/>
        </w:rPr>
        <w:t xml:space="preserve"> findings of fact and </w:t>
      </w:r>
      <w:r w:rsidR="003E3275">
        <w:rPr>
          <w:rFonts w:ascii="Courier New" w:hAnsi="Courier New" w:cs="Courier New"/>
        </w:rPr>
        <w:t xml:space="preserve">report are made pursuant to </w:t>
      </w:r>
      <w:r w:rsidR="00D025F7">
        <w:rPr>
          <w:rFonts w:ascii="Courier New" w:hAnsi="Courier New" w:cs="Courier New"/>
        </w:rPr>
        <w:t xml:space="preserve">requests of </w:t>
      </w:r>
      <w:r w:rsidR="0083123C">
        <w:rPr>
          <w:rFonts w:ascii="Courier New" w:hAnsi="Courier New" w:cs="Courier New"/>
        </w:rPr>
        <w:t>t</w:t>
      </w:r>
      <w:r w:rsidR="00D025F7">
        <w:rPr>
          <w:rFonts w:ascii="Courier New" w:hAnsi="Courier New" w:cs="Courier New"/>
        </w:rPr>
        <w:t>he appellant and the appellee</w:t>
      </w:r>
      <w:r w:rsidR="003E3275">
        <w:rPr>
          <w:rFonts w:ascii="Courier New" w:hAnsi="Courier New" w:cs="Courier New"/>
        </w:rPr>
        <w:t xml:space="preserve"> under G.L.</w:t>
      </w:r>
      <w:r w:rsidR="009F0840">
        <w:rPr>
          <w:rFonts w:ascii="Courier New" w:hAnsi="Courier New" w:cs="Courier New"/>
        </w:rPr>
        <w:t> </w:t>
      </w:r>
      <w:r w:rsidR="003E3275">
        <w:rPr>
          <w:rFonts w:ascii="Courier New" w:hAnsi="Courier New" w:cs="Courier New"/>
        </w:rPr>
        <w:t>c.</w:t>
      </w:r>
      <w:r w:rsidR="009F0840">
        <w:rPr>
          <w:rFonts w:ascii="Courier New" w:hAnsi="Courier New" w:cs="Courier New"/>
        </w:rPr>
        <w:t> </w:t>
      </w:r>
      <w:r w:rsidR="003E3275">
        <w:rPr>
          <w:rFonts w:ascii="Courier New" w:hAnsi="Courier New" w:cs="Courier New"/>
        </w:rPr>
        <w:t>58A, § 13 and 831 CMR 1.32.</w:t>
      </w:r>
      <w:r>
        <w:rPr>
          <w:rFonts w:ascii="Courier New" w:hAnsi="Courier New" w:cs="Courier New"/>
        </w:rPr>
        <w:t xml:space="preserve"> </w:t>
      </w:r>
    </w:p>
    <w:p w14:paraId="3EF932A8" w14:textId="77777777" w:rsidR="0083123C" w:rsidRDefault="0083123C" w:rsidP="00553BEC">
      <w:pPr>
        <w:ind w:left="720"/>
        <w:jc w:val="both"/>
        <w:rPr>
          <w:rFonts w:ascii="Courier New" w:hAnsi="Courier New" w:cs="Courier New"/>
          <w:i/>
        </w:rPr>
      </w:pPr>
    </w:p>
    <w:p w14:paraId="1D341E38" w14:textId="77777777" w:rsidR="008E4706" w:rsidRDefault="00553BEC" w:rsidP="008E4706">
      <w:pPr>
        <w:ind w:firstLine="720"/>
        <w:jc w:val="both"/>
        <w:rPr>
          <w:rFonts w:ascii="Courier New" w:hAnsi="Courier New" w:cs="Courier New"/>
        </w:rPr>
      </w:pPr>
      <w:proofErr w:type="gramStart"/>
      <w:r>
        <w:rPr>
          <w:rFonts w:ascii="Courier New" w:hAnsi="Courier New" w:cs="Courier New"/>
          <w:i/>
        </w:rPr>
        <w:t xml:space="preserve">Matthew D. </w:t>
      </w:r>
      <w:proofErr w:type="spellStart"/>
      <w:r>
        <w:rPr>
          <w:rFonts w:ascii="Courier New" w:hAnsi="Courier New" w:cs="Courier New"/>
          <w:i/>
        </w:rPr>
        <w:t>Schnall</w:t>
      </w:r>
      <w:proofErr w:type="spellEnd"/>
      <w:r>
        <w:rPr>
          <w:rFonts w:ascii="Courier New" w:hAnsi="Courier New" w:cs="Courier New"/>
          <w:i/>
        </w:rPr>
        <w:t xml:space="preserve">, </w:t>
      </w:r>
      <w:r w:rsidRPr="00553BEC">
        <w:rPr>
          <w:rFonts w:ascii="Courier New" w:hAnsi="Courier New" w:cs="Courier New"/>
        </w:rPr>
        <w:t>Esq</w:t>
      </w:r>
      <w:r>
        <w:rPr>
          <w:rFonts w:ascii="Courier New" w:hAnsi="Courier New" w:cs="Courier New"/>
          <w:i/>
        </w:rPr>
        <w:t xml:space="preserve">. </w:t>
      </w:r>
      <w:r w:rsidRPr="00553BEC">
        <w:rPr>
          <w:rFonts w:ascii="Courier New" w:hAnsi="Courier New" w:cs="Courier New"/>
        </w:rPr>
        <w:t>and</w:t>
      </w:r>
      <w:r>
        <w:rPr>
          <w:rFonts w:ascii="Courier New" w:hAnsi="Courier New" w:cs="Courier New"/>
          <w:i/>
        </w:rPr>
        <w:t xml:space="preserve"> Megan</w:t>
      </w:r>
      <w:r w:rsidR="00F7229E">
        <w:rPr>
          <w:rFonts w:ascii="Courier New" w:hAnsi="Courier New" w:cs="Courier New"/>
          <w:i/>
        </w:rPr>
        <w:t xml:space="preserve"> M. </w:t>
      </w:r>
      <w:r>
        <w:rPr>
          <w:rFonts w:ascii="Courier New" w:hAnsi="Courier New" w:cs="Courier New"/>
          <w:i/>
        </w:rPr>
        <w:t xml:space="preserve">Walsh, </w:t>
      </w:r>
      <w:r w:rsidRPr="00553BEC">
        <w:rPr>
          <w:rFonts w:ascii="Courier New" w:hAnsi="Courier New" w:cs="Courier New"/>
        </w:rPr>
        <w:t>Esq.</w:t>
      </w:r>
      <w:r>
        <w:rPr>
          <w:rFonts w:ascii="Courier New" w:hAnsi="Courier New" w:cs="Courier New"/>
          <w:i/>
        </w:rPr>
        <w:t xml:space="preserve"> </w:t>
      </w:r>
      <w:r w:rsidR="00FF6D8E">
        <w:rPr>
          <w:rFonts w:ascii="Courier New" w:hAnsi="Courier New" w:cs="Courier New"/>
        </w:rPr>
        <w:t xml:space="preserve">for the </w:t>
      </w:r>
      <w:r w:rsidR="001963CA">
        <w:rPr>
          <w:rFonts w:ascii="Courier New" w:hAnsi="Courier New" w:cs="Courier New"/>
        </w:rPr>
        <w:t>appellant.</w:t>
      </w:r>
      <w:proofErr w:type="gramEnd"/>
    </w:p>
    <w:p w14:paraId="60E349D5" w14:textId="77777777" w:rsidR="008E4706" w:rsidRDefault="008E4706" w:rsidP="008E4706">
      <w:pPr>
        <w:ind w:firstLine="720"/>
        <w:jc w:val="both"/>
        <w:rPr>
          <w:rFonts w:ascii="Courier New" w:hAnsi="Courier New" w:cs="Courier New"/>
        </w:rPr>
      </w:pPr>
    </w:p>
    <w:p w14:paraId="20265CA0" w14:textId="737815A5" w:rsidR="001963CA" w:rsidRDefault="005E664E" w:rsidP="008E4706">
      <w:pPr>
        <w:ind w:firstLine="720"/>
        <w:jc w:val="both"/>
        <w:rPr>
          <w:rFonts w:ascii="Courier New" w:hAnsi="Courier New" w:cs="Courier New"/>
        </w:rPr>
      </w:pPr>
      <w:proofErr w:type="gramStart"/>
      <w:r w:rsidRPr="00553BEC">
        <w:rPr>
          <w:rFonts w:ascii="Courier New" w:hAnsi="Courier New" w:cs="Courier New"/>
          <w:i/>
        </w:rPr>
        <w:t>Marikae Grace Toye</w:t>
      </w:r>
      <w:r>
        <w:rPr>
          <w:rFonts w:ascii="Courier New" w:hAnsi="Courier New" w:cs="Courier New"/>
          <w:i/>
        </w:rPr>
        <w:t xml:space="preserve">, </w:t>
      </w:r>
      <w:r w:rsidRPr="005B3487">
        <w:rPr>
          <w:rFonts w:ascii="Courier New" w:hAnsi="Courier New" w:cs="Courier New"/>
        </w:rPr>
        <w:t>Esq</w:t>
      </w:r>
      <w:r>
        <w:rPr>
          <w:rFonts w:ascii="Courier New" w:hAnsi="Courier New" w:cs="Courier New"/>
        </w:rPr>
        <w:t xml:space="preserve">., </w:t>
      </w:r>
      <w:r w:rsidR="00553BEC">
        <w:rPr>
          <w:rFonts w:ascii="Courier New" w:hAnsi="Courier New" w:cs="Courier New"/>
          <w:i/>
        </w:rPr>
        <w:t xml:space="preserve">Timothy </w:t>
      </w:r>
      <w:r w:rsidR="00F7229E">
        <w:rPr>
          <w:rFonts w:ascii="Courier New" w:hAnsi="Courier New" w:cs="Courier New"/>
          <w:i/>
        </w:rPr>
        <w:t xml:space="preserve">R. </w:t>
      </w:r>
      <w:r w:rsidR="00553BEC">
        <w:rPr>
          <w:rFonts w:ascii="Courier New" w:hAnsi="Courier New" w:cs="Courier New"/>
          <w:i/>
        </w:rPr>
        <w:t>Stille</w:t>
      </w:r>
      <w:r w:rsidR="005B3487">
        <w:rPr>
          <w:rFonts w:ascii="Courier New" w:hAnsi="Courier New" w:cs="Courier New"/>
          <w:i/>
        </w:rPr>
        <w:t xml:space="preserve">, </w:t>
      </w:r>
      <w:r w:rsidR="005B3487" w:rsidRPr="005B3487">
        <w:rPr>
          <w:rFonts w:ascii="Courier New" w:hAnsi="Courier New" w:cs="Courier New"/>
        </w:rPr>
        <w:t>Esq.</w:t>
      </w:r>
      <w:r w:rsidR="00553BEC">
        <w:rPr>
          <w:rFonts w:ascii="Courier New" w:hAnsi="Courier New" w:cs="Courier New"/>
        </w:rPr>
        <w:t>,</w:t>
      </w:r>
      <w:r>
        <w:rPr>
          <w:rFonts w:ascii="Courier New" w:hAnsi="Courier New" w:cs="Courier New"/>
        </w:rPr>
        <w:t> </w:t>
      </w:r>
      <w:r w:rsidR="00553BEC">
        <w:rPr>
          <w:rFonts w:ascii="Courier New" w:hAnsi="Courier New" w:cs="Courier New"/>
        </w:rPr>
        <w:t xml:space="preserve">and </w:t>
      </w:r>
      <w:r w:rsidR="00553BEC" w:rsidRPr="00553BEC">
        <w:rPr>
          <w:rFonts w:ascii="Courier New" w:hAnsi="Courier New" w:cs="Courier New"/>
          <w:i/>
        </w:rPr>
        <w:t xml:space="preserve">Frances </w:t>
      </w:r>
      <w:r w:rsidR="00F7229E">
        <w:rPr>
          <w:rFonts w:ascii="Courier New" w:hAnsi="Courier New" w:cs="Courier New"/>
          <w:i/>
        </w:rPr>
        <w:t xml:space="preserve">M. </w:t>
      </w:r>
      <w:r w:rsidR="00553BEC" w:rsidRPr="00553BEC">
        <w:rPr>
          <w:rFonts w:ascii="Courier New" w:hAnsi="Courier New" w:cs="Courier New"/>
          <w:i/>
        </w:rPr>
        <w:t>Donovan</w:t>
      </w:r>
      <w:r w:rsidR="00553BEC">
        <w:rPr>
          <w:rFonts w:ascii="Courier New" w:hAnsi="Courier New" w:cs="Courier New"/>
          <w:i/>
        </w:rPr>
        <w:t xml:space="preserve">, </w:t>
      </w:r>
      <w:r w:rsidR="00553BEC" w:rsidRPr="005B3487">
        <w:rPr>
          <w:rFonts w:ascii="Courier New" w:hAnsi="Courier New" w:cs="Courier New"/>
        </w:rPr>
        <w:t>Esq</w:t>
      </w:r>
      <w:r w:rsidR="00553BEC">
        <w:rPr>
          <w:rFonts w:ascii="Courier New" w:hAnsi="Courier New" w:cs="Courier New"/>
        </w:rPr>
        <w:t>.</w:t>
      </w:r>
      <w:r w:rsidR="005B3487" w:rsidRPr="005B3487">
        <w:rPr>
          <w:rFonts w:ascii="Courier New" w:hAnsi="Courier New" w:cs="Courier New"/>
        </w:rPr>
        <w:t xml:space="preserve"> </w:t>
      </w:r>
      <w:r w:rsidR="001963CA">
        <w:rPr>
          <w:rFonts w:ascii="Courier New" w:hAnsi="Courier New" w:cs="Courier New"/>
        </w:rPr>
        <w:t>for the appellee.</w:t>
      </w:r>
      <w:proofErr w:type="gramEnd"/>
      <w:r w:rsidR="001963CA">
        <w:rPr>
          <w:rFonts w:ascii="Courier New" w:hAnsi="Courier New" w:cs="Courier New"/>
        </w:rPr>
        <w:t xml:space="preserve">  </w:t>
      </w:r>
    </w:p>
    <w:p w14:paraId="7E5CCE4C" w14:textId="5ACBACB5" w:rsidR="006A738B" w:rsidRPr="006A738B" w:rsidRDefault="001963CA" w:rsidP="00246D17">
      <w:pPr>
        <w:pStyle w:val="Heading2"/>
        <w:spacing w:line="480" w:lineRule="auto"/>
      </w:pPr>
      <w:r w:rsidRPr="006A738B">
        <w:lastRenderedPageBreak/>
        <w:t>FINDINGS OF FACT AND REPORT</w:t>
      </w:r>
    </w:p>
    <w:p w14:paraId="496326B4" w14:textId="42012A26" w:rsidR="001963CA" w:rsidRPr="006A738B" w:rsidRDefault="001963CA" w:rsidP="005B3487">
      <w:pPr>
        <w:spacing w:line="480" w:lineRule="auto"/>
        <w:ind w:firstLine="720"/>
        <w:jc w:val="both"/>
        <w:rPr>
          <w:rFonts w:ascii="Courier New" w:hAnsi="Courier New" w:cs="Courier New"/>
        </w:rPr>
      </w:pPr>
      <w:r w:rsidRPr="006A738B">
        <w:rPr>
          <w:rFonts w:ascii="Courier New" w:hAnsi="Courier New" w:cs="Courier New"/>
        </w:rPr>
        <w:t xml:space="preserve">On the basis of </w:t>
      </w:r>
      <w:r w:rsidR="00A20928">
        <w:rPr>
          <w:rFonts w:ascii="Courier New" w:hAnsi="Courier New" w:cs="Courier New"/>
        </w:rPr>
        <w:t>a S</w:t>
      </w:r>
      <w:r w:rsidR="00524C1C">
        <w:rPr>
          <w:rFonts w:ascii="Courier New" w:hAnsi="Courier New" w:cs="Courier New"/>
        </w:rPr>
        <w:t>tatement of Agreed Facts with 91</w:t>
      </w:r>
      <w:r w:rsidR="00A20928">
        <w:rPr>
          <w:rFonts w:ascii="Courier New" w:hAnsi="Courier New" w:cs="Courier New"/>
        </w:rPr>
        <w:t xml:space="preserve"> </w:t>
      </w:r>
      <w:r w:rsidR="00524C1C">
        <w:rPr>
          <w:rFonts w:ascii="Courier New" w:hAnsi="Courier New" w:cs="Courier New"/>
        </w:rPr>
        <w:t xml:space="preserve">attached </w:t>
      </w:r>
      <w:r w:rsidR="00A20928">
        <w:rPr>
          <w:rFonts w:ascii="Courier New" w:hAnsi="Courier New" w:cs="Courier New"/>
        </w:rPr>
        <w:t>exhibits as well as</w:t>
      </w:r>
      <w:r w:rsidRPr="006A738B">
        <w:rPr>
          <w:rFonts w:ascii="Courier New" w:hAnsi="Courier New" w:cs="Courier New"/>
        </w:rPr>
        <w:t xml:space="preserve"> testimony</w:t>
      </w:r>
      <w:r w:rsidR="00524C1C">
        <w:rPr>
          <w:rStyle w:val="FootnoteReference"/>
          <w:rFonts w:ascii="Courier New" w:hAnsi="Courier New" w:cs="Courier New"/>
        </w:rPr>
        <w:footnoteReference w:id="2"/>
      </w:r>
      <w:r w:rsidRPr="006A738B">
        <w:rPr>
          <w:rFonts w:ascii="Courier New" w:hAnsi="Courier New" w:cs="Courier New"/>
        </w:rPr>
        <w:t xml:space="preserve"> and </w:t>
      </w:r>
      <w:r w:rsidR="00524C1C">
        <w:rPr>
          <w:rFonts w:ascii="Courier New" w:hAnsi="Courier New" w:cs="Courier New"/>
        </w:rPr>
        <w:t xml:space="preserve">additional </w:t>
      </w:r>
      <w:r w:rsidRPr="006A738B">
        <w:rPr>
          <w:rFonts w:ascii="Courier New" w:hAnsi="Courier New" w:cs="Courier New"/>
        </w:rPr>
        <w:t>exhibits offered into evidence at the hearing of th</w:t>
      </w:r>
      <w:r w:rsidR="00A20928">
        <w:rPr>
          <w:rFonts w:ascii="Courier New" w:hAnsi="Courier New" w:cs="Courier New"/>
        </w:rPr>
        <w:t>ese</w:t>
      </w:r>
      <w:r w:rsidRPr="006A738B">
        <w:rPr>
          <w:rFonts w:ascii="Courier New" w:hAnsi="Courier New" w:cs="Courier New"/>
        </w:rPr>
        <w:t xml:space="preserve"> appeal</w:t>
      </w:r>
      <w:r w:rsidR="00A20928">
        <w:rPr>
          <w:rFonts w:ascii="Courier New" w:hAnsi="Courier New" w:cs="Courier New"/>
        </w:rPr>
        <w:t>s</w:t>
      </w:r>
      <w:r w:rsidRPr="006A738B">
        <w:rPr>
          <w:rFonts w:ascii="Courier New" w:hAnsi="Courier New" w:cs="Courier New"/>
        </w:rPr>
        <w:t xml:space="preserve">, the </w:t>
      </w:r>
      <w:r w:rsidR="006A738B" w:rsidRPr="006A738B">
        <w:rPr>
          <w:rFonts w:ascii="Courier New" w:hAnsi="Courier New" w:cs="Courier New"/>
        </w:rPr>
        <w:t xml:space="preserve">Appellate Tax Board (“Board”) </w:t>
      </w:r>
      <w:r w:rsidRPr="006A738B">
        <w:rPr>
          <w:rFonts w:ascii="Courier New" w:hAnsi="Courier New" w:cs="Courier New"/>
        </w:rPr>
        <w:t>made the following findings of fact.</w:t>
      </w:r>
    </w:p>
    <w:p w14:paraId="7BD0B336" w14:textId="3B340589" w:rsidR="00591208" w:rsidRPr="00591208" w:rsidRDefault="00591208" w:rsidP="00591208">
      <w:pPr>
        <w:spacing w:line="480" w:lineRule="auto"/>
        <w:jc w:val="both"/>
        <w:rPr>
          <w:rFonts w:ascii="Courier New" w:hAnsi="Courier New" w:cs="Courier New"/>
          <w:b/>
          <w:u w:val="single"/>
        </w:rPr>
      </w:pPr>
      <w:r w:rsidRPr="00591208">
        <w:rPr>
          <w:rFonts w:ascii="Courier New" w:hAnsi="Courier New" w:cs="Courier New"/>
          <w:b/>
          <w:u w:val="single"/>
        </w:rPr>
        <w:t>Jurisdiction</w:t>
      </w:r>
    </w:p>
    <w:p w14:paraId="59BA35D0" w14:textId="0FEA3E8C" w:rsidR="008E591A" w:rsidRDefault="00042291" w:rsidP="00DE725D">
      <w:pPr>
        <w:spacing w:line="480" w:lineRule="auto"/>
        <w:ind w:firstLine="720"/>
        <w:jc w:val="both"/>
        <w:rPr>
          <w:rFonts w:ascii="Courier New" w:hAnsi="Courier New" w:cs="Courier New"/>
        </w:rPr>
      </w:pPr>
      <w:r>
        <w:rPr>
          <w:rFonts w:ascii="Courier New" w:hAnsi="Courier New" w:cs="Courier New"/>
        </w:rPr>
        <w:t xml:space="preserve">Citrix is a </w:t>
      </w:r>
      <w:r w:rsidR="0078000D">
        <w:rPr>
          <w:rFonts w:ascii="Courier New" w:hAnsi="Courier New" w:cs="Courier New"/>
        </w:rPr>
        <w:t>publicly</w:t>
      </w:r>
      <w:r w:rsidR="00C0313F">
        <w:rPr>
          <w:rFonts w:ascii="Courier New" w:hAnsi="Courier New" w:cs="Courier New"/>
        </w:rPr>
        <w:t xml:space="preserve"> </w:t>
      </w:r>
      <w:r w:rsidR="0078000D">
        <w:rPr>
          <w:rFonts w:ascii="Courier New" w:hAnsi="Courier New" w:cs="Courier New"/>
        </w:rPr>
        <w:t xml:space="preserve">traded </w:t>
      </w:r>
      <w:r>
        <w:rPr>
          <w:rFonts w:ascii="Courier New" w:hAnsi="Courier New" w:cs="Courier New"/>
        </w:rPr>
        <w:t xml:space="preserve">Delaware corporation that did business in Massachusetts and elsewhere </w:t>
      </w:r>
      <w:r w:rsidR="008E591A">
        <w:rPr>
          <w:rFonts w:ascii="Courier New" w:hAnsi="Courier New" w:cs="Courier New"/>
        </w:rPr>
        <w:t>during</w:t>
      </w:r>
      <w:r>
        <w:rPr>
          <w:rFonts w:ascii="Courier New" w:hAnsi="Courier New" w:cs="Courier New"/>
        </w:rPr>
        <w:t xml:space="preserve"> the periods at issue. </w:t>
      </w:r>
      <w:r w:rsidR="0078000D">
        <w:rPr>
          <w:rFonts w:ascii="Courier New" w:hAnsi="Courier New" w:cs="Courier New"/>
        </w:rPr>
        <w:t>For each of the</w:t>
      </w:r>
      <w:r w:rsidR="00990B3D">
        <w:rPr>
          <w:rFonts w:ascii="Courier New" w:hAnsi="Courier New" w:cs="Courier New"/>
        </w:rPr>
        <w:t>se periods</w:t>
      </w:r>
      <w:r w:rsidR="0078000D">
        <w:rPr>
          <w:rFonts w:ascii="Courier New" w:hAnsi="Courier New" w:cs="Courier New"/>
        </w:rPr>
        <w:t xml:space="preserve">, Citrix timely filed </w:t>
      </w:r>
      <w:r w:rsidR="00886233">
        <w:rPr>
          <w:rFonts w:ascii="Courier New" w:hAnsi="Courier New" w:cs="Courier New"/>
        </w:rPr>
        <w:t xml:space="preserve">a </w:t>
      </w:r>
      <w:r w:rsidR="0078000D">
        <w:rPr>
          <w:rFonts w:ascii="Courier New" w:hAnsi="Courier New" w:cs="Courier New"/>
        </w:rPr>
        <w:t>Form ST-9</w:t>
      </w:r>
      <w:r w:rsidR="008E591A">
        <w:rPr>
          <w:rFonts w:ascii="Courier New" w:hAnsi="Courier New" w:cs="Courier New"/>
        </w:rPr>
        <w:t>,</w:t>
      </w:r>
      <w:r w:rsidR="0078000D">
        <w:rPr>
          <w:rFonts w:ascii="Courier New" w:hAnsi="Courier New" w:cs="Courier New"/>
        </w:rPr>
        <w:t xml:space="preserve"> Sales and Use Tax Return</w:t>
      </w:r>
      <w:r w:rsidR="001A3FDB">
        <w:rPr>
          <w:rFonts w:ascii="Courier New" w:hAnsi="Courier New" w:cs="Courier New"/>
        </w:rPr>
        <w:t>,</w:t>
      </w:r>
      <w:r w:rsidR="0078000D">
        <w:rPr>
          <w:rFonts w:ascii="Courier New" w:hAnsi="Courier New" w:cs="Courier New"/>
        </w:rPr>
        <w:t xml:space="preserve"> and </w:t>
      </w:r>
      <w:r w:rsidR="00376A31">
        <w:rPr>
          <w:rFonts w:ascii="Courier New" w:hAnsi="Courier New" w:cs="Courier New"/>
        </w:rPr>
        <w:t xml:space="preserve">timely </w:t>
      </w:r>
      <w:r w:rsidR="0078000D">
        <w:rPr>
          <w:rFonts w:ascii="Courier New" w:hAnsi="Courier New" w:cs="Courier New"/>
        </w:rPr>
        <w:t xml:space="preserve">paid the amount shown as due thereon. </w:t>
      </w:r>
      <w:r w:rsidR="00376A31">
        <w:rPr>
          <w:rFonts w:ascii="Courier New" w:hAnsi="Courier New" w:cs="Courier New"/>
        </w:rPr>
        <w:t xml:space="preserve">Following an audit of Citrix’s </w:t>
      </w:r>
      <w:r w:rsidR="00886233">
        <w:rPr>
          <w:rFonts w:ascii="Courier New" w:hAnsi="Courier New" w:cs="Courier New"/>
        </w:rPr>
        <w:t>Sales and Use Tax R</w:t>
      </w:r>
      <w:r w:rsidR="00376A31">
        <w:rPr>
          <w:rFonts w:ascii="Courier New" w:hAnsi="Courier New" w:cs="Courier New"/>
        </w:rPr>
        <w:t xml:space="preserve">eturns for the periods ended April 30, 2007 through June 30, 2009, the Commissioner issued a Notice of Intent to </w:t>
      </w:r>
      <w:proofErr w:type="gramStart"/>
      <w:r w:rsidR="00376A31">
        <w:rPr>
          <w:rFonts w:ascii="Courier New" w:hAnsi="Courier New" w:cs="Courier New"/>
        </w:rPr>
        <w:t>Assess</w:t>
      </w:r>
      <w:proofErr w:type="gramEnd"/>
      <w:r w:rsidR="00376A31">
        <w:rPr>
          <w:rFonts w:ascii="Courier New" w:hAnsi="Courier New" w:cs="Courier New"/>
        </w:rPr>
        <w:t xml:space="preserve"> dated February 18, 2011</w:t>
      </w:r>
      <w:r w:rsidR="004767C6">
        <w:rPr>
          <w:rFonts w:ascii="Courier New" w:hAnsi="Courier New" w:cs="Courier New"/>
        </w:rPr>
        <w:t xml:space="preserve"> (“First NIA”)</w:t>
      </w:r>
      <w:r w:rsidR="00376A31">
        <w:rPr>
          <w:rFonts w:ascii="Courier New" w:hAnsi="Courier New" w:cs="Courier New"/>
        </w:rPr>
        <w:t xml:space="preserve"> and a Notice of Assessment dated October 23, 2012</w:t>
      </w:r>
      <w:r w:rsidR="004767C6">
        <w:rPr>
          <w:rFonts w:ascii="Courier New" w:hAnsi="Courier New" w:cs="Courier New"/>
        </w:rPr>
        <w:t xml:space="preserve"> (“First NOA”)</w:t>
      </w:r>
      <w:r w:rsidR="00376A31">
        <w:rPr>
          <w:rFonts w:ascii="Courier New" w:hAnsi="Courier New" w:cs="Courier New"/>
        </w:rPr>
        <w:t>.</w:t>
      </w:r>
      <w:r w:rsidR="00376A31">
        <w:rPr>
          <w:rStyle w:val="FootnoteReference"/>
          <w:rFonts w:ascii="Courier New" w:hAnsi="Courier New" w:cs="Courier New"/>
        </w:rPr>
        <w:footnoteReference w:id="3"/>
      </w:r>
      <w:r w:rsidR="004767C6">
        <w:rPr>
          <w:rFonts w:ascii="Courier New" w:hAnsi="Courier New" w:cs="Courier New"/>
        </w:rPr>
        <w:t xml:space="preserve"> On December 14, 2012, Citrix filed a Form CA-6</w:t>
      </w:r>
      <w:r w:rsidR="008E591A">
        <w:rPr>
          <w:rFonts w:ascii="Courier New" w:hAnsi="Courier New" w:cs="Courier New"/>
        </w:rPr>
        <w:t>,</w:t>
      </w:r>
      <w:r w:rsidR="004767C6">
        <w:rPr>
          <w:rFonts w:ascii="Courier New" w:hAnsi="Courier New" w:cs="Courier New"/>
        </w:rPr>
        <w:t xml:space="preserve"> Application for Abatement</w:t>
      </w:r>
      <w:r w:rsidR="00C648FD">
        <w:rPr>
          <w:rFonts w:ascii="Courier New" w:hAnsi="Courier New" w:cs="Courier New"/>
        </w:rPr>
        <w:t>/Amended Return</w:t>
      </w:r>
      <w:r w:rsidR="001A3FDB">
        <w:rPr>
          <w:rFonts w:ascii="Courier New" w:hAnsi="Courier New" w:cs="Courier New"/>
        </w:rPr>
        <w:t>,</w:t>
      </w:r>
      <w:r w:rsidR="004767C6">
        <w:rPr>
          <w:rFonts w:ascii="Courier New" w:hAnsi="Courier New" w:cs="Courier New"/>
        </w:rPr>
        <w:t xml:space="preserve"> for the periods relating to the First NOA</w:t>
      </w:r>
      <w:r w:rsidR="00886233">
        <w:rPr>
          <w:rFonts w:ascii="Courier New" w:hAnsi="Courier New" w:cs="Courier New"/>
        </w:rPr>
        <w:t xml:space="preserve"> (“First Abatement </w:t>
      </w:r>
      <w:r w:rsidR="00886233">
        <w:rPr>
          <w:rFonts w:ascii="Courier New" w:hAnsi="Courier New" w:cs="Courier New"/>
        </w:rPr>
        <w:lastRenderedPageBreak/>
        <w:t>Application”)</w:t>
      </w:r>
      <w:r w:rsidR="004767C6">
        <w:rPr>
          <w:rFonts w:ascii="Courier New" w:hAnsi="Courier New" w:cs="Courier New"/>
        </w:rPr>
        <w:t>.</w:t>
      </w:r>
      <w:r w:rsidR="00376A31">
        <w:rPr>
          <w:rFonts w:ascii="Courier New" w:hAnsi="Courier New" w:cs="Courier New"/>
        </w:rPr>
        <w:t xml:space="preserve"> </w:t>
      </w:r>
      <w:r w:rsidR="008E591A">
        <w:rPr>
          <w:rFonts w:ascii="Courier New" w:hAnsi="Courier New" w:cs="Courier New"/>
        </w:rPr>
        <w:t xml:space="preserve">The Commissioner subsequently issued Notices of Abatement Determination, dated May 13, 2013, denying Citrix’s </w:t>
      </w:r>
      <w:r w:rsidR="00886233">
        <w:rPr>
          <w:rFonts w:ascii="Courier New" w:hAnsi="Courier New" w:cs="Courier New"/>
        </w:rPr>
        <w:t xml:space="preserve">First Abatement </w:t>
      </w:r>
      <w:r w:rsidR="008E591A">
        <w:rPr>
          <w:rFonts w:ascii="Courier New" w:hAnsi="Courier New" w:cs="Courier New"/>
        </w:rPr>
        <w:t>Application</w:t>
      </w:r>
      <w:r w:rsidR="00886233">
        <w:rPr>
          <w:rFonts w:ascii="Courier New" w:hAnsi="Courier New" w:cs="Courier New"/>
        </w:rPr>
        <w:t>,</w:t>
      </w:r>
      <w:r w:rsidR="008E591A">
        <w:rPr>
          <w:rFonts w:ascii="Courier New" w:hAnsi="Courier New" w:cs="Courier New"/>
        </w:rPr>
        <w:t xml:space="preserve"> and Citrix timely filed a petition with the Board on July 11, 2013.</w:t>
      </w:r>
    </w:p>
    <w:p w14:paraId="212EE339" w14:textId="5F46B5C2" w:rsidR="008E591A" w:rsidRDefault="008E591A" w:rsidP="008E591A">
      <w:pPr>
        <w:spacing w:line="480" w:lineRule="auto"/>
        <w:ind w:firstLine="720"/>
        <w:jc w:val="both"/>
        <w:rPr>
          <w:rFonts w:ascii="Courier New" w:hAnsi="Courier New" w:cs="Courier New"/>
        </w:rPr>
      </w:pPr>
      <w:r>
        <w:rPr>
          <w:rFonts w:ascii="Courier New" w:hAnsi="Courier New" w:cs="Courier New"/>
        </w:rPr>
        <w:t>For the periods ended October 31, 2009 through December 31, 20</w:t>
      </w:r>
      <w:r w:rsidR="00494FBB">
        <w:rPr>
          <w:rFonts w:ascii="Courier New" w:hAnsi="Courier New" w:cs="Courier New"/>
        </w:rPr>
        <w:t>1</w:t>
      </w:r>
      <w:r>
        <w:rPr>
          <w:rFonts w:ascii="Courier New" w:hAnsi="Courier New" w:cs="Courier New"/>
        </w:rPr>
        <w:t>1, the Commissioner issued a Notice of Intent to Assess dated February 8, 2014 (“Second NIA”) and a Notice of Assessment dated March 18, 2014 (“Second NOA”). Citrix filed a Form CA-6</w:t>
      </w:r>
      <w:r w:rsidR="00494FBB">
        <w:rPr>
          <w:rFonts w:ascii="Courier New" w:hAnsi="Courier New" w:cs="Courier New"/>
        </w:rPr>
        <w:t>,</w:t>
      </w:r>
      <w:r>
        <w:rPr>
          <w:rFonts w:ascii="Courier New" w:hAnsi="Courier New" w:cs="Courier New"/>
        </w:rPr>
        <w:t xml:space="preserve"> Application for Abatement</w:t>
      </w:r>
      <w:r w:rsidR="00C648FD">
        <w:rPr>
          <w:rFonts w:ascii="Courier New" w:hAnsi="Courier New" w:cs="Courier New"/>
        </w:rPr>
        <w:t>/Amended Return</w:t>
      </w:r>
      <w:r>
        <w:rPr>
          <w:rFonts w:ascii="Courier New" w:hAnsi="Courier New" w:cs="Courier New"/>
        </w:rPr>
        <w:t xml:space="preserve"> for the periods relating to the Second NOA on April 8, 201</w:t>
      </w:r>
      <w:r w:rsidR="00886233">
        <w:rPr>
          <w:rFonts w:ascii="Courier New" w:hAnsi="Courier New" w:cs="Courier New"/>
        </w:rPr>
        <w:t xml:space="preserve">4 (“Second Abatement Application”), and the Commissioner issued </w:t>
      </w:r>
      <w:r>
        <w:rPr>
          <w:rFonts w:ascii="Courier New" w:hAnsi="Courier New" w:cs="Courier New"/>
        </w:rPr>
        <w:t>Notice</w:t>
      </w:r>
      <w:r w:rsidR="00886233">
        <w:rPr>
          <w:rFonts w:ascii="Courier New" w:hAnsi="Courier New" w:cs="Courier New"/>
        </w:rPr>
        <w:t>s</w:t>
      </w:r>
      <w:r>
        <w:rPr>
          <w:rFonts w:ascii="Courier New" w:hAnsi="Courier New" w:cs="Courier New"/>
        </w:rPr>
        <w:t xml:space="preserve"> of Abatement Deter</w:t>
      </w:r>
      <w:r w:rsidR="00886233">
        <w:rPr>
          <w:rFonts w:ascii="Courier New" w:hAnsi="Courier New" w:cs="Courier New"/>
        </w:rPr>
        <w:t xml:space="preserve">mination </w:t>
      </w:r>
      <w:r>
        <w:rPr>
          <w:rFonts w:ascii="Courier New" w:hAnsi="Courier New" w:cs="Courier New"/>
        </w:rPr>
        <w:t xml:space="preserve">denying Citrix’s </w:t>
      </w:r>
      <w:r w:rsidR="00886233">
        <w:rPr>
          <w:rFonts w:ascii="Courier New" w:hAnsi="Courier New" w:cs="Courier New"/>
        </w:rPr>
        <w:t>Second A</w:t>
      </w:r>
      <w:r>
        <w:rPr>
          <w:rFonts w:ascii="Courier New" w:hAnsi="Courier New" w:cs="Courier New"/>
        </w:rPr>
        <w:t>batement</w:t>
      </w:r>
      <w:r w:rsidR="00886233">
        <w:rPr>
          <w:rFonts w:ascii="Courier New" w:hAnsi="Courier New" w:cs="Courier New"/>
        </w:rPr>
        <w:t xml:space="preserve"> Application dated August 1, 2014.</w:t>
      </w:r>
      <w:r>
        <w:rPr>
          <w:rFonts w:ascii="Courier New" w:hAnsi="Courier New" w:cs="Courier New"/>
        </w:rPr>
        <w:t xml:space="preserve"> </w:t>
      </w:r>
      <w:r w:rsidR="00886233">
        <w:rPr>
          <w:rFonts w:ascii="Courier New" w:hAnsi="Courier New" w:cs="Courier New"/>
        </w:rPr>
        <w:t>C</w:t>
      </w:r>
      <w:r>
        <w:rPr>
          <w:rFonts w:ascii="Courier New" w:hAnsi="Courier New" w:cs="Courier New"/>
        </w:rPr>
        <w:t xml:space="preserve">itrix timely filed a petition with the Board on </w:t>
      </w:r>
      <w:r w:rsidR="00886233">
        <w:rPr>
          <w:rFonts w:ascii="Courier New" w:hAnsi="Courier New" w:cs="Courier New"/>
        </w:rPr>
        <w:t>September 15, 2014.</w:t>
      </w:r>
    </w:p>
    <w:p w14:paraId="67B3F91B" w14:textId="24BBC0BC" w:rsidR="00591208" w:rsidRDefault="0022070D" w:rsidP="00804480">
      <w:pPr>
        <w:spacing w:line="480" w:lineRule="auto"/>
        <w:ind w:firstLine="720"/>
        <w:jc w:val="both"/>
        <w:rPr>
          <w:rFonts w:ascii="Courier New" w:hAnsi="Courier New" w:cs="Courier New"/>
        </w:rPr>
      </w:pPr>
      <w:r>
        <w:rPr>
          <w:rFonts w:ascii="Courier New" w:hAnsi="Courier New" w:cs="Courier New"/>
        </w:rPr>
        <w:t>Based on the foregoing, the Board found and ruled that it had jurisdiction to hear and decide th</w:t>
      </w:r>
      <w:r w:rsidR="001A3FDB">
        <w:rPr>
          <w:rFonts w:ascii="Courier New" w:hAnsi="Courier New" w:cs="Courier New"/>
        </w:rPr>
        <w:t>ese</w:t>
      </w:r>
      <w:r>
        <w:rPr>
          <w:rFonts w:ascii="Courier New" w:hAnsi="Courier New" w:cs="Courier New"/>
        </w:rPr>
        <w:t xml:space="preserve"> appeal</w:t>
      </w:r>
      <w:r w:rsidR="001A3FDB">
        <w:rPr>
          <w:rFonts w:ascii="Courier New" w:hAnsi="Courier New" w:cs="Courier New"/>
        </w:rPr>
        <w:t>s</w:t>
      </w:r>
      <w:r>
        <w:rPr>
          <w:rFonts w:ascii="Courier New" w:hAnsi="Courier New" w:cs="Courier New"/>
        </w:rPr>
        <w:t>.</w:t>
      </w:r>
    </w:p>
    <w:p w14:paraId="7E686A27" w14:textId="77777777" w:rsidR="0070131B" w:rsidRDefault="00591208" w:rsidP="00E21BDA">
      <w:pPr>
        <w:spacing w:line="480" w:lineRule="auto"/>
        <w:jc w:val="both"/>
        <w:rPr>
          <w:rFonts w:ascii="Courier New" w:hAnsi="Courier New" w:cs="Courier New"/>
          <w:b/>
          <w:u w:val="single"/>
        </w:rPr>
      </w:pPr>
      <w:r w:rsidRPr="00591208">
        <w:rPr>
          <w:rFonts w:ascii="Courier New" w:hAnsi="Courier New" w:cs="Courier New"/>
          <w:b/>
          <w:u w:val="single"/>
        </w:rPr>
        <w:t>Factu</w:t>
      </w:r>
      <w:r w:rsidR="00E21BDA">
        <w:rPr>
          <w:rFonts w:ascii="Courier New" w:hAnsi="Courier New" w:cs="Courier New"/>
          <w:b/>
          <w:u w:val="single"/>
        </w:rPr>
        <w:t xml:space="preserve">al </w:t>
      </w:r>
      <w:r w:rsidR="0070131B" w:rsidRPr="0070131B">
        <w:rPr>
          <w:rFonts w:ascii="Courier New" w:hAnsi="Courier New" w:cs="Courier New"/>
          <w:b/>
          <w:u w:val="single"/>
        </w:rPr>
        <w:t>Background</w:t>
      </w:r>
    </w:p>
    <w:p w14:paraId="304F1B30" w14:textId="3CD7BC76" w:rsidR="006B51FB" w:rsidRDefault="0032376C" w:rsidP="006D14DE">
      <w:pPr>
        <w:spacing w:line="480" w:lineRule="auto"/>
        <w:ind w:firstLine="720"/>
        <w:jc w:val="both"/>
        <w:rPr>
          <w:rFonts w:ascii="Courier New" w:hAnsi="Courier New" w:cs="Courier New"/>
        </w:rPr>
      </w:pPr>
      <w:r>
        <w:rPr>
          <w:rFonts w:ascii="Courier New" w:hAnsi="Courier New" w:cs="Courier New"/>
        </w:rPr>
        <w:t>The tax at issue in these appeals was assessed by the Commissioner on Citrix</w:t>
      </w:r>
      <w:r w:rsidR="001A3FDB">
        <w:rPr>
          <w:rFonts w:ascii="Courier New" w:hAnsi="Courier New" w:cs="Courier New"/>
        </w:rPr>
        <w:t>’s sales</w:t>
      </w:r>
      <w:r>
        <w:rPr>
          <w:rFonts w:ascii="Courier New" w:hAnsi="Courier New" w:cs="Courier New"/>
        </w:rPr>
        <w:t xml:space="preserve"> of three online software products, “GoToMyPC,” “</w:t>
      </w:r>
      <w:proofErr w:type="spellStart"/>
      <w:r>
        <w:rPr>
          <w:rFonts w:ascii="Courier New" w:hAnsi="Courier New" w:cs="Courier New"/>
        </w:rPr>
        <w:t>GoToAssist</w:t>
      </w:r>
      <w:proofErr w:type="spellEnd"/>
      <w:r>
        <w:rPr>
          <w:rFonts w:ascii="Courier New" w:hAnsi="Courier New" w:cs="Courier New"/>
        </w:rPr>
        <w:t xml:space="preserve">,” and “GoToMeeting” (collectively, the “Online Products”). </w:t>
      </w:r>
      <w:r w:rsidR="00FF455A">
        <w:rPr>
          <w:rFonts w:ascii="Courier New" w:hAnsi="Courier New" w:cs="Courier New"/>
        </w:rPr>
        <w:t xml:space="preserve">While the specific features of the Online Products vary, they share certain </w:t>
      </w:r>
      <w:r w:rsidR="00BD79AB">
        <w:rPr>
          <w:rFonts w:ascii="Courier New" w:hAnsi="Courier New" w:cs="Courier New"/>
        </w:rPr>
        <w:t>characteristics</w:t>
      </w:r>
      <w:r w:rsidR="00FF455A">
        <w:rPr>
          <w:rFonts w:ascii="Courier New" w:hAnsi="Courier New" w:cs="Courier New"/>
        </w:rPr>
        <w:t>. In particular, e</w:t>
      </w:r>
      <w:r>
        <w:rPr>
          <w:rFonts w:ascii="Courier New" w:hAnsi="Courier New" w:cs="Courier New"/>
        </w:rPr>
        <w:t xml:space="preserve">ach of the Online </w:t>
      </w:r>
      <w:r>
        <w:rPr>
          <w:rFonts w:ascii="Courier New" w:hAnsi="Courier New" w:cs="Courier New"/>
        </w:rPr>
        <w:lastRenderedPageBreak/>
        <w:t xml:space="preserve">Products, which </w:t>
      </w:r>
      <w:r w:rsidR="006B51FB">
        <w:rPr>
          <w:rFonts w:ascii="Courier New" w:hAnsi="Courier New" w:cs="Courier New"/>
        </w:rPr>
        <w:t>are</w:t>
      </w:r>
      <w:r>
        <w:rPr>
          <w:rFonts w:ascii="Courier New" w:hAnsi="Courier New" w:cs="Courier New"/>
        </w:rPr>
        <w:t xml:space="preserve"> </w:t>
      </w:r>
      <w:r w:rsidR="006B51FB">
        <w:rPr>
          <w:rFonts w:ascii="Courier New" w:hAnsi="Courier New" w:cs="Courier New"/>
        </w:rPr>
        <w:t xml:space="preserve">described </w:t>
      </w:r>
      <w:r>
        <w:rPr>
          <w:rFonts w:ascii="Courier New" w:hAnsi="Courier New" w:cs="Courier New"/>
        </w:rPr>
        <w:t xml:space="preserve">in detail below, </w:t>
      </w:r>
      <w:r w:rsidR="00BD79AB">
        <w:rPr>
          <w:rFonts w:ascii="Courier New" w:hAnsi="Courier New" w:cs="Courier New"/>
        </w:rPr>
        <w:t xml:space="preserve">creates and </w:t>
      </w:r>
      <w:r>
        <w:rPr>
          <w:rFonts w:ascii="Courier New" w:hAnsi="Courier New" w:cs="Courier New"/>
        </w:rPr>
        <w:t>maintain</w:t>
      </w:r>
      <w:r w:rsidR="00BD79AB">
        <w:rPr>
          <w:rFonts w:ascii="Courier New" w:hAnsi="Courier New" w:cs="Courier New"/>
        </w:rPr>
        <w:t>s</w:t>
      </w:r>
      <w:r>
        <w:rPr>
          <w:rFonts w:ascii="Courier New" w:hAnsi="Courier New" w:cs="Courier New"/>
        </w:rPr>
        <w:t xml:space="preserve"> a screen-sharing connection between a host computer and one or more remote computers</w:t>
      </w:r>
      <w:r w:rsidR="0083123C">
        <w:rPr>
          <w:rFonts w:ascii="Courier New" w:hAnsi="Courier New" w:cs="Courier New"/>
        </w:rPr>
        <w:t>, all of which</w:t>
      </w:r>
      <w:r>
        <w:rPr>
          <w:rFonts w:ascii="Courier New" w:hAnsi="Courier New" w:cs="Courier New"/>
        </w:rPr>
        <w:t xml:space="preserve"> are connected to the internet.</w:t>
      </w:r>
      <w:r w:rsidR="00BD79AB">
        <w:rPr>
          <w:rFonts w:ascii="Courier New" w:hAnsi="Courier New" w:cs="Courier New"/>
        </w:rPr>
        <w:t xml:space="preserve"> The host computer must have and run its own operating system and software applications, and the screen-sharing connection allows the user of the remote computer to see the screen output of the host computer and, if applicable, to share access to input control via keyboard and a pointing device</w:t>
      </w:r>
      <w:r w:rsidR="009E3610">
        <w:rPr>
          <w:rFonts w:ascii="Courier New" w:hAnsi="Courier New" w:cs="Courier New"/>
        </w:rPr>
        <w:t>.</w:t>
      </w:r>
      <w:r w:rsidR="006B51FB">
        <w:rPr>
          <w:rFonts w:ascii="Courier New" w:hAnsi="Courier New" w:cs="Courier New"/>
        </w:rPr>
        <w:t xml:space="preserve"> The host computer and remote computer may both be owned or controlled by a Citrix customer, or one may be owned or controlled by a third party who is not a Citrix customer.</w:t>
      </w:r>
      <w:r w:rsidR="008328D3">
        <w:rPr>
          <w:rFonts w:ascii="Courier New" w:hAnsi="Courier New" w:cs="Courier New"/>
        </w:rPr>
        <w:t xml:space="preserve"> The Online Products</w:t>
      </w:r>
      <w:r w:rsidR="00D075D5">
        <w:rPr>
          <w:rFonts w:ascii="Courier New" w:hAnsi="Courier New" w:cs="Courier New"/>
        </w:rPr>
        <w:t xml:space="preserve">, </w:t>
      </w:r>
      <w:r w:rsidR="00B31200">
        <w:rPr>
          <w:rFonts w:ascii="Courier New" w:hAnsi="Courier New" w:cs="Courier New"/>
        </w:rPr>
        <w:t xml:space="preserve">which the parties agree constitute software within the meaning of </w:t>
      </w:r>
      <w:r w:rsidR="001A3FDB">
        <w:rPr>
          <w:rFonts w:ascii="Courier New" w:hAnsi="Courier New" w:cs="Courier New"/>
        </w:rPr>
        <w:t xml:space="preserve">General </w:t>
      </w:r>
      <w:proofErr w:type="gramStart"/>
      <w:r w:rsidR="001A3FDB">
        <w:rPr>
          <w:rFonts w:ascii="Courier New" w:hAnsi="Courier New" w:cs="Courier New"/>
        </w:rPr>
        <w:t>Laws</w:t>
      </w:r>
      <w:proofErr w:type="gramEnd"/>
      <w:r w:rsidR="001A3FDB">
        <w:rPr>
          <w:rFonts w:ascii="Courier New" w:hAnsi="Courier New" w:cs="Courier New"/>
        </w:rPr>
        <w:t xml:space="preserve"> chapter 64H (“</w:t>
      </w:r>
      <w:r w:rsidR="00B31200">
        <w:rPr>
          <w:rFonts w:ascii="Courier New" w:hAnsi="Courier New" w:cs="Courier New"/>
        </w:rPr>
        <w:t>Chapter 64H</w:t>
      </w:r>
      <w:r w:rsidR="001A3FDB">
        <w:rPr>
          <w:rFonts w:ascii="Courier New" w:hAnsi="Courier New" w:cs="Courier New"/>
        </w:rPr>
        <w:t>”)</w:t>
      </w:r>
      <w:r w:rsidR="00D075D5">
        <w:rPr>
          <w:rFonts w:ascii="Courier New" w:hAnsi="Courier New" w:cs="Courier New"/>
        </w:rPr>
        <w:t>,</w:t>
      </w:r>
      <w:r w:rsidR="008328D3">
        <w:rPr>
          <w:rFonts w:ascii="Courier New" w:hAnsi="Courier New" w:cs="Courier New"/>
        </w:rPr>
        <w:t xml:space="preserve"> are not customized for individual customers</w:t>
      </w:r>
      <w:r w:rsidR="001A3FDB">
        <w:rPr>
          <w:rFonts w:ascii="Courier New" w:hAnsi="Courier New" w:cs="Courier New"/>
        </w:rPr>
        <w:t xml:space="preserve"> in any way</w:t>
      </w:r>
      <w:r w:rsidR="00B31200">
        <w:rPr>
          <w:rFonts w:ascii="Courier New" w:hAnsi="Courier New" w:cs="Courier New"/>
        </w:rPr>
        <w:t>.</w:t>
      </w:r>
      <w:r w:rsidR="006B51FB">
        <w:rPr>
          <w:rFonts w:ascii="Courier New" w:hAnsi="Courier New" w:cs="Courier New"/>
        </w:rPr>
        <w:t xml:space="preserve"> </w:t>
      </w:r>
      <w:r w:rsidR="00B31200">
        <w:rPr>
          <w:rFonts w:ascii="Courier New" w:hAnsi="Courier New" w:cs="Courier New"/>
        </w:rPr>
        <w:t>Customers may purchase certain options designed to enhance their user experience</w:t>
      </w:r>
      <w:r w:rsidR="00021E74">
        <w:rPr>
          <w:rFonts w:ascii="Courier New" w:hAnsi="Courier New" w:cs="Courier New"/>
        </w:rPr>
        <w:t>.</w:t>
      </w:r>
      <w:r w:rsidR="00B31200">
        <w:rPr>
          <w:rFonts w:ascii="Courier New" w:hAnsi="Courier New" w:cs="Courier New"/>
        </w:rPr>
        <w:t xml:space="preserve"> </w:t>
      </w:r>
      <w:r w:rsidR="00021E74">
        <w:rPr>
          <w:rFonts w:ascii="Courier New" w:hAnsi="Courier New" w:cs="Courier New"/>
        </w:rPr>
        <w:t>T</w:t>
      </w:r>
      <w:r w:rsidR="00B31200">
        <w:rPr>
          <w:rFonts w:ascii="Courier New" w:hAnsi="Courier New" w:cs="Courier New"/>
        </w:rPr>
        <w:t xml:space="preserve">he options, like the </w:t>
      </w:r>
      <w:r w:rsidR="00021E74">
        <w:rPr>
          <w:rFonts w:ascii="Courier New" w:hAnsi="Courier New" w:cs="Courier New"/>
        </w:rPr>
        <w:t>basic Online Products</w:t>
      </w:r>
      <w:r w:rsidR="00B31200">
        <w:rPr>
          <w:rFonts w:ascii="Courier New" w:hAnsi="Courier New" w:cs="Courier New"/>
        </w:rPr>
        <w:t>, are not customized for individual customers.</w:t>
      </w:r>
    </w:p>
    <w:p w14:paraId="403C5686" w14:textId="18C2708A" w:rsidR="00435F83" w:rsidRDefault="006B51FB" w:rsidP="006D14DE">
      <w:pPr>
        <w:spacing w:line="480" w:lineRule="auto"/>
        <w:ind w:firstLine="720"/>
        <w:jc w:val="both"/>
        <w:rPr>
          <w:rFonts w:ascii="Courier New" w:hAnsi="Courier New" w:cs="Courier New"/>
        </w:rPr>
      </w:pPr>
      <w:r>
        <w:rPr>
          <w:rFonts w:ascii="Courier New" w:hAnsi="Courier New" w:cs="Courier New"/>
        </w:rPr>
        <w:t>Citrix sells the Online Products in a subscription format and customers pay monthly or annual subscription fees in exchange for unlimited acces</w:t>
      </w:r>
      <w:r w:rsidR="00D72A42">
        <w:rPr>
          <w:rFonts w:ascii="Courier New" w:hAnsi="Courier New" w:cs="Courier New"/>
        </w:rPr>
        <w:t>s</w:t>
      </w:r>
      <w:r w:rsidR="009E3610">
        <w:rPr>
          <w:rFonts w:ascii="Courier New" w:hAnsi="Courier New" w:cs="Courier New"/>
        </w:rPr>
        <w:t xml:space="preserve"> to the product</w:t>
      </w:r>
      <w:r w:rsidR="00494FBB">
        <w:rPr>
          <w:rFonts w:ascii="Courier New" w:hAnsi="Courier New" w:cs="Courier New"/>
        </w:rPr>
        <w:t>s</w:t>
      </w:r>
      <w:r w:rsidR="00D72A42">
        <w:rPr>
          <w:rFonts w:ascii="Courier New" w:hAnsi="Courier New" w:cs="Courier New"/>
        </w:rPr>
        <w:t xml:space="preserve"> </w:t>
      </w:r>
      <w:r>
        <w:rPr>
          <w:rFonts w:ascii="Courier New" w:hAnsi="Courier New" w:cs="Courier New"/>
        </w:rPr>
        <w:t>during the subscription period</w:t>
      </w:r>
      <w:r w:rsidR="00FF455A">
        <w:rPr>
          <w:rFonts w:ascii="Courier New" w:hAnsi="Courier New" w:cs="Courier New"/>
        </w:rPr>
        <w:t>.</w:t>
      </w:r>
      <w:r w:rsidR="008328D3">
        <w:rPr>
          <w:rFonts w:ascii="Courier New" w:hAnsi="Courier New" w:cs="Courier New"/>
        </w:rPr>
        <w:t xml:space="preserve"> To purchase a subscription, a customer executes a Master Subscription Agreement</w:t>
      </w:r>
      <w:r w:rsidR="00352044">
        <w:rPr>
          <w:rFonts w:ascii="Courier New" w:hAnsi="Courier New" w:cs="Courier New"/>
        </w:rPr>
        <w:t xml:space="preserve"> (“</w:t>
      </w:r>
      <w:r w:rsidR="00435F83">
        <w:rPr>
          <w:rFonts w:ascii="Courier New" w:hAnsi="Courier New" w:cs="Courier New"/>
        </w:rPr>
        <w:t>S</w:t>
      </w:r>
      <w:r w:rsidR="00352044">
        <w:rPr>
          <w:rFonts w:ascii="Courier New" w:hAnsi="Courier New" w:cs="Courier New"/>
        </w:rPr>
        <w:t xml:space="preserve">ales </w:t>
      </w:r>
      <w:r w:rsidR="00021E74">
        <w:rPr>
          <w:rFonts w:ascii="Courier New" w:hAnsi="Courier New" w:cs="Courier New"/>
        </w:rPr>
        <w:t>Agreement</w:t>
      </w:r>
      <w:r w:rsidR="00352044">
        <w:rPr>
          <w:rFonts w:ascii="Courier New" w:hAnsi="Courier New" w:cs="Courier New"/>
        </w:rPr>
        <w:t>”)</w:t>
      </w:r>
      <w:r w:rsidR="008328D3">
        <w:rPr>
          <w:rFonts w:ascii="Courier New" w:hAnsi="Courier New" w:cs="Courier New"/>
        </w:rPr>
        <w:t xml:space="preserve"> that reflects the Online Product</w:t>
      </w:r>
      <w:r w:rsidR="001E7B36">
        <w:rPr>
          <w:rFonts w:ascii="Courier New" w:hAnsi="Courier New" w:cs="Courier New"/>
        </w:rPr>
        <w:t>(</w:t>
      </w:r>
      <w:r w:rsidR="008328D3">
        <w:rPr>
          <w:rFonts w:ascii="Courier New" w:hAnsi="Courier New" w:cs="Courier New"/>
        </w:rPr>
        <w:t>s</w:t>
      </w:r>
      <w:r w:rsidR="001E7B36">
        <w:rPr>
          <w:rFonts w:ascii="Courier New" w:hAnsi="Courier New" w:cs="Courier New"/>
        </w:rPr>
        <w:t>)</w:t>
      </w:r>
      <w:r w:rsidR="008328D3">
        <w:rPr>
          <w:rFonts w:ascii="Courier New" w:hAnsi="Courier New" w:cs="Courier New"/>
        </w:rPr>
        <w:t xml:space="preserve"> </w:t>
      </w:r>
      <w:r w:rsidR="001E7B36">
        <w:rPr>
          <w:rFonts w:ascii="Courier New" w:hAnsi="Courier New" w:cs="Courier New"/>
        </w:rPr>
        <w:t xml:space="preserve">that have </w:t>
      </w:r>
      <w:r w:rsidR="008328D3">
        <w:rPr>
          <w:rFonts w:ascii="Courier New" w:hAnsi="Courier New" w:cs="Courier New"/>
        </w:rPr>
        <w:lastRenderedPageBreak/>
        <w:t>been selected, the monthly or annual subscription fee</w:t>
      </w:r>
      <w:r w:rsidR="00C648FD">
        <w:rPr>
          <w:rFonts w:ascii="Courier New" w:hAnsi="Courier New" w:cs="Courier New"/>
        </w:rPr>
        <w:t>,</w:t>
      </w:r>
      <w:r w:rsidR="008328D3">
        <w:rPr>
          <w:rFonts w:ascii="Courier New" w:hAnsi="Courier New" w:cs="Courier New"/>
        </w:rPr>
        <w:t xml:space="preserve"> and the number of authorized users.</w:t>
      </w:r>
      <w:r w:rsidR="001A6E81">
        <w:rPr>
          <w:rStyle w:val="FootnoteReference"/>
          <w:rFonts w:ascii="Courier New" w:hAnsi="Courier New" w:cs="Courier New"/>
        </w:rPr>
        <w:footnoteReference w:id="4"/>
      </w:r>
      <w:r w:rsidR="00BE2701">
        <w:rPr>
          <w:rFonts w:ascii="Courier New" w:hAnsi="Courier New" w:cs="Courier New"/>
        </w:rPr>
        <w:t xml:space="preserve"> The </w:t>
      </w:r>
      <w:r w:rsidR="0083123C">
        <w:rPr>
          <w:rFonts w:ascii="Courier New" w:hAnsi="Courier New" w:cs="Courier New"/>
        </w:rPr>
        <w:t>S</w:t>
      </w:r>
      <w:r w:rsidR="00BE2701">
        <w:rPr>
          <w:rFonts w:ascii="Courier New" w:hAnsi="Courier New" w:cs="Courier New"/>
        </w:rPr>
        <w:t xml:space="preserve">ales </w:t>
      </w:r>
      <w:r w:rsidR="0083123C">
        <w:rPr>
          <w:rFonts w:ascii="Courier New" w:hAnsi="Courier New" w:cs="Courier New"/>
        </w:rPr>
        <w:t>Agreement</w:t>
      </w:r>
      <w:r w:rsidR="00BE2701">
        <w:rPr>
          <w:rFonts w:ascii="Courier New" w:hAnsi="Courier New" w:cs="Courier New"/>
        </w:rPr>
        <w:t xml:space="preserve"> documents specify that by purchasing a Citrix </w:t>
      </w:r>
      <w:r w:rsidR="00494FBB">
        <w:rPr>
          <w:rFonts w:ascii="Courier New" w:hAnsi="Courier New" w:cs="Courier New"/>
        </w:rPr>
        <w:t>s</w:t>
      </w:r>
      <w:r w:rsidR="00BE2701">
        <w:rPr>
          <w:rFonts w:ascii="Courier New" w:hAnsi="Courier New" w:cs="Courier New"/>
        </w:rPr>
        <w:t xml:space="preserve">ubscription, the “customer may access and use” the </w:t>
      </w:r>
      <w:r w:rsidR="0083123C">
        <w:rPr>
          <w:rFonts w:ascii="Courier New" w:hAnsi="Courier New" w:cs="Courier New"/>
        </w:rPr>
        <w:t>chosen Online Product(s)</w:t>
      </w:r>
      <w:r w:rsidR="00BE2701">
        <w:rPr>
          <w:rFonts w:ascii="Courier New" w:hAnsi="Courier New" w:cs="Courier New"/>
        </w:rPr>
        <w:t>.</w:t>
      </w:r>
      <w:r w:rsidR="0083123C">
        <w:rPr>
          <w:rFonts w:ascii="Courier New" w:hAnsi="Courier New" w:cs="Courier New"/>
        </w:rPr>
        <w:t xml:space="preserve"> Citrix also provides customer service as part of the relationship, typically by telephone or other electronic communication.</w:t>
      </w:r>
    </w:p>
    <w:p w14:paraId="69B7B178" w14:textId="7ECCF609" w:rsidR="00FF455A" w:rsidRPr="00435F83" w:rsidRDefault="00435F83" w:rsidP="006D14DE">
      <w:pPr>
        <w:spacing w:line="480" w:lineRule="auto"/>
        <w:ind w:firstLine="720"/>
        <w:jc w:val="both"/>
        <w:rPr>
          <w:rFonts w:ascii="Courier New" w:hAnsi="Courier New" w:cs="Courier New"/>
          <w:u w:val="single"/>
        </w:rPr>
      </w:pPr>
      <w:r w:rsidRPr="00435F83">
        <w:rPr>
          <w:rFonts w:ascii="Courier New" w:hAnsi="Courier New" w:cs="Courier New"/>
          <w:u w:val="single"/>
        </w:rPr>
        <w:t>The Online Products</w:t>
      </w:r>
      <w:r w:rsidR="008328D3" w:rsidRPr="00435F83">
        <w:rPr>
          <w:rFonts w:ascii="Courier New" w:hAnsi="Courier New" w:cs="Courier New"/>
          <w:u w:val="single"/>
        </w:rPr>
        <w:t xml:space="preserve"> </w:t>
      </w:r>
    </w:p>
    <w:p w14:paraId="4848B505" w14:textId="3A4DCE36" w:rsidR="00804480" w:rsidRDefault="00FF455A" w:rsidP="006D14DE">
      <w:pPr>
        <w:spacing w:line="480" w:lineRule="auto"/>
        <w:ind w:firstLine="720"/>
        <w:jc w:val="both"/>
        <w:rPr>
          <w:rFonts w:ascii="Courier New" w:hAnsi="Courier New" w:cs="Courier New"/>
        </w:rPr>
      </w:pPr>
      <w:r w:rsidRPr="00435F83">
        <w:rPr>
          <w:rFonts w:ascii="Courier New" w:hAnsi="Courier New" w:cs="Courier New"/>
        </w:rPr>
        <w:t>GoToMyPC</w:t>
      </w:r>
      <w:r w:rsidR="006B51FB" w:rsidRPr="00435F83">
        <w:rPr>
          <w:rFonts w:ascii="Courier New" w:hAnsi="Courier New" w:cs="Courier New"/>
        </w:rPr>
        <w:t xml:space="preserve"> </w:t>
      </w:r>
      <w:r w:rsidR="00FC2F53" w:rsidRPr="00FC2F53">
        <w:rPr>
          <w:rFonts w:ascii="Courier New" w:hAnsi="Courier New" w:cs="Courier New"/>
        </w:rPr>
        <w:t xml:space="preserve">is </w:t>
      </w:r>
      <w:r w:rsidR="0048390F">
        <w:rPr>
          <w:rFonts w:ascii="Courier New" w:hAnsi="Courier New" w:cs="Courier New"/>
        </w:rPr>
        <w:t xml:space="preserve">Citrix’s </w:t>
      </w:r>
      <w:r w:rsidR="00FC2F53" w:rsidRPr="00FC2F53">
        <w:rPr>
          <w:rFonts w:ascii="Courier New" w:hAnsi="Courier New" w:cs="Courier New"/>
        </w:rPr>
        <w:t xml:space="preserve">online remote access </w:t>
      </w:r>
      <w:r w:rsidR="0048390F">
        <w:rPr>
          <w:rFonts w:ascii="Courier New" w:hAnsi="Courier New" w:cs="Courier New"/>
        </w:rPr>
        <w:t xml:space="preserve">software </w:t>
      </w:r>
      <w:r w:rsidR="00FC2F53" w:rsidRPr="00FC2F53">
        <w:rPr>
          <w:rFonts w:ascii="Courier New" w:hAnsi="Courier New" w:cs="Courier New"/>
        </w:rPr>
        <w:t xml:space="preserve">product that allows </w:t>
      </w:r>
      <w:r w:rsidR="0083123C">
        <w:rPr>
          <w:rFonts w:ascii="Courier New" w:hAnsi="Courier New" w:cs="Courier New"/>
        </w:rPr>
        <w:t xml:space="preserve">a </w:t>
      </w:r>
      <w:r w:rsidR="00FC2F53" w:rsidRPr="00FC2F53">
        <w:rPr>
          <w:rFonts w:ascii="Courier New" w:hAnsi="Courier New" w:cs="Courier New"/>
        </w:rPr>
        <w:t xml:space="preserve">user to securely access and operate </w:t>
      </w:r>
      <w:r w:rsidR="0083123C">
        <w:rPr>
          <w:rFonts w:ascii="Courier New" w:hAnsi="Courier New" w:cs="Courier New"/>
        </w:rPr>
        <w:t>his or her</w:t>
      </w:r>
      <w:r w:rsidR="00FC2F53" w:rsidRPr="00FC2F53">
        <w:rPr>
          <w:rFonts w:ascii="Courier New" w:hAnsi="Courier New" w:cs="Courier New"/>
        </w:rPr>
        <w:t xml:space="preserve"> personal computer</w:t>
      </w:r>
      <w:r w:rsidR="00920D6E">
        <w:rPr>
          <w:rFonts w:ascii="Courier New" w:hAnsi="Courier New" w:cs="Courier New"/>
        </w:rPr>
        <w:t xml:space="preserve"> (commonly referred to as the “host computer”)</w:t>
      </w:r>
      <w:r w:rsidR="00FC2F53" w:rsidRPr="00FC2F53">
        <w:rPr>
          <w:rFonts w:ascii="Courier New" w:hAnsi="Courier New" w:cs="Courier New"/>
        </w:rPr>
        <w:t xml:space="preserve"> from a remote location or device that securely con</w:t>
      </w:r>
      <w:r w:rsidR="00FC2F53">
        <w:rPr>
          <w:rFonts w:ascii="Courier New" w:hAnsi="Courier New" w:cs="Courier New"/>
        </w:rPr>
        <w:t>nects to the user’s computer through Citr</w:t>
      </w:r>
      <w:r w:rsidR="00191E02">
        <w:rPr>
          <w:rFonts w:ascii="Courier New" w:hAnsi="Courier New" w:cs="Courier New"/>
        </w:rPr>
        <w:t>i</w:t>
      </w:r>
      <w:r w:rsidR="00FC2F53">
        <w:rPr>
          <w:rFonts w:ascii="Courier New" w:hAnsi="Courier New" w:cs="Courier New"/>
        </w:rPr>
        <w:t>x’s web servers. Both the host computer and the remote computer or device are typically owned or controlled by the customer.</w:t>
      </w:r>
    </w:p>
    <w:p w14:paraId="7CABB509" w14:textId="4DDAFAAD" w:rsidR="00191E02" w:rsidRDefault="0083123C" w:rsidP="006D14DE">
      <w:pPr>
        <w:spacing w:line="480" w:lineRule="auto"/>
        <w:ind w:firstLine="720"/>
        <w:jc w:val="both"/>
        <w:rPr>
          <w:rFonts w:ascii="Courier New" w:hAnsi="Courier New" w:cs="Courier New"/>
        </w:rPr>
      </w:pPr>
      <w:r>
        <w:rPr>
          <w:rFonts w:ascii="Courier New" w:hAnsi="Courier New" w:cs="Courier New"/>
        </w:rPr>
        <w:t xml:space="preserve">As with all the Online </w:t>
      </w:r>
      <w:r w:rsidR="00494FBB">
        <w:rPr>
          <w:rFonts w:ascii="Courier New" w:hAnsi="Courier New" w:cs="Courier New"/>
        </w:rPr>
        <w:t>P</w:t>
      </w:r>
      <w:r>
        <w:rPr>
          <w:rFonts w:ascii="Courier New" w:hAnsi="Courier New" w:cs="Courier New"/>
        </w:rPr>
        <w:t xml:space="preserve">roducts, </w:t>
      </w:r>
      <w:r w:rsidR="00191E02">
        <w:rPr>
          <w:rFonts w:ascii="Courier New" w:hAnsi="Courier New" w:cs="Courier New"/>
        </w:rPr>
        <w:t>Citrix provides GoToMyP</w:t>
      </w:r>
      <w:r w:rsidR="006477DB">
        <w:rPr>
          <w:rFonts w:ascii="Courier New" w:hAnsi="Courier New" w:cs="Courier New"/>
        </w:rPr>
        <w:t>C</w:t>
      </w:r>
      <w:r w:rsidR="00191E02">
        <w:rPr>
          <w:rFonts w:ascii="Courier New" w:hAnsi="Courier New" w:cs="Courier New"/>
        </w:rPr>
        <w:t xml:space="preserve"> principally through proprietary software and a dedicated network of computer hardware. To use the product, a customer installs GoToMyP</w:t>
      </w:r>
      <w:r w:rsidR="006477DB">
        <w:rPr>
          <w:rFonts w:ascii="Courier New" w:hAnsi="Courier New" w:cs="Courier New"/>
        </w:rPr>
        <w:t>C</w:t>
      </w:r>
      <w:r w:rsidR="00191E02">
        <w:rPr>
          <w:rFonts w:ascii="Courier New" w:hAnsi="Courier New" w:cs="Courier New"/>
        </w:rPr>
        <w:t xml:space="preserve"> Endpoint Software</w:t>
      </w:r>
      <w:r w:rsidR="00920D6E">
        <w:rPr>
          <w:rFonts w:ascii="Courier New" w:hAnsi="Courier New" w:cs="Courier New"/>
        </w:rPr>
        <w:t xml:space="preserve"> on both the </w:t>
      </w:r>
      <w:r w:rsidR="00920D6E">
        <w:rPr>
          <w:rFonts w:ascii="Courier New" w:hAnsi="Courier New" w:cs="Courier New"/>
        </w:rPr>
        <w:lastRenderedPageBreak/>
        <w:t>host computer and the remote computer.</w:t>
      </w:r>
      <w:r w:rsidR="00C71825">
        <w:rPr>
          <w:rStyle w:val="FootnoteReference"/>
          <w:rFonts w:ascii="Courier New" w:hAnsi="Courier New" w:cs="Courier New"/>
        </w:rPr>
        <w:footnoteReference w:id="5"/>
      </w:r>
      <w:r w:rsidR="00920D6E">
        <w:rPr>
          <w:rFonts w:ascii="Courier New" w:hAnsi="Courier New" w:cs="Courier New"/>
        </w:rPr>
        <w:t xml:space="preserve"> A customer then initiates a connection to GoToMyP</w:t>
      </w:r>
      <w:r w:rsidR="006477DB">
        <w:rPr>
          <w:rFonts w:ascii="Courier New" w:hAnsi="Courier New" w:cs="Courier New"/>
        </w:rPr>
        <w:t>C</w:t>
      </w:r>
      <w:r w:rsidR="00920D6E">
        <w:rPr>
          <w:rFonts w:ascii="Courier New" w:hAnsi="Courier New" w:cs="Courier New"/>
        </w:rPr>
        <w:t xml:space="preserve"> between the host computer and the remote computer and is able to view the host computer screen and control the host computer using the keyboard and mouse of the remote computer. The user can execute applications that reside on the host computer, such as a word processor or a web-based application that the host </w:t>
      </w:r>
      <w:r w:rsidR="00C775DE">
        <w:rPr>
          <w:rFonts w:ascii="Courier New" w:hAnsi="Courier New" w:cs="Courier New"/>
        </w:rPr>
        <w:t xml:space="preserve">computer </w:t>
      </w:r>
      <w:r w:rsidR="00920D6E">
        <w:rPr>
          <w:rFonts w:ascii="Courier New" w:hAnsi="Courier New" w:cs="Courier New"/>
        </w:rPr>
        <w:t>accesses online.</w:t>
      </w:r>
      <w:r>
        <w:rPr>
          <w:rFonts w:ascii="Courier New" w:hAnsi="Courier New" w:cs="Courier New"/>
        </w:rPr>
        <w:t xml:space="preserve"> </w:t>
      </w:r>
      <w:r w:rsidR="0048390F">
        <w:rPr>
          <w:rFonts w:ascii="Courier New" w:hAnsi="Courier New" w:cs="Courier New"/>
        </w:rPr>
        <w:t>The applications used by a customer through GoToMyP</w:t>
      </w:r>
      <w:r w:rsidR="006477DB">
        <w:rPr>
          <w:rFonts w:ascii="Courier New" w:hAnsi="Courier New" w:cs="Courier New"/>
        </w:rPr>
        <w:t>C</w:t>
      </w:r>
      <w:r w:rsidR="0048390F">
        <w:rPr>
          <w:rFonts w:ascii="Courier New" w:hAnsi="Courier New" w:cs="Courier New"/>
        </w:rPr>
        <w:t xml:space="preserve"> are always located on the host computer or third-party servers, not Citrix’s servers.</w:t>
      </w:r>
    </w:p>
    <w:p w14:paraId="65DF0980" w14:textId="7CB46F65" w:rsidR="0048390F" w:rsidRPr="0048390F" w:rsidRDefault="0048390F" w:rsidP="006D14DE">
      <w:pPr>
        <w:spacing w:line="480" w:lineRule="auto"/>
        <w:ind w:firstLine="720"/>
        <w:jc w:val="both"/>
        <w:rPr>
          <w:rFonts w:ascii="Courier New" w:hAnsi="Courier New" w:cs="Courier New"/>
        </w:rPr>
      </w:pPr>
      <w:proofErr w:type="spellStart"/>
      <w:r w:rsidRPr="00435F83">
        <w:rPr>
          <w:rFonts w:ascii="Courier New" w:hAnsi="Courier New" w:cs="Courier New"/>
        </w:rPr>
        <w:t>GoToAssist</w:t>
      </w:r>
      <w:proofErr w:type="spellEnd"/>
      <w:r w:rsidRPr="00435F83">
        <w:rPr>
          <w:rFonts w:ascii="Courier New" w:hAnsi="Courier New" w:cs="Courier New"/>
        </w:rPr>
        <w:t xml:space="preserve"> </w:t>
      </w:r>
      <w:r w:rsidRPr="0048390F">
        <w:rPr>
          <w:rFonts w:ascii="Courier New" w:hAnsi="Courier New" w:cs="Courier New"/>
        </w:rPr>
        <w:t>is an online</w:t>
      </w:r>
      <w:r w:rsidR="006477DB">
        <w:rPr>
          <w:rFonts w:ascii="Courier New" w:hAnsi="Courier New" w:cs="Courier New"/>
        </w:rPr>
        <w:t>,</w:t>
      </w:r>
      <w:r w:rsidRPr="0048390F">
        <w:rPr>
          <w:rFonts w:ascii="Courier New" w:hAnsi="Courier New" w:cs="Courier New"/>
        </w:rPr>
        <w:t xml:space="preserve"> screen</w:t>
      </w:r>
      <w:r w:rsidR="006477DB">
        <w:rPr>
          <w:rFonts w:ascii="Courier New" w:hAnsi="Courier New" w:cs="Courier New"/>
        </w:rPr>
        <w:t>-</w:t>
      </w:r>
      <w:r w:rsidRPr="0048390F">
        <w:rPr>
          <w:rFonts w:ascii="Courier New" w:hAnsi="Courier New" w:cs="Courier New"/>
        </w:rPr>
        <w:t>sharing software application</w:t>
      </w:r>
      <w:r>
        <w:rPr>
          <w:rFonts w:ascii="Courier New" w:hAnsi="Courier New" w:cs="Courier New"/>
        </w:rPr>
        <w:t xml:space="preserve"> that </w:t>
      </w:r>
      <w:r w:rsidRPr="0048390F">
        <w:rPr>
          <w:rFonts w:ascii="Courier New" w:hAnsi="Courier New" w:cs="Courier New"/>
        </w:rPr>
        <w:t xml:space="preserve">allows </w:t>
      </w:r>
      <w:r>
        <w:rPr>
          <w:rFonts w:ascii="Courier New" w:hAnsi="Courier New" w:cs="Courier New"/>
        </w:rPr>
        <w:t>users to share screen and input control access to a computer in real time to facilitate technical support.</w:t>
      </w:r>
      <w:r w:rsidR="00505867">
        <w:rPr>
          <w:rFonts w:ascii="Courier New" w:hAnsi="Courier New" w:cs="Courier New"/>
        </w:rPr>
        <w:t xml:space="preserve"> </w:t>
      </w:r>
      <w:proofErr w:type="spellStart"/>
      <w:r>
        <w:rPr>
          <w:rFonts w:ascii="Courier New" w:hAnsi="Courier New" w:cs="Courier New"/>
        </w:rPr>
        <w:t>G</w:t>
      </w:r>
      <w:r w:rsidR="00505867">
        <w:rPr>
          <w:rFonts w:ascii="Courier New" w:hAnsi="Courier New" w:cs="Courier New"/>
        </w:rPr>
        <w:t>o</w:t>
      </w:r>
      <w:r>
        <w:rPr>
          <w:rFonts w:ascii="Courier New" w:hAnsi="Courier New" w:cs="Courier New"/>
        </w:rPr>
        <w:t>ToAssist</w:t>
      </w:r>
      <w:proofErr w:type="spellEnd"/>
      <w:r>
        <w:rPr>
          <w:rFonts w:ascii="Courier New" w:hAnsi="Courier New" w:cs="Courier New"/>
        </w:rPr>
        <w:t xml:space="preserve"> customers are typically technical support professionals who use the </w:t>
      </w:r>
      <w:r w:rsidR="0083123C">
        <w:rPr>
          <w:rFonts w:ascii="Courier New" w:hAnsi="Courier New" w:cs="Courier New"/>
        </w:rPr>
        <w:t>product</w:t>
      </w:r>
      <w:r>
        <w:rPr>
          <w:rFonts w:ascii="Courier New" w:hAnsi="Courier New" w:cs="Courier New"/>
        </w:rPr>
        <w:t xml:space="preserve"> to connect with individuals who are in need of remote technical support. During a support session, the support professional can view</w:t>
      </w:r>
      <w:r w:rsidR="00505867">
        <w:rPr>
          <w:rFonts w:ascii="Courier New" w:hAnsi="Courier New" w:cs="Courier New"/>
        </w:rPr>
        <w:t xml:space="preserve"> </w:t>
      </w:r>
      <w:r>
        <w:rPr>
          <w:rFonts w:ascii="Courier New" w:hAnsi="Courier New" w:cs="Courier New"/>
        </w:rPr>
        <w:t>the screen of the support recipient’s computer</w:t>
      </w:r>
      <w:r w:rsidR="00505867">
        <w:rPr>
          <w:rFonts w:ascii="Courier New" w:hAnsi="Courier New" w:cs="Courier New"/>
        </w:rPr>
        <w:t xml:space="preserve"> and exercise keyboard and mouse control over that computer. There are two categories of </w:t>
      </w:r>
      <w:proofErr w:type="spellStart"/>
      <w:r w:rsidR="00505867">
        <w:rPr>
          <w:rFonts w:ascii="Courier New" w:hAnsi="Courier New" w:cs="Courier New"/>
        </w:rPr>
        <w:t>GoToAssist</w:t>
      </w:r>
      <w:proofErr w:type="spellEnd"/>
      <w:r w:rsidR="00505867">
        <w:rPr>
          <w:rFonts w:ascii="Courier New" w:hAnsi="Courier New" w:cs="Courier New"/>
        </w:rPr>
        <w:t xml:space="preserve">: </w:t>
      </w:r>
      <w:proofErr w:type="spellStart"/>
      <w:r w:rsidR="00505867">
        <w:rPr>
          <w:rFonts w:ascii="Courier New" w:hAnsi="Courier New" w:cs="Courier New"/>
        </w:rPr>
        <w:t>GoToAssist</w:t>
      </w:r>
      <w:proofErr w:type="spellEnd"/>
      <w:r w:rsidR="00505867">
        <w:rPr>
          <w:rFonts w:ascii="Courier New" w:hAnsi="Courier New" w:cs="Courier New"/>
        </w:rPr>
        <w:t xml:space="preserve"> Express, which is designed primarily for individuals who provide technical support services; and </w:t>
      </w:r>
      <w:proofErr w:type="spellStart"/>
      <w:r w:rsidR="00505867">
        <w:rPr>
          <w:rFonts w:ascii="Courier New" w:hAnsi="Courier New" w:cs="Courier New"/>
        </w:rPr>
        <w:lastRenderedPageBreak/>
        <w:t>GoToAssist</w:t>
      </w:r>
      <w:proofErr w:type="spellEnd"/>
      <w:r w:rsidR="00505867">
        <w:rPr>
          <w:rFonts w:ascii="Courier New" w:hAnsi="Courier New" w:cs="Courier New"/>
        </w:rPr>
        <w:t xml:space="preserve"> Corporate, which is designed for technical support organizations and technical support departments within businesses.</w:t>
      </w:r>
    </w:p>
    <w:p w14:paraId="285569A5" w14:textId="0300F359" w:rsidR="00804480" w:rsidRDefault="00505867" w:rsidP="006D14DE">
      <w:pPr>
        <w:spacing w:line="480" w:lineRule="auto"/>
        <w:ind w:firstLine="720"/>
        <w:jc w:val="both"/>
        <w:rPr>
          <w:rFonts w:ascii="Courier New" w:hAnsi="Courier New" w:cs="Courier New"/>
        </w:rPr>
      </w:pPr>
      <w:r>
        <w:rPr>
          <w:rFonts w:ascii="Courier New" w:hAnsi="Courier New" w:cs="Courier New"/>
        </w:rPr>
        <w:t xml:space="preserve">To </w:t>
      </w:r>
      <w:r w:rsidR="00C71825">
        <w:rPr>
          <w:rFonts w:ascii="Courier New" w:hAnsi="Courier New" w:cs="Courier New"/>
        </w:rPr>
        <w:t>initiate a session th</w:t>
      </w:r>
      <w:r w:rsidR="006477DB">
        <w:rPr>
          <w:rFonts w:ascii="Courier New" w:hAnsi="Courier New" w:cs="Courier New"/>
        </w:rPr>
        <w:t>r</w:t>
      </w:r>
      <w:r w:rsidR="00C71825">
        <w:rPr>
          <w:rFonts w:ascii="Courier New" w:hAnsi="Courier New" w:cs="Courier New"/>
        </w:rPr>
        <w:t>ough</w:t>
      </w:r>
      <w:r>
        <w:rPr>
          <w:rFonts w:ascii="Courier New" w:hAnsi="Courier New" w:cs="Courier New"/>
        </w:rPr>
        <w:t xml:space="preserve"> </w:t>
      </w:r>
      <w:proofErr w:type="spellStart"/>
      <w:r>
        <w:rPr>
          <w:rFonts w:ascii="Courier New" w:hAnsi="Courier New" w:cs="Courier New"/>
        </w:rPr>
        <w:t>GoToAssist</w:t>
      </w:r>
      <w:proofErr w:type="spellEnd"/>
      <w:r>
        <w:rPr>
          <w:rFonts w:ascii="Courier New" w:hAnsi="Courier New" w:cs="Courier New"/>
        </w:rPr>
        <w:t xml:space="preserve">, a customer </w:t>
      </w:r>
      <w:r w:rsidR="00C71825">
        <w:rPr>
          <w:rFonts w:ascii="Courier New" w:hAnsi="Courier New" w:cs="Courier New"/>
        </w:rPr>
        <w:t xml:space="preserve">may log into an account through a web browser or can connect to the product using </w:t>
      </w:r>
      <w:r w:rsidR="00670750">
        <w:rPr>
          <w:rFonts w:ascii="Courier New" w:hAnsi="Courier New" w:cs="Courier New"/>
        </w:rPr>
        <w:t xml:space="preserve">the version of </w:t>
      </w:r>
      <w:r w:rsidR="00C71825">
        <w:rPr>
          <w:rFonts w:ascii="Courier New" w:hAnsi="Courier New" w:cs="Courier New"/>
        </w:rPr>
        <w:t xml:space="preserve">Endpoint </w:t>
      </w:r>
      <w:r w:rsidR="00670750">
        <w:rPr>
          <w:rFonts w:ascii="Courier New" w:hAnsi="Courier New" w:cs="Courier New"/>
        </w:rPr>
        <w:t>S</w:t>
      </w:r>
      <w:r w:rsidR="00C71825">
        <w:rPr>
          <w:rFonts w:ascii="Courier New" w:hAnsi="Courier New" w:cs="Courier New"/>
        </w:rPr>
        <w:t xml:space="preserve">oftware known as </w:t>
      </w:r>
      <w:proofErr w:type="spellStart"/>
      <w:r w:rsidR="00C71825">
        <w:rPr>
          <w:rFonts w:ascii="Courier New" w:hAnsi="Courier New" w:cs="Courier New"/>
        </w:rPr>
        <w:t>HelpAlert</w:t>
      </w:r>
      <w:proofErr w:type="spellEnd"/>
      <w:r w:rsidR="00C71825">
        <w:rPr>
          <w:rFonts w:ascii="Courier New" w:hAnsi="Courier New" w:cs="Courier New"/>
        </w:rPr>
        <w:t>.</w:t>
      </w:r>
      <w:r w:rsidR="00D10A90">
        <w:rPr>
          <w:rFonts w:ascii="Courier New" w:hAnsi="Courier New" w:cs="Courier New"/>
        </w:rPr>
        <w:t xml:space="preserve"> The </w:t>
      </w:r>
      <w:proofErr w:type="spellStart"/>
      <w:r w:rsidR="00D10A90">
        <w:rPr>
          <w:rFonts w:ascii="Courier New" w:hAnsi="Courier New" w:cs="Courier New"/>
        </w:rPr>
        <w:t>GoToAssist</w:t>
      </w:r>
      <w:proofErr w:type="spellEnd"/>
      <w:r w:rsidR="00D10A90">
        <w:rPr>
          <w:rFonts w:ascii="Courier New" w:hAnsi="Courier New" w:cs="Courier New"/>
        </w:rPr>
        <w:t xml:space="preserve"> software provides the professional with a session ide</w:t>
      </w:r>
      <w:r w:rsidR="00BE2701">
        <w:rPr>
          <w:rFonts w:ascii="Courier New" w:hAnsi="Courier New" w:cs="Courier New"/>
        </w:rPr>
        <w:t>n</w:t>
      </w:r>
      <w:r w:rsidR="00D10A90">
        <w:rPr>
          <w:rFonts w:ascii="Courier New" w:hAnsi="Courier New" w:cs="Courier New"/>
        </w:rPr>
        <w:t xml:space="preserve">tifier code, which the professional communicates to the support recipient. The support recipient then uses the session identifier code to login to the session through his or her web browser at a separate address. After the recipient accepts a prompt, the </w:t>
      </w:r>
      <w:proofErr w:type="spellStart"/>
      <w:r w:rsidR="00D10A90">
        <w:rPr>
          <w:rFonts w:ascii="Courier New" w:hAnsi="Courier New" w:cs="Courier New"/>
        </w:rPr>
        <w:t>HelpAle</w:t>
      </w:r>
      <w:r w:rsidR="007031A6">
        <w:rPr>
          <w:rFonts w:ascii="Courier New" w:hAnsi="Courier New" w:cs="Courier New"/>
        </w:rPr>
        <w:t>r</w:t>
      </w:r>
      <w:r w:rsidR="00D10A90">
        <w:rPr>
          <w:rFonts w:ascii="Courier New" w:hAnsi="Courier New" w:cs="Courier New"/>
        </w:rPr>
        <w:t>t</w:t>
      </w:r>
      <w:proofErr w:type="spellEnd"/>
      <w:r w:rsidR="00D10A90">
        <w:rPr>
          <w:rFonts w:ascii="Courier New" w:hAnsi="Courier New" w:cs="Courier New"/>
        </w:rPr>
        <w:t xml:space="preserve"> Endpoint </w:t>
      </w:r>
      <w:r w:rsidR="006477DB">
        <w:rPr>
          <w:rFonts w:ascii="Courier New" w:hAnsi="Courier New" w:cs="Courier New"/>
        </w:rPr>
        <w:t>S</w:t>
      </w:r>
      <w:r w:rsidR="00D10A90">
        <w:rPr>
          <w:rFonts w:ascii="Courier New" w:hAnsi="Courier New" w:cs="Courier New"/>
        </w:rPr>
        <w:t xml:space="preserve">oftware is downloaded onto the recipient’s computer and </w:t>
      </w:r>
      <w:r w:rsidR="007031A6">
        <w:rPr>
          <w:rFonts w:ascii="Courier New" w:hAnsi="Courier New" w:cs="Courier New"/>
        </w:rPr>
        <w:t>the</w:t>
      </w:r>
      <w:r w:rsidR="00D10A90">
        <w:rPr>
          <w:rFonts w:ascii="Courier New" w:hAnsi="Courier New" w:cs="Courier New"/>
        </w:rPr>
        <w:t xml:space="preserve"> connect</w:t>
      </w:r>
      <w:r w:rsidR="00465F23">
        <w:rPr>
          <w:rFonts w:ascii="Courier New" w:hAnsi="Courier New" w:cs="Courier New"/>
        </w:rPr>
        <w:t xml:space="preserve">ion can be made </w:t>
      </w:r>
      <w:r w:rsidR="006477DB">
        <w:rPr>
          <w:rFonts w:ascii="Courier New" w:hAnsi="Courier New" w:cs="Courier New"/>
        </w:rPr>
        <w:t>between</w:t>
      </w:r>
      <w:r w:rsidR="00465F23">
        <w:rPr>
          <w:rFonts w:ascii="Courier New" w:hAnsi="Courier New" w:cs="Courier New"/>
        </w:rPr>
        <w:t xml:space="preserve"> the computers </w:t>
      </w:r>
      <w:r w:rsidR="007031A6">
        <w:rPr>
          <w:rFonts w:ascii="Courier New" w:hAnsi="Courier New" w:cs="Courier New"/>
        </w:rPr>
        <w:t xml:space="preserve">and the </w:t>
      </w:r>
      <w:proofErr w:type="spellStart"/>
      <w:r w:rsidR="007031A6">
        <w:rPr>
          <w:rFonts w:ascii="Courier New" w:hAnsi="Courier New" w:cs="Courier New"/>
        </w:rPr>
        <w:t>GoToAssist</w:t>
      </w:r>
      <w:proofErr w:type="spellEnd"/>
      <w:r w:rsidR="007031A6">
        <w:rPr>
          <w:rFonts w:ascii="Courier New" w:hAnsi="Courier New" w:cs="Courier New"/>
        </w:rPr>
        <w:t xml:space="preserve"> software application</w:t>
      </w:r>
      <w:r w:rsidR="00465F23">
        <w:rPr>
          <w:rFonts w:ascii="Courier New" w:hAnsi="Courier New" w:cs="Courier New"/>
        </w:rPr>
        <w:t>.</w:t>
      </w:r>
    </w:p>
    <w:p w14:paraId="0F911E58" w14:textId="4C656D37" w:rsidR="007031A6" w:rsidRDefault="007031A6" w:rsidP="006D14DE">
      <w:pPr>
        <w:spacing w:line="480" w:lineRule="auto"/>
        <w:ind w:firstLine="720"/>
        <w:jc w:val="both"/>
        <w:rPr>
          <w:rFonts w:ascii="Courier New" w:hAnsi="Courier New" w:cs="Courier New"/>
        </w:rPr>
      </w:pPr>
      <w:r w:rsidRPr="00435F83">
        <w:rPr>
          <w:rFonts w:ascii="Courier New" w:hAnsi="Courier New" w:cs="Courier New"/>
        </w:rPr>
        <w:t>GoToMeeting</w:t>
      </w:r>
      <w:r>
        <w:rPr>
          <w:rFonts w:ascii="Courier New" w:hAnsi="Courier New" w:cs="Courier New"/>
        </w:rPr>
        <w:t xml:space="preserve"> is a family of online conferencing software applications that include GoToMeeting, </w:t>
      </w:r>
      <w:proofErr w:type="spellStart"/>
      <w:r>
        <w:rPr>
          <w:rFonts w:ascii="Courier New" w:hAnsi="Courier New" w:cs="Courier New"/>
        </w:rPr>
        <w:t>GoToWebinar</w:t>
      </w:r>
      <w:proofErr w:type="spellEnd"/>
      <w:r>
        <w:rPr>
          <w:rFonts w:ascii="Courier New" w:hAnsi="Courier New" w:cs="Courier New"/>
        </w:rPr>
        <w:t xml:space="preserve"> and </w:t>
      </w:r>
      <w:proofErr w:type="spellStart"/>
      <w:r>
        <w:rPr>
          <w:rFonts w:ascii="Courier New" w:hAnsi="Courier New" w:cs="Courier New"/>
        </w:rPr>
        <w:t>GoToTraining</w:t>
      </w:r>
      <w:proofErr w:type="spellEnd"/>
      <w:r>
        <w:rPr>
          <w:rFonts w:ascii="Courier New" w:hAnsi="Courier New" w:cs="Courier New"/>
        </w:rPr>
        <w:t xml:space="preserve">. The applications allow users to share screen access and control for purposes of </w:t>
      </w:r>
      <w:r w:rsidR="00964982">
        <w:rPr>
          <w:rFonts w:ascii="Courier New" w:hAnsi="Courier New" w:cs="Courier New"/>
        </w:rPr>
        <w:t xml:space="preserve">an </w:t>
      </w:r>
      <w:r>
        <w:rPr>
          <w:rFonts w:ascii="Courier New" w:hAnsi="Courier New" w:cs="Courier New"/>
        </w:rPr>
        <w:t>online</w:t>
      </w:r>
      <w:r w:rsidR="00C648FD">
        <w:rPr>
          <w:rFonts w:ascii="Courier New" w:hAnsi="Courier New" w:cs="Courier New"/>
        </w:rPr>
        <w:t xml:space="preserve"> meeting, </w:t>
      </w:r>
      <w:r>
        <w:rPr>
          <w:rFonts w:ascii="Courier New" w:hAnsi="Courier New" w:cs="Courier New"/>
        </w:rPr>
        <w:t>presentation, demonstration</w:t>
      </w:r>
      <w:r w:rsidR="00C0313F">
        <w:rPr>
          <w:rFonts w:ascii="Courier New" w:hAnsi="Courier New" w:cs="Courier New"/>
        </w:rPr>
        <w:t>,</w:t>
      </w:r>
      <w:r>
        <w:rPr>
          <w:rFonts w:ascii="Courier New" w:hAnsi="Courier New" w:cs="Courier New"/>
        </w:rPr>
        <w:t xml:space="preserve"> </w:t>
      </w:r>
      <w:r w:rsidR="00964982">
        <w:rPr>
          <w:rFonts w:ascii="Courier New" w:hAnsi="Courier New" w:cs="Courier New"/>
        </w:rPr>
        <w:t xml:space="preserve">or </w:t>
      </w:r>
      <w:r>
        <w:rPr>
          <w:rFonts w:ascii="Courier New" w:hAnsi="Courier New" w:cs="Courier New"/>
        </w:rPr>
        <w:t>collaboration</w:t>
      </w:r>
      <w:r w:rsidR="00964982">
        <w:rPr>
          <w:rFonts w:ascii="Courier New" w:hAnsi="Courier New" w:cs="Courier New"/>
        </w:rPr>
        <w:t xml:space="preserve"> (collectively, “meeting”)</w:t>
      </w:r>
      <w:r>
        <w:rPr>
          <w:rFonts w:ascii="Courier New" w:hAnsi="Courier New" w:cs="Courier New"/>
        </w:rPr>
        <w:t xml:space="preserve">. The host computer is owned or controlled by a meeting organizer who is Citrix’s customer, </w:t>
      </w:r>
      <w:r>
        <w:rPr>
          <w:rFonts w:ascii="Courier New" w:hAnsi="Courier New" w:cs="Courier New"/>
        </w:rPr>
        <w:lastRenderedPageBreak/>
        <w:t>and the remote computers are typically owned or controlled by third parties who are participating in the meeting.</w:t>
      </w:r>
    </w:p>
    <w:p w14:paraId="2E9E82F1" w14:textId="46A853F0" w:rsidR="00522BA3" w:rsidRDefault="0040644F" w:rsidP="006D14DE">
      <w:pPr>
        <w:spacing w:line="480" w:lineRule="auto"/>
        <w:ind w:firstLine="720"/>
        <w:jc w:val="both"/>
        <w:rPr>
          <w:rFonts w:ascii="Courier New" w:hAnsi="Courier New" w:cs="Courier New"/>
        </w:rPr>
      </w:pPr>
      <w:r>
        <w:rPr>
          <w:rFonts w:ascii="Courier New" w:hAnsi="Courier New" w:cs="Courier New"/>
        </w:rPr>
        <w:t>The meeting organizer schedules, convenes</w:t>
      </w:r>
      <w:r w:rsidR="006477DB">
        <w:rPr>
          <w:rFonts w:ascii="Courier New" w:hAnsi="Courier New" w:cs="Courier New"/>
        </w:rPr>
        <w:t>,</w:t>
      </w:r>
      <w:r>
        <w:rPr>
          <w:rFonts w:ascii="Courier New" w:hAnsi="Courier New" w:cs="Courier New"/>
        </w:rPr>
        <w:t xml:space="preserve"> and moderates a GoToMeeting </w:t>
      </w:r>
      <w:r w:rsidR="001E10E5">
        <w:rPr>
          <w:rFonts w:ascii="Courier New" w:hAnsi="Courier New" w:cs="Courier New"/>
        </w:rPr>
        <w:t xml:space="preserve">web conference </w:t>
      </w:r>
      <w:r>
        <w:rPr>
          <w:rFonts w:ascii="Courier New" w:hAnsi="Courier New" w:cs="Courier New"/>
        </w:rPr>
        <w:t>session and may invite participants using telephone, email</w:t>
      </w:r>
      <w:r w:rsidR="006477DB">
        <w:rPr>
          <w:rFonts w:ascii="Courier New" w:hAnsi="Courier New" w:cs="Courier New"/>
        </w:rPr>
        <w:t>,</w:t>
      </w:r>
      <w:r>
        <w:rPr>
          <w:rFonts w:ascii="Courier New" w:hAnsi="Courier New" w:cs="Courier New"/>
        </w:rPr>
        <w:t xml:space="preserve"> or other means. The organizer may initiate the session using a web browser or GoToMeeting Endpoint </w:t>
      </w:r>
      <w:r w:rsidR="006477DB">
        <w:rPr>
          <w:rFonts w:ascii="Courier New" w:hAnsi="Courier New" w:cs="Courier New"/>
        </w:rPr>
        <w:t>S</w:t>
      </w:r>
      <w:r>
        <w:rPr>
          <w:rFonts w:ascii="Courier New" w:hAnsi="Courier New" w:cs="Courier New"/>
        </w:rPr>
        <w:t>oftware</w:t>
      </w:r>
      <w:r w:rsidR="00670750">
        <w:rPr>
          <w:rFonts w:ascii="Courier New" w:hAnsi="Courier New" w:cs="Courier New"/>
        </w:rPr>
        <w:t xml:space="preserve">, which is </w:t>
      </w:r>
      <w:r w:rsidR="00670750" w:rsidRPr="00B31200">
        <w:rPr>
          <w:rFonts w:ascii="Courier New" w:hAnsi="Courier New" w:cs="Courier New"/>
        </w:rPr>
        <w:t>installed on both the participants’ and the organizer’s devices</w:t>
      </w:r>
      <w:r>
        <w:rPr>
          <w:rFonts w:ascii="Courier New" w:hAnsi="Courier New" w:cs="Courier New"/>
        </w:rPr>
        <w:t>.</w:t>
      </w:r>
      <w:r w:rsidR="00D37E30">
        <w:rPr>
          <w:rFonts w:ascii="Courier New" w:hAnsi="Courier New" w:cs="Courier New"/>
        </w:rPr>
        <w:t xml:space="preserve"> The GoToMeeting </w:t>
      </w:r>
      <w:r w:rsidR="001E10E5">
        <w:rPr>
          <w:rFonts w:ascii="Courier New" w:hAnsi="Courier New" w:cs="Courier New"/>
        </w:rPr>
        <w:t>server software</w:t>
      </w:r>
      <w:r w:rsidR="00D37E30">
        <w:rPr>
          <w:rFonts w:ascii="Courier New" w:hAnsi="Courier New" w:cs="Courier New"/>
        </w:rPr>
        <w:t xml:space="preserve"> provides a meeting identifier, which </w:t>
      </w:r>
      <w:r w:rsidR="001E10E5">
        <w:rPr>
          <w:rFonts w:ascii="Courier New" w:hAnsi="Courier New" w:cs="Courier New"/>
        </w:rPr>
        <w:t xml:space="preserve">invited </w:t>
      </w:r>
      <w:r w:rsidR="00D37E30">
        <w:rPr>
          <w:rFonts w:ascii="Courier New" w:hAnsi="Courier New" w:cs="Courier New"/>
        </w:rPr>
        <w:t>participants can use to join the session, either by using a browser to visit a website and entering the meeting identifier o</w:t>
      </w:r>
      <w:r w:rsidR="00494FBB">
        <w:rPr>
          <w:rFonts w:ascii="Courier New" w:hAnsi="Courier New" w:cs="Courier New"/>
        </w:rPr>
        <w:t>r</w:t>
      </w:r>
      <w:r w:rsidR="00D37E30">
        <w:rPr>
          <w:rFonts w:ascii="Courier New" w:hAnsi="Courier New" w:cs="Courier New"/>
        </w:rPr>
        <w:t xml:space="preserve"> by clicking a link in an invitation email. </w:t>
      </w:r>
      <w:r w:rsidR="00C648FD">
        <w:rPr>
          <w:rFonts w:ascii="Courier New" w:hAnsi="Courier New" w:cs="Courier New"/>
        </w:rPr>
        <w:t>Each</w:t>
      </w:r>
      <w:r w:rsidR="00D37E30">
        <w:rPr>
          <w:rFonts w:ascii="Courier New" w:hAnsi="Courier New" w:cs="Courier New"/>
        </w:rPr>
        <w:t xml:space="preserve"> participant’s browser then initiates the download and installation of the GoToMeeting Endpoint Software on the participant’s device.</w:t>
      </w:r>
      <w:r w:rsidR="00522BA3">
        <w:rPr>
          <w:rFonts w:ascii="Courier New" w:hAnsi="Courier New" w:cs="Courier New"/>
        </w:rPr>
        <w:t xml:space="preserve"> The Endpoint </w:t>
      </w:r>
      <w:r w:rsidR="006477DB">
        <w:rPr>
          <w:rFonts w:ascii="Courier New" w:hAnsi="Courier New" w:cs="Courier New"/>
        </w:rPr>
        <w:t>S</w:t>
      </w:r>
      <w:r w:rsidR="00522BA3">
        <w:rPr>
          <w:rFonts w:ascii="Courier New" w:hAnsi="Courier New" w:cs="Courier New"/>
        </w:rPr>
        <w:t>oftware on the organizer’s computer allows the organizer to begin and end the conference</w:t>
      </w:r>
      <w:r w:rsidR="00670750">
        <w:rPr>
          <w:rFonts w:ascii="Courier New" w:hAnsi="Courier New" w:cs="Courier New"/>
        </w:rPr>
        <w:t xml:space="preserve"> and</w:t>
      </w:r>
      <w:r w:rsidR="00522BA3">
        <w:rPr>
          <w:rFonts w:ascii="Courier New" w:hAnsi="Courier New" w:cs="Courier New"/>
        </w:rPr>
        <w:t xml:space="preserve"> to make selections regarding the conference, such as the application(s) to be included in the screen sharing. Participants in the conference have no control over the conference other than joining or exiting, participating in chat or feedback</w:t>
      </w:r>
      <w:r w:rsidR="00C0313F">
        <w:rPr>
          <w:rFonts w:ascii="Courier New" w:hAnsi="Courier New" w:cs="Courier New"/>
        </w:rPr>
        <w:t>,</w:t>
      </w:r>
      <w:r w:rsidR="00522BA3">
        <w:rPr>
          <w:rFonts w:ascii="Courier New" w:hAnsi="Courier New" w:cs="Courier New"/>
        </w:rPr>
        <w:t xml:space="preserve"> and, as allowed by the meeting organizer, sharing control over one or more applications or documents on the organizer’s computer.</w:t>
      </w:r>
    </w:p>
    <w:p w14:paraId="6A1BC6D9" w14:textId="77777777" w:rsidR="00C0313F" w:rsidRDefault="00C0313F" w:rsidP="006D14DE">
      <w:pPr>
        <w:spacing w:line="480" w:lineRule="auto"/>
        <w:ind w:firstLine="720"/>
        <w:jc w:val="both"/>
        <w:rPr>
          <w:rFonts w:ascii="Courier New" w:hAnsi="Courier New" w:cs="Courier New"/>
        </w:rPr>
      </w:pPr>
    </w:p>
    <w:p w14:paraId="720A53C4" w14:textId="1A71679B" w:rsidR="0040644F" w:rsidRPr="00815B7A" w:rsidRDefault="00522BA3" w:rsidP="00815B7A">
      <w:pPr>
        <w:spacing w:line="480" w:lineRule="auto"/>
        <w:ind w:firstLine="720"/>
        <w:jc w:val="both"/>
        <w:rPr>
          <w:rFonts w:ascii="Courier New" w:hAnsi="Courier New" w:cs="Courier New"/>
          <w:u w:val="single"/>
        </w:rPr>
      </w:pPr>
      <w:r w:rsidRPr="00815B7A">
        <w:rPr>
          <w:rFonts w:ascii="Courier New" w:hAnsi="Courier New" w:cs="Courier New"/>
          <w:u w:val="single"/>
        </w:rPr>
        <w:lastRenderedPageBreak/>
        <w:t xml:space="preserve">Testimony of Mr. </w:t>
      </w:r>
      <w:proofErr w:type="spellStart"/>
      <w:r w:rsidRPr="00815B7A">
        <w:rPr>
          <w:rFonts w:ascii="Courier New" w:hAnsi="Courier New" w:cs="Courier New"/>
          <w:u w:val="single"/>
        </w:rPr>
        <w:t>Kanwar</w:t>
      </w:r>
      <w:proofErr w:type="spellEnd"/>
      <w:r w:rsidRPr="00815B7A">
        <w:rPr>
          <w:rFonts w:ascii="Courier New" w:hAnsi="Courier New" w:cs="Courier New"/>
          <w:u w:val="single"/>
        </w:rPr>
        <w:t xml:space="preserve"> </w:t>
      </w:r>
    </w:p>
    <w:p w14:paraId="7C6B9CB5" w14:textId="6995DB50" w:rsidR="00C71825" w:rsidRDefault="00522BA3" w:rsidP="00BE2701">
      <w:pPr>
        <w:spacing w:line="480" w:lineRule="auto"/>
        <w:ind w:firstLine="720"/>
        <w:jc w:val="both"/>
        <w:rPr>
          <w:rFonts w:ascii="Courier New" w:hAnsi="Courier New" w:cs="Courier New"/>
        </w:rPr>
      </w:pPr>
      <w:r>
        <w:rPr>
          <w:rFonts w:ascii="Courier New" w:hAnsi="Courier New" w:cs="Courier New"/>
        </w:rPr>
        <w:t xml:space="preserve">Mr. </w:t>
      </w:r>
      <w:proofErr w:type="spellStart"/>
      <w:r>
        <w:rPr>
          <w:rFonts w:ascii="Courier New" w:hAnsi="Courier New" w:cs="Courier New"/>
        </w:rPr>
        <w:t>Kanwar</w:t>
      </w:r>
      <w:proofErr w:type="spellEnd"/>
      <w:r>
        <w:rPr>
          <w:rFonts w:ascii="Courier New" w:hAnsi="Courier New" w:cs="Courier New"/>
        </w:rPr>
        <w:t>, Citrix’s Vice President of Technology Operation</w:t>
      </w:r>
      <w:r w:rsidR="00494FBB">
        <w:rPr>
          <w:rFonts w:ascii="Courier New" w:hAnsi="Courier New" w:cs="Courier New"/>
        </w:rPr>
        <w:t>s</w:t>
      </w:r>
      <w:r>
        <w:rPr>
          <w:rFonts w:ascii="Courier New" w:hAnsi="Courier New" w:cs="Courier New"/>
        </w:rPr>
        <w:t>, leads Citrix’s Technical Operations Team</w:t>
      </w:r>
      <w:r w:rsidR="00B55906">
        <w:rPr>
          <w:rFonts w:ascii="Courier New" w:hAnsi="Courier New" w:cs="Courier New"/>
        </w:rPr>
        <w:t xml:space="preserve">. The team </w:t>
      </w:r>
      <w:r w:rsidR="00E937E9">
        <w:rPr>
          <w:rFonts w:ascii="Courier New" w:hAnsi="Courier New" w:cs="Courier New"/>
        </w:rPr>
        <w:t xml:space="preserve">is comprised of </w:t>
      </w:r>
      <w:r>
        <w:rPr>
          <w:rFonts w:ascii="Courier New" w:hAnsi="Courier New" w:cs="Courier New"/>
        </w:rPr>
        <w:t>approximately 130 employees responsible for the maintenance, configuration, update</w:t>
      </w:r>
      <w:r w:rsidR="00C775DE">
        <w:rPr>
          <w:rFonts w:ascii="Courier New" w:hAnsi="Courier New" w:cs="Courier New"/>
        </w:rPr>
        <w:t>,</w:t>
      </w:r>
      <w:r>
        <w:rPr>
          <w:rFonts w:ascii="Courier New" w:hAnsi="Courier New" w:cs="Courier New"/>
        </w:rPr>
        <w:t xml:space="preserve"> and control </w:t>
      </w:r>
      <w:r w:rsidR="005B620B">
        <w:rPr>
          <w:rFonts w:ascii="Courier New" w:hAnsi="Courier New" w:cs="Courier New"/>
        </w:rPr>
        <w:t>of Citrix’s</w:t>
      </w:r>
      <w:r w:rsidR="00E937E9">
        <w:rPr>
          <w:rFonts w:ascii="Courier New" w:hAnsi="Courier New" w:cs="Courier New"/>
        </w:rPr>
        <w:t xml:space="preserve"> network hardware</w:t>
      </w:r>
      <w:r w:rsidR="005251AB">
        <w:rPr>
          <w:rFonts w:ascii="Courier New" w:hAnsi="Courier New" w:cs="Courier New"/>
        </w:rPr>
        <w:t xml:space="preserve">, </w:t>
      </w:r>
      <w:r w:rsidR="00964982">
        <w:rPr>
          <w:rFonts w:ascii="Courier New" w:hAnsi="Courier New" w:cs="Courier New"/>
        </w:rPr>
        <w:t>which</w:t>
      </w:r>
      <w:r w:rsidR="005251AB">
        <w:rPr>
          <w:rFonts w:ascii="Courier New" w:hAnsi="Courier New" w:cs="Courier New"/>
        </w:rPr>
        <w:t xml:space="preserve"> supports the Online Products, </w:t>
      </w:r>
      <w:r w:rsidR="00670750">
        <w:rPr>
          <w:rFonts w:ascii="Courier New" w:hAnsi="Courier New" w:cs="Courier New"/>
        </w:rPr>
        <w:t xml:space="preserve">and its </w:t>
      </w:r>
      <w:r w:rsidR="00E937E9">
        <w:rPr>
          <w:rFonts w:ascii="Courier New" w:hAnsi="Courier New" w:cs="Courier New"/>
        </w:rPr>
        <w:t>server software</w:t>
      </w:r>
      <w:r w:rsidR="005251AB">
        <w:rPr>
          <w:rFonts w:ascii="Courier New" w:hAnsi="Courier New" w:cs="Courier New"/>
        </w:rPr>
        <w:t xml:space="preserve">, the software hosted on Citrix’s servers </w:t>
      </w:r>
      <w:r w:rsidR="00C0313F">
        <w:rPr>
          <w:rFonts w:ascii="Courier New" w:hAnsi="Courier New" w:cs="Courier New"/>
        </w:rPr>
        <w:t>that</w:t>
      </w:r>
      <w:r w:rsidR="005251AB">
        <w:rPr>
          <w:rFonts w:ascii="Courier New" w:hAnsi="Courier New" w:cs="Courier New"/>
        </w:rPr>
        <w:t xml:space="preserve"> is required to run the Online Products</w:t>
      </w:r>
      <w:r w:rsidR="00E937E9">
        <w:rPr>
          <w:rFonts w:ascii="Courier New" w:hAnsi="Courier New" w:cs="Courier New"/>
        </w:rPr>
        <w:t xml:space="preserve">. </w:t>
      </w:r>
    </w:p>
    <w:p w14:paraId="103682C0" w14:textId="70A76BAF" w:rsidR="00E937E9" w:rsidRDefault="00E937E9" w:rsidP="00BE2701">
      <w:pPr>
        <w:spacing w:line="480" w:lineRule="auto"/>
        <w:ind w:firstLine="720"/>
        <w:jc w:val="both"/>
        <w:rPr>
          <w:rFonts w:ascii="Courier New" w:hAnsi="Courier New" w:cs="Courier New"/>
        </w:rPr>
      </w:pPr>
      <w:r>
        <w:rPr>
          <w:rFonts w:ascii="Courier New" w:hAnsi="Courier New" w:cs="Courier New"/>
        </w:rPr>
        <w:t xml:space="preserve">Mr. </w:t>
      </w:r>
      <w:proofErr w:type="spellStart"/>
      <w:r>
        <w:rPr>
          <w:rFonts w:ascii="Courier New" w:hAnsi="Courier New" w:cs="Courier New"/>
        </w:rPr>
        <w:t>Kanwar</w:t>
      </w:r>
      <w:proofErr w:type="spellEnd"/>
      <w:r>
        <w:rPr>
          <w:rFonts w:ascii="Courier New" w:hAnsi="Courier New" w:cs="Courier New"/>
        </w:rPr>
        <w:t xml:space="preserve"> testified </w:t>
      </w:r>
      <w:r w:rsidR="00964982">
        <w:rPr>
          <w:rFonts w:ascii="Courier New" w:hAnsi="Courier New" w:cs="Courier New"/>
        </w:rPr>
        <w:t>about</w:t>
      </w:r>
      <w:r>
        <w:rPr>
          <w:rFonts w:ascii="Courier New" w:hAnsi="Courier New" w:cs="Courier New"/>
        </w:rPr>
        <w:t xml:space="preserve"> the size and complexity of Citrix’s hardware network that supports the Online Products</w:t>
      </w:r>
      <w:r w:rsidR="00964982">
        <w:rPr>
          <w:rFonts w:ascii="Courier New" w:hAnsi="Courier New" w:cs="Courier New"/>
        </w:rPr>
        <w:t xml:space="preserve"> and</w:t>
      </w:r>
      <w:r w:rsidR="00D23026">
        <w:rPr>
          <w:rFonts w:ascii="Courier New" w:hAnsi="Courier New" w:cs="Courier New"/>
        </w:rPr>
        <w:t xml:space="preserve"> includes</w:t>
      </w:r>
      <w:r>
        <w:rPr>
          <w:rFonts w:ascii="Courier New" w:hAnsi="Courier New" w:cs="Courier New"/>
        </w:rPr>
        <w:t xml:space="preserve"> between 5,000 and 7,000 servers, approximately 200 routers and switches</w:t>
      </w:r>
      <w:r w:rsidR="00C775DE">
        <w:rPr>
          <w:rFonts w:ascii="Courier New" w:hAnsi="Courier New" w:cs="Courier New"/>
        </w:rPr>
        <w:t>,</w:t>
      </w:r>
      <w:r>
        <w:rPr>
          <w:rFonts w:ascii="Courier New" w:hAnsi="Courier New" w:cs="Courier New"/>
        </w:rPr>
        <w:t xml:space="preserve"> and vast storage capacity. The Technical Operations Team</w:t>
      </w:r>
      <w:r w:rsidR="00D93291">
        <w:rPr>
          <w:rFonts w:ascii="Courier New" w:hAnsi="Courier New" w:cs="Courier New"/>
        </w:rPr>
        <w:t xml:space="preserve"> constantly monitors the network and responds to any issues or faults in the network that </w:t>
      </w:r>
      <w:r w:rsidR="00D23026">
        <w:rPr>
          <w:rFonts w:ascii="Courier New" w:hAnsi="Courier New" w:cs="Courier New"/>
        </w:rPr>
        <w:t xml:space="preserve">may </w:t>
      </w:r>
      <w:r w:rsidR="00D93291">
        <w:rPr>
          <w:rFonts w:ascii="Courier New" w:hAnsi="Courier New" w:cs="Courier New"/>
        </w:rPr>
        <w:t>impact</w:t>
      </w:r>
      <w:r w:rsidR="00670750">
        <w:rPr>
          <w:rFonts w:ascii="Courier New" w:hAnsi="Courier New" w:cs="Courier New"/>
        </w:rPr>
        <w:t xml:space="preserve"> a </w:t>
      </w:r>
      <w:r w:rsidR="00D93291">
        <w:rPr>
          <w:rFonts w:ascii="Courier New" w:hAnsi="Courier New" w:cs="Courier New"/>
        </w:rPr>
        <w:t>customer</w:t>
      </w:r>
      <w:r w:rsidR="00670750">
        <w:rPr>
          <w:rFonts w:ascii="Courier New" w:hAnsi="Courier New" w:cs="Courier New"/>
        </w:rPr>
        <w:t>’s</w:t>
      </w:r>
      <w:r w:rsidR="00D93291">
        <w:rPr>
          <w:rFonts w:ascii="Courier New" w:hAnsi="Courier New" w:cs="Courier New"/>
        </w:rPr>
        <w:t xml:space="preserve"> experience. These can include insufficient capacity, substandard performance, malicious attacks from outside the system</w:t>
      </w:r>
      <w:r w:rsidR="00557AEC">
        <w:rPr>
          <w:rFonts w:ascii="Courier New" w:hAnsi="Courier New" w:cs="Courier New"/>
        </w:rPr>
        <w:t>,</w:t>
      </w:r>
      <w:r w:rsidR="00D93291">
        <w:rPr>
          <w:rFonts w:ascii="Courier New" w:hAnsi="Courier New" w:cs="Courier New"/>
        </w:rPr>
        <w:t xml:space="preserve"> or atypically high </w:t>
      </w:r>
      <w:r w:rsidR="00D23026">
        <w:rPr>
          <w:rFonts w:ascii="Courier New" w:hAnsi="Courier New" w:cs="Courier New"/>
        </w:rPr>
        <w:t xml:space="preserve">network </w:t>
      </w:r>
      <w:r w:rsidR="00D93291">
        <w:rPr>
          <w:rFonts w:ascii="Courier New" w:hAnsi="Courier New" w:cs="Courier New"/>
        </w:rPr>
        <w:t>utilization. M</w:t>
      </w:r>
      <w:r w:rsidR="00D23026">
        <w:rPr>
          <w:rFonts w:ascii="Courier New" w:hAnsi="Courier New" w:cs="Courier New"/>
        </w:rPr>
        <w:t>r</w:t>
      </w:r>
      <w:r w:rsidR="00D93291">
        <w:rPr>
          <w:rFonts w:ascii="Courier New" w:hAnsi="Courier New" w:cs="Courier New"/>
        </w:rPr>
        <w:t xml:space="preserve">. </w:t>
      </w:r>
      <w:proofErr w:type="spellStart"/>
      <w:r w:rsidR="00670750">
        <w:rPr>
          <w:rFonts w:ascii="Courier New" w:hAnsi="Courier New" w:cs="Courier New"/>
        </w:rPr>
        <w:t>Kan</w:t>
      </w:r>
      <w:r w:rsidR="00D93291">
        <w:rPr>
          <w:rFonts w:ascii="Courier New" w:hAnsi="Courier New" w:cs="Courier New"/>
        </w:rPr>
        <w:t>war</w:t>
      </w:r>
      <w:proofErr w:type="spellEnd"/>
      <w:r w:rsidR="00D93291">
        <w:rPr>
          <w:rFonts w:ascii="Courier New" w:hAnsi="Courier New" w:cs="Courier New"/>
        </w:rPr>
        <w:t xml:space="preserve"> described this type of activity as </w:t>
      </w:r>
      <w:r w:rsidR="00CD4763">
        <w:rPr>
          <w:rFonts w:ascii="Courier New" w:hAnsi="Courier New" w:cs="Courier New"/>
        </w:rPr>
        <w:t xml:space="preserve">falling </w:t>
      </w:r>
      <w:r w:rsidR="00D93291">
        <w:rPr>
          <w:rFonts w:ascii="Courier New" w:hAnsi="Courier New" w:cs="Courier New"/>
        </w:rPr>
        <w:t xml:space="preserve">within the </w:t>
      </w:r>
      <w:r w:rsidR="00557AEC">
        <w:rPr>
          <w:rFonts w:ascii="Courier New" w:hAnsi="Courier New" w:cs="Courier New"/>
        </w:rPr>
        <w:t>“</w:t>
      </w:r>
      <w:r w:rsidR="00D93291">
        <w:rPr>
          <w:rFonts w:ascii="Courier New" w:hAnsi="Courier New" w:cs="Courier New"/>
        </w:rPr>
        <w:t>reactive</w:t>
      </w:r>
      <w:r w:rsidR="00557AEC">
        <w:rPr>
          <w:rFonts w:ascii="Courier New" w:hAnsi="Courier New" w:cs="Courier New"/>
        </w:rPr>
        <w:t>”</w:t>
      </w:r>
      <w:r w:rsidR="00D93291">
        <w:rPr>
          <w:rFonts w:ascii="Courier New" w:hAnsi="Courier New" w:cs="Courier New"/>
        </w:rPr>
        <w:t xml:space="preserve"> side of operations.  The </w:t>
      </w:r>
      <w:r w:rsidR="00557AEC">
        <w:rPr>
          <w:rFonts w:ascii="Courier New" w:hAnsi="Courier New" w:cs="Courier New"/>
        </w:rPr>
        <w:t>“</w:t>
      </w:r>
      <w:r w:rsidR="00D93291">
        <w:rPr>
          <w:rFonts w:ascii="Courier New" w:hAnsi="Courier New" w:cs="Courier New"/>
        </w:rPr>
        <w:t>proactive</w:t>
      </w:r>
      <w:r w:rsidR="00557AEC">
        <w:rPr>
          <w:rFonts w:ascii="Courier New" w:hAnsi="Courier New" w:cs="Courier New"/>
        </w:rPr>
        <w:t>”</w:t>
      </w:r>
      <w:r w:rsidR="00D93291">
        <w:rPr>
          <w:rFonts w:ascii="Courier New" w:hAnsi="Courier New" w:cs="Courier New"/>
        </w:rPr>
        <w:t xml:space="preserve"> side includes ensuring sufficient capacity to support customer use as well as general observation of the network.</w:t>
      </w:r>
    </w:p>
    <w:p w14:paraId="5EDB9B5A" w14:textId="19D25402" w:rsidR="009E5BF1" w:rsidRPr="002058C6" w:rsidRDefault="00557AEC" w:rsidP="009E5BF1">
      <w:pPr>
        <w:spacing w:line="480" w:lineRule="auto"/>
        <w:ind w:firstLine="720"/>
        <w:contextualSpacing/>
        <w:jc w:val="both"/>
        <w:rPr>
          <w:rFonts w:ascii="Courier New" w:hAnsi="Courier New" w:cs="Courier New"/>
          <w:color w:val="000000" w:themeColor="text1"/>
          <w:shd w:val="clear" w:color="auto" w:fill="FFFFFF"/>
        </w:rPr>
      </w:pPr>
      <w:r w:rsidRPr="002058C6">
        <w:rPr>
          <w:rFonts w:ascii="Courier New" w:hAnsi="Courier New" w:cs="Courier New"/>
          <w:color w:val="000000" w:themeColor="text1"/>
        </w:rPr>
        <w:lastRenderedPageBreak/>
        <w:t xml:space="preserve">Mr. </w:t>
      </w:r>
      <w:proofErr w:type="spellStart"/>
      <w:r w:rsidRPr="002058C6">
        <w:rPr>
          <w:rFonts w:ascii="Courier New" w:hAnsi="Courier New" w:cs="Courier New"/>
          <w:color w:val="000000" w:themeColor="text1"/>
        </w:rPr>
        <w:t>Kanwar</w:t>
      </w:r>
      <w:proofErr w:type="spellEnd"/>
      <w:r w:rsidRPr="002058C6">
        <w:rPr>
          <w:rFonts w:ascii="Courier New" w:hAnsi="Courier New" w:cs="Courier New"/>
          <w:color w:val="000000" w:themeColor="text1"/>
        </w:rPr>
        <w:t xml:space="preserve"> </w:t>
      </w:r>
      <w:r w:rsidR="00B55906" w:rsidRPr="002058C6">
        <w:rPr>
          <w:rFonts w:ascii="Courier New" w:hAnsi="Courier New" w:cs="Courier New"/>
          <w:color w:val="000000" w:themeColor="text1"/>
        </w:rPr>
        <w:t xml:space="preserve">also </w:t>
      </w:r>
      <w:r w:rsidRPr="002058C6">
        <w:rPr>
          <w:rFonts w:ascii="Courier New" w:hAnsi="Courier New" w:cs="Courier New"/>
          <w:color w:val="000000" w:themeColor="text1"/>
        </w:rPr>
        <w:t xml:space="preserve">described his team’s involvement in “change management” in the “software development lifecycle.” This includes putting </w:t>
      </w:r>
      <w:r w:rsidR="009E4403" w:rsidRPr="002058C6">
        <w:rPr>
          <w:rFonts w:ascii="Courier New" w:hAnsi="Courier New" w:cs="Courier New"/>
          <w:color w:val="000000" w:themeColor="text1"/>
        </w:rPr>
        <w:t xml:space="preserve">the server </w:t>
      </w:r>
      <w:r w:rsidRPr="002058C6">
        <w:rPr>
          <w:rFonts w:ascii="Courier New" w:hAnsi="Courier New" w:cs="Courier New"/>
          <w:color w:val="000000" w:themeColor="text1"/>
        </w:rPr>
        <w:t xml:space="preserve">software through </w:t>
      </w:r>
      <w:r w:rsidR="009E4403" w:rsidRPr="002058C6">
        <w:rPr>
          <w:rFonts w:ascii="Courier New" w:hAnsi="Courier New" w:cs="Courier New"/>
          <w:color w:val="000000" w:themeColor="text1"/>
        </w:rPr>
        <w:t>various sta</w:t>
      </w:r>
      <w:r w:rsidRPr="002058C6">
        <w:rPr>
          <w:rFonts w:ascii="Courier New" w:hAnsi="Courier New" w:cs="Courier New"/>
          <w:color w:val="000000" w:themeColor="text1"/>
        </w:rPr>
        <w:t>g</w:t>
      </w:r>
      <w:r w:rsidR="009E4403" w:rsidRPr="002058C6">
        <w:rPr>
          <w:rFonts w:ascii="Courier New" w:hAnsi="Courier New" w:cs="Courier New"/>
          <w:color w:val="000000" w:themeColor="text1"/>
        </w:rPr>
        <w:t>es of testing before the software is placed into the “life systems.” The software travels through a “software development pipeline” before it is implemented</w:t>
      </w:r>
      <w:r w:rsidR="00D23026" w:rsidRPr="002058C6">
        <w:rPr>
          <w:rFonts w:ascii="Courier New" w:hAnsi="Courier New" w:cs="Courier New"/>
          <w:color w:val="000000" w:themeColor="text1"/>
        </w:rPr>
        <w:t xml:space="preserve">, which </w:t>
      </w:r>
      <w:r w:rsidR="009E4403" w:rsidRPr="002058C6">
        <w:rPr>
          <w:rFonts w:ascii="Courier New" w:hAnsi="Courier New" w:cs="Courier New"/>
          <w:color w:val="000000" w:themeColor="text1"/>
        </w:rPr>
        <w:t xml:space="preserve">includes successive stages of its employment on hardware, </w:t>
      </w:r>
      <w:r w:rsidR="00D23026" w:rsidRPr="002058C6">
        <w:rPr>
          <w:rFonts w:ascii="Courier New" w:hAnsi="Courier New" w:cs="Courier New"/>
          <w:color w:val="000000" w:themeColor="text1"/>
        </w:rPr>
        <w:t xml:space="preserve">various </w:t>
      </w:r>
      <w:r w:rsidR="009E4403" w:rsidRPr="002058C6">
        <w:rPr>
          <w:rFonts w:ascii="Courier New" w:hAnsi="Courier New" w:cs="Courier New"/>
          <w:color w:val="000000" w:themeColor="text1"/>
        </w:rPr>
        <w:t>tests</w:t>
      </w:r>
      <w:r w:rsidR="00D23026" w:rsidRPr="002058C6">
        <w:rPr>
          <w:rFonts w:ascii="Courier New" w:hAnsi="Courier New" w:cs="Courier New"/>
          <w:color w:val="000000" w:themeColor="text1"/>
        </w:rPr>
        <w:t>,</w:t>
      </w:r>
      <w:r w:rsidR="009E4403" w:rsidRPr="002058C6">
        <w:rPr>
          <w:rFonts w:ascii="Courier New" w:hAnsi="Courier New" w:cs="Courier New"/>
          <w:color w:val="000000" w:themeColor="text1"/>
        </w:rPr>
        <w:t xml:space="preserve"> and “flipping on the switch” for successive waves of users, thereby allowing feedback and modification as </w:t>
      </w:r>
      <w:r w:rsidR="00D23026" w:rsidRPr="002058C6">
        <w:rPr>
          <w:rFonts w:ascii="Courier New" w:hAnsi="Courier New" w:cs="Courier New"/>
          <w:color w:val="000000" w:themeColor="text1"/>
        </w:rPr>
        <w:t xml:space="preserve">updates are </w:t>
      </w:r>
      <w:r w:rsidR="00CD4763" w:rsidRPr="002058C6">
        <w:rPr>
          <w:rFonts w:ascii="Courier New" w:hAnsi="Courier New" w:cs="Courier New"/>
          <w:color w:val="000000" w:themeColor="text1"/>
        </w:rPr>
        <w:t xml:space="preserve">incrementally </w:t>
      </w:r>
      <w:r w:rsidR="00D23026" w:rsidRPr="002058C6">
        <w:rPr>
          <w:rFonts w:ascii="Courier New" w:hAnsi="Courier New" w:cs="Courier New"/>
          <w:color w:val="000000" w:themeColor="text1"/>
        </w:rPr>
        <w:t>integrated into the system</w:t>
      </w:r>
      <w:r w:rsidR="009E4403" w:rsidRPr="002058C6">
        <w:rPr>
          <w:rFonts w:ascii="Courier New" w:hAnsi="Courier New" w:cs="Courier New"/>
          <w:color w:val="000000" w:themeColor="text1"/>
        </w:rPr>
        <w:t>.</w:t>
      </w:r>
      <w:r w:rsidR="00E45741" w:rsidRPr="002058C6">
        <w:rPr>
          <w:rFonts w:ascii="Courier New" w:hAnsi="Courier New" w:cs="Courier New"/>
          <w:color w:val="000000" w:themeColor="text1"/>
        </w:rPr>
        <w:t xml:space="preserve"> Mr. </w:t>
      </w:r>
      <w:proofErr w:type="spellStart"/>
      <w:r w:rsidR="00E45741" w:rsidRPr="002058C6">
        <w:rPr>
          <w:rFonts w:ascii="Courier New" w:hAnsi="Courier New" w:cs="Courier New"/>
          <w:color w:val="000000" w:themeColor="text1"/>
        </w:rPr>
        <w:t>Kanwar</w:t>
      </w:r>
      <w:proofErr w:type="spellEnd"/>
      <w:r w:rsidR="00E45741" w:rsidRPr="002058C6">
        <w:rPr>
          <w:rFonts w:ascii="Courier New" w:hAnsi="Courier New" w:cs="Courier New"/>
          <w:color w:val="000000" w:themeColor="text1"/>
        </w:rPr>
        <w:t xml:space="preserve"> also testified that Citrix maintains control over the software at all times</w:t>
      </w:r>
      <w:r w:rsidR="009E5BF1" w:rsidRPr="002058C6">
        <w:rPr>
          <w:rFonts w:ascii="Courier New" w:hAnsi="Courier New" w:cs="Courier New"/>
          <w:color w:val="000000" w:themeColor="text1"/>
        </w:rPr>
        <w:t xml:space="preserve"> and opined that Citrix’s customers are</w:t>
      </w:r>
      <w:r w:rsidR="009E5BF1" w:rsidRPr="002058C6">
        <w:rPr>
          <w:rFonts w:ascii="Courier New" w:hAnsi="Courier New" w:cs="Courier New"/>
          <w:color w:val="000000" w:themeColor="text1"/>
          <w:shd w:val="clear" w:color="auto" w:fill="FFFFFF"/>
        </w:rPr>
        <w:t xml:space="preserve"> “ultimately looking for . . . the ability to connect with other entities.” </w:t>
      </w:r>
    </w:p>
    <w:p w14:paraId="714527AD" w14:textId="4A7E5EC6" w:rsidR="00E53830" w:rsidRDefault="00804480" w:rsidP="00135A23">
      <w:pPr>
        <w:spacing w:line="480" w:lineRule="auto"/>
        <w:ind w:firstLine="720"/>
        <w:jc w:val="both"/>
        <w:rPr>
          <w:rFonts w:ascii="Courier New" w:hAnsi="Courier New" w:cs="Courier New"/>
          <w:b/>
        </w:rPr>
      </w:pPr>
      <w:r w:rsidRPr="004B49EA">
        <w:rPr>
          <w:rFonts w:ascii="Courier New" w:hAnsi="Courier New" w:cs="Courier New"/>
        </w:rPr>
        <w:t>Based on the evidence presented and the reasonable inferences drawn therefrom</w:t>
      </w:r>
      <w:r>
        <w:rPr>
          <w:rFonts w:ascii="Courier New" w:hAnsi="Courier New" w:cs="Courier New"/>
        </w:rPr>
        <w:t xml:space="preserve">, </w:t>
      </w:r>
      <w:r w:rsidR="00FF4B58">
        <w:rPr>
          <w:rFonts w:ascii="Courier New" w:hAnsi="Courier New" w:cs="Courier New"/>
        </w:rPr>
        <w:t xml:space="preserve">the Board found and ruled that </w:t>
      </w:r>
      <w:r w:rsidR="00E53830">
        <w:rPr>
          <w:rFonts w:ascii="Courier New" w:hAnsi="Courier New" w:cs="Courier New"/>
        </w:rPr>
        <w:t>the Online Products constituted standardized so</w:t>
      </w:r>
      <w:r w:rsidR="00CD397D">
        <w:rPr>
          <w:rFonts w:ascii="Courier New" w:hAnsi="Courier New" w:cs="Courier New"/>
        </w:rPr>
        <w:t>f</w:t>
      </w:r>
      <w:r w:rsidR="00E53830">
        <w:rPr>
          <w:rFonts w:ascii="Courier New" w:hAnsi="Courier New" w:cs="Courier New"/>
        </w:rPr>
        <w:t xml:space="preserve">tware and, in turn, tangible personal property within the meaning of G.L. c. 64H, </w:t>
      </w:r>
      <w:r w:rsidR="00C6717D">
        <w:rPr>
          <w:rFonts w:ascii="Courier New" w:hAnsi="Courier New" w:cs="Courier New"/>
        </w:rPr>
        <w:t xml:space="preserve">§ </w:t>
      </w:r>
      <w:r w:rsidR="00E53830">
        <w:rPr>
          <w:rFonts w:ascii="Courier New" w:hAnsi="Courier New" w:cs="Courier New"/>
        </w:rPr>
        <w:t xml:space="preserve">1. The Board further found and ruled that the sales of the Online Products at issue in these appeals were sales of tangible personal property subject to the sales tax pursuant to G.L. c. 64H, </w:t>
      </w:r>
      <w:r w:rsidR="00C541E5">
        <w:rPr>
          <w:rFonts w:ascii="Courier New" w:hAnsi="Courier New" w:cs="Courier New"/>
        </w:rPr>
        <w:t xml:space="preserve">§§ </w:t>
      </w:r>
      <w:r w:rsidR="00E53830">
        <w:rPr>
          <w:rFonts w:ascii="Courier New" w:hAnsi="Courier New" w:cs="Courier New"/>
        </w:rPr>
        <w:t>1</w:t>
      </w:r>
      <w:r w:rsidR="00CD4763">
        <w:rPr>
          <w:rFonts w:ascii="Courier New" w:hAnsi="Courier New" w:cs="Courier New"/>
        </w:rPr>
        <w:t xml:space="preserve"> and </w:t>
      </w:r>
      <w:r w:rsidR="00E53830">
        <w:rPr>
          <w:rFonts w:ascii="Courier New" w:hAnsi="Courier New" w:cs="Courier New"/>
        </w:rPr>
        <w:t>2.</w:t>
      </w:r>
      <w:r w:rsidR="00CD397D">
        <w:rPr>
          <w:rFonts w:ascii="Courier New" w:hAnsi="Courier New" w:cs="Courier New"/>
        </w:rPr>
        <w:t xml:space="preserve"> </w:t>
      </w:r>
      <w:r w:rsidR="00896B86">
        <w:rPr>
          <w:rFonts w:ascii="Courier New" w:hAnsi="Courier New" w:cs="Courier New"/>
        </w:rPr>
        <w:t xml:space="preserve">Accordingly, </w:t>
      </w:r>
      <w:r w:rsidR="005726A5">
        <w:rPr>
          <w:rFonts w:ascii="Courier New" w:hAnsi="Courier New" w:cs="Courier New"/>
        </w:rPr>
        <w:t>the Board issued decision</w:t>
      </w:r>
      <w:r w:rsidR="002058C6">
        <w:rPr>
          <w:rFonts w:ascii="Courier New" w:hAnsi="Courier New" w:cs="Courier New"/>
        </w:rPr>
        <w:t>s</w:t>
      </w:r>
      <w:r w:rsidR="005726A5">
        <w:rPr>
          <w:rFonts w:ascii="Courier New" w:hAnsi="Courier New" w:cs="Courier New"/>
        </w:rPr>
        <w:t xml:space="preserve"> for the appellee in th</w:t>
      </w:r>
      <w:r w:rsidR="00CD4763">
        <w:rPr>
          <w:rFonts w:ascii="Courier New" w:hAnsi="Courier New" w:cs="Courier New"/>
        </w:rPr>
        <w:t>ese</w:t>
      </w:r>
      <w:r w:rsidR="005726A5">
        <w:rPr>
          <w:rFonts w:ascii="Courier New" w:hAnsi="Courier New" w:cs="Courier New"/>
        </w:rPr>
        <w:t xml:space="preserve"> appeal</w:t>
      </w:r>
      <w:r w:rsidR="00CD4763">
        <w:rPr>
          <w:rFonts w:ascii="Courier New" w:hAnsi="Courier New" w:cs="Courier New"/>
        </w:rPr>
        <w:t>s</w:t>
      </w:r>
      <w:r w:rsidR="005726A5">
        <w:rPr>
          <w:rFonts w:ascii="Courier New" w:hAnsi="Courier New" w:cs="Courier New"/>
        </w:rPr>
        <w:t>.</w:t>
      </w:r>
    </w:p>
    <w:p w14:paraId="495CB755" w14:textId="0527D267" w:rsidR="00F01FD1" w:rsidRDefault="008B3623" w:rsidP="00246D17">
      <w:pPr>
        <w:spacing w:line="480" w:lineRule="auto"/>
        <w:jc w:val="center"/>
        <w:rPr>
          <w:rFonts w:ascii="Courier New" w:hAnsi="Courier New" w:cs="Courier New"/>
          <w:color w:val="373739"/>
        </w:rPr>
      </w:pPr>
      <w:r>
        <w:rPr>
          <w:rFonts w:ascii="Courier New" w:hAnsi="Courier New" w:cs="Courier New"/>
          <w:b/>
        </w:rPr>
        <w:lastRenderedPageBreak/>
        <w:t>OPINION</w:t>
      </w:r>
    </w:p>
    <w:p w14:paraId="04F20270" w14:textId="75F35D28" w:rsidR="00821707" w:rsidRPr="00911F4D" w:rsidRDefault="00264C22" w:rsidP="00B94A7E">
      <w:pPr>
        <w:spacing w:line="480" w:lineRule="auto"/>
        <w:ind w:firstLine="720"/>
        <w:contextualSpacing/>
        <w:jc w:val="both"/>
        <w:rPr>
          <w:rFonts w:ascii="Courier New" w:hAnsi="Courier New" w:cs="Courier New"/>
          <w:color w:val="373739"/>
        </w:rPr>
      </w:pPr>
      <w:r>
        <w:rPr>
          <w:rFonts w:ascii="Courier New" w:hAnsi="Courier New" w:cs="Courier New"/>
          <w:color w:val="373739"/>
        </w:rPr>
        <w:t xml:space="preserve">Massachusetts </w:t>
      </w:r>
      <w:r w:rsidR="00D23026">
        <w:rPr>
          <w:rFonts w:ascii="Courier New" w:hAnsi="Courier New" w:cs="Courier New"/>
          <w:color w:val="373739"/>
        </w:rPr>
        <w:t xml:space="preserve">law </w:t>
      </w:r>
      <w:r>
        <w:rPr>
          <w:rFonts w:ascii="Courier New" w:hAnsi="Courier New" w:cs="Courier New"/>
          <w:color w:val="373739"/>
        </w:rPr>
        <w:t xml:space="preserve">imposes a sales tax on sales of tangible personal property in </w:t>
      </w:r>
      <w:r w:rsidR="00D23026">
        <w:rPr>
          <w:rFonts w:ascii="Courier New" w:hAnsi="Courier New" w:cs="Courier New"/>
          <w:color w:val="373739"/>
        </w:rPr>
        <w:t>the Commonwealth</w:t>
      </w:r>
      <w:r>
        <w:rPr>
          <w:rFonts w:ascii="Courier New" w:hAnsi="Courier New" w:cs="Courier New"/>
          <w:color w:val="373739"/>
        </w:rPr>
        <w:t xml:space="preserve">. </w:t>
      </w:r>
      <w:proofErr w:type="gramStart"/>
      <w:r w:rsidR="00911F4D">
        <w:rPr>
          <w:rFonts w:ascii="Courier New" w:hAnsi="Courier New" w:cs="Courier New"/>
          <w:color w:val="373739"/>
        </w:rPr>
        <w:t>G</w:t>
      </w:r>
      <w:r>
        <w:rPr>
          <w:rFonts w:ascii="Courier New" w:hAnsi="Courier New" w:cs="Courier New"/>
          <w:color w:val="373739"/>
        </w:rPr>
        <w:t>.</w:t>
      </w:r>
      <w:r w:rsidR="00821707" w:rsidRPr="00911F4D">
        <w:rPr>
          <w:rFonts w:ascii="Courier New" w:hAnsi="Courier New" w:cs="Courier New"/>
          <w:color w:val="373739"/>
        </w:rPr>
        <w:t>L</w:t>
      </w:r>
      <w:r>
        <w:rPr>
          <w:rFonts w:ascii="Courier New" w:hAnsi="Courier New" w:cs="Courier New"/>
          <w:color w:val="373739"/>
        </w:rPr>
        <w:t>.</w:t>
      </w:r>
      <w:r w:rsidR="00821707" w:rsidRPr="00911F4D">
        <w:rPr>
          <w:rFonts w:ascii="Courier New" w:hAnsi="Courier New" w:cs="Courier New"/>
          <w:color w:val="373739"/>
        </w:rPr>
        <w:t xml:space="preserve"> c. 6</w:t>
      </w:r>
      <w:r w:rsidR="00804480">
        <w:rPr>
          <w:rFonts w:ascii="Courier New" w:hAnsi="Courier New" w:cs="Courier New"/>
          <w:color w:val="373739"/>
        </w:rPr>
        <w:t xml:space="preserve">4H, </w:t>
      </w:r>
      <w:r w:rsidR="00C541E5">
        <w:rPr>
          <w:rFonts w:ascii="Courier New" w:hAnsi="Courier New" w:cs="Courier New"/>
          <w:color w:val="373739"/>
        </w:rPr>
        <w:t>§§</w:t>
      </w:r>
      <w:r w:rsidR="00804480">
        <w:rPr>
          <w:rFonts w:ascii="Courier New" w:hAnsi="Courier New" w:cs="Courier New"/>
          <w:color w:val="373739"/>
        </w:rPr>
        <w:t xml:space="preserve"> 1</w:t>
      </w:r>
      <w:r w:rsidR="00CD4763">
        <w:rPr>
          <w:rFonts w:ascii="Courier New" w:hAnsi="Courier New" w:cs="Courier New"/>
          <w:color w:val="373739"/>
        </w:rPr>
        <w:t xml:space="preserve"> and </w:t>
      </w:r>
      <w:r>
        <w:rPr>
          <w:rFonts w:ascii="Courier New" w:hAnsi="Courier New" w:cs="Courier New"/>
          <w:color w:val="373739"/>
        </w:rPr>
        <w:t>2.</w:t>
      </w:r>
      <w:proofErr w:type="gramEnd"/>
      <w:r>
        <w:rPr>
          <w:rFonts w:ascii="Courier New" w:hAnsi="Courier New" w:cs="Courier New"/>
          <w:color w:val="373739"/>
        </w:rPr>
        <w:t xml:space="preserve"> </w:t>
      </w:r>
      <w:r w:rsidR="00D23026">
        <w:rPr>
          <w:rFonts w:ascii="Courier New" w:hAnsi="Courier New" w:cs="Courier New"/>
          <w:color w:val="373739"/>
        </w:rPr>
        <w:t>For purposes of the sales tax, a</w:t>
      </w:r>
      <w:r>
        <w:rPr>
          <w:rFonts w:ascii="Courier New" w:hAnsi="Courier New" w:cs="Courier New"/>
          <w:color w:val="373739"/>
        </w:rPr>
        <w:t xml:space="preserve"> sale includes</w:t>
      </w:r>
      <w:r w:rsidR="008B6C42">
        <w:rPr>
          <w:rFonts w:ascii="Courier New" w:hAnsi="Courier New" w:cs="Courier New"/>
          <w:color w:val="373739"/>
        </w:rPr>
        <w:t>:</w:t>
      </w:r>
    </w:p>
    <w:p w14:paraId="09E91200" w14:textId="390CA39A" w:rsidR="008B6C42" w:rsidRDefault="00804480" w:rsidP="00494FBB">
      <w:pPr>
        <w:ind w:left="720" w:right="720"/>
        <w:contextualSpacing/>
        <w:jc w:val="both"/>
        <w:rPr>
          <w:rStyle w:val="apple-converted-space"/>
          <w:rFonts w:ascii="Courier New" w:hAnsi="Courier New" w:cs="Courier New"/>
          <w:color w:val="333333"/>
          <w:shd w:val="clear" w:color="auto" w:fill="FFFFFF"/>
        </w:rPr>
      </w:pPr>
      <w:proofErr w:type="gramStart"/>
      <w:r w:rsidRPr="00804480">
        <w:rPr>
          <w:rFonts w:ascii="Courier New" w:hAnsi="Courier New" w:cs="Courier New"/>
          <w:color w:val="333333"/>
          <w:shd w:val="clear" w:color="auto" w:fill="FFFFFF"/>
        </w:rPr>
        <w:t>any</w:t>
      </w:r>
      <w:proofErr w:type="gramEnd"/>
      <w:r w:rsidRPr="00804480">
        <w:rPr>
          <w:rFonts w:ascii="Courier New" w:hAnsi="Courier New" w:cs="Courier New"/>
          <w:color w:val="333333"/>
          <w:shd w:val="clear" w:color="auto" w:fill="FFFFFF"/>
        </w:rPr>
        <w:t xml:space="preserve"> transfer of title or possession, or both, exchange, barter, lease, rental, conditional or otherwise, of tangible personal property</w:t>
      </w:r>
      <w:r w:rsidR="00C775DE">
        <w:rPr>
          <w:rFonts w:ascii="Courier New" w:hAnsi="Courier New" w:cs="Courier New"/>
          <w:color w:val="333333"/>
          <w:shd w:val="clear" w:color="auto" w:fill="FFFFFF"/>
        </w:rPr>
        <w:t xml:space="preserve"> . . .</w:t>
      </w:r>
      <w:r w:rsidRPr="00804480">
        <w:rPr>
          <w:rFonts w:ascii="Courier New" w:hAnsi="Courier New" w:cs="Courier New"/>
          <w:color w:val="333333"/>
          <w:shd w:val="clear" w:color="auto" w:fill="FFFFFF"/>
        </w:rPr>
        <w:t xml:space="preserve"> in any manner or by any means whatsoever</w:t>
      </w:r>
      <w:r w:rsidR="00264C22">
        <w:rPr>
          <w:rFonts w:ascii="Courier New" w:hAnsi="Courier New" w:cs="Courier New"/>
          <w:color w:val="333333"/>
          <w:shd w:val="clear" w:color="auto" w:fill="FFFFFF"/>
        </w:rPr>
        <w:t>.</w:t>
      </w:r>
      <w:r w:rsidRPr="00804480">
        <w:rPr>
          <w:rStyle w:val="apple-converted-space"/>
          <w:rFonts w:ascii="Courier New" w:hAnsi="Courier New" w:cs="Courier New"/>
          <w:color w:val="333333"/>
          <w:shd w:val="clear" w:color="auto" w:fill="FFFFFF"/>
        </w:rPr>
        <w:t> </w:t>
      </w:r>
    </w:p>
    <w:p w14:paraId="6704E751" w14:textId="77777777" w:rsidR="00494FBB" w:rsidRDefault="00494FBB" w:rsidP="00494FBB">
      <w:pPr>
        <w:ind w:right="720"/>
        <w:contextualSpacing/>
        <w:jc w:val="both"/>
        <w:rPr>
          <w:rStyle w:val="apple-converted-space"/>
          <w:rFonts w:ascii="Courier New" w:hAnsi="Courier New" w:cs="Courier New"/>
          <w:color w:val="333333"/>
          <w:shd w:val="clear" w:color="auto" w:fill="FFFFFF"/>
        </w:rPr>
      </w:pPr>
    </w:p>
    <w:p w14:paraId="7296EB52" w14:textId="1BE9E80F" w:rsidR="00494FBB" w:rsidRDefault="00494FBB" w:rsidP="00494FBB">
      <w:pPr>
        <w:ind w:right="720"/>
        <w:contextualSpacing/>
        <w:jc w:val="both"/>
        <w:rPr>
          <w:rStyle w:val="apple-converted-space"/>
          <w:rFonts w:ascii="Courier New" w:hAnsi="Courier New" w:cs="Courier New"/>
          <w:color w:val="333333"/>
          <w:shd w:val="clear" w:color="auto" w:fill="FFFFFF"/>
        </w:rPr>
      </w:pPr>
      <w:proofErr w:type="gramStart"/>
      <w:r>
        <w:rPr>
          <w:rStyle w:val="apple-converted-space"/>
          <w:rFonts w:ascii="Courier New" w:hAnsi="Courier New" w:cs="Courier New"/>
          <w:color w:val="333333"/>
          <w:shd w:val="clear" w:color="auto" w:fill="FFFFFF"/>
        </w:rPr>
        <w:t>G.L. c. 64H, § 1</w:t>
      </w:r>
      <w:r w:rsidR="006477DB">
        <w:rPr>
          <w:rStyle w:val="apple-converted-space"/>
          <w:rFonts w:ascii="Courier New" w:hAnsi="Courier New" w:cs="Courier New"/>
          <w:color w:val="333333"/>
          <w:shd w:val="clear" w:color="auto" w:fill="FFFFFF"/>
        </w:rPr>
        <w:t>.</w:t>
      </w:r>
      <w:proofErr w:type="gramEnd"/>
    </w:p>
    <w:p w14:paraId="5562A438" w14:textId="77777777" w:rsidR="00804480" w:rsidRDefault="00804480" w:rsidP="00804480">
      <w:pPr>
        <w:contextualSpacing/>
        <w:jc w:val="both"/>
        <w:rPr>
          <w:rStyle w:val="apple-converted-space"/>
          <w:rFonts w:ascii="Courier New" w:hAnsi="Courier New" w:cs="Courier New"/>
          <w:color w:val="333333"/>
          <w:shd w:val="clear" w:color="auto" w:fill="FFFFFF"/>
        </w:rPr>
      </w:pPr>
    </w:p>
    <w:p w14:paraId="0FA4362E" w14:textId="1EA5AF2B" w:rsidR="00264C22" w:rsidRDefault="00D23026" w:rsidP="00D64798">
      <w:pPr>
        <w:spacing w:line="480" w:lineRule="auto"/>
        <w:ind w:firstLine="720"/>
        <w:contextualSpacing/>
        <w:jc w:val="both"/>
        <w:rPr>
          <w:rStyle w:val="apple-converted-space"/>
          <w:rFonts w:ascii="Courier New" w:hAnsi="Courier New" w:cs="Courier New"/>
          <w:color w:val="333333"/>
          <w:shd w:val="clear" w:color="auto" w:fill="FFFFFF"/>
        </w:rPr>
      </w:pPr>
      <w:r>
        <w:rPr>
          <w:rStyle w:val="apple-converted-space"/>
          <w:rFonts w:ascii="Courier New" w:hAnsi="Courier New" w:cs="Courier New"/>
          <w:color w:val="333333"/>
          <w:shd w:val="clear" w:color="auto" w:fill="FFFFFF"/>
        </w:rPr>
        <w:t>T</w:t>
      </w:r>
      <w:r w:rsidR="00264C22">
        <w:rPr>
          <w:rStyle w:val="apple-converted-space"/>
          <w:rFonts w:ascii="Courier New" w:hAnsi="Courier New" w:cs="Courier New"/>
          <w:color w:val="333333"/>
          <w:shd w:val="clear" w:color="auto" w:fill="FFFFFF"/>
        </w:rPr>
        <w:t xml:space="preserve">angible personal property is defined </w:t>
      </w:r>
      <w:r>
        <w:rPr>
          <w:rStyle w:val="apple-converted-space"/>
          <w:rFonts w:ascii="Courier New" w:hAnsi="Courier New" w:cs="Courier New"/>
          <w:color w:val="333333"/>
          <w:shd w:val="clear" w:color="auto" w:fill="FFFFFF"/>
        </w:rPr>
        <w:t xml:space="preserve">in </w:t>
      </w:r>
      <w:r w:rsidR="0053694E">
        <w:rPr>
          <w:rStyle w:val="apple-converted-space"/>
          <w:rFonts w:ascii="Courier New" w:hAnsi="Courier New" w:cs="Courier New"/>
          <w:color w:val="333333"/>
          <w:shd w:val="clear" w:color="auto" w:fill="FFFFFF"/>
        </w:rPr>
        <w:t>C</w:t>
      </w:r>
      <w:r>
        <w:rPr>
          <w:rStyle w:val="apple-converted-space"/>
          <w:rFonts w:ascii="Courier New" w:hAnsi="Courier New" w:cs="Courier New"/>
          <w:color w:val="333333"/>
          <w:shd w:val="clear" w:color="auto" w:fill="FFFFFF"/>
        </w:rPr>
        <w:t>hapter</w:t>
      </w:r>
      <w:r w:rsidR="00D64798">
        <w:rPr>
          <w:rStyle w:val="apple-converted-space"/>
          <w:rFonts w:ascii="Courier New" w:hAnsi="Courier New" w:cs="Courier New"/>
          <w:color w:val="333333"/>
          <w:shd w:val="clear" w:color="auto" w:fill="FFFFFF"/>
        </w:rPr>
        <w:t xml:space="preserve"> 64H </w:t>
      </w:r>
      <w:r w:rsidR="00264C22">
        <w:rPr>
          <w:rStyle w:val="apple-converted-space"/>
          <w:rFonts w:ascii="Courier New" w:hAnsi="Courier New" w:cs="Courier New"/>
          <w:color w:val="333333"/>
          <w:shd w:val="clear" w:color="auto" w:fill="FFFFFF"/>
        </w:rPr>
        <w:t>as</w:t>
      </w:r>
      <w:r w:rsidR="008B6C42">
        <w:rPr>
          <w:rStyle w:val="apple-converted-space"/>
          <w:rFonts w:ascii="Courier New" w:hAnsi="Courier New" w:cs="Courier New"/>
          <w:color w:val="333333"/>
          <w:shd w:val="clear" w:color="auto" w:fill="FFFFFF"/>
        </w:rPr>
        <w:t>:</w:t>
      </w:r>
    </w:p>
    <w:p w14:paraId="777857EB" w14:textId="642FA7EB" w:rsidR="006477DB" w:rsidRDefault="00804480" w:rsidP="000F6420">
      <w:pPr>
        <w:ind w:left="720" w:right="720"/>
        <w:contextualSpacing/>
        <w:jc w:val="both"/>
        <w:rPr>
          <w:rFonts w:ascii="Courier New" w:hAnsi="Courier New" w:cs="Courier New"/>
          <w:color w:val="333333"/>
          <w:shd w:val="clear" w:color="auto" w:fill="FFFFFF"/>
        </w:rPr>
      </w:pPr>
      <w:r w:rsidRPr="00804480">
        <w:rPr>
          <w:rFonts w:ascii="Courier New" w:hAnsi="Courier New" w:cs="Courier New"/>
          <w:color w:val="333333"/>
          <w:shd w:val="clear" w:color="auto" w:fill="FFFFFF"/>
        </w:rPr>
        <w:t xml:space="preserve">personal property of any nature consisting of any produce, goods, wares, merchandise and commodities whatsoever, brought into, produced, manufactured or being within the commonwealth, but shall not include rights and credits, insurance policies, bills of exchange, stocks and bonds and similar evidences of indebtedness or ownership. For purposes of this chapter, </w:t>
      </w:r>
      <w:r w:rsidR="00D64798">
        <w:rPr>
          <w:rFonts w:ascii="Courier New" w:hAnsi="Courier New" w:cs="Courier New"/>
          <w:color w:val="333333"/>
          <w:shd w:val="clear" w:color="auto" w:fill="FFFFFF"/>
        </w:rPr>
        <w:t>“</w:t>
      </w:r>
      <w:r w:rsidRPr="00804480">
        <w:rPr>
          <w:rFonts w:ascii="Courier New" w:hAnsi="Courier New" w:cs="Courier New"/>
          <w:color w:val="333333"/>
          <w:shd w:val="clear" w:color="auto" w:fill="FFFFFF"/>
        </w:rPr>
        <w:t>tangible personal property</w:t>
      </w:r>
      <w:r w:rsidR="00D64798">
        <w:rPr>
          <w:rFonts w:ascii="Courier New" w:hAnsi="Courier New" w:cs="Courier New"/>
          <w:color w:val="333333"/>
          <w:shd w:val="clear" w:color="auto" w:fill="FFFFFF"/>
        </w:rPr>
        <w:t>”</w:t>
      </w:r>
      <w:r w:rsidRPr="00804480">
        <w:rPr>
          <w:rFonts w:ascii="Courier New" w:hAnsi="Courier New" w:cs="Courier New"/>
          <w:color w:val="333333"/>
          <w:shd w:val="clear" w:color="auto" w:fill="FFFFFF"/>
        </w:rPr>
        <w:t xml:space="preserve"> shall include gas, electricity and steam. </w:t>
      </w:r>
      <w:r w:rsidRPr="00264C22">
        <w:rPr>
          <w:rFonts w:ascii="Courier New" w:hAnsi="Courier New" w:cs="Courier New"/>
          <w:b/>
          <w:color w:val="333333"/>
          <w:shd w:val="clear" w:color="auto" w:fill="FFFFFF"/>
        </w:rPr>
        <w:t>A transfer of standardized computer software, including but not limited to electronic, telephonic, or similar transfer, shall also be considered a transfer of tangible personal property.</w:t>
      </w:r>
      <w:r w:rsidRPr="00804480">
        <w:rPr>
          <w:rFonts w:ascii="Courier New" w:hAnsi="Courier New" w:cs="Courier New"/>
          <w:color w:val="333333"/>
          <w:shd w:val="clear" w:color="auto" w:fill="FFFFFF"/>
        </w:rPr>
        <w:t xml:space="preserve"> </w:t>
      </w:r>
    </w:p>
    <w:p w14:paraId="3300DDB8" w14:textId="77777777" w:rsidR="006477DB" w:rsidRDefault="006477DB" w:rsidP="006477DB">
      <w:pPr>
        <w:ind w:right="720"/>
        <w:contextualSpacing/>
        <w:jc w:val="both"/>
        <w:rPr>
          <w:rFonts w:ascii="Courier New" w:hAnsi="Courier New" w:cs="Courier New"/>
          <w:color w:val="333333"/>
          <w:shd w:val="clear" w:color="auto" w:fill="FFFFFF"/>
        </w:rPr>
      </w:pPr>
    </w:p>
    <w:p w14:paraId="29240357" w14:textId="2CEEFD4D" w:rsidR="00264C22" w:rsidRDefault="00B21A65" w:rsidP="006477DB">
      <w:pPr>
        <w:ind w:right="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 xml:space="preserve">G.L. c. 64H, § 1 </w:t>
      </w:r>
      <w:r w:rsidR="00264C22">
        <w:rPr>
          <w:rFonts w:ascii="Courier New" w:hAnsi="Courier New" w:cs="Courier New"/>
          <w:color w:val="333333"/>
          <w:shd w:val="clear" w:color="auto" w:fill="FFFFFF"/>
        </w:rPr>
        <w:t>(emphasis added).</w:t>
      </w:r>
    </w:p>
    <w:p w14:paraId="7B8D5422" w14:textId="77777777" w:rsidR="00C6717D" w:rsidRDefault="00C6717D" w:rsidP="000F6420">
      <w:pPr>
        <w:ind w:left="720" w:right="720"/>
        <w:contextualSpacing/>
        <w:jc w:val="both"/>
        <w:rPr>
          <w:rFonts w:ascii="Courier New" w:hAnsi="Courier New" w:cs="Courier New"/>
          <w:color w:val="333333"/>
          <w:shd w:val="clear" w:color="auto" w:fill="FFFFFF"/>
        </w:rPr>
      </w:pPr>
    </w:p>
    <w:p w14:paraId="13D11EEE" w14:textId="69A61078" w:rsidR="00EF4399" w:rsidRDefault="00C6717D" w:rsidP="00135A23">
      <w:pPr>
        <w:spacing w:after="100" w:afterAutospacing="1" w:line="480" w:lineRule="auto"/>
        <w:ind w:firstLine="720"/>
        <w:contextualSpacing/>
        <w:jc w:val="both"/>
        <w:rPr>
          <w:rFonts w:ascii="Courier New" w:hAnsi="Courier New" w:cs="Courier New"/>
        </w:rPr>
      </w:pPr>
      <w:r>
        <w:rPr>
          <w:rFonts w:ascii="Courier New" w:hAnsi="Courier New" w:cs="Courier New"/>
        </w:rPr>
        <w:t xml:space="preserve">For </w:t>
      </w:r>
      <w:r w:rsidR="00CD4763">
        <w:rPr>
          <w:rFonts w:ascii="Courier New" w:hAnsi="Courier New" w:cs="Courier New"/>
        </w:rPr>
        <w:t>a number of</w:t>
      </w:r>
      <w:r>
        <w:rPr>
          <w:rFonts w:ascii="Courier New" w:hAnsi="Courier New" w:cs="Courier New"/>
        </w:rPr>
        <w:t xml:space="preserve"> years pri</w:t>
      </w:r>
      <w:r w:rsidR="00BB0CBB">
        <w:rPr>
          <w:rFonts w:ascii="Courier New" w:hAnsi="Courier New" w:cs="Courier New"/>
        </w:rPr>
        <w:t>or to 2005, whether standardized software was subject to sales or use tax in Massachusetts depended on its method of delivery.</w:t>
      </w:r>
      <w:r w:rsidR="00060E3F">
        <w:rPr>
          <w:rStyle w:val="FootnoteReference"/>
          <w:rFonts w:ascii="Courier New" w:hAnsi="Courier New" w:cs="Courier New"/>
        </w:rPr>
        <w:footnoteReference w:id="6"/>
      </w:r>
      <w:r w:rsidR="00BB0CBB">
        <w:rPr>
          <w:rFonts w:ascii="Courier New" w:hAnsi="Courier New" w:cs="Courier New"/>
        </w:rPr>
        <w:t xml:space="preserve"> More </w:t>
      </w:r>
      <w:r w:rsidR="00BB0CBB">
        <w:rPr>
          <w:rFonts w:ascii="Courier New" w:hAnsi="Courier New" w:cs="Courier New"/>
        </w:rPr>
        <w:lastRenderedPageBreak/>
        <w:t xml:space="preserve">specifically, if standardized software was delivered in tangible form, such as a </w:t>
      </w:r>
      <w:r w:rsidR="00F16F3F">
        <w:rPr>
          <w:rFonts w:ascii="Courier New" w:hAnsi="Courier New" w:cs="Courier New"/>
        </w:rPr>
        <w:t>CD-</w:t>
      </w:r>
      <w:r w:rsidR="00694D2A">
        <w:rPr>
          <w:rFonts w:ascii="Courier New" w:hAnsi="Courier New" w:cs="Courier New"/>
        </w:rPr>
        <w:t>ROM</w:t>
      </w:r>
      <w:r w:rsidR="00F16F3F">
        <w:rPr>
          <w:rFonts w:ascii="Courier New" w:hAnsi="Courier New" w:cs="Courier New"/>
        </w:rPr>
        <w:t xml:space="preserve"> or</w:t>
      </w:r>
      <w:r w:rsidR="00694D2A">
        <w:rPr>
          <w:rFonts w:ascii="Courier New" w:hAnsi="Courier New" w:cs="Courier New"/>
        </w:rPr>
        <w:t xml:space="preserve"> a</w:t>
      </w:r>
      <w:r w:rsidR="00F16F3F">
        <w:rPr>
          <w:rFonts w:ascii="Courier New" w:hAnsi="Courier New" w:cs="Courier New"/>
        </w:rPr>
        <w:t xml:space="preserve"> floppy </w:t>
      </w:r>
      <w:r w:rsidR="00BB0CBB">
        <w:rPr>
          <w:rFonts w:ascii="Courier New" w:hAnsi="Courier New" w:cs="Courier New"/>
        </w:rPr>
        <w:t>disk, it was subject to tax. If, however, standardized software was</w:t>
      </w:r>
      <w:r w:rsidR="00135A23">
        <w:rPr>
          <w:rFonts w:ascii="Courier New" w:hAnsi="Courier New" w:cs="Courier New"/>
        </w:rPr>
        <w:t> </w:t>
      </w:r>
      <w:r w:rsidR="00BB0CBB">
        <w:rPr>
          <w:rFonts w:ascii="Courier New" w:hAnsi="Courier New" w:cs="Courier New"/>
        </w:rPr>
        <w:t>delivered electronically or by load and leave</w:t>
      </w:r>
      <w:r w:rsidR="00CD4763">
        <w:rPr>
          <w:rFonts w:ascii="Courier New" w:hAnsi="Courier New" w:cs="Courier New"/>
        </w:rPr>
        <w:t>,</w:t>
      </w:r>
      <w:r w:rsidR="00BB0CBB">
        <w:rPr>
          <w:rStyle w:val="FootnoteReference"/>
          <w:rFonts w:ascii="Courier New" w:hAnsi="Courier New" w:cs="Courier New"/>
        </w:rPr>
        <w:footnoteReference w:id="7"/>
      </w:r>
      <w:r w:rsidR="00BB0CBB">
        <w:rPr>
          <w:rFonts w:ascii="Courier New" w:hAnsi="Courier New" w:cs="Courier New"/>
        </w:rPr>
        <w:t xml:space="preserve"> it was not subject to tax.</w:t>
      </w:r>
      <w:r w:rsidR="00060E3F">
        <w:rPr>
          <w:rFonts w:ascii="Courier New" w:hAnsi="Courier New" w:cs="Courier New"/>
        </w:rPr>
        <w:t xml:space="preserve"> </w:t>
      </w:r>
      <w:r w:rsidR="00060E3F" w:rsidRPr="008A02C4">
        <w:rPr>
          <w:rFonts w:ascii="Courier New" w:hAnsi="Courier New" w:cs="Courier New"/>
          <w:i/>
        </w:rPr>
        <w:t>See, e.g.</w:t>
      </w:r>
      <w:r w:rsidR="008A02C4">
        <w:rPr>
          <w:rFonts w:ascii="Courier New" w:hAnsi="Courier New" w:cs="Courier New"/>
          <w:i/>
        </w:rPr>
        <w:t>,</w:t>
      </w:r>
      <w:r w:rsidR="00060E3F">
        <w:rPr>
          <w:rFonts w:ascii="Courier New" w:hAnsi="Courier New" w:cs="Courier New"/>
        </w:rPr>
        <w:t xml:space="preserve"> </w:t>
      </w:r>
      <w:r w:rsidR="00060E3F" w:rsidRPr="00C826BE">
        <w:rPr>
          <w:rFonts w:ascii="Courier New" w:hAnsi="Courier New" w:cs="Courier New"/>
        </w:rPr>
        <w:t>Directive 01-3: Sales Tax Consequences of Computer Software “Load and Leave” Transactions</w:t>
      </w:r>
      <w:r w:rsidR="00060E3F">
        <w:rPr>
          <w:rFonts w:ascii="Courier New" w:hAnsi="Courier New" w:cs="Courier New"/>
        </w:rPr>
        <w:t xml:space="preserve">. </w:t>
      </w:r>
      <w:r w:rsidR="00BB0CBB">
        <w:rPr>
          <w:rFonts w:ascii="Courier New" w:hAnsi="Courier New" w:cs="Courier New"/>
        </w:rPr>
        <w:t xml:space="preserve">In 2005, the </w:t>
      </w:r>
      <w:r>
        <w:rPr>
          <w:rFonts w:ascii="Courier New" w:hAnsi="Courier New" w:cs="Courier New"/>
        </w:rPr>
        <w:t>Massachusetts L</w:t>
      </w:r>
      <w:r w:rsidR="00BB0CBB">
        <w:rPr>
          <w:rFonts w:ascii="Courier New" w:hAnsi="Courier New" w:cs="Courier New"/>
        </w:rPr>
        <w:t xml:space="preserve">egislature addressed this disparity and created uniform sales tax treatment for sales of standardized software, regardless of the method by which the sale is made. To accomplish this, the definition of tangible personal property was expanded, as reflected in the emphasized language above, to </w:t>
      </w:r>
      <w:r w:rsidR="00EF4399">
        <w:rPr>
          <w:rFonts w:ascii="Courier New" w:hAnsi="Courier New" w:cs="Courier New"/>
        </w:rPr>
        <w:t xml:space="preserve">incorporate </w:t>
      </w:r>
      <w:r w:rsidR="00BB0CBB" w:rsidRPr="00BB0CBB">
        <w:rPr>
          <w:rFonts w:ascii="Courier New" w:hAnsi="Courier New" w:cs="Courier New"/>
          <w:color w:val="333333"/>
          <w:shd w:val="clear" w:color="auto" w:fill="FFFFFF"/>
        </w:rPr>
        <w:t>transfer</w:t>
      </w:r>
      <w:r w:rsidR="00EF4399">
        <w:rPr>
          <w:rFonts w:ascii="Courier New" w:hAnsi="Courier New" w:cs="Courier New"/>
          <w:color w:val="333333"/>
          <w:shd w:val="clear" w:color="auto" w:fill="FFFFFF"/>
        </w:rPr>
        <w:t>s</w:t>
      </w:r>
      <w:r w:rsidR="00BB0CBB" w:rsidRPr="00BB0CBB">
        <w:rPr>
          <w:rFonts w:ascii="Courier New" w:hAnsi="Courier New" w:cs="Courier New"/>
          <w:color w:val="333333"/>
          <w:shd w:val="clear" w:color="auto" w:fill="FFFFFF"/>
        </w:rPr>
        <w:t xml:space="preserve"> of standardized computer software</w:t>
      </w:r>
      <w:r w:rsidR="00EF4399">
        <w:rPr>
          <w:rFonts w:ascii="Courier New" w:hAnsi="Courier New" w:cs="Courier New"/>
          <w:color w:val="333333"/>
          <w:shd w:val="clear" w:color="auto" w:fill="FFFFFF"/>
        </w:rPr>
        <w:t xml:space="preserve"> “</w:t>
      </w:r>
      <w:r w:rsidR="00BB0CBB" w:rsidRPr="00BB0CBB">
        <w:rPr>
          <w:rFonts w:ascii="Courier New" w:hAnsi="Courier New" w:cs="Courier New"/>
          <w:color w:val="333333"/>
          <w:shd w:val="clear" w:color="auto" w:fill="FFFFFF"/>
        </w:rPr>
        <w:t>including but not limited to electronic, telephonic, or similar transfer</w:t>
      </w:r>
      <w:r w:rsidR="00A362D1">
        <w:rPr>
          <w:rFonts w:ascii="Courier New" w:hAnsi="Courier New" w:cs="Courier New"/>
          <w:color w:val="333333"/>
          <w:shd w:val="clear" w:color="auto" w:fill="FFFFFF"/>
        </w:rPr>
        <w:t>[s]</w:t>
      </w:r>
      <w:r w:rsidR="00EF4399">
        <w:rPr>
          <w:rFonts w:ascii="Courier New" w:hAnsi="Courier New" w:cs="Courier New"/>
          <w:color w:val="333333"/>
          <w:shd w:val="clear" w:color="auto" w:fill="FFFFFF"/>
        </w:rPr>
        <w:t>.”</w:t>
      </w:r>
      <w:r w:rsidR="00BB0CBB" w:rsidRPr="00BB0CBB">
        <w:rPr>
          <w:rFonts w:ascii="Courier New" w:hAnsi="Courier New" w:cs="Courier New"/>
          <w:color w:val="333333"/>
          <w:shd w:val="clear" w:color="auto" w:fill="FFFFFF"/>
        </w:rPr>
        <w:t xml:space="preserve"> </w:t>
      </w:r>
      <w:proofErr w:type="gramStart"/>
      <w:r w:rsidR="00F16F3F">
        <w:rPr>
          <w:rFonts w:ascii="Courier New" w:hAnsi="Courier New" w:cs="Courier New"/>
        </w:rPr>
        <w:t>St. 2005, c. 163</w:t>
      </w:r>
      <w:r w:rsidR="006477DB">
        <w:rPr>
          <w:rFonts w:ascii="Courier New" w:hAnsi="Courier New" w:cs="Courier New"/>
        </w:rPr>
        <w:t>,</w:t>
      </w:r>
      <w:r w:rsidR="00F16F3F">
        <w:rPr>
          <w:rFonts w:ascii="Courier New" w:hAnsi="Courier New" w:cs="Courier New"/>
        </w:rPr>
        <w:t xml:space="preserve"> </w:t>
      </w:r>
      <w:r w:rsidR="00C541E5">
        <w:rPr>
          <w:rFonts w:ascii="Courier New" w:hAnsi="Courier New" w:cs="Courier New"/>
        </w:rPr>
        <w:t>§</w:t>
      </w:r>
      <w:r w:rsidR="00F16F3F">
        <w:rPr>
          <w:rFonts w:ascii="Courier New" w:hAnsi="Courier New" w:cs="Courier New"/>
        </w:rPr>
        <w:t xml:space="preserve"> 34 (effective April 1, 2006)</w:t>
      </w:r>
      <w:r w:rsidR="00946645">
        <w:rPr>
          <w:rFonts w:ascii="Courier New" w:hAnsi="Courier New" w:cs="Courier New"/>
        </w:rPr>
        <w:t xml:space="preserve"> </w:t>
      </w:r>
      <w:r w:rsidR="007204B5">
        <w:rPr>
          <w:rFonts w:ascii="Courier New" w:hAnsi="Courier New" w:cs="Courier New"/>
        </w:rPr>
        <w:t>(the “2005 statutory change”)</w:t>
      </w:r>
      <w:r w:rsidR="00F16F3F">
        <w:rPr>
          <w:rFonts w:ascii="Courier New" w:hAnsi="Courier New" w:cs="Courier New"/>
        </w:rPr>
        <w:t>.</w:t>
      </w:r>
      <w:proofErr w:type="gramEnd"/>
      <w:r w:rsidR="00EF4399">
        <w:rPr>
          <w:rFonts w:ascii="Courier New" w:hAnsi="Courier New" w:cs="Courier New"/>
        </w:rPr>
        <w:t xml:space="preserve"> </w:t>
      </w:r>
    </w:p>
    <w:p w14:paraId="14BD0314" w14:textId="033DE714" w:rsidR="00CD397D" w:rsidRPr="00CD397D" w:rsidRDefault="000E3F66" w:rsidP="00FE2273">
      <w:pPr>
        <w:spacing w:after="100" w:afterAutospacing="1"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 xml:space="preserve">Following the </w:t>
      </w:r>
      <w:r w:rsidR="007204B5">
        <w:rPr>
          <w:rFonts w:ascii="Courier New" w:hAnsi="Courier New" w:cs="Courier New"/>
          <w:color w:val="333333"/>
          <w:shd w:val="clear" w:color="auto" w:fill="FFFFFF"/>
        </w:rPr>
        <w:t xml:space="preserve">2005 </w:t>
      </w:r>
      <w:r>
        <w:rPr>
          <w:rFonts w:ascii="Courier New" w:hAnsi="Courier New" w:cs="Courier New"/>
          <w:color w:val="333333"/>
          <w:shd w:val="clear" w:color="auto" w:fill="FFFFFF"/>
        </w:rPr>
        <w:t>statutory change, the Commissioner promulgated a regulation on October 20, 2006</w:t>
      </w:r>
      <w:r w:rsidR="00E73647">
        <w:rPr>
          <w:rFonts w:ascii="Courier New" w:hAnsi="Courier New" w:cs="Courier New"/>
          <w:color w:val="333333"/>
          <w:shd w:val="clear" w:color="auto" w:fill="FFFFFF"/>
        </w:rPr>
        <w:t xml:space="preserve"> that, in pertinent part, construe</w:t>
      </w:r>
      <w:r w:rsidR="00EF4399">
        <w:rPr>
          <w:rFonts w:ascii="Courier New" w:hAnsi="Courier New" w:cs="Courier New"/>
          <w:color w:val="333333"/>
          <w:shd w:val="clear" w:color="auto" w:fill="FFFFFF"/>
        </w:rPr>
        <w:t>d</w:t>
      </w:r>
      <w:r w:rsidR="00E73647">
        <w:rPr>
          <w:rFonts w:ascii="Courier New" w:hAnsi="Courier New" w:cs="Courier New"/>
          <w:color w:val="333333"/>
          <w:shd w:val="clear" w:color="auto" w:fill="FFFFFF"/>
        </w:rPr>
        <w:t xml:space="preserve"> the application of the sales tax </w:t>
      </w:r>
      <w:r w:rsidR="00E73647">
        <w:rPr>
          <w:rFonts w:ascii="Courier New" w:hAnsi="Courier New" w:cs="Courier New"/>
          <w:color w:val="333333"/>
          <w:shd w:val="clear" w:color="auto" w:fill="FFFFFF"/>
        </w:rPr>
        <w:lastRenderedPageBreak/>
        <w:t>to sales of prewritten software</w:t>
      </w:r>
      <w:r w:rsidR="000F6420">
        <w:rPr>
          <w:rFonts w:ascii="Courier New" w:hAnsi="Courier New" w:cs="Courier New"/>
          <w:color w:val="333333"/>
          <w:shd w:val="clear" w:color="auto" w:fill="FFFFFF"/>
        </w:rPr>
        <w:t xml:space="preserve"> (the “Regulation”)</w:t>
      </w:r>
      <w:r w:rsidR="00E73647">
        <w:rPr>
          <w:rFonts w:ascii="Courier New" w:hAnsi="Courier New" w:cs="Courier New"/>
          <w:color w:val="333333"/>
          <w:shd w:val="clear" w:color="auto" w:fill="FFFFFF"/>
        </w:rPr>
        <w:t>.</w:t>
      </w:r>
      <w:r w:rsidR="002E00E9">
        <w:rPr>
          <w:rStyle w:val="FootnoteReference"/>
          <w:rFonts w:ascii="Courier New" w:hAnsi="Courier New" w:cs="Courier New"/>
          <w:color w:val="333333"/>
          <w:shd w:val="clear" w:color="auto" w:fill="FFFFFF"/>
        </w:rPr>
        <w:footnoteReference w:id="8"/>
      </w:r>
      <w:r w:rsidR="00E73647">
        <w:rPr>
          <w:rFonts w:ascii="Courier New" w:hAnsi="Courier New" w:cs="Courier New"/>
          <w:color w:val="333333"/>
          <w:shd w:val="clear" w:color="auto" w:fill="FFFFFF"/>
        </w:rPr>
        <w:t xml:space="preserve"> </w:t>
      </w:r>
      <w:r w:rsidR="00E73647" w:rsidRPr="00E73647">
        <w:rPr>
          <w:rFonts w:ascii="Courier New" w:hAnsi="Courier New" w:cs="Courier New"/>
          <w:i/>
          <w:color w:val="333333"/>
          <w:shd w:val="clear" w:color="auto" w:fill="FFFFFF"/>
        </w:rPr>
        <w:t>See</w:t>
      </w:r>
      <w:r w:rsidR="00E73647">
        <w:rPr>
          <w:rFonts w:ascii="Courier New" w:hAnsi="Courier New" w:cs="Courier New"/>
          <w:color w:val="333333"/>
          <w:shd w:val="clear" w:color="auto" w:fill="FFFFFF"/>
        </w:rPr>
        <w:t xml:space="preserve"> 830 CMR 64H.1.3. In particular, the </w:t>
      </w:r>
      <w:r w:rsidR="005C620E">
        <w:rPr>
          <w:rFonts w:ascii="Courier New" w:hAnsi="Courier New" w:cs="Courier New"/>
          <w:color w:val="333333"/>
          <w:shd w:val="clear" w:color="auto" w:fill="FFFFFF"/>
        </w:rPr>
        <w:t>R</w:t>
      </w:r>
      <w:r w:rsidR="00E73647">
        <w:rPr>
          <w:rFonts w:ascii="Courier New" w:hAnsi="Courier New" w:cs="Courier New"/>
          <w:color w:val="333333"/>
          <w:shd w:val="clear" w:color="auto" w:fill="FFFFFF"/>
        </w:rPr>
        <w:t xml:space="preserve">egulation specifies that </w:t>
      </w:r>
    </w:p>
    <w:p w14:paraId="7A9BF7D1" w14:textId="61D21211" w:rsidR="00E73647" w:rsidRDefault="002361B1" w:rsidP="00E73647">
      <w:pPr>
        <w:spacing w:before="100" w:beforeAutospacing="1" w:after="100" w:afterAutospacing="1"/>
        <w:ind w:left="720" w:right="720"/>
        <w:contextualSpacing/>
        <w:jc w:val="both"/>
        <w:rPr>
          <w:rFonts w:ascii="Courier New" w:hAnsi="Courier New" w:cs="Courier New"/>
        </w:rPr>
      </w:pPr>
      <w:r>
        <w:rPr>
          <w:rFonts w:ascii="Courier New" w:hAnsi="Courier New" w:cs="Courier New"/>
        </w:rPr>
        <w:t>[s]</w:t>
      </w:r>
      <w:r w:rsidR="00CD397D" w:rsidRPr="00E73647">
        <w:rPr>
          <w:rFonts w:ascii="Courier New" w:hAnsi="Courier New" w:cs="Courier New"/>
        </w:rPr>
        <w:t xml:space="preserve">ales in Massachusetts of </w:t>
      </w:r>
      <w:r w:rsidR="00E73647" w:rsidRPr="00E73647">
        <w:rPr>
          <w:rFonts w:ascii="Courier New" w:hAnsi="Courier New" w:cs="Courier New"/>
        </w:rPr>
        <w:t>. . .</w:t>
      </w:r>
      <w:r w:rsidR="00CD397D" w:rsidRPr="00E73647">
        <w:rPr>
          <w:rFonts w:ascii="Courier New" w:hAnsi="Courier New" w:cs="Courier New"/>
        </w:rPr>
        <w:t xml:space="preserve"> prewritten computer software, regardless of the method of delivery</w:t>
      </w:r>
      <w:r w:rsidR="006D1316">
        <w:rPr>
          <w:rFonts w:ascii="Courier New" w:hAnsi="Courier New" w:cs="Courier New"/>
        </w:rPr>
        <w:t xml:space="preserve"> </w:t>
      </w:r>
      <w:r w:rsidR="00E73647" w:rsidRPr="00E73647">
        <w:rPr>
          <w:rFonts w:ascii="Courier New" w:hAnsi="Courier New" w:cs="Courier New"/>
        </w:rPr>
        <w:t xml:space="preserve">. . . </w:t>
      </w:r>
      <w:proofErr w:type="gramStart"/>
      <w:r w:rsidR="00E73647" w:rsidRPr="00E73647">
        <w:rPr>
          <w:rFonts w:ascii="Courier New" w:hAnsi="Courier New" w:cs="Courier New"/>
        </w:rPr>
        <w:t>a</w:t>
      </w:r>
      <w:r w:rsidR="00CD397D" w:rsidRPr="00E73647">
        <w:rPr>
          <w:rFonts w:ascii="Courier New" w:hAnsi="Courier New" w:cs="Courier New"/>
        </w:rPr>
        <w:t>re</w:t>
      </w:r>
      <w:proofErr w:type="gramEnd"/>
      <w:r w:rsidR="00E73647" w:rsidRPr="00E73647">
        <w:rPr>
          <w:rFonts w:ascii="Courier New" w:hAnsi="Courier New" w:cs="Courier New"/>
        </w:rPr>
        <w:t xml:space="preserve"> </w:t>
      </w:r>
      <w:r w:rsidR="00CD397D" w:rsidRPr="00E73647">
        <w:rPr>
          <w:rFonts w:ascii="Courier New" w:hAnsi="Courier New" w:cs="Courier New"/>
        </w:rPr>
        <w:t>generally</w:t>
      </w:r>
      <w:r w:rsidR="00E73647" w:rsidRPr="00E73647">
        <w:rPr>
          <w:rFonts w:ascii="Courier New" w:hAnsi="Courier New" w:cs="Courier New"/>
        </w:rPr>
        <w:t xml:space="preserve"> </w:t>
      </w:r>
      <w:r w:rsidR="00CD397D" w:rsidRPr="00E73647">
        <w:rPr>
          <w:rFonts w:ascii="Courier New" w:hAnsi="Courier New" w:cs="Courier New"/>
        </w:rPr>
        <w:t>subject</w:t>
      </w:r>
      <w:r w:rsidR="00E73647" w:rsidRPr="00E73647">
        <w:rPr>
          <w:rFonts w:ascii="Courier New" w:hAnsi="Courier New" w:cs="Courier New"/>
        </w:rPr>
        <w:t xml:space="preserve"> </w:t>
      </w:r>
      <w:r w:rsidR="00CD397D" w:rsidRPr="00E73647">
        <w:rPr>
          <w:rFonts w:ascii="Courier New" w:hAnsi="Courier New" w:cs="Courier New"/>
        </w:rPr>
        <w:t>to</w:t>
      </w:r>
      <w:r w:rsidR="00E73647" w:rsidRPr="00E73647">
        <w:rPr>
          <w:rFonts w:ascii="Courier New" w:hAnsi="Courier New" w:cs="Courier New"/>
        </w:rPr>
        <w:t xml:space="preserve"> </w:t>
      </w:r>
      <w:r w:rsidR="00CD397D" w:rsidRPr="00E73647">
        <w:rPr>
          <w:rFonts w:ascii="Courier New" w:hAnsi="Courier New" w:cs="Courier New"/>
        </w:rPr>
        <w:t>the</w:t>
      </w:r>
      <w:r w:rsidR="00E73647" w:rsidRPr="00E73647">
        <w:rPr>
          <w:rFonts w:ascii="Courier New" w:hAnsi="Courier New" w:cs="Courier New"/>
        </w:rPr>
        <w:t xml:space="preserve"> </w:t>
      </w:r>
      <w:r w:rsidR="00CD397D" w:rsidRPr="00E73647">
        <w:rPr>
          <w:rFonts w:ascii="Courier New" w:hAnsi="Courier New" w:cs="Courier New"/>
        </w:rPr>
        <w:t>Massachusetts</w:t>
      </w:r>
      <w:r w:rsidR="00E73647" w:rsidRPr="00E73647">
        <w:rPr>
          <w:rFonts w:ascii="Courier New" w:hAnsi="Courier New" w:cs="Courier New"/>
        </w:rPr>
        <w:t xml:space="preserve"> </w:t>
      </w:r>
      <w:r w:rsidR="00CD397D" w:rsidRPr="00E73647">
        <w:rPr>
          <w:rFonts w:ascii="Courier New" w:hAnsi="Courier New" w:cs="Courier New"/>
        </w:rPr>
        <w:t>sales</w:t>
      </w:r>
      <w:r w:rsidR="00E73647" w:rsidRPr="00E73647">
        <w:rPr>
          <w:rFonts w:ascii="Courier New" w:hAnsi="Courier New" w:cs="Courier New"/>
        </w:rPr>
        <w:t xml:space="preserve"> </w:t>
      </w:r>
      <w:r w:rsidR="00CD397D" w:rsidRPr="00E73647">
        <w:rPr>
          <w:rFonts w:ascii="Courier New" w:hAnsi="Courier New" w:cs="Courier New"/>
        </w:rPr>
        <w:t>tax. Taxable</w:t>
      </w:r>
      <w:r w:rsidR="00E73647" w:rsidRPr="00E73647">
        <w:rPr>
          <w:rFonts w:ascii="Courier New" w:hAnsi="Courier New" w:cs="Courier New"/>
        </w:rPr>
        <w:t xml:space="preserve"> </w:t>
      </w:r>
      <w:r w:rsidR="00CD397D" w:rsidRPr="00E73647">
        <w:rPr>
          <w:rFonts w:ascii="Courier New" w:hAnsi="Courier New" w:cs="Courier New"/>
        </w:rPr>
        <w:t xml:space="preserve">transfers of prewritten software include sales </w:t>
      </w:r>
      <w:proofErr w:type="gramStart"/>
      <w:r w:rsidR="00CD397D" w:rsidRPr="00E73647">
        <w:rPr>
          <w:rFonts w:ascii="Courier New" w:hAnsi="Courier New" w:cs="Courier New"/>
        </w:rPr>
        <w:t>effected</w:t>
      </w:r>
      <w:proofErr w:type="gramEnd"/>
      <w:r w:rsidR="00CD397D" w:rsidRPr="00E73647">
        <w:rPr>
          <w:rFonts w:ascii="Courier New" w:hAnsi="Courier New" w:cs="Courier New"/>
        </w:rPr>
        <w:t xml:space="preserve"> in any of the following ways regardless of the method of</w:t>
      </w:r>
      <w:r w:rsidR="00E73647" w:rsidRPr="00E73647">
        <w:rPr>
          <w:rFonts w:ascii="Courier New" w:hAnsi="Courier New" w:cs="Courier New"/>
        </w:rPr>
        <w:t xml:space="preserve"> </w:t>
      </w:r>
      <w:r w:rsidR="00CD397D" w:rsidRPr="00E73647">
        <w:rPr>
          <w:rFonts w:ascii="Courier New" w:hAnsi="Courier New" w:cs="Courier New"/>
        </w:rPr>
        <w:t>delivery,</w:t>
      </w:r>
      <w:r w:rsidR="00E73647" w:rsidRPr="00E73647">
        <w:rPr>
          <w:rFonts w:ascii="Courier New" w:hAnsi="Courier New" w:cs="Courier New"/>
        </w:rPr>
        <w:t xml:space="preserve"> </w:t>
      </w:r>
      <w:r w:rsidR="00CD397D" w:rsidRPr="00E73647">
        <w:rPr>
          <w:rFonts w:ascii="Courier New" w:hAnsi="Courier New" w:cs="Courier New"/>
        </w:rPr>
        <w:t>including</w:t>
      </w:r>
      <w:r w:rsidR="00E73647" w:rsidRPr="00E73647">
        <w:rPr>
          <w:rFonts w:ascii="Courier New" w:hAnsi="Courier New" w:cs="Courier New"/>
        </w:rPr>
        <w:t xml:space="preserve"> </w:t>
      </w:r>
      <w:r w:rsidR="00CD397D" w:rsidRPr="00E73647">
        <w:rPr>
          <w:rFonts w:ascii="Courier New" w:hAnsi="Courier New" w:cs="Courier New"/>
        </w:rPr>
        <w:t>electronic</w:t>
      </w:r>
      <w:r w:rsidR="00E73647" w:rsidRPr="00E73647">
        <w:rPr>
          <w:rFonts w:ascii="Courier New" w:hAnsi="Courier New" w:cs="Courier New"/>
        </w:rPr>
        <w:t xml:space="preserve"> </w:t>
      </w:r>
      <w:r w:rsidR="00CD397D" w:rsidRPr="00E73647">
        <w:rPr>
          <w:rFonts w:ascii="Courier New" w:hAnsi="Courier New" w:cs="Courier New"/>
        </w:rPr>
        <w:t>delivery</w:t>
      </w:r>
      <w:r w:rsidR="00E73647" w:rsidRPr="00E73647">
        <w:rPr>
          <w:rFonts w:ascii="Courier New" w:hAnsi="Courier New" w:cs="Courier New"/>
        </w:rPr>
        <w:t xml:space="preserve"> </w:t>
      </w:r>
      <w:r w:rsidR="00CD397D" w:rsidRPr="00E73647">
        <w:rPr>
          <w:rFonts w:ascii="Courier New" w:hAnsi="Courier New" w:cs="Courier New"/>
        </w:rPr>
        <w:t>or</w:t>
      </w:r>
      <w:r w:rsidR="00E73647" w:rsidRPr="00E73647">
        <w:rPr>
          <w:rFonts w:ascii="Courier New" w:hAnsi="Courier New" w:cs="Courier New"/>
        </w:rPr>
        <w:t xml:space="preserve"> </w:t>
      </w:r>
      <w:r w:rsidR="00CD397D" w:rsidRPr="00E73647">
        <w:rPr>
          <w:rFonts w:ascii="Courier New" w:hAnsi="Courier New" w:cs="Courier New"/>
        </w:rPr>
        <w:t>load</w:t>
      </w:r>
      <w:r w:rsidR="00E73647" w:rsidRPr="00E73647">
        <w:rPr>
          <w:rFonts w:ascii="Courier New" w:hAnsi="Courier New" w:cs="Courier New"/>
        </w:rPr>
        <w:t xml:space="preserve"> </w:t>
      </w:r>
      <w:r w:rsidR="00CD397D" w:rsidRPr="00E73647">
        <w:rPr>
          <w:rFonts w:ascii="Courier New" w:hAnsi="Courier New" w:cs="Courier New"/>
        </w:rPr>
        <w:t>and</w:t>
      </w:r>
      <w:r w:rsidR="00E73647" w:rsidRPr="00E73647">
        <w:rPr>
          <w:rFonts w:ascii="Courier New" w:hAnsi="Courier New" w:cs="Courier New"/>
        </w:rPr>
        <w:t xml:space="preserve"> </w:t>
      </w:r>
      <w:r w:rsidR="00CD397D" w:rsidRPr="00E73647">
        <w:rPr>
          <w:rFonts w:ascii="Courier New" w:hAnsi="Courier New" w:cs="Courier New"/>
        </w:rPr>
        <w:t>leave:</w:t>
      </w:r>
      <w:r w:rsidR="00E73647" w:rsidRPr="00E73647">
        <w:rPr>
          <w:rFonts w:ascii="Courier New" w:hAnsi="Courier New" w:cs="Courier New"/>
        </w:rPr>
        <w:t xml:space="preserve"> </w:t>
      </w:r>
      <w:r w:rsidR="00CD397D" w:rsidRPr="00E73647">
        <w:rPr>
          <w:rFonts w:ascii="Courier New" w:hAnsi="Courier New" w:cs="Courier New"/>
        </w:rPr>
        <w:t>licenses</w:t>
      </w:r>
      <w:r w:rsidR="00E73647" w:rsidRPr="00E73647">
        <w:rPr>
          <w:rFonts w:ascii="Courier New" w:hAnsi="Courier New" w:cs="Courier New"/>
        </w:rPr>
        <w:t xml:space="preserve"> </w:t>
      </w:r>
      <w:r w:rsidR="00CD397D" w:rsidRPr="00E73647">
        <w:rPr>
          <w:rFonts w:ascii="Courier New" w:hAnsi="Courier New" w:cs="Courier New"/>
        </w:rPr>
        <w:t>and</w:t>
      </w:r>
      <w:r w:rsidR="00E73647" w:rsidRPr="00E73647">
        <w:rPr>
          <w:rFonts w:ascii="Courier New" w:hAnsi="Courier New" w:cs="Courier New"/>
        </w:rPr>
        <w:t xml:space="preserve"> </w:t>
      </w:r>
      <w:r w:rsidR="00CD397D" w:rsidRPr="00E73647">
        <w:rPr>
          <w:rFonts w:ascii="Courier New" w:hAnsi="Courier New" w:cs="Courier New"/>
        </w:rPr>
        <w:t>leases,</w:t>
      </w:r>
      <w:r w:rsidR="00E73647" w:rsidRPr="00E73647">
        <w:rPr>
          <w:rFonts w:ascii="Courier New" w:hAnsi="Courier New" w:cs="Courier New"/>
        </w:rPr>
        <w:t xml:space="preserve"> </w:t>
      </w:r>
      <w:r w:rsidR="00CD397D" w:rsidRPr="005C620E">
        <w:rPr>
          <w:rFonts w:ascii="Courier New" w:hAnsi="Courier New" w:cs="Courier New"/>
          <w:b/>
        </w:rPr>
        <w:t>transfers</w:t>
      </w:r>
      <w:r w:rsidR="00E73647" w:rsidRPr="005C620E">
        <w:rPr>
          <w:rFonts w:ascii="Courier New" w:hAnsi="Courier New" w:cs="Courier New"/>
          <w:b/>
        </w:rPr>
        <w:t xml:space="preserve"> </w:t>
      </w:r>
      <w:r w:rsidR="00CD397D" w:rsidRPr="005C620E">
        <w:rPr>
          <w:rFonts w:ascii="Courier New" w:hAnsi="Courier New" w:cs="Courier New"/>
          <w:b/>
        </w:rPr>
        <w:t>of</w:t>
      </w:r>
      <w:r w:rsidR="00E73647" w:rsidRPr="005C620E">
        <w:rPr>
          <w:rFonts w:ascii="Courier New" w:hAnsi="Courier New" w:cs="Courier New"/>
          <w:b/>
        </w:rPr>
        <w:t xml:space="preserve"> </w:t>
      </w:r>
      <w:r w:rsidR="00CD397D" w:rsidRPr="005C620E">
        <w:rPr>
          <w:rFonts w:ascii="Courier New" w:hAnsi="Courier New" w:cs="Courier New"/>
          <w:b/>
        </w:rPr>
        <w:t>rights to use software installed on a remote server</w:t>
      </w:r>
      <w:r w:rsidR="00E73647" w:rsidRPr="00E73647">
        <w:rPr>
          <w:rFonts w:ascii="Courier New" w:hAnsi="Courier New" w:cs="Courier New"/>
        </w:rPr>
        <w:t>.</w:t>
      </w:r>
      <w:r w:rsidR="005C620E">
        <w:rPr>
          <w:rFonts w:ascii="Courier New" w:hAnsi="Courier New" w:cs="Courier New"/>
        </w:rPr>
        <w:t xml:space="preserve"> </w:t>
      </w:r>
    </w:p>
    <w:p w14:paraId="1E271703" w14:textId="77777777" w:rsidR="002361B1" w:rsidRDefault="002361B1" w:rsidP="0053694E">
      <w:pPr>
        <w:spacing w:before="100" w:beforeAutospacing="1" w:after="100" w:afterAutospacing="1"/>
        <w:ind w:right="720"/>
        <w:contextualSpacing/>
        <w:jc w:val="both"/>
        <w:rPr>
          <w:rFonts w:ascii="Courier New" w:hAnsi="Courier New" w:cs="Courier New"/>
          <w:b/>
          <w:i/>
        </w:rPr>
      </w:pPr>
    </w:p>
    <w:p w14:paraId="50012B4E" w14:textId="38DA7786" w:rsidR="0053694E" w:rsidRDefault="00E73647" w:rsidP="0053694E">
      <w:pPr>
        <w:spacing w:before="100" w:beforeAutospacing="1" w:after="100" w:afterAutospacing="1"/>
        <w:ind w:right="720"/>
        <w:contextualSpacing/>
        <w:jc w:val="both"/>
        <w:rPr>
          <w:rFonts w:ascii="Courier New" w:hAnsi="Courier New" w:cs="Courier New"/>
          <w:b/>
          <w:i/>
        </w:rPr>
      </w:pPr>
      <w:r w:rsidRPr="00E73647">
        <w:rPr>
          <w:rFonts w:ascii="Courier New" w:hAnsi="Courier New" w:cs="Courier New"/>
          <w:b/>
          <w:i/>
        </w:rPr>
        <w:t>Id.</w:t>
      </w:r>
      <w:r w:rsidR="002361B1">
        <w:rPr>
          <w:rFonts w:ascii="Courier New" w:hAnsi="Courier New" w:cs="Courier New"/>
          <w:b/>
          <w:i/>
        </w:rPr>
        <w:t xml:space="preserve"> </w:t>
      </w:r>
      <w:r w:rsidR="002361B1" w:rsidRPr="002361B1">
        <w:rPr>
          <w:rFonts w:ascii="Courier New" w:hAnsi="Courier New" w:cs="Courier New"/>
        </w:rPr>
        <w:t>(emphasis added</w:t>
      </w:r>
      <w:r w:rsidR="0053019F">
        <w:rPr>
          <w:rFonts w:ascii="Courier New" w:hAnsi="Courier New" w:cs="Courier New"/>
        </w:rPr>
        <w:t>).</w:t>
      </w:r>
    </w:p>
    <w:p w14:paraId="5EF0FC1C" w14:textId="77777777" w:rsidR="007204B5" w:rsidRPr="007204B5" w:rsidRDefault="007204B5" w:rsidP="0053694E">
      <w:pPr>
        <w:spacing w:before="100" w:beforeAutospacing="1" w:after="100" w:afterAutospacing="1"/>
        <w:ind w:right="720"/>
        <w:contextualSpacing/>
        <w:jc w:val="both"/>
        <w:rPr>
          <w:rFonts w:ascii="Courier New" w:hAnsi="Courier New" w:cs="Courier New"/>
        </w:rPr>
      </w:pPr>
    </w:p>
    <w:p w14:paraId="24028949" w14:textId="1C204DC5" w:rsidR="00C775DE" w:rsidRDefault="00EF4399" w:rsidP="00494FBB">
      <w:pPr>
        <w:spacing w:after="100" w:afterAutospacing="1"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 xml:space="preserve">There is no dispute that the Online Products constitute software within the meaning of Chapter 64H. </w:t>
      </w:r>
      <w:r w:rsidR="00C775DE">
        <w:rPr>
          <w:rFonts w:ascii="Courier New" w:hAnsi="Courier New" w:cs="Courier New"/>
          <w:color w:val="333333"/>
          <w:shd w:val="clear" w:color="auto" w:fill="FFFFFF"/>
        </w:rPr>
        <w:t xml:space="preserve">As to the issue of whether the products qualify as prewritten software, </w:t>
      </w:r>
      <w:r>
        <w:rPr>
          <w:rFonts w:ascii="Courier New" w:hAnsi="Courier New" w:cs="Courier New"/>
          <w:color w:val="333333"/>
          <w:shd w:val="clear" w:color="auto" w:fill="FFFFFF"/>
        </w:rPr>
        <w:t>Citrix did not explicitly oppose th</w:t>
      </w:r>
      <w:r w:rsidR="00C775DE">
        <w:rPr>
          <w:rFonts w:ascii="Courier New" w:hAnsi="Courier New" w:cs="Courier New"/>
          <w:color w:val="333333"/>
          <w:shd w:val="clear" w:color="auto" w:fill="FFFFFF"/>
        </w:rPr>
        <w:t>e</w:t>
      </w:r>
      <w:r>
        <w:rPr>
          <w:rFonts w:ascii="Courier New" w:hAnsi="Courier New" w:cs="Courier New"/>
          <w:color w:val="333333"/>
          <w:shd w:val="clear" w:color="auto" w:fill="FFFFFF"/>
        </w:rPr>
        <w:t xml:space="preserve"> characterization</w:t>
      </w:r>
      <w:r w:rsidR="00C775DE">
        <w:rPr>
          <w:rFonts w:ascii="Courier New" w:hAnsi="Courier New" w:cs="Courier New"/>
          <w:color w:val="333333"/>
          <w:shd w:val="clear" w:color="auto" w:fill="FFFFFF"/>
        </w:rPr>
        <w:t>, but it remained an issue for the Board to resolve</w:t>
      </w:r>
      <w:r>
        <w:rPr>
          <w:rFonts w:ascii="Courier New" w:hAnsi="Courier New" w:cs="Courier New"/>
          <w:color w:val="333333"/>
          <w:shd w:val="clear" w:color="auto" w:fill="FFFFFF"/>
        </w:rPr>
        <w:t>.</w:t>
      </w:r>
      <w:r w:rsidR="002E00E9">
        <w:rPr>
          <w:rFonts w:ascii="Courier New" w:hAnsi="Courier New" w:cs="Courier New"/>
          <w:color w:val="333333"/>
          <w:shd w:val="clear" w:color="auto" w:fill="FFFFFF"/>
        </w:rPr>
        <w:t xml:space="preserve"> </w:t>
      </w:r>
    </w:p>
    <w:p w14:paraId="4A6A89F1" w14:textId="13DA9464" w:rsidR="00CD4763" w:rsidRDefault="00E725CD" w:rsidP="00494FBB">
      <w:pPr>
        <w:spacing w:after="100" w:afterAutospacing="1" w:line="480" w:lineRule="auto"/>
        <w:ind w:firstLine="720"/>
        <w:contextualSpacing/>
        <w:jc w:val="both"/>
        <w:rPr>
          <w:rFonts w:ascii="Courier New" w:hAnsi="Courier New" w:cs="Courier New"/>
          <w:b/>
          <w:i/>
          <w:color w:val="333333"/>
          <w:shd w:val="clear" w:color="auto" w:fill="FFFFFF"/>
        </w:rPr>
      </w:pPr>
      <w:r>
        <w:rPr>
          <w:rFonts w:ascii="Courier New" w:hAnsi="Courier New" w:cs="Courier New"/>
          <w:color w:val="333333"/>
          <w:shd w:val="clear" w:color="auto" w:fill="FFFFFF"/>
        </w:rPr>
        <w:t>The Regulation provides that</w:t>
      </w:r>
      <w:r w:rsidR="001C0869">
        <w:rPr>
          <w:rFonts w:ascii="Courier New" w:hAnsi="Courier New" w:cs="Courier New"/>
          <w:color w:val="333333"/>
          <w:shd w:val="clear" w:color="auto" w:fill="FFFFFF"/>
        </w:rPr>
        <w:t xml:space="preserve"> </w:t>
      </w:r>
      <w:r w:rsidR="00060E3F">
        <w:rPr>
          <w:rFonts w:ascii="Courier New" w:hAnsi="Courier New" w:cs="Courier New"/>
          <w:color w:val="333333"/>
          <w:shd w:val="clear" w:color="auto" w:fill="FFFFFF"/>
        </w:rPr>
        <w:t>p</w:t>
      </w:r>
      <w:r w:rsidR="002E00E9">
        <w:rPr>
          <w:rFonts w:ascii="Courier New" w:hAnsi="Courier New" w:cs="Courier New"/>
          <w:color w:val="333333"/>
          <w:shd w:val="clear" w:color="auto" w:fill="FFFFFF"/>
        </w:rPr>
        <w:t xml:space="preserve">rewritten </w:t>
      </w:r>
      <w:r w:rsidR="00060E3F">
        <w:rPr>
          <w:rFonts w:ascii="Courier New" w:hAnsi="Courier New" w:cs="Courier New"/>
          <w:color w:val="333333"/>
          <w:shd w:val="clear" w:color="auto" w:fill="FFFFFF"/>
        </w:rPr>
        <w:t>c</w:t>
      </w:r>
      <w:r w:rsidR="002E00E9">
        <w:rPr>
          <w:rFonts w:ascii="Courier New" w:hAnsi="Courier New" w:cs="Courier New"/>
          <w:color w:val="333333"/>
          <w:shd w:val="clear" w:color="auto" w:fill="FFFFFF"/>
        </w:rPr>
        <w:t xml:space="preserve">omputer </w:t>
      </w:r>
      <w:r w:rsidR="001C0869">
        <w:rPr>
          <w:rFonts w:ascii="Courier New" w:hAnsi="Courier New" w:cs="Courier New"/>
          <w:color w:val="333333"/>
          <w:shd w:val="clear" w:color="auto" w:fill="FFFFFF"/>
        </w:rPr>
        <w:t>s</w:t>
      </w:r>
      <w:r w:rsidR="002E00E9">
        <w:rPr>
          <w:rFonts w:ascii="Courier New" w:hAnsi="Courier New" w:cs="Courier New"/>
          <w:color w:val="333333"/>
          <w:shd w:val="clear" w:color="auto" w:fill="FFFFFF"/>
        </w:rPr>
        <w:t xml:space="preserve">oftware, which is “also known as </w:t>
      </w:r>
      <w:r w:rsidR="001C0869">
        <w:rPr>
          <w:rFonts w:ascii="Courier New" w:hAnsi="Courier New" w:cs="Courier New"/>
          <w:color w:val="333333"/>
          <w:shd w:val="clear" w:color="auto" w:fill="FFFFFF"/>
        </w:rPr>
        <w:t>[c]</w:t>
      </w:r>
      <w:proofErr w:type="spellStart"/>
      <w:r w:rsidR="002E00E9">
        <w:rPr>
          <w:rFonts w:ascii="Courier New" w:hAnsi="Courier New" w:cs="Courier New"/>
          <w:color w:val="333333"/>
          <w:shd w:val="clear" w:color="auto" w:fill="FFFFFF"/>
        </w:rPr>
        <w:t>anned</w:t>
      </w:r>
      <w:proofErr w:type="spellEnd"/>
      <w:r w:rsidR="002E00E9">
        <w:rPr>
          <w:rFonts w:ascii="Courier New" w:hAnsi="Courier New" w:cs="Courier New"/>
          <w:color w:val="333333"/>
          <w:shd w:val="clear" w:color="auto" w:fill="FFFFFF"/>
        </w:rPr>
        <w:t xml:space="preserve"> </w:t>
      </w:r>
      <w:r w:rsidR="001C0869">
        <w:rPr>
          <w:rFonts w:ascii="Courier New" w:hAnsi="Courier New" w:cs="Courier New"/>
          <w:color w:val="333333"/>
          <w:shd w:val="clear" w:color="auto" w:fill="FFFFFF"/>
        </w:rPr>
        <w:t>[s]</w:t>
      </w:r>
      <w:proofErr w:type="spellStart"/>
      <w:r w:rsidR="002E00E9">
        <w:rPr>
          <w:rFonts w:ascii="Courier New" w:hAnsi="Courier New" w:cs="Courier New"/>
          <w:color w:val="333333"/>
          <w:shd w:val="clear" w:color="auto" w:fill="FFFFFF"/>
        </w:rPr>
        <w:t>oftware</w:t>
      </w:r>
      <w:proofErr w:type="spellEnd"/>
      <w:r w:rsidR="002E00E9">
        <w:rPr>
          <w:rFonts w:ascii="Courier New" w:hAnsi="Courier New" w:cs="Courier New"/>
          <w:color w:val="333333"/>
          <w:shd w:val="clear" w:color="auto" w:fill="FFFFFF"/>
        </w:rPr>
        <w:t xml:space="preserve"> and </w:t>
      </w:r>
      <w:r w:rsidR="001C0869">
        <w:rPr>
          <w:rFonts w:ascii="Courier New" w:hAnsi="Courier New" w:cs="Courier New"/>
          <w:color w:val="333333"/>
          <w:shd w:val="clear" w:color="auto" w:fill="FFFFFF"/>
        </w:rPr>
        <w:t>[s]</w:t>
      </w:r>
      <w:proofErr w:type="spellStart"/>
      <w:r w:rsidR="002E00E9">
        <w:rPr>
          <w:rFonts w:ascii="Courier New" w:hAnsi="Courier New" w:cs="Courier New"/>
          <w:color w:val="333333"/>
          <w:shd w:val="clear" w:color="auto" w:fill="FFFFFF"/>
        </w:rPr>
        <w:t>tandardized</w:t>
      </w:r>
      <w:proofErr w:type="spellEnd"/>
      <w:r w:rsidR="002E00E9">
        <w:rPr>
          <w:rFonts w:ascii="Courier New" w:hAnsi="Courier New" w:cs="Courier New"/>
          <w:color w:val="333333"/>
          <w:shd w:val="clear" w:color="auto" w:fill="FFFFFF"/>
        </w:rPr>
        <w:t xml:space="preserve"> </w:t>
      </w:r>
      <w:r w:rsidR="001C0869">
        <w:rPr>
          <w:rFonts w:ascii="Courier New" w:hAnsi="Courier New" w:cs="Courier New"/>
          <w:color w:val="333333"/>
          <w:shd w:val="clear" w:color="auto" w:fill="FFFFFF"/>
        </w:rPr>
        <w:t>[s]</w:t>
      </w:r>
      <w:proofErr w:type="spellStart"/>
      <w:r w:rsidR="002E00E9">
        <w:rPr>
          <w:rFonts w:ascii="Courier New" w:hAnsi="Courier New" w:cs="Courier New"/>
          <w:color w:val="333333"/>
          <w:shd w:val="clear" w:color="auto" w:fill="FFFFFF"/>
        </w:rPr>
        <w:t>oftware</w:t>
      </w:r>
      <w:proofErr w:type="spellEnd"/>
      <w:r w:rsidR="002E00E9">
        <w:rPr>
          <w:rFonts w:ascii="Courier New" w:hAnsi="Courier New" w:cs="Courier New"/>
          <w:color w:val="333333"/>
          <w:shd w:val="clear" w:color="auto" w:fill="FFFFFF"/>
        </w:rPr>
        <w:t>,”</w:t>
      </w:r>
      <w:r>
        <w:rPr>
          <w:rStyle w:val="FootnoteReference"/>
          <w:rFonts w:ascii="Courier New" w:hAnsi="Courier New" w:cs="Courier New"/>
          <w:color w:val="333333"/>
          <w:shd w:val="clear" w:color="auto" w:fill="FFFFFF"/>
        </w:rPr>
        <w:footnoteReference w:id="9"/>
      </w:r>
      <w:r w:rsidR="002E00E9">
        <w:rPr>
          <w:rFonts w:ascii="Courier New" w:hAnsi="Courier New" w:cs="Courier New"/>
          <w:color w:val="333333"/>
          <w:shd w:val="clear" w:color="auto" w:fill="FFFFFF"/>
        </w:rPr>
        <w:t xml:space="preserve"> </w:t>
      </w:r>
      <w:r w:rsidR="001C0869">
        <w:rPr>
          <w:rFonts w:ascii="Courier New" w:hAnsi="Courier New" w:cs="Courier New"/>
          <w:color w:val="333333"/>
          <w:shd w:val="clear" w:color="auto" w:fill="FFFFFF"/>
        </w:rPr>
        <w:t xml:space="preserve">is defined </w:t>
      </w:r>
      <w:r w:rsidR="002E00E9">
        <w:rPr>
          <w:rFonts w:ascii="Courier New" w:hAnsi="Courier New" w:cs="Courier New"/>
          <w:color w:val="333333"/>
          <w:shd w:val="clear" w:color="auto" w:fill="FFFFFF"/>
        </w:rPr>
        <w:t xml:space="preserve">as computer software </w:t>
      </w:r>
      <w:r w:rsidR="002E00E9">
        <w:rPr>
          <w:rFonts w:ascii="Courier New" w:hAnsi="Courier New" w:cs="Courier New"/>
          <w:color w:val="333333"/>
          <w:shd w:val="clear" w:color="auto" w:fill="FFFFFF"/>
        </w:rPr>
        <w:lastRenderedPageBreak/>
        <w:t xml:space="preserve">“which is not designed and developed by the author or other creator to the specifications of a specific purchaser.” </w:t>
      </w:r>
      <w:r w:rsidR="00735120">
        <w:rPr>
          <w:rFonts w:ascii="Courier New" w:hAnsi="Courier New" w:cs="Courier New"/>
          <w:color w:val="333333"/>
          <w:shd w:val="clear" w:color="auto" w:fill="FFFFFF"/>
        </w:rPr>
        <w:t>830</w:t>
      </w:r>
      <w:r w:rsidR="00135A23">
        <w:rPr>
          <w:rFonts w:ascii="Courier New" w:hAnsi="Courier New" w:cs="Courier New"/>
          <w:color w:val="333333"/>
          <w:shd w:val="clear" w:color="auto" w:fill="FFFFFF"/>
        </w:rPr>
        <w:t> </w:t>
      </w:r>
      <w:r w:rsidR="00735120">
        <w:rPr>
          <w:rFonts w:ascii="Courier New" w:hAnsi="Courier New" w:cs="Courier New"/>
          <w:color w:val="333333"/>
          <w:shd w:val="clear" w:color="auto" w:fill="FFFFFF"/>
        </w:rPr>
        <w:t xml:space="preserve">CMR </w:t>
      </w:r>
      <w:proofErr w:type="gramStart"/>
      <w:r w:rsidR="00735120">
        <w:rPr>
          <w:rFonts w:ascii="Courier New" w:hAnsi="Courier New" w:cs="Courier New"/>
          <w:color w:val="333333"/>
          <w:shd w:val="clear" w:color="auto" w:fill="FFFFFF"/>
        </w:rPr>
        <w:t>64H.1.3(</w:t>
      </w:r>
      <w:proofErr w:type="gramEnd"/>
      <w:r w:rsidR="00735120">
        <w:rPr>
          <w:rFonts w:ascii="Courier New" w:hAnsi="Courier New" w:cs="Courier New"/>
          <w:color w:val="333333"/>
          <w:shd w:val="clear" w:color="auto" w:fill="FFFFFF"/>
        </w:rPr>
        <w:t>2).</w:t>
      </w:r>
      <w:r w:rsidR="002E00E9">
        <w:rPr>
          <w:rFonts w:ascii="Courier New" w:hAnsi="Courier New" w:cs="Courier New"/>
          <w:b/>
          <w:i/>
          <w:color w:val="333333"/>
          <w:shd w:val="clear" w:color="auto" w:fill="FFFFFF"/>
        </w:rPr>
        <w:t xml:space="preserve"> </w:t>
      </w:r>
      <w:r w:rsidR="002E00E9" w:rsidRPr="002E28B8">
        <w:rPr>
          <w:rFonts w:ascii="Courier New" w:hAnsi="Courier New" w:cs="Courier New"/>
          <w:color w:val="333333"/>
          <w:shd w:val="clear" w:color="auto" w:fill="FFFFFF"/>
        </w:rPr>
        <w:t>Conversely</w:t>
      </w:r>
      <w:r w:rsidR="002E00E9">
        <w:rPr>
          <w:rFonts w:ascii="Courier New" w:hAnsi="Courier New" w:cs="Courier New"/>
          <w:b/>
          <w:i/>
          <w:color w:val="333333"/>
          <w:shd w:val="clear" w:color="auto" w:fill="FFFFFF"/>
        </w:rPr>
        <w:t>,</w:t>
      </w:r>
      <w:r w:rsidR="002E00E9">
        <w:rPr>
          <w:rFonts w:ascii="Courier New" w:hAnsi="Courier New" w:cs="Courier New"/>
          <w:color w:val="333333"/>
          <w:shd w:val="clear" w:color="auto" w:fill="FFFFFF"/>
        </w:rPr>
        <w:t xml:space="preserve"> </w:t>
      </w:r>
      <w:r w:rsidR="00735120">
        <w:rPr>
          <w:rFonts w:ascii="Courier New" w:hAnsi="Courier New" w:cs="Courier New"/>
          <w:color w:val="333333"/>
          <w:shd w:val="clear" w:color="auto" w:fill="FFFFFF"/>
        </w:rPr>
        <w:t>c</w:t>
      </w:r>
      <w:r w:rsidR="002E00E9">
        <w:rPr>
          <w:rFonts w:ascii="Courier New" w:hAnsi="Courier New" w:cs="Courier New"/>
          <w:color w:val="333333"/>
          <w:shd w:val="clear" w:color="auto" w:fill="FFFFFF"/>
        </w:rPr>
        <w:t xml:space="preserve">ustom </w:t>
      </w:r>
      <w:r w:rsidR="00735120">
        <w:rPr>
          <w:rFonts w:ascii="Courier New" w:hAnsi="Courier New" w:cs="Courier New"/>
          <w:color w:val="333333"/>
          <w:shd w:val="clear" w:color="auto" w:fill="FFFFFF"/>
        </w:rPr>
        <w:t>s</w:t>
      </w:r>
      <w:r w:rsidR="002E00E9">
        <w:rPr>
          <w:rFonts w:ascii="Courier New" w:hAnsi="Courier New" w:cs="Courier New"/>
          <w:color w:val="333333"/>
          <w:shd w:val="clear" w:color="auto" w:fill="FFFFFF"/>
        </w:rPr>
        <w:t xml:space="preserve">oftware is “a software program prepared to the special order of a customer that is not prewritten software.” </w:t>
      </w:r>
      <w:r w:rsidR="002E00E9" w:rsidRPr="004B69CB">
        <w:rPr>
          <w:rFonts w:ascii="Courier New" w:hAnsi="Courier New" w:cs="Courier New"/>
          <w:b/>
          <w:i/>
          <w:color w:val="333333"/>
          <w:shd w:val="clear" w:color="auto" w:fill="FFFFFF"/>
        </w:rPr>
        <w:t>Id.</w:t>
      </w:r>
    </w:p>
    <w:p w14:paraId="5E60403C" w14:textId="53761AFD" w:rsidR="006703CF" w:rsidRPr="00B748ED" w:rsidRDefault="00735120" w:rsidP="00CD4763">
      <w:pPr>
        <w:spacing w:after="100" w:afterAutospacing="1" w:line="480" w:lineRule="auto"/>
        <w:ind w:firstLine="720"/>
        <w:contextualSpacing/>
        <w:jc w:val="both"/>
        <w:rPr>
          <w:rFonts w:ascii="Courier New" w:hAnsi="Courier New" w:cs="Courier New"/>
          <w:color w:val="000000" w:themeColor="text1"/>
          <w:shd w:val="clear" w:color="auto" w:fill="FFFFFF"/>
        </w:rPr>
      </w:pPr>
      <w:r w:rsidRPr="00B748ED">
        <w:rPr>
          <w:rFonts w:ascii="Courier New" w:hAnsi="Courier New" w:cs="Courier New"/>
          <w:color w:val="000000" w:themeColor="text1"/>
          <w:shd w:val="clear" w:color="auto" w:fill="FFFFFF"/>
        </w:rPr>
        <w:t>The software that comprises the Online Products is complex</w:t>
      </w:r>
      <w:r w:rsidR="00E725CD" w:rsidRPr="00B748ED">
        <w:rPr>
          <w:rFonts w:ascii="Courier New" w:hAnsi="Courier New" w:cs="Courier New"/>
          <w:color w:val="000000" w:themeColor="text1"/>
          <w:shd w:val="clear" w:color="auto" w:fill="FFFFFF"/>
        </w:rPr>
        <w:t xml:space="preserve"> and</w:t>
      </w:r>
      <w:r w:rsidRPr="00B748ED">
        <w:rPr>
          <w:rFonts w:ascii="Courier New" w:hAnsi="Courier New" w:cs="Courier New"/>
          <w:color w:val="000000" w:themeColor="text1"/>
          <w:shd w:val="clear" w:color="auto" w:fill="FFFFFF"/>
        </w:rPr>
        <w:t xml:space="preserve"> requires continuous development, monitoring</w:t>
      </w:r>
      <w:r w:rsidR="00B55906" w:rsidRPr="00B748ED">
        <w:rPr>
          <w:rFonts w:ascii="Courier New" w:hAnsi="Courier New" w:cs="Courier New"/>
          <w:color w:val="000000" w:themeColor="text1"/>
          <w:shd w:val="clear" w:color="auto" w:fill="FFFFFF"/>
        </w:rPr>
        <w:t>,</w:t>
      </w:r>
      <w:r w:rsidRPr="00B748ED">
        <w:rPr>
          <w:rFonts w:ascii="Courier New" w:hAnsi="Courier New" w:cs="Courier New"/>
          <w:color w:val="000000" w:themeColor="text1"/>
          <w:shd w:val="clear" w:color="auto" w:fill="FFFFFF"/>
        </w:rPr>
        <w:t xml:space="preserve"> and maintenance. It is not, however, made to the specifications or prepared to the special order of any individual purchaser. To the contrary, </w:t>
      </w:r>
      <w:r w:rsidR="0053694E" w:rsidRPr="00B748ED">
        <w:rPr>
          <w:rFonts w:ascii="Courier New" w:hAnsi="Courier New" w:cs="Courier New"/>
          <w:color w:val="000000" w:themeColor="text1"/>
          <w:shd w:val="clear" w:color="auto" w:fill="FFFFFF"/>
        </w:rPr>
        <w:t>hav</w:t>
      </w:r>
      <w:r w:rsidR="00A362D1" w:rsidRPr="00B748ED">
        <w:rPr>
          <w:rFonts w:ascii="Courier New" w:hAnsi="Courier New" w:cs="Courier New"/>
          <w:color w:val="000000" w:themeColor="text1"/>
          <w:shd w:val="clear" w:color="auto" w:fill="FFFFFF"/>
        </w:rPr>
        <w:t>ing</w:t>
      </w:r>
      <w:r w:rsidR="0053694E" w:rsidRPr="00B748ED">
        <w:rPr>
          <w:rFonts w:ascii="Courier New" w:hAnsi="Courier New" w:cs="Courier New"/>
          <w:color w:val="000000" w:themeColor="text1"/>
          <w:shd w:val="clear" w:color="auto" w:fill="FFFFFF"/>
        </w:rPr>
        <w:t xml:space="preserve"> chosen which among the Online Products to purchase, </w:t>
      </w:r>
      <w:r w:rsidRPr="00B748ED">
        <w:rPr>
          <w:rFonts w:ascii="Courier New" w:hAnsi="Courier New" w:cs="Courier New"/>
          <w:color w:val="000000" w:themeColor="text1"/>
          <w:shd w:val="clear" w:color="auto" w:fill="FFFFFF"/>
        </w:rPr>
        <w:t xml:space="preserve">every customer </w:t>
      </w:r>
      <w:r w:rsidR="0053694E" w:rsidRPr="00B748ED">
        <w:rPr>
          <w:rFonts w:ascii="Courier New" w:hAnsi="Courier New" w:cs="Courier New"/>
          <w:color w:val="000000" w:themeColor="text1"/>
          <w:shd w:val="clear" w:color="auto" w:fill="FFFFFF"/>
        </w:rPr>
        <w:t xml:space="preserve">receives </w:t>
      </w:r>
      <w:r w:rsidR="00A362D1" w:rsidRPr="00B748ED">
        <w:rPr>
          <w:rFonts w:ascii="Courier New" w:hAnsi="Courier New" w:cs="Courier New"/>
          <w:color w:val="000000" w:themeColor="text1"/>
          <w:shd w:val="clear" w:color="auto" w:fill="FFFFFF"/>
        </w:rPr>
        <w:t xml:space="preserve">access to and use of </w:t>
      </w:r>
      <w:r w:rsidR="0053694E" w:rsidRPr="00B748ED">
        <w:rPr>
          <w:rFonts w:ascii="Courier New" w:hAnsi="Courier New" w:cs="Courier New"/>
          <w:color w:val="000000" w:themeColor="text1"/>
          <w:shd w:val="clear" w:color="auto" w:fill="FFFFFF"/>
        </w:rPr>
        <w:t xml:space="preserve">fundamentally the same online software application, whether it </w:t>
      </w:r>
      <w:r w:rsidR="00A362D1" w:rsidRPr="00B748ED">
        <w:rPr>
          <w:rFonts w:ascii="Courier New" w:hAnsi="Courier New" w:cs="Courier New"/>
          <w:color w:val="000000" w:themeColor="text1"/>
          <w:shd w:val="clear" w:color="auto" w:fill="FFFFFF"/>
        </w:rPr>
        <w:t>is</w:t>
      </w:r>
      <w:r w:rsidR="0053694E" w:rsidRPr="00B748ED">
        <w:rPr>
          <w:rFonts w:ascii="Courier New" w:hAnsi="Courier New" w:cs="Courier New"/>
          <w:color w:val="000000" w:themeColor="text1"/>
          <w:shd w:val="clear" w:color="auto" w:fill="FFFFFF"/>
        </w:rPr>
        <w:t xml:space="preserve"> </w:t>
      </w:r>
      <w:r w:rsidR="0053694E" w:rsidRPr="00B748ED">
        <w:rPr>
          <w:rFonts w:ascii="Courier New" w:hAnsi="Courier New" w:cs="Courier New"/>
          <w:color w:val="000000" w:themeColor="text1"/>
        </w:rPr>
        <w:t xml:space="preserve">GoToMyPC, </w:t>
      </w:r>
      <w:proofErr w:type="spellStart"/>
      <w:r w:rsidR="0053694E" w:rsidRPr="00B748ED">
        <w:rPr>
          <w:rFonts w:ascii="Courier New" w:hAnsi="Courier New" w:cs="Courier New"/>
          <w:color w:val="000000" w:themeColor="text1"/>
        </w:rPr>
        <w:t>GoToAssist</w:t>
      </w:r>
      <w:proofErr w:type="spellEnd"/>
      <w:r w:rsidR="0053694E" w:rsidRPr="00B748ED">
        <w:rPr>
          <w:rFonts w:ascii="Courier New" w:hAnsi="Courier New" w:cs="Courier New"/>
          <w:color w:val="000000" w:themeColor="text1"/>
        </w:rPr>
        <w:t xml:space="preserve">, or GoToMeeting. </w:t>
      </w:r>
      <w:r w:rsidR="0053694E" w:rsidRPr="00B748ED">
        <w:rPr>
          <w:rFonts w:ascii="Courier New" w:hAnsi="Courier New" w:cs="Courier New"/>
          <w:color w:val="000000" w:themeColor="text1"/>
          <w:shd w:val="clear" w:color="auto" w:fill="FFFFFF"/>
        </w:rPr>
        <w:t xml:space="preserve">The only variations in the Online Products are optional features, which are available </w:t>
      </w:r>
      <w:r w:rsidR="00A362D1" w:rsidRPr="00B748ED">
        <w:rPr>
          <w:rFonts w:ascii="Courier New" w:hAnsi="Courier New" w:cs="Courier New"/>
          <w:color w:val="000000" w:themeColor="text1"/>
          <w:shd w:val="clear" w:color="auto" w:fill="FFFFFF"/>
        </w:rPr>
        <w:t xml:space="preserve">for purchase by </w:t>
      </w:r>
      <w:r w:rsidR="0053694E" w:rsidRPr="00B748ED">
        <w:rPr>
          <w:rFonts w:ascii="Courier New" w:hAnsi="Courier New" w:cs="Courier New"/>
          <w:color w:val="000000" w:themeColor="text1"/>
          <w:shd w:val="clear" w:color="auto" w:fill="FFFFFF"/>
        </w:rPr>
        <w:t xml:space="preserve">all customers and are customized to none. </w:t>
      </w:r>
      <w:r w:rsidRPr="00B748ED">
        <w:rPr>
          <w:rFonts w:ascii="Courier New" w:hAnsi="Courier New" w:cs="Courier New"/>
          <w:color w:val="000000" w:themeColor="text1"/>
          <w:shd w:val="clear" w:color="auto" w:fill="FFFFFF"/>
        </w:rPr>
        <w:t xml:space="preserve">Given these facts and absent any contrary authority, the Board found and ruled that the </w:t>
      </w:r>
      <w:r w:rsidR="0053694E" w:rsidRPr="00B748ED">
        <w:rPr>
          <w:rFonts w:ascii="Courier New" w:hAnsi="Courier New" w:cs="Courier New"/>
          <w:color w:val="000000" w:themeColor="text1"/>
          <w:shd w:val="clear" w:color="auto" w:fill="FFFFFF"/>
        </w:rPr>
        <w:t>O</w:t>
      </w:r>
      <w:r w:rsidRPr="00B748ED">
        <w:rPr>
          <w:rFonts w:ascii="Courier New" w:hAnsi="Courier New" w:cs="Courier New"/>
          <w:color w:val="000000" w:themeColor="text1"/>
          <w:shd w:val="clear" w:color="auto" w:fill="FFFFFF"/>
        </w:rPr>
        <w:t xml:space="preserve">nline </w:t>
      </w:r>
      <w:r w:rsidR="0053694E" w:rsidRPr="00B748ED">
        <w:rPr>
          <w:rFonts w:ascii="Courier New" w:hAnsi="Courier New" w:cs="Courier New"/>
          <w:color w:val="000000" w:themeColor="text1"/>
          <w:shd w:val="clear" w:color="auto" w:fill="FFFFFF"/>
        </w:rPr>
        <w:t>P</w:t>
      </w:r>
      <w:r w:rsidRPr="00B748ED">
        <w:rPr>
          <w:rFonts w:ascii="Courier New" w:hAnsi="Courier New" w:cs="Courier New"/>
          <w:color w:val="000000" w:themeColor="text1"/>
          <w:shd w:val="clear" w:color="auto" w:fill="FFFFFF"/>
        </w:rPr>
        <w:t xml:space="preserve">roducts constitute standardized </w:t>
      </w:r>
      <w:r w:rsidR="00494FBB" w:rsidRPr="00B748ED">
        <w:rPr>
          <w:rFonts w:ascii="Courier New" w:hAnsi="Courier New" w:cs="Courier New"/>
          <w:color w:val="000000" w:themeColor="text1"/>
          <w:shd w:val="clear" w:color="auto" w:fill="FFFFFF"/>
        </w:rPr>
        <w:t xml:space="preserve">computer </w:t>
      </w:r>
      <w:r w:rsidRPr="00B748ED">
        <w:rPr>
          <w:rFonts w:ascii="Courier New" w:hAnsi="Courier New" w:cs="Courier New"/>
          <w:color w:val="000000" w:themeColor="text1"/>
          <w:shd w:val="clear" w:color="auto" w:fill="FFFFFF"/>
        </w:rPr>
        <w:t>software within</w:t>
      </w:r>
      <w:r w:rsidR="006703CF" w:rsidRPr="00B748ED">
        <w:rPr>
          <w:rFonts w:ascii="Courier New" w:hAnsi="Courier New" w:cs="Courier New"/>
          <w:color w:val="000000" w:themeColor="text1"/>
          <w:shd w:val="clear" w:color="auto" w:fill="FFFFFF"/>
        </w:rPr>
        <w:t xml:space="preserve"> the meaning of Chapter 64H.</w:t>
      </w:r>
      <w:r w:rsidRPr="00B748ED">
        <w:rPr>
          <w:rFonts w:ascii="Courier New" w:hAnsi="Courier New" w:cs="Courier New"/>
          <w:color w:val="000000" w:themeColor="text1"/>
          <w:shd w:val="clear" w:color="auto" w:fill="FFFFFF"/>
        </w:rPr>
        <w:t xml:space="preserve"> </w:t>
      </w:r>
    </w:p>
    <w:p w14:paraId="73689B7B" w14:textId="61D1AD62" w:rsidR="00E73647" w:rsidRPr="00B748ED" w:rsidRDefault="006703CF" w:rsidP="00B30BCB">
      <w:pPr>
        <w:spacing w:line="480" w:lineRule="auto"/>
        <w:contextualSpacing/>
        <w:jc w:val="both"/>
        <w:rPr>
          <w:rFonts w:ascii="Courier New" w:hAnsi="Courier New" w:cs="Courier New"/>
          <w:color w:val="000000" w:themeColor="text1"/>
        </w:rPr>
      </w:pPr>
      <w:r w:rsidRPr="00B748ED">
        <w:rPr>
          <w:rFonts w:ascii="Courier New" w:hAnsi="Courier New" w:cs="Courier New"/>
          <w:color w:val="000000" w:themeColor="text1"/>
          <w:shd w:val="clear" w:color="auto" w:fill="FFFFFF"/>
        </w:rPr>
        <w:tab/>
      </w:r>
      <w:proofErr w:type="gramStart"/>
      <w:r w:rsidR="00CD4763" w:rsidRPr="00B748ED">
        <w:rPr>
          <w:rFonts w:ascii="Courier New" w:hAnsi="Courier New" w:cs="Courier New"/>
          <w:color w:val="000000" w:themeColor="text1"/>
          <w:shd w:val="clear" w:color="auto" w:fill="FFFFFF"/>
        </w:rPr>
        <w:t>As previously noted, t</w:t>
      </w:r>
      <w:r w:rsidR="004279AC" w:rsidRPr="00B748ED">
        <w:rPr>
          <w:rFonts w:ascii="Courier New" w:hAnsi="Courier New" w:cs="Courier New"/>
          <w:color w:val="000000" w:themeColor="text1"/>
          <w:shd w:val="clear" w:color="auto" w:fill="FFFFFF"/>
        </w:rPr>
        <w:t xml:space="preserve">he Regulation states </w:t>
      </w:r>
      <w:r w:rsidR="00CD4763" w:rsidRPr="00B748ED">
        <w:rPr>
          <w:rFonts w:ascii="Courier New" w:hAnsi="Courier New" w:cs="Courier New"/>
          <w:color w:val="000000" w:themeColor="text1"/>
          <w:shd w:val="clear" w:color="auto" w:fill="FFFFFF"/>
        </w:rPr>
        <w:t xml:space="preserve">that </w:t>
      </w:r>
      <w:r w:rsidRPr="00B748ED">
        <w:rPr>
          <w:rFonts w:ascii="Courier New" w:hAnsi="Courier New" w:cs="Courier New"/>
          <w:color w:val="000000" w:themeColor="text1"/>
          <w:shd w:val="clear" w:color="auto" w:fill="FFFFFF"/>
        </w:rPr>
        <w:t>s</w:t>
      </w:r>
      <w:r w:rsidRPr="00B748ED">
        <w:rPr>
          <w:rFonts w:ascii="Courier New" w:hAnsi="Courier New" w:cs="Courier New"/>
          <w:color w:val="000000" w:themeColor="text1"/>
        </w:rPr>
        <w:t xml:space="preserve">ales of standardized software in Massachusetts </w:t>
      </w:r>
      <w:r w:rsidR="00CD4763" w:rsidRPr="00B748ED">
        <w:rPr>
          <w:rFonts w:ascii="Courier New" w:hAnsi="Courier New" w:cs="Courier New"/>
          <w:color w:val="000000" w:themeColor="text1"/>
        </w:rPr>
        <w:t xml:space="preserve">include </w:t>
      </w:r>
      <w:r w:rsidR="0024433C" w:rsidRPr="00B748ED">
        <w:rPr>
          <w:rFonts w:ascii="Courier New" w:hAnsi="Courier New" w:cs="Courier New"/>
          <w:color w:val="000000" w:themeColor="text1"/>
        </w:rPr>
        <w:t>“</w:t>
      </w:r>
      <w:r w:rsidRPr="00B748ED">
        <w:rPr>
          <w:rFonts w:ascii="Courier New" w:hAnsi="Courier New" w:cs="Courier New"/>
          <w:color w:val="000000" w:themeColor="text1"/>
        </w:rPr>
        <w:t>transfers of rights to use software installed on a remote server</w:t>
      </w:r>
      <w:r w:rsidR="00CD4763" w:rsidRPr="00B748ED">
        <w:rPr>
          <w:rFonts w:ascii="Courier New" w:hAnsi="Courier New" w:cs="Courier New"/>
          <w:color w:val="000000" w:themeColor="text1"/>
        </w:rPr>
        <w:t>.</w:t>
      </w:r>
      <w:r w:rsidR="0024433C" w:rsidRPr="00B748ED">
        <w:rPr>
          <w:rFonts w:ascii="Courier New" w:hAnsi="Courier New" w:cs="Courier New"/>
          <w:color w:val="000000" w:themeColor="text1"/>
        </w:rPr>
        <w:t>”</w:t>
      </w:r>
      <w:proofErr w:type="gramEnd"/>
      <w:r w:rsidR="0024433C" w:rsidRPr="00B748ED">
        <w:rPr>
          <w:rFonts w:ascii="Courier New" w:hAnsi="Courier New" w:cs="Courier New"/>
          <w:color w:val="000000" w:themeColor="text1"/>
        </w:rPr>
        <w:t xml:space="preserve"> </w:t>
      </w:r>
      <w:r w:rsidR="0024433C" w:rsidRPr="00B748ED">
        <w:rPr>
          <w:rFonts w:ascii="Courier New" w:hAnsi="Courier New" w:cs="Courier New"/>
          <w:color w:val="000000" w:themeColor="text1"/>
          <w:shd w:val="clear" w:color="auto" w:fill="FFFFFF"/>
        </w:rPr>
        <w:t xml:space="preserve">830 CMR </w:t>
      </w:r>
      <w:proofErr w:type="gramStart"/>
      <w:r w:rsidR="0024433C" w:rsidRPr="00B748ED">
        <w:rPr>
          <w:rFonts w:ascii="Courier New" w:hAnsi="Courier New" w:cs="Courier New"/>
          <w:color w:val="000000" w:themeColor="text1"/>
          <w:shd w:val="clear" w:color="auto" w:fill="FFFFFF"/>
        </w:rPr>
        <w:t>64H.1.3(</w:t>
      </w:r>
      <w:proofErr w:type="gramEnd"/>
      <w:r w:rsidR="0024433C" w:rsidRPr="00B748ED">
        <w:rPr>
          <w:rFonts w:ascii="Courier New" w:hAnsi="Courier New" w:cs="Courier New"/>
          <w:color w:val="000000" w:themeColor="text1"/>
          <w:shd w:val="clear" w:color="auto" w:fill="FFFFFF"/>
        </w:rPr>
        <w:t xml:space="preserve">3). </w:t>
      </w:r>
      <w:r w:rsidR="000F6420" w:rsidRPr="00B748ED">
        <w:rPr>
          <w:rFonts w:ascii="Courier New" w:hAnsi="Courier New" w:cs="Courier New"/>
          <w:color w:val="000000" w:themeColor="text1"/>
          <w:shd w:val="clear" w:color="auto" w:fill="FFFFFF"/>
        </w:rPr>
        <w:t xml:space="preserve">Each of the Online Products </w:t>
      </w:r>
      <w:r w:rsidR="00440805" w:rsidRPr="00B748ED">
        <w:rPr>
          <w:rFonts w:ascii="Courier New" w:hAnsi="Courier New" w:cs="Courier New"/>
          <w:color w:val="000000" w:themeColor="text1"/>
          <w:shd w:val="clear" w:color="auto" w:fill="FFFFFF"/>
        </w:rPr>
        <w:t>resides on Citrix’s servers. To access</w:t>
      </w:r>
      <w:r w:rsidR="00CD4763" w:rsidRPr="00B748ED">
        <w:rPr>
          <w:rFonts w:ascii="Courier New" w:hAnsi="Courier New" w:cs="Courier New"/>
          <w:color w:val="000000" w:themeColor="text1"/>
          <w:shd w:val="clear" w:color="auto" w:fill="FFFFFF"/>
        </w:rPr>
        <w:t xml:space="preserve"> </w:t>
      </w:r>
      <w:r w:rsidR="00440805" w:rsidRPr="00B748ED">
        <w:rPr>
          <w:rFonts w:ascii="Courier New" w:hAnsi="Courier New" w:cs="Courier New"/>
          <w:color w:val="000000" w:themeColor="text1"/>
          <w:shd w:val="clear" w:color="auto" w:fill="FFFFFF"/>
        </w:rPr>
        <w:t xml:space="preserve">the </w:t>
      </w:r>
      <w:r w:rsidR="00CD4763" w:rsidRPr="00B748ED">
        <w:rPr>
          <w:rFonts w:ascii="Courier New" w:hAnsi="Courier New" w:cs="Courier New"/>
          <w:color w:val="000000" w:themeColor="text1"/>
          <w:shd w:val="clear" w:color="auto" w:fill="FFFFFF"/>
        </w:rPr>
        <w:t xml:space="preserve">Online </w:t>
      </w:r>
      <w:r w:rsidR="00440805" w:rsidRPr="00B748ED">
        <w:rPr>
          <w:rFonts w:ascii="Courier New" w:hAnsi="Courier New" w:cs="Courier New"/>
          <w:color w:val="000000" w:themeColor="text1"/>
          <w:shd w:val="clear" w:color="auto" w:fill="FFFFFF"/>
        </w:rPr>
        <w:t xml:space="preserve">Products, </w:t>
      </w:r>
      <w:r w:rsidR="00440805" w:rsidRPr="00B748ED">
        <w:rPr>
          <w:rFonts w:ascii="Courier New" w:hAnsi="Courier New" w:cs="Courier New"/>
          <w:color w:val="000000" w:themeColor="text1"/>
          <w:shd w:val="clear" w:color="auto" w:fill="FFFFFF"/>
        </w:rPr>
        <w:lastRenderedPageBreak/>
        <w:t xml:space="preserve">a customer executes a </w:t>
      </w:r>
      <w:r w:rsidR="003928B7" w:rsidRPr="00B748ED">
        <w:rPr>
          <w:rFonts w:ascii="Courier New" w:hAnsi="Courier New" w:cs="Courier New"/>
          <w:color w:val="000000" w:themeColor="text1"/>
          <w:shd w:val="clear" w:color="auto" w:fill="FFFFFF"/>
        </w:rPr>
        <w:t>S</w:t>
      </w:r>
      <w:r w:rsidR="00440805" w:rsidRPr="00B748ED">
        <w:rPr>
          <w:rFonts w:ascii="Courier New" w:hAnsi="Courier New" w:cs="Courier New"/>
          <w:color w:val="000000" w:themeColor="text1"/>
          <w:shd w:val="clear" w:color="auto" w:fill="FFFFFF"/>
        </w:rPr>
        <w:t xml:space="preserve">ales </w:t>
      </w:r>
      <w:r w:rsidR="003928B7" w:rsidRPr="00B748ED">
        <w:rPr>
          <w:rFonts w:ascii="Courier New" w:hAnsi="Courier New" w:cs="Courier New"/>
          <w:color w:val="000000" w:themeColor="text1"/>
          <w:shd w:val="clear" w:color="auto" w:fill="FFFFFF"/>
        </w:rPr>
        <w:t>A</w:t>
      </w:r>
      <w:r w:rsidR="00440805" w:rsidRPr="00B748ED">
        <w:rPr>
          <w:rFonts w:ascii="Courier New" w:hAnsi="Courier New" w:cs="Courier New"/>
          <w:color w:val="000000" w:themeColor="text1"/>
          <w:shd w:val="clear" w:color="auto" w:fill="FFFFFF"/>
        </w:rPr>
        <w:t>greement that</w:t>
      </w:r>
      <w:r w:rsidR="004E3FE1" w:rsidRPr="00B748ED">
        <w:rPr>
          <w:rFonts w:ascii="Courier New" w:hAnsi="Courier New" w:cs="Courier New"/>
          <w:color w:val="000000" w:themeColor="text1"/>
        </w:rPr>
        <w:t xml:space="preserve"> explicitly </w:t>
      </w:r>
      <w:r w:rsidR="00440805" w:rsidRPr="00B748ED">
        <w:rPr>
          <w:rFonts w:ascii="Courier New" w:hAnsi="Courier New" w:cs="Courier New"/>
          <w:color w:val="000000" w:themeColor="text1"/>
        </w:rPr>
        <w:t xml:space="preserve">grants </w:t>
      </w:r>
      <w:r w:rsidR="004E3FE1" w:rsidRPr="00B748ED">
        <w:rPr>
          <w:rFonts w:ascii="Courier New" w:hAnsi="Courier New" w:cs="Courier New"/>
          <w:color w:val="000000" w:themeColor="text1"/>
        </w:rPr>
        <w:t>the customer</w:t>
      </w:r>
      <w:r w:rsidR="00440805" w:rsidRPr="00B748ED">
        <w:rPr>
          <w:rFonts w:ascii="Courier New" w:hAnsi="Courier New" w:cs="Courier New"/>
          <w:color w:val="000000" w:themeColor="text1"/>
        </w:rPr>
        <w:t xml:space="preserve"> the right</w:t>
      </w:r>
      <w:r w:rsidR="00CD4763" w:rsidRPr="00B748ED">
        <w:rPr>
          <w:rFonts w:ascii="Courier New" w:hAnsi="Courier New" w:cs="Courier New"/>
          <w:color w:val="000000" w:themeColor="text1"/>
        </w:rPr>
        <w:t>, for a fee,</w:t>
      </w:r>
      <w:r w:rsidR="00440805" w:rsidRPr="00B748ED">
        <w:rPr>
          <w:rFonts w:ascii="Courier New" w:hAnsi="Courier New" w:cs="Courier New"/>
          <w:color w:val="000000" w:themeColor="text1"/>
        </w:rPr>
        <w:t xml:space="preserve"> to access </w:t>
      </w:r>
      <w:r w:rsidR="004E3FE1" w:rsidRPr="00B748ED">
        <w:rPr>
          <w:rFonts w:ascii="Courier New" w:hAnsi="Courier New" w:cs="Courier New"/>
          <w:color w:val="000000" w:themeColor="text1"/>
        </w:rPr>
        <w:t xml:space="preserve">and use </w:t>
      </w:r>
      <w:r w:rsidR="00AB5BDB" w:rsidRPr="00B748ED">
        <w:rPr>
          <w:rFonts w:ascii="Courier New" w:hAnsi="Courier New" w:cs="Courier New"/>
          <w:color w:val="000000" w:themeColor="text1"/>
        </w:rPr>
        <w:t>one or more</w:t>
      </w:r>
      <w:r w:rsidR="003928B7" w:rsidRPr="00B748ED">
        <w:rPr>
          <w:rFonts w:ascii="Courier New" w:hAnsi="Courier New" w:cs="Courier New"/>
          <w:color w:val="000000" w:themeColor="text1"/>
        </w:rPr>
        <w:t xml:space="preserve"> of the</w:t>
      </w:r>
      <w:r w:rsidR="00AB5BDB" w:rsidRPr="00B748ED">
        <w:rPr>
          <w:rFonts w:ascii="Courier New" w:hAnsi="Courier New" w:cs="Courier New"/>
          <w:color w:val="000000" w:themeColor="text1"/>
        </w:rPr>
        <w:t xml:space="preserve"> </w:t>
      </w:r>
      <w:r w:rsidR="00CD4763" w:rsidRPr="00B748ED">
        <w:rPr>
          <w:rFonts w:ascii="Courier New" w:hAnsi="Courier New" w:cs="Courier New"/>
          <w:color w:val="000000" w:themeColor="text1"/>
        </w:rPr>
        <w:t>p</w:t>
      </w:r>
      <w:r w:rsidR="004E3FE1" w:rsidRPr="00B748ED">
        <w:rPr>
          <w:rFonts w:ascii="Courier New" w:hAnsi="Courier New" w:cs="Courier New"/>
          <w:color w:val="000000" w:themeColor="text1"/>
        </w:rPr>
        <w:t>roduct</w:t>
      </w:r>
      <w:r w:rsidR="00AB5BDB" w:rsidRPr="00B748ED">
        <w:rPr>
          <w:rFonts w:ascii="Courier New" w:hAnsi="Courier New" w:cs="Courier New"/>
          <w:color w:val="000000" w:themeColor="text1"/>
        </w:rPr>
        <w:t>s</w:t>
      </w:r>
      <w:r w:rsidR="00440805" w:rsidRPr="00B748ED">
        <w:rPr>
          <w:rFonts w:ascii="Courier New" w:hAnsi="Courier New" w:cs="Courier New"/>
          <w:color w:val="000000" w:themeColor="text1"/>
        </w:rPr>
        <w:t xml:space="preserve">. Before </w:t>
      </w:r>
      <w:r w:rsidR="00B55906" w:rsidRPr="00B748ED">
        <w:rPr>
          <w:rFonts w:ascii="Courier New" w:hAnsi="Courier New" w:cs="Courier New"/>
          <w:color w:val="000000" w:themeColor="text1"/>
        </w:rPr>
        <w:t>using an Online Product,</w:t>
      </w:r>
      <w:r w:rsidR="00440805" w:rsidRPr="00B748ED">
        <w:rPr>
          <w:rFonts w:ascii="Courier New" w:hAnsi="Courier New" w:cs="Courier New"/>
          <w:color w:val="000000" w:themeColor="text1"/>
        </w:rPr>
        <w:t xml:space="preserve"> a customer downloads the applicable Endpoint Software, which enables access to the </w:t>
      </w:r>
      <w:r w:rsidR="00B55906" w:rsidRPr="00B748ED">
        <w:rPr>
          <w:rFonts w:ascii="Courier New" w:hAnsi="Courier New" w:cs="Courier New"/>
          <w:color w:val="000000" w:themeColor="text1"/>
        </w:rPr>
        <w:t>p</w:t>
      </w:r>
      <w:r w:rsidR="003928B7" w:rsidRPr="00B748ED">
        <w:rPr>
          <w:rFonts w:ascii="Courier New" w:hAnsi="Courier New" w:cs="Courier New"/>
          <w:color w:val="000000" w:themeColor="text1"/>
        </w:rPr>
        <w:t>roduct</w:t>
      </w:r>
      <w:r w:rsidR="00440805" w:rsidRPr="00B748ED">
        <w:rPr>
          <w:rFonts w:ascii="Courier New" w:hAnsi="Courier New" w:cs="Courier New"/>
          <w:color w:val="000000" w:themeColor="text1"/>
        </w:rPr>
        <w:t xml:space="preserve">. The customer </w:t>
      </w:r>
      <w:r w:rsidR="00CD4763" w:rsidRPr="00B748ED">
        <w:rPr>
          <w:rFonts w:ascii="Courier New" w:hAnsi="Courier New" w:cs="Courier New"/>
          <w:color w:val="000000" w:themeColor="text1"/>
        </w:rPr>
        <w:t>is then able to use the chosen</w:t>
      </w:r>
      <w:r w:rsidR="00440805" w:rsidRPr="00B748ED">
        <w:rPr>
          <w:rFonts w:ascii="Courier New" w:hAnsi="Courier New" w:cs="Courier New"/>
          <w:color w:val="000000" w:themeColor="text1"/>
        </w:rPr>
        <w:t xml:space="preserve"> Online Product</w:t>
      </w:r>
      <w:r w:rsidR="004E3FE1" w:rsidRPr="00B748ED">
        <w:rPr>
          <w:rFonts w:ascii="Courier New" w:hAnsi="Courier New" w:cs="Courier New"/>
          <w:color w:val="000000" w:themeColor="text1"/>
        </w:rPr>
        <w:t xml:space="preserve">. </w:t>
      </w:r>
      <w:r w:rsidR="00440805" w:rsidRPr="00B748ED">
        <w:rPr>
          <w:rFonts w:ascii="Courier New" w:hAnsi="Courier New" w:cs="Courier New"/>
          <w:color w:val="000000" w:themeColor="text1"/>
        </w:rPr>
        <w:t>In sum, the transfer of the right to use software installed on a remote server is precisely the transaction effected when a customer purchases one or more of the Online Products</w:t>
      </w:r>
      <w:r w:rsidR="00715FDF" w:rsidRPr="00B748ED">
        <w:rPr>
          <w:rFonts w:ascii="Courier New" w:hAnsi="Courier New" w:cs="Courier New"/>
          <w:color w:val="000000" w:themeColor="text1"/>
        </w:rPr>
        <w:t xml:space="preserve"> from Citrix</w:t>
      </w:r>
      <w:r w:rsidR="00440805" w:rsidRPr="00B748ED">
        <w:rPr>
          <w:rFonts w:ascii="Courier New" w:hAnsi="Courier New" w:cs="Courier New"/>
          <w:color w:val="000000" w:themeColor="text1"/>
        </w:rPr>
        <w:t>.</w:t>
      </w:r>
    </w:p>
    <w:p w14:paraId="5E5982CB" w14:textId="557F9F1B" w:rsidR="00BF485A" w:rsidRDefault="00010AF6" w:rsidP="004B69CB">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Citrix</w:t>
      </w:r>
      <w:r w:rsidR="00BA5583">
        <w:rPr>
          <w:rFonts w:ascii="Courier New" w:hAnsi="Courier New" w:cs="Courier New"/>
          <w:color w:val="333333"/>
          <w:shd w:val="clear" w:color="auto" w:fill="FFFFFF"/>
        </w:rPr>
        <w:t>’s</w:t>
      </w:r>
      <w:r>
        <w:rPr>
          <w:rFonts w:ascii="Courier New" w:hAnsi="Courier New" w:cs="Courier New"/>
          <w:color w:val="333333"/>
          <w:shd w:val="clear" w:color="auto" w:fill="FFFFFF"/>
        </w:rPr>
        <w:t xml:space="preserve"> </w:t>
      </w:r>
      <w:r w:rsidR="00F92489">
        <w:rPr>
          <w:rFonts w:ascii="Courier New" w:hAnsi="Courier New" w:cs="Courier New"/>
          <w:color w:val="333333"/>
          <w:shd w:val="clear" w:color="auto" w:fill="FFFFFF"/>
        </w:rPr>
        <w:t xml:space="preserve">response to this analysis </w:t>
      </w:r>
      <w:r w:rsidR="003E34C9">
        <w:rPr>
          <w:rFonts w:ascii="Courier New" w:hAnsi="Courier New" w:cs="Courier New"/>
          <w:color w:val="333333"/>
          <w:shd w:val="clear" w:color="auto" w:fill="FFFFFF"/>
        </w:rPr>
        <w:t>was</w:t>
      </w:r>
      <w:r w:rsidR="00F92489">
        <w:rPr>
          <w:rFonts w:ascii="Courier New" w:hAnsi="Courier New" w:cs="Courier New"/>
          <w:color w:val="333333"/>
          <w:shd w:val="clear" w:color="auto" w:fill="FFFFFF"/>
        </w:rPr>
        <w:t xml:space="preserve"> twofold. First, Citrix argued that there was no </w:t>
      </w:r>
      <w:r w:rsidR="00AB3C8B">
        <w:rPr>
          <w:rFonts w:ascii="Courier New" w:hAnsi="Courier New" w:cs="Courier New"/>
          <w:color w:val="333333"/>
          <w:shd w:val="clear" w:color="auto" w:fill="FFFFFF"/>
        </w:rPr>
        <w:t xml:space="preserve">taxable </w:t>
      </w:r>
      <w:r w:rsidR="00F92489">
        <w:rPr>
          <w:rFonts w:ascii="Courier New" w:hAnsi="Courier New" w:cs="Courier New"/>
          <w:color w:val="333333"/>
          <w:shd w:val="clear" w:color="auto" w:fill="FFFFFF"/>
        </w:rPr>
        <w:t xml:space="preserve">sale of </w:t>
      </w:r>
      <w:r w:rsidR="00CD4763">
        <w:rPr>
          <w:rFonts w:ascii="Courier New" w:hAnsi="Courier New" w:cs="Courier New"/>
          <w:color w:val="333333"/>
          <w:shd w:val="clear" w:color="auto" w:fill="FFFFFF"/>
        </w:rPr>
        <w:t>s</w:t>
      </w:r>
      <w:r w:rsidR="00F92489">
        <w:rPr>
          <w:rFonts w:ascii="Courier New" w:hAnsi="Courier New" w:cs="Courier New"/>
          <w:color w:val="333333"/>
          <w:shd w:val="clear" w:color="auto" w:fill="FFFFFF"/>
        </w:rPr>
        <w:t>oftware</w:t>
      </w:r>
      <w:r w:rsidR="00BA5583">
        <w:rPr>
          <w:rFonts w:ascii="Courier New" w:hAnsi="Courier New" w:cs="Courier New"/>
          <w:color w:val="333333"/>
          <w:shd w:val="clear" w:color="auto" w:fill="FFFFFF"/>
        </w:rPr>
        <w:t xml:space="preserve"> because there was no </w:t>
      </w:r>
      <w:r w:rsidR="00AB5353">
        <w:rPr>
          <w:rFonts w:ascii="Courier New" w:hAnsi="Courier New" w:cs="Courier New"/>
          <w:color w:val="333333"/>
          <w:shd w:val="clear" w:color="auto" w:fill="FFFFFF"/>
        </w:rPr>
        <w:t>“</w:t>
      </w:r>
      <w:r w:rsidR="00BA5583">
        <w:rPr>
          <w:rFonts w:ascii="Courier New" w:hAnsi="Courier New" w:cs="Courier New"/>
          <w:color w:val="333333"/>
          <w:shd w:val="clear" w:color="auto" w:fill="FFFFFF"/>
        </w:rPr>
        <w:t>transfer</w:t>
      </w:r>
      <w:r w:rsidR="00AB5353">
        <w:rPr>
          <w:rFonts w:ascii="Courier New" w:hAnsi="Courier New" w:cs="Courier New"/>
          <w:color w:val="333333"/>
          <w:shd w:val="clear" w:color="auto" w:fill="FFFFFF"/>
        </w:rPr>
        <w:t>”</w:t>
      </w:r>
      <w:r w:rsidR="00BA5583">
        <w:rPr>
          <w:rFonts w:ascii="Courier New" w:hAnsi="Courier New" w:cs="Courier New"/>
          <w:color w:val="333333"/>
          <w:shd w:val="clear" w:color="auto" w:fill="FFFFFF"/>
        </w:rPr>
        <w:t xml:space="preserve"> of </w:t>
      </w:r>
      <w:r w:rsidR="00CD4763">
        <w:rPr>
          <w:rFonts w:ascii="Courier New" w:hAnsi="Courier New" w:cs="Courier New"/>
          <w:color w:val="333333"/>
          <w:shd w:val="clear" w:color="auto" w:fill="FFFFFF"/>
        </w:rPr>
        <w:t>s</w:t>
      </w:r>
      <w:r w:rsidR="00BA5583">
        <w:rPr>
          <w:rFonts w:ascii="Courier New" w:hAnsi="Courier New" w:cs="Courier New"/>
          <w:color w:val="333333"/>
          <w:shd w:val="clear" w:color="auto" w:fill="FFFFFF"/>
        </w:rPr>
        <w:t>oftware as required by Chapter 64H. According to Citrix, while the 200</w:t>
      </w:r>
      <w:r w:rsidR="00547C56">
        <w:rPr>
          <w:rFonts w:ascii="Courier New" w:hAnsi="Courier New" w:cs="Courier New"/>
          <w:color w:val="333333"/>
          <w:shd w:val="clear" w:color="auto" w:fill="FFFFFF"/>
        </w:rPr>
        <w:t>5</w:t>
      </w:r>
      <w:r w:rsidR="00BA5583">
        <w:rPr>
          <w:rFonts w:ascii="Courier New" w:hAnsi="Courier New" w:cs="Courier New"/>
          <w:color w:val="333333"/>
          <w:shd w:val="clear" w:color="auto" w:fill="FFFFFF"/>
        </w:rPr>
        <w:t xml:space="preserve"> statutory change to the definition of tangible </w:t>
      </w:r>
      <w:r w:rsidR="00694D2A">
        <w:rPr>
          <w:rFonts w:ascii="Courier New" w:hAnsi="Courier New" w:cs="Courier New"/>
          <w:color w:val="333333"/>
          <w:shd w:val="clear" w:color="auto" w:fill="FFFFFF"/>
        </w:rPr>
        <w:t xml:space="preserve">personal </w:t>
      </w:r>
      <w:r w:rsidR="00BA5583">
        <w:rPr>
          <w:rFonts w:ascii="Courier New" w:hAnsi="Courier New" w:cs="Courier New"/>
          <w:color w:val="333333"/>
          <w:shd w:val="clear" w:color="auto" w:fill="FFFFFF"/>
        </w:rPr>
        <w:t>property extended the taxation of software to software transferred electronically, the change did not encompass</w:t>
      </w:r>
      <w:r w:rsidR="00AF3343">
        <w:rPr>
          <w:rFonts w:ascii="Courier New" w:hAnsi="Courier New" w:cs="Courier New"/>
          <w:color w:val="333333"/>
          <w:shd w:val="clear" w:color="auto" w:fill="FFFFFF"/>
        </w:rPr>
        <w:t xml:space="preserve"> access</w:t>
      </w:r>
      <w:r w:rsidR="00AB3C8B">
        <w:rPr>
          <w:rFonts w:ascii="Courier New" w:hAnsi="Courier New" w:cs="Courier New"/>
          <w:color w:val="333333"/>
          <w:shd w:val="clear" w:color="auto" w:fill="FFFFFF"/>
        </w:rPr>
        <w:t xml:space="preserve"> to</w:t>
      </w:r>
      <w:r w:rsidR="00AF3343">
        <w:rPr>
          <w:rFonts w:ascii="Courier New" w:hAnsi="Courier New" w:cs="Courier New"/>
          <w:color w:val="333333"/>
          <w:shd w:val="clear" w:color="auto" w:fill="FFFFFF"/>
        </w:rPr>
        <w:t xml:space="preserve"> software </w:t>
      </w:r>
      <w:r w:rsidR="00AB3C8B">
        <w:rPr>
          <w:rFonts w:ascii="Courier New" w:hAnsi="Courier New" w:cs="Courier New"/>
          <w:color w:val="333333"/>
          <w:shd w:val="clear" w:color="auto" w:fill="FFFFFF"/>
        </w:rPr>
        <w:t xml:space="preserve">that is </w:t>
      </w:r>
      <w:r w:rsidR="00AF3343">
        <w:rPr>
          <w:rFonts w:ascii="Courier New" w:hAnsi="Courier New" w:cs="Courier New"/>
          <w:color w:val="333333"/>
          <w:shd w:val="clear" w:color="auto" w:fill="FFFFFF"/>
        </w:rPr>
        <w:t xml:space="preserve">remotely hosted by a vendor. </w:t>
      </w:r>
      <w:r w:rsidR="005C620E">
        <w:rPr>
          <w:rFonts w:ascii="Courier New" w:hAnsi="Courier New" w:cs="Courier New"/>
          <w:color w:val="333333"/>
          <w:shd w:val="clear" w:color="auto" w:fill="FFFFFF"/>
        </w:rPr>
        <w:t xml:space="preserve">In Citrix’s view, </w:t>
      </w:r>
      <w:r w:rsidR="00AF3343">
        <w:rPr>
          <w:rFonts w:ascii="Courier New" w:hAnsi="Courier New" w:cs="Courier New"/>
          <w:color w:val="333333"/>
          <w:shd w:val="clear" w:color="auto" w:fill="FFFFFF"/>
        </w:rPr>
        <w:t>the Commissioner improperly sought to extend the tax to remote access transactions</w:t>
      </w:r>
      <w:r w:rsidR="005C620E">
        <w:rPr>
          <w:rFonts w:ascii="Courier New" w:hAnsi="Courier New" w:cs="Courier New"/>
          <w:color w:val="333333"/>
          <w:shd w:val="clear" w:color="auto" w:fill="FFFFFF"/>
        </w:rPr>
        <w:t>, which are</w:t>
      </w:r>
      <w:r w:rsidR="00AB3C8B">
        <w:rPr>
          <w:rFonts w:ascii="Courier New" w:hAnsi="Courier New" w:cs="Courier New"/>
          <w:color w:val="333333"/>
          <w:shd w:val="clear" w:color="auto" w:fill="FFFFFF"/>
        </w:rPr>
        <w:t xml:space="preserve"> beyond the scope of Chapter 64H</w:t>
      </w:r>
      <w:r w:rsidR="005C620E">
        <w:rPr>
          <w:rFonts w:ascii="Courier New" w:hAnsi="Courier New" w:cs="Courier New"/>
          <w:color w:val="333333"/>
          <w:shd w:val="clear" w:color="auto" w:fill="FFFFFF"/>
        </w:rPr>
        <w:t xml:space="preserve">. This extension was reflected </w:t>
      </w:r>
      <w:r w:rsidR="00AF3343">
        <w:rPr>
          <w:rFonts w:ascii="Courier New" w:hAnsi="Courier New" w:cs="Courier New"/>
          <w:color w:val="333333"/>
          <w:shd w:val="clear" w:color="auto" w:fill="FFFFFF"/>
        </w:rPr>
        <w:t xml:space="preserve">first </w:t>
      </w:r>
      <w:r w:rsidR="00AB3C8B">
        <w:rPr>
          <w:rFonts w:ascii="Courier New" w:hAnsi="Courier New" w:cs="Courier New"/>
          <w:color w:val="333333"/>
          <w:shd w:val="clear" w:color="auto" w:fill="FFFFFF"/>
        </w:rPr>
        <w:t>in</w:t>
      </w:r>
      <w:r w:rsidR="00AF3343">
        <w:rPr>
          <w:rFonts w:ascii="Courier New" w:hAnsi="Courier New" w:cs="Courier New"/>
          <w:color w:val="333333"/>
          <w:shd w:val="clear" w:color="auto" w:fill="FFFFFF"/>
        </w:rPr>
        <w:t xml:space="preserve"> </w:t>
      </w:r>
      <w:r w:rsidR="00AF3343" w:rsidRPr="00C826BE">
        <w:rPr>
          <w:rFonts w:ascii="Courier New" w:hAnsi="Courier New" w:cs="Courier New"/>
          <w:color w:val="333333"/>
          <w:shd w:val="clear" w:color="auto" w:fill="FFFFFF"/>
        </w:rPr>
        <w:t>Technical Information Release 05-15</w:t>
      </w:r>
      <w:r w:rsidR="00AB3C8B">
        <w:rPr>
          <w:rFonts w:ascii="Courier New" w:hAnsi="Courier New" w:cs="Courier New"/>
          <w:b/>
          <w:i/>
          <w:color w:val="333333"/>
          <w:shd w:val="clear" w:color="auto" w:fill="FFFFFF"/>
        </w:rPr>
        <w:t>,</w:t>
      </w:r>
      <w:r w:rsidR="00AF3343">
        <w:rPr>
          <w:rFonts w:ascii="Courier New" w:hAnsi="Courier New" w:cs="Courier New"/>
          <w:color w:val="333333"/>
          <w:shd w:val="clear" w:color="auto" w:fill="FFFFFF"/>
        </w:rPr>
        <w:t xml:space="preserve"> and next, the Regulation</w:t>
      </w:r>
      <w:r w:rsidR="00F03900">
        <w:rPr>
          <w:rFonts w:ascii="Courier New" w:hAnsi="Courier New" w:cs="Courier New"/>
          <w:color w:val="333333"/>
          <w:shd w:val="clear" w:color="auto" w:fill="FFFFFF"/>
        </w:rPr>
        <w:t xml:space="preserve">, both of which, in effect, Citrix seeks to </w:t>
      </w:r>
      <w:r w:rsidR="00F03900">
        <w:rPr>
          <w:rFonts w:ascii="Courier New" w:hAnsi="Courier New" w:cs="Courier New"/>
          <w:color w:val="333333"/>
          <w:shd w:val="clear" w:color="auto" w:fill="FFFFFF"/>
        </w:rPr>
        <w:lastRenderedPageBreak/>
        <w:t>invalidate</w:t>
      </w:r>
      <w:r w:rsidR="00AF3343">
        <w:rPr>
          <w:rFonts w:ascii="Courier New" w:hAnsi="Courier New" w:cs="Courier New"/>
          <w:color w:val="333333"/>
          <w:shd w:val="clear" w:color="auto" w:fill="FFFFFF"/>
        </w:rPr>
        <w:t>.</w:t>
      </w:r>
      <w:r>
        <w:rPr>
          <w:rFonts w:ascii="Courier New" w:hAnsi="Courier New" w:cs="Courier New"/>
          <w:color w:val="333333"/>
          <w:shd w:val="clear" w:color="auto" w:fill="FFFFFF"/>
        </w:rPr>
        <w:t xml:space="preserve"> </w:t>
      </w:r>
      <w:r w:rsidR="00BF485A">
        <w:rPr>
          <w:rFonts w:ascii="Courier New" w:hAnsi="Courier New" w:cs="Courier New"/>
          <w:color w:val="333333"/>
          <w:shd w:val="clear" w:color="auto" w:fill="FFFFFF"/>
        </w:rPr>
        <w:t>The Board did not find Citrix’s argument persuasive.</w:t>
      </w:r>
      <w:r w:rsidR="006C0FE4">
        <w:rPr>
          <w:rFonts w:ascii="Courier New" w:hAnsi="Courier New" w:cs="Courier New"/>
          <w:color w:val="333333"/>
          <w:shd w:val="clear" w:color="auto" w:fill="FFFFFF"/>
        </w:rPr>
        <w:t xml:space="preserve"> </w:t>
      </w:r>
      <w:r w:rsidR="00BF485A">
        <w:rPr>
          <w:rFonts w:ascii="Courier New" w:hAnsi="Courier New" w:cs="Courier New"/>
          <w:color w:val="333333"/>
          <w:shd w:val="clear" w:color="auto" w:fill="FFFFFF"/>
        </w:rPr>
        <w:t xml:space="preserve"> </w:t>
      </w:r>
    </w:p>
    <w:p w14:paraId="0FE4F64B" w14:textId="2F6661BE" w:rsidR="008732F8" w:rsidRDefault="00630EEB" w:rsidP="004B69CB">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The Board is mindful of the maxim</w:t>
      </w:r>
      <w:r w:rsidR="00F03900">
        <w:rPr>
          <w:rFonts w:ascii="Courier New" w:hAnsi="Courier New" w:cs="Courier New"/>
          <w:color w:val="333333"/>
          <w:shd w:val="clear" w:color="auto" w:fill="FFFFFF"/>
        </w:rPr>
        <w:t xml:space="preserve"> that </w:t>
      </w:r>
      <w:r>
        <w:rPr>
          <w:rFonts w:ascii="Courier New" w:hAnsi="Courier New" w:cs="Courier New"/>
          <w:color w:val="333333"/>
          <w:shd w:val="clear" w:color="auto" w:fill="FFFFFF"/>
        </w:rPr>
        <w:t xml:space="preserve">“[t]he right to tax must be plainly conferred by statute. It is not to be implied.” </w:t>
      </w:r>
      <w:proofErr w:type="gramStart"/>
      <w:r w:rsidRPr="00630EEB">
        <w:rPr>
          <w:rFonts w:ascii="Courier New" w:hAnsi="Courier New" w:cs="Courier New"/>
          <w:b/>
          <w:i/>
          <w:color w:val="333333"/>
          <w:shd w:val="clear" w:color="auto" w:fill="FFFFFF"/>
        </w:rPr>
        <w:t>McCarthy v. Commissioner</w:t>
      </w:r>
      <w:r w:rsidR="002361B1">
        <w:rPr>
          <w:rFonts w:ascii="Courier New" w:hAnsi="Courier New" w:cs="Courier New"/>
          <w:b/>
          <w:i/>
          <w:color w:val="333333"/>
          <w:shd w:val="clear" w:color="auto" w:fill="FFFFFF"/>
        </w:rPr>
        <w:t xml:space="preserve"> of Revenue</w:t>
      </w:r>
      <w:r>
        <w:rPr>
          <w:rFonts w:ascii="Courier New" w:hAnsi="Courier New" w:cs="Courier New"/>
          <w:color w:val="333333"/>
          <w:shd w:val="clear" w:color="auto" w:fill="FFFFFF"/>
        </w:rPr>
        <w:t>, 391 Mass. 630, 632-33 (19</w:t>
      </w:r>
      <w:r w:rsidR="002361B1">
        <w:rPr>
          <w:rFonts w:ascii="Courier New" w:hAnsi="Courier New" w:cs="Courier New"/>
          <w:color w:val="333333"/>
          <w:shd w:val="clear" w:color="auto" w:fill="FFFFFF"/>
        </w:rPr>
        <w:t>8</w:t>
      </w:r>
      <w:r>
        <w:rPr>
          <w:rFonts w:ascii="Courier New" w:hAnsi="Courier New" w:cs="Courier New"/>
          <w:color w:val="333333"/>
          <w:shd w:val="clear" w:color="auto" w:fill="FFFFFF"/>
        </w:rPr>
        <w:t>4).</w:t>
      </w:r>
      <w:proofErr w:type="gramEnd"/>
      <w:r>
        <w:rPr>
          <w:rFonts w:ascii="Courier New" w:hAnsi="Courier New" w:cs="Courier New"/>
          <w:color w:val="333333"/>
          <w:shd w:val="clear" w:color="auto" w:fill="FFFFFF"/>
        </w:rPr>
        <w:t xml:space="preserve"> However, this well-established rule operates in concert with the </w:t>
      </w:r>
      <w:r w:rsidR="00AB5BDB">
        <w:rPr>
          <w:rFonts w:ascii="Courier New" w:hAnsi="Courier New" w:cs="Courier New"/>
          <w:color w:val="333333"/>
          <w:shd w:val="clear" w:color="auto" w:fill="FFFFFF"/>
        </w:rPr>
        <w:t>principle that</w:t>
      </w:r>
      <w:r w:rsidR="008732F8">
        <w:rPr>
          <w:rFonts w:ascii="Courier New" w:hAnsi="Courier New" w:cs="Courier New"/>
          <w:color w:val="333333"/>
          <w:shd w:val="clear" w:color="auto" w:fill="FFFFFF"/>
        </w:rPr>
        <w:t xml:space="preserve"> “regulations are not to be declared void unless their provisions cannot by any reasonable construction be interpreted in harmony with the legislative mandate.” </w:t>
      </w:r>
      <w:proofErr w:type="spellStart"/>
      <w:r w:rsidR="008732F8" w:rsidRPr="008732F8">
        <w:rPr>
          <w:rFonts w:ascii="Courier New" w:hAnsi="Courier New" w:cs="Courier New"/>
          <w:b/>
          <w:i/>
          <w:color w:val="333333"/>
          <w:shd w:val="clear" w:color="auto" w:fill="FFFFFF"/>
        </w:rPr>
        <w:t>Expedito</w:t>
      </w:r>
      <w:proofErr w:type="spellEnd"/>
      <w:r w:rsidR="008732F8" w:rsidRPr="008732F8">
        <w:rPr>
          <w:rFonts w:ascii="Courier New" w:hAnsi="Courier New" w:cs="Courier New"/>
          <w:b/>
          <w:i/>
          <w:color w:val="333333"/>
          <w:shd w:val="clear" w:color="auto" w:fill="FFFFFF"/>
        </w:rPr>
        <w:t xml:space="preserve"> Duarte v. Commissioner</w:t>
      </w:r>
      <w:r w:rsidR="002361B1">
        <w:rPr>
          <w:rFonts w:ascii="Courier New" w:hAnsi="Courier New" w:cs="Courier New"/>
          <w:b/>
          <w:i/>
          <w:color w:val="333333"/>
          <w:shd w:val="clear" w:color="auto" w:fill="FFFFFF"/>
        </w:rPr>
        <w:t xml:space="preserve"> of Revenue</w:t>
      </w:r>
      <w:r w:rsidR="008732F8">
        <w:rPr>
          <w:rFonts w:ascii="Courier New" w:hAnsi="Courier New" w:cs="Courier New"/>
          <w:color w:val="333333"/>
          <w:shd w:val="clear" w:color="auto" w:fill="FFFFFF"/>
        </w:rPr>
        <w:t>, 451 Mass. 399, 408 (2008)</w:t>
      </w:r>
      <w:r w:rsidR="006220D2">
        <w:rPr>
          <w:rFonts w:ascii="Courier New" w:hAnsi="Courier New" w:cs="Courier New"/>
          <w:color w:val="333333"/>
          <w:shd w:val="clear" w:color="auto" w:fill="FFFFFF"/>
        </w:rPr>
        <w:t xml:space="preserve"> </w:t>
      </w:r>
      <w:r w:rsidR="008732F8">
        <w:rPr>
          <w:rFonts w:ascii="Courier New" w:hAnsi="Courier New" w:cs="Courier New"/>
          <w:color w:val="333333"/>
          <w:shd w:val="clear" w:color="auto" w:fill="FFFFFF"/>
        </w:rPr>
        <w:t xml:space="preserve">(citing </w:t>
      </w:r>
      <w:r w:rsidR="008732F8" w:rsidRPr="008732F8">
        <w:rPr>
          <w:rFonts w:ascii="Courier New" w:hAnsi="Courier New" w:cs="Courier New"/>
          <w:b/>
          <w:i/>
          <w:color w:val="333333"/>
          <w:shd w:val="clear" w:color="auto" w:fill="FFFFFF"/>
        </w:rPr>
        <w:t>Smith v. Commission</w:t>
      </w:r>
      <w:r w:rsidR="002361B1">
        <w:rPr>
          <w:rFonts w:ascii="Courier New" w:hAnsi="Courier New" w:cs="Courier New"/>
          <w:b/>
          <w:i/>
          <w:color w:val="333333"/>
          <w:shd w:val="clear" w:color="auto" w:fill="FFFFFF"/>
        </w:rPr>
        <w:t>er</w:t>
      </w:r>
      <w:r w:rsidR="008732F8" w:rsidRPr="008732F8">
        <w:rPr>
          <w:rFonts w:ascii="Courier New" w:hAnsi="Courier New" w:cs="Courier New"/>
          <w:b/>
          <w:i/>
          <w:color w:val="333333"/>
          <w:shd w:val="clear" w:color="auto" w:fill="FFFFFF"/>
        </w:rPr>
        <w:t xml:space="preserve"> of Transitional Assistance</w:t>
      </w:r>
      <w:r w:rsidR="008732F8">
        <w:rPr>
          <w:rFonts w:ascii="Courier New" w:hAnsi="Courier New" w:cs="Courier New"/>
          <w:color w:val="333333"/>
          <w:shd w:val="clear" w:color="auto" w:fill="FFFFFF"/>
        </w:rPr>
        <w:t>, 431 Mass</w:t>
      </w:r>
      <w:r w:rsidR="002361B1">
        <w:rPr>
          <w:rFonts w:ascii="Courier New" w:hAnsi="Courier New" w:cs="Courier New"/>
          <w:color w:val="333333"/>
          <w:shd w:val="clear" w:color="auto" w:fill="FFFFFF"/>
        </w:rPr>
        <w:t>.</w:t>
      </w:r>
      <w:r w:rsidR="008732F8">
        <w:rPr>
          <w:rFonts w:ascii="Courier New" w:hAnsi="Courier New" w:cs="Courier New"/>
          <w:color w:val="333333"/>
          <w:shd w:val="clear" w:color="auto" w:fill="FFFFFF"/>
        </w:rPr>
        <w:t xml:space="preserve"> 638, 646 (2000)</w:t>
      </w:r>
      <w:r w:rsidR="002361B1">
        <w:rPr>
          <w:rFonts w:ascii="Courier New" w:hAnsi="Courier New" w:cs="Courier New"/>
          <w:color w:val="333333"/>
          <w:shd w:val="clear" w:color="auto" w:fill="FFFFFF"/>
        </w:rPr>
        <w:t>)</w:t>
      </w:r>
      <w:r w:rsidR="008732F8">
        <w:rPr>
          <w:rFonts w:ascii="Courier New" w:hAnsi="Courier New" w:cs="Courier New"/>
          <w:color w:val="333333"/>
          <w:shd w:val="clear" w:color="auto" w:fill="FFFFFF"/>
        </w:rPr>
        <w:t>;</w:t>
      </w:r>
      <w:r w:rsidR="006220D2">
        <w:rPr>
          <w:rFonts w:ascii="Courier New" w:hAnsi="Courier New" w:cs="Courier New"/>
          <w:color w:val="333333"/>
          <w:shd w:val="clear" w:color="auto" w:fill="FFFFFF"/>
        </w:rPr>
        <w:t xml:space="preserve"> </w:t>
      </w:r>
      <w:r w:rsidR="006220D2" w:rsidRPr="006220D2">
        <w:rPr>
          <w:rFonts w:ascii="Courier New" w:hAnsi="Courier New" w:cs="Courier New"/>
          <w:i/>
          <w:color w:val="333333"/>
          <w:shd w:val="clear" w:color="auto" w:fill="FFFFFF"/>
        </w:rPr>
        <w:t>see also</w:t>
      </w:r>
      <w:r w:rsidR="008732F8">
        <w:rPr>
          <w:rFonts w:ascii="Courier New" w:hAnsi="Courier New" w:cs="Courier New"/>
          <w:color w:val="333333"/>
          <w:shd w:val="clear" w:color="auto" w:fill="FFFFFF"/>
        </w:rPr>
        <w:t xml:space="preserve"> </w:t>
      </w:r>
      <w:r w:rsidR="008732F8" w:rsidRPr="008732F8">
        <w:rPr>
          <w:rFonts w:ascii="Courier New" w:hAnsi="Courier New" w:cs="Courier New"/>
          <w:b/>
          <w:i/>
          <w:color w:val="333333"/>
          <w:shd w:val="clear" w:color="auto" w:fill="FFFFFF"/>
        </w:rPr>
        <w:t>Regency Transportation, Inc. v. Commissioner</w:t>
      </w:r>
      <w:r w:rsidR="002361B1">
        <w:rPr>
          <w:rFonts w:ascii="Courier New" w:hAnsi="Courier New" w:cs="Courier New"/>
          <w:b/>
          <w:i/>
          <w:color w:val="333333"/>
          <w:shd w:val="clear" w:color="auto" w:fill="FFFFFF"/>
        </w:rPr>
        <w:t xml:space="preserve"> of Revenue</w:t>
      </w:r>
      <w:r w:rsidR="008732F8">
        <w:rPr>
          <w:rFonts w:ascii="Courier New" w:hAnsi="Courier New" w:cs="Courier New"/>
          <w:color w:val="333333"/>
          <w:shd w:val="clear" w:color="auto" w:fill="FFFFFF"/>
        </w:rPr>
        <w:t>, 473 Mass</w:t>
      </w:r>
      <w:r w:rsidR="006220D2">
        <w:rPr>
          <w:rFonts w:ascii="Courier New" w:hAnsi="Courier New" w:cs="Courier New"/>
          <w:color w:val="333333"/>
          <w:shd w:val="clear" w:color="auto" w:fill="FFFFFF"/>
        </w:rPr>
        <w:t>.</w:t>
      </w:r>
      <w:r w:rsidR="008732F8" w:rsidRPr="008732F8">
        <w:rPr>
          <w:rFonts w:ascii="Courier New" w:hAnsi="Courier New" w:cs="Courier New"/>
          <w:i/>
          <w:color w:val="333333"/>
          <w:shd w:val="clear" w:color="auto" w:fill="FFFFFF"/>
        </w:rPr>
        <w:t xml:space="preserve"> </w:t>
      </w:r>
      <w:r w:rsidR="008732F8">
        <w:rPr>
          <w:rFonts w:ascii="Courier New" w:hAnsi="Courier New" w:cs="Courier New"/>
          <w:color w:val="333333"/>
          <w:shd w:val="clear" w:color="auto" w:fill="FFFFFF"/>
        </w:rPr>
        <w:t>459, 466 (2016)</w:t>
      </w:r>
      <w:r w:rsidR="006220D2">
        <w:rPr>
          <w:rFonts w:ascii="Courier New" w:hAnsi="Courier New" w:cs="Courier New"/>
          <w:color w:val="333333"/>
          <w:shd w:val="clear" w:color="auto" w:fill="FFFFFF"/>
        </w:rPr>
        <w:t xml:space="preserve"> </w:t>
      </w:r>
      <w:r w:rsidR="008732F8">
        <w:rPr>
          <w:rFonts w:ascii="Courier New" w:hAnsi="Courier New" w:cs="Courier New"/>
          <w:color w:val="333333"/>
          <w:shd w:val="clear" w:color="auto" w:fill="FFFFFF"/>
        </w:rPr>
        <w:t>(</w:t>
      </w:r>
      <w:r w:rsidR="006220D2">
        <w:rPr>
          <w:rFonts w:ascii="Courier New" w:hAnsi="Courier New" w:cs="Courier New"/>
          <w:color w:val="333333"/>
          <w:shd w:val="clear" w:color="auto" w:fill="FFFFFF"/>
        </w:rPr>
        <w:t>“</w:t>
      </w:r>
      <w:r w:rsidR="008732F8">
        <w:rPr>
          <w:rFonts w:ascii="Courier New" w:hAnsi="Courier New" w:cs="Courier New"/>
          <w:color w:val="333333"/>
          <w:shd w:val="clear" w:color="auto" w:fill="FFFFFF"/>
        </w:rPr>
        <w:t>[w]e accord substantial deference to the agency’s regulations and apply all presumptions in favor of the validity of the administrative action and [do] not declare it void unless its provisions cannot by any reasonable construction be interpreted in harmony with the legislative mandate</w:t>
      </w:r>
      <w:r w:rsidR="006220D2">
        <w:rPr>
          <w:rFonts w:ascii="Courier New" w:hAnsi="Courier New" w:cs="Courier New"/>
          <w:color w:val="333333"/>
          <w:shd w:val="clear" w:color="auto" w:fill="FFFFFF"/>
        </w:rPr>
        <w:t>”)</w:t>
      </w:r>
      <w:r w:rsidR="008732F8">
        <w:rPr>
          <w:rFonts w:ascii="Courier New" w:hAnsi="Courier New" w:cs="Courier New"/>
          <w:color w:val="333333"/>
          <w:shd w:val="clear" w:color="auto" w:fill="FFFFFF"/>
        </w:rPr>
        <w:t>.</w:t>
      </w:r>
    </w:p>
    <w:p w14:paraId="73709B76" w14:textId="72EE0DCE" w:rsidR="00257E20" w:rsidRPr="00257E20" w:rsidRDefault="00485F58" w:rsidP="004B69CB">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As technology and computer business practices have evolved, so to</w:t>
      </w:r>
      <w:r w:rsidR="00D040C8">
        <w:rPr>
          <w:rFonts w:ascii="Courier New" w:hAnsi="Courier New" w:cs="Courier New"/>
          <w:color w:val="333333"/>
          <w:shd w:val="clear" w:color="auto" w:fill="FFFFFF"/>
        </w:rPr>
        <w:t>o</w:t>
      </w:r>
      <w:r>
        <w:rPr>
          <w:rFonts w:ascii="Courier New" w:hAnsi="Courier New" w:cs="Courier New"/>
          <w:color w:val="333333"/>
          <w:shd w:val="clear" w:color="auto" w:fill="FFFFFF"/>
        </w:rPr>
        <w:t xml:space="preserve"> has Massachusetts law relating to the taxation of software. As discussed above, t</w:t>
      </w:r>
      <w:r w:rsidR="00F03900">
        <w:rPr>
          <w:rFonts w:ascii="Courier New" w:hAnsi="Courier New" w:cs="Courier New"/>
          <w:color w:val="333333"/>
          <w:shd w:val="clear" w:color="auto" w:fill="FFFFFF"/>
        </w:rPr>
        <w:t>he 200</w:t>
      </w:r>
      <w:r>
        <w:rPr>
          <w:rFonts w:ascii="Courier New" w:hAnsi="Courier New" w:cs="Courier New"/>
          <w:color w:val="333333"/>
          <w:shd w:val="clear" w:color="auto" w:fill="FFFFFF"/>
        </w:rPr>
        <w:t>5</w:t>
      </w:r>
      <w:r w:rsidR="00F03900">
        <w:rPr>
          <w:rFonts w:ascii="Courier New" w:hAnsi="Courier New" w:cs="Courier New"/>
          <w:color w:val="333333"/>
          <w:shd w:val="clear" w:color="auto" w:fill="FFFFFF"/>
        </w:rPr>
        <w:t xml:space="preserve"> statutory change</w:t>
      </w:r>
      <w:r>
        <w:rPr>
          <w:rFonts w:ascii="Courier New" w:hAnsi="Courier New" w:cs="Courier New"/>
          <w:color w:val="333333"/>
          <w:shd w:val="clear" w:color="auto" w:fill="FFFFFF"/>
        </w:rPr>
        <w:t>, which</w:t>
      </w:r>
      <w:r w:rsidR="00F03900">
        <w:rPr>
          <w:rFonts w:ascii="Courier New" w:hAnsi="Courier New" w:cs="Courier New"/>
          <w:color w:val="333333"/>
          <w:shd w:val="clear" w:color="auto" w:fill="FFFFFF"/>
        </w:rPr>
        <w:t xml:space="preserve"> </w:t>
      </w:r>
      <w:r w:rsidR="00257E20">
        <w:rPr>
          <w:rFonts w:ascii="Courier New" w:hAnsi="Courier New" w:cs="Courier New"/>
          <w:color w:val="333333"/>
          <w:shd w:val="clear" w:color="auto" w:fill="FFFFFF"/>
        </w:rPr>
        <w:t xml:space="preserve">expanded </w:t>
      </w:r>
      <w:r w:rsidR="00D040C8">
        <w:rPr>
          <w:rFonts w:ascii="Courier New" w:hAnsi="Courier New" w:cs="Courier New"/>
          <w:color w:val="333333"/>
          <w:shd w:val="clear" w:color="auto" w:fill="FFFFFF"/>
        </w:rPr>
        <w:t xml:space="preserve">the </w:t>
      </w:r>
      <w:r w:rsidR="00257E20">
        <w:rPr>
          <w:rFonts w:ascii="Courier New" w:hAnsi="Courier New" w:cs="Courier New"/>
          <w:color w:val="333333"/>
          <w:shd w:val="clear" w:color="auto" w:fill="FFFFFF"/>
        </w:rPr>
        <w:t xml:space="preserve">definition of tangible personal property </w:t>
      </w:r>
      <w:r>
        <w:rPr>
          <w:rFonts w:ascii="Courier New" w:hAnsi="Courier New" w:cs="Courier New"/>
          <w:color w:val="333333"/>
          <w:shd w:val="clear" w:color="auto" w:fill="FFFFFF"/>
        </w:rPr>
        <w:t xml:space="preserve">to </w:t>
      </w:r>
      <w:r w:rsidR="00257E20">
        <w:rPr>
          <w:rFonts w:ascii="Courier New" w:hAnsi="Courier New" w:cs="Courier New"/>
          <w:color w:val="333333"/>
          <w:shd w:val="clear" w:color="auto" w:fill="FFFFFF"/>
        </w:rPr>
        <w:t xml:space="preserve">include </w:t>
      </w:r>
      <w:r w:rsidR="00257E20" w:rsidRPr="00257E20">
        <w:rPr>
          <w:rFonts w:ascii="Courier New" w:hAnsi="Courier New" w:cs="Courier New"/>
          <w:color w:val="333333"/>
          <w:shd w:val="clear" w:color="auto" w:fill="FFFFFF"/>
        </w:rPr>
        <w:t xml:space="preserve">“[a] transfer of standardized </w:t>
      </w:r>
      <w:r w:rsidR="00257E20" w:rsidRPr="00257E20">
        <w:rPr>
          <w:rFonts w:ascii="Courier New" w:hAnsi="Courier New" w:cs="Courier New"/>
          <w:color w:val="333333"/>
          <w:shd w:val="clear" w:color="auto" w:fill="FFFFFF"/>
        </w:rPr>
        <w:lastRenderedPageBreak/>
        <w:t>computer software, including but not limited to electronic, telephonic, or similar transfer</w:t>
      </w:r>
      <w:r>
        <w:rPr>
          <w:rFonts w:ascii="Courier New" w:hAnsi="Courier New" w:cs="Courier New"/>
          <w:color w:val="333333"/>
          <w:shd w:val="clear" w:color="auto" w:fill="FFFFFF"/>
        </w:rPr>
        <w:t>,</w:t>
      </w:r>
      <w:r w:rsidR="00257E20" w:rsidRPr="00257E20">
        <w:rPr>
          <w:rFonts w:ascii="Courier New" w:hAnsi="Courier New" w:cs="Courier New"/>
          <w:color w:val="333333"/>
          <w:shd w:val="clear" w:color="auto" w:fill="FFFFFF"/>
        </w:rPr>
        <w:t>”</w:t>
      </w:r>
      <w:r w:rsidR="00257E20">
        <w:rPr>
          <w:rFonts w:ascii="Courier New" w:hAnsi="Courier New" w:cs="Courier New"/>
          <w:color w:val="333333"/>
          <w:shd w:val="clear" w:color="auto" w:fill="FFFFFF"/>
        </w:rPr>
        <w:t xml:space="preserve"> </w:t>
      </w:r>
      <w:r>
        <w:rPr>
          <w:rFonts w:ascii="Courier New" w:hAnsi="Courier New" w:cs="Courier New"/>
          <w:color w:val="333333"/>
          <w:shd w:val="clear" w:color="auto" w:fill="FFFFFF"/>
        </w:rPr>
        <w:t>reflects the Legislature</w:t>
      </w:r>
      <w:r w:rsidR="004676F2">
        <w:rPr>
          <w:rFonts w:ascii="Courier New" w:hAnsi="Courier New" w:cs="Courier New"/>
          <w:color w:val="333333"/>
          <w:shd w:val="clear" w:color="auto" w:fill="FFFFFF"/>
        </w:rPr>
        <w:t>’</w:t>
      </w:r>
      <w:r>
        <w:rPr>
          <w:rFonts w:ascii="Courier New" w:hAnsi="Courier New" w:cs="Courier New"/>
          <w:color w:val="333333"/>
          <w:shd w:val="clear" w:color="auto" w:fill="FFFFFF"/>
        </w:rPr>
        <w:t xml:space="preserve">s intent to </w:t>
      </w:r>
      <w:r>
        <w:rPr>
          <w:rFonts w:ascii="Courier New" w:hAnsi="Courier New" w:cs="Courier New"/>
        </w:rPr>
        <w:t xml:space="preserve">create uniform sales tax treatment for sales of standardized software, regardless of the method </w:t>
      </w:r>
      <w:r w:rsidR="004676F2">
        <w:rPr>
          <w:rFonts w:ascii="Courier New" w:hAnsi="Courier New" w:cs="Courier New"/>
        </w:rPr>
        <w:t>of sale</w:t>
      </w:r>
      <w:r>
        <w:rPr>
          <w:rFonts w:ascii="Courier New" w:hAnsi="Courier New" w:cs="Courier New"/>
        </w:rPr>
        <w:t xml:space="preserve">. </w:t>
      </w:r>
      <w:proofErr w:type="gramStart"/>
      <w:r w:rsidR="00257E20">
        <w:rPr>
          <w:rFonts w:ascii="Courier New" w:hAnsi="Courier New" w:cs="Courier New"/>
          <w:color w:val="373739"/>
        </w:rPr>
        <w:t>G.</w:t>
      </w:r>
      <w:r w:rsidR="00257E20" w:rsidRPr="00911F4D">
        <w:rPr>
          <w:rFonts w:ascii="Courier New" w:hAnsi="Courier New" w:cs="Courier New"/>
          <w:color w:val="373739"/>
        </w:rPr>
        <w:t>L</w:t>
      </w:r>
      <w:r w:rsidR="00257E20">
        <w:rPr>
          <w:rFonts w:ascii="Courier New" w:hAnsi="Courier New" w:cs="Courier New"/>
          <w:color w:val="373739"/>
        </w:rPr>
        <w:t>.</w:t>
      </w:r>
      <w:r w:rsidR="00257E20" w:rsidRPr="00911F4D">
        <w:rPr>
          <w:rFonts w:ascii="Courier New" w:hAnsi="Courier New" w:cs="Courier New"/>
          <w:color w:val="373739"/>
        </w:rPr>
        <w:t xml:space="preserve"> c. 6</w:t>
      </w:r>
      <w:r w:rsidR="00257E20">
        <w:rPr>
          <w:rFonts w:ascii="Courier New" w:hAnsi="Courier New" w:cs="Courier New"/>
          <w:color w:val="373739"/>
        </w:rPr>
        <w:t>4H, § 1.</w:t>
      </w:r>
      <w:proofErr w:type="gramEnd"/>
      <w:r w:rsidR="007863C3">
        <w:rPr>
          <w:rFonts w:ascii="Courier New" w:hAnsi="Courier New" w:cs="Courier New"/>
          <w:color w:val="373739"/>
        </w:rPr>
        <w:t xml:space="preserve"> </w:t>
      </w:r>
      <w:r>
        <w:rPr>
          <w:rFonts w:ascii="Courier New" w:hAnsi="Courier New" w:cs="Courier New"/>
          <w:color w:val="373739"/>
        </w:rPr>
        <w:t xml:space="preserve">The </w:t>
      </w:r>
      <w:r w:rsidR="004676F2">
        <w:rPr>
          <w:rFonts w:ascii="Courier New" w:hAnsi="Courier New" w:cs="Courier New"/>
          <w:color w:val="373739"/>
        </w:rPr>
        <w:t xml:space="preserve">definitional </w:t>
      </w:r>
      <w:r>
        <w:rPr>
          <w:rFonts w:ascii="Courier New" w:hAnsi="Courier New" w:cs="Courier New"/>
          <w:color w:val="373739"/>
        </w:rPr>
        <w:t xml:space="preserve">change is </w:t>
      </w:r>
      <w:r w:rsidR="004676F2">
        <w:rPr>
          <w:rFonts w:ascii="Courier New" w:hAnsi="Courier New" w:cs="Courier New"/>
          <w:color w:val="373739"/>
        </w:rPr>
        <w:t xml:space="preserve">facially </w:t>
      </w:r>
      <w:r>
        <w:rPr>
          <w:rFonts w:ascii="Courier New" w:hAnsi="Courier New" w:cs="Courier New"/>
          <w:color w:val="373739"/>
        </w:rPr>
        <w:t xml:space="preserve">broad in scope and </w:t>
      </w:r>
      <w:r w:rsidR="004676F2">
        <w:rPr>
          <w:rFonts w:ascii="Courier New" w:hAnsi="Courier New" w:cs="Courier New"/>
          <w:color w:val="373739"/>
        </w:rPr>
        <w:t xml:space="preserve">not only specifies various </w:t>
      </w:r>
      <w:r w:rsidR="001A6E81">
        <w:rPr>
          <w:rFonts w:ascii="Courier New" w:hAnsi="Courier New" w:cs="Courier New"/>
          <w:color w:val="373739"/>
        </w:rPr>
        <w:t>types</w:t>
      </w:r>
      <w:r w:rsidR="004676F2">
        <w:rPr>
          <w:rFonts w:ascii="Courier New" w:hAnsi="Courier New" w:cs="Courier New"/>
          <w:color w:val="373739"/>
        </w:rPr>
        <w:t xml:space="preserve"> of transfer</w:t>
      </w:r>
      <w:r w:rsidR="00494FBB">
        <w:rPr>
          <w:rFonts w:ascii="Courier New" w:hAnsi="Courier New" w:cs="Courier New"/>
          <w:color w:val="373739"/>
        </w:rPr>
        <w:t>s</w:t>
      </w:r>
      <w:r w:rsidR="004676F2">
        <w:rPr>
          <w:rFonts w:ascii="Courier New" w:hAnsi="Courier New" w:cs="Courier New"/>
          <w:color w:val="373739"/>
        </w:rPr>
        <w:t xml:space="preserve"> to which it applies but, by incorporating the words “including but not limited to,” anticipates others</w:t>
      </w:r>
      <w:r w:rsidR="00D040C8">
        <w:rPr>
          <w:rFonts w:ascii="Courier New" w:hAnsi="Courier New" w:cs="Courier New"/>
          <w:color w:val="373739"/>
        </w:rPr>
        <w:t xml:space="preserve">. The Commissioner construed this expansive statutory language to include </w:t>
      </w:r>
      <w:r w:rsidR="00D040C8" w:rsidRPr="00D040C8">
        <w:rPr>
          <w:rFonts w:ascii="Courier New" w:hAnsi="Courier New" w:cs="Courier New"/>
          <w:color w:val="373739"/>
        </w:rPr>
        <w:t>“</w:t>
      </w:r>
      <w:r w:rsidR="00D040C8" w:rsidRPr="00D040C8">
        <w:rPr>
          <w:rFonts w:ascii="Courier New" w:hAnsi="Courier New" w:cs="Courier New"/>
        </w:rPr>
        <w:t>transfers of rights to use software installed on a remote server</w:t>
      </w:r>
      <w:r w:rsidR="00D040C8" w:rsidRPr="00D040C8">
        <w:rPr>
          <w:rFonts w:ascii="Courier New" w:hAnsi="Courier New" w:cs="Courier New"/>
          <w:color w:val="373739"/>
        </w:rPr>
        <w:t>.”</w:t>
      </w:r>
      <w:r w:rsidR="00D040C8">
        <w:rPr>
          <w:rFonts w:ascii="Courier New" w:hAnsi="Courier New" w:cs="Courier New"/>
          <w:color w:val="373739"/>
        </w:rPr>
        <w:t xml:space="preserve"> </w:t>
      </w:r>
      <w:r w:rsidR="00D040C8">
        <w:rPr>
          <w:rFonts w:ascii="Courier New" w:hAnsi="Courier New" w:cs="Courier New"/>
          <w:color w:val="333333"/>
          <w:shd w:val="clear" w:color="auto" w:fill="FFFFFF"/>
        </w:rPr>
        <w:t>830</w:t>
      </w:r>
      <w:r w:rsidR="00135A23">
        <w:rPr>
          <w:rFonts w:ascii="Courier New" w:hAnsi="Courier New" w:cs="Courier New"/>
          <w:color w:val="333333"/>
          <w:shd w:val="clear" w:color="auto" w:fill="FFFFFF"/>
        </w:rPr>
        <w:t> </w:t>
      </w:r>
      <w:r w:rsidR="00D040C8">
        <w:rPr>
          <w:rFonts w:ascii="Courier New" w:hAnsi="Courier New" w:cs="Courier New"/>
          <w:color w:val="333333"/>
          <w:shd w:val="clear" w:color="auto" w:fill="FFFFFF"/>
        </w:rPr>
        <w:t xml:space="preserve">CMR </w:t>
      </w:r>
      <w:proofErr w:type="gramStart"/>
      <w:r w:rsidR="00D040C8">
        <w:rPr>
          <w:rFonts w:ascii="Courier New" w:hAnsi="Courier New" w:cs="Courier New"/>
          <w:color w:val="333333"/>
          <w:shd w:val="clear" w:color="auto" w:fill="FFFFFF"/>
        </w:rPr>
        <w:t>64H.1.3(</w:t>
      </w:r>
      <w:proofErr w:type="gramEnd"/>
      <w:r w:rsidR="00D040C8">
        <w:rPr>
          <w:rFonts w:ascii="Courier New" w:hAnsi="Courier New" w:cs="Courier New"/>
          <w:color w:val="333333"/>
          <w:shd w:val="clear" w:color="auto" w:fill="FFFFFF"/>
        </w:rPr>
        <w:t>3)</w:t>
      </w:r>
      <w:r w:rsidR="001A6E81">
        <w:rPr>
          <w:rFonts w:ascii="Courier New" w:hAnsi="Courier New" w:cs="Courier New"/>
          <w:color w:val="333333"/>
          <w:shd w:val="clear" w:color="auto" w:fill="FFFFFF"/>
        </w:rPr>
        <w:t>, a definition that clearly applies to</w:t>
      </w:r>
      <w:r w:rsidR="00D341B5">
        <w:rPr>
          <w:rFonts w:ascii="Courier New" w:hAnsi="Courier New" w:cs="Courier New"/>
          <w:color w:val="333333"/>
          <w:shd w:val="clear" w:color="auto" w:fill="FFFFFF"/>
        </w:rPr>
        <w:t xml:space="preserve"> the transactions at issue in these appeals.</w:t>
      </w:r>
      <w:r w:rsidR="00D040C8">
        <w:rPr>
          <w:rFonts w:ascii="Courier New" w:hAnsi="Courier New" w:cs="Courier New"/>
          <w:color w:val="373739"/>
        </w:rPr>
        <w:t xml:space="preserve"> </w:t>
      </w:r>
      <w:r w:rsidR="00D341B5">
        <w:rPr>
          <w:rFonts w:ascii="Courier New" w:hAnsi="Courier New" w:cs="Courier New"/>
          <w:color w:val="373739"/>
        </w:rPr>
        <w:t>The Commissioner’s</w:t>
      </w:r>
      <w:r w:rsidR="002A1394">
        <w:rPr>
          <w:rFonts w:ascii="Courier New" w:hAnsi="Courier New" w:cs="Courier New"/>
          <w:color w:val="373739"/>
        </w:rPr>
        <w:t xml:space="preserve"> construction is </w:t>
      </w:r>
      <w:r w:rsidR="00AB5353">
        <w:rPr>
          <w:rFonts w:ascii="Courier New" w:hAnsi="Courier New" w:cs="Courier New"/>
          <w:color w:val="373739"/>
        </w:rPr>
        <w:t xml:space="preserve">wholly </w:t>
      </w:r>
      <w:r w:rsidR="002A1394">
        <w:rPr>
          <w:rFonts w:ascii="Courier New" w:hAnsi="Courier New" w:cs="Courier New"/>
          <w:color w:val="373739"/>
        </w:rPr>
        <w:t xml:space="preserve">consistent with the plain terms of the statute. </w:t>
      </w:r>
      <w:r w:rsidR="00AB5353">
        <w:rPr>
          <w:rFonts w:ascii="Courier New" w:hAnsi="Courier New" w:cs="Courier New"/>
          <w:color w:val="373739"/>
        </w:rPr>
        <w:t>Consequently,</w:t>
      </w:r>
      <w:r w:rsidR="002A1394">
        <w:rPr>
          <w:rFonts w:ascii="Courier New" w:hAnsi="Courier New" w:cs="Courier New"/>
          <w:color w:val="373739"/>
        </w:rPr>
        <w:t xml:space="preserve"> any argument that the </w:t>
      </w:r>
      <w:r w:rsidR="006F62CE">
        <w:rPr>
          <w:rFonts w:ascii="Courier New" w:hAnsi="Courier New" w:cs="Courier New"/>
          <w:color w:val="373739"/>
        </w:rPr>
        <w:t>Regulation</w:t>
      </w:r>
      <w:r w:rsidR="002A1394">
        <w:rPr>
          <w:rFonts w:ascii="Courier New" w:hAnsi="Courier New" w:cs="Courier New"/>
          <w:color w:val="373739"/>
        </w:rPr>
        <w:t xml:space="preserve"> “</w:t>
      </w:r>
      <w:r w:rsidR="002A1394">
        <w:rPr>
          <w:rFonts w:ascii="Courier New" w:hAnsi="Courier New" w:cs="Courier New"/>
          <w:color w:val="333333"/>
          <w:shd w:val="clear" w:color="auto" w:fill="FFFFFF"/>
        </w:rPr>
        <w:t>cannot by any reasonable construction be interpreted in harmony with the legislative mandate” must fail.</w:t>
      </w:r>
      <w:r w:rsidR="004676F2">
        <w:rPr>
          <w:rFonts w:ascii="Courier New" w:hAnsi="Courier New" w:cs="Courier New"/>
          <w:color w:val="373739"/>
        </w:rPr>
        <w:t xml:space="preserve"> </w:t>
      </w:r>
      <w:proofErr w:type="spellStart"/>
      <w:r w:rsidR="00AB5353" w:rsidRPr="008732F8">
        <w:rPr>
          <w:rFonts w:ascii="Courier New" w:hAnsi="Courier New" w:cs="Courier New"/>
          <w:b/>
          <w:i/>
          <w:color w:val="333333"/>
          <w:shd w:val="clear" w:color="auto" w:fill="FFFFFF"/>
        </w:rPr>
        <w:t>Expedito</w:t>
      </w:r>
      <w:proofErr w:type="spellEnd"/>
      <w:r w:rsidR="00AB5353" w:rsidRPr="008732F8">
        <w:rPr>
          <w:rFonts w:ascii="Courier New" w:hAnsi="Courier New" w:cs="Courier New"/>
          <w:b/>
          <w:i/>
          <w:color w:val="333333"/>
          <w:shd w:val="clear" w:color="auto" w:fill="FFFFFF"/>
        </w:rPr>
        <w:t xml:space="preserve"> Duarte</w:t>
      </w:r>
      <w:r w:rsidR="00AB5353">
        <w:rPr>
          <w:rFonts w:ascii="Courier New" w:hAnsi="Courier New" w:cs="Courier New"/>
          <w:color w:val="333333"/>
          <w:shd w:val="clear" w:color="auto" w:fill="FFFFFF"/>
        </w:rPr>
        <w:t xml:space="preserve">, 451 Mass. at 408. </w:t>
      </w:r>
      <w:r w:rsidR="004676F2">
        <w:rPr>
          <w:rFonts w:ascii="Courier New" w:hAnsi="Courier New" w:cs="Courier New"/>
          <w:color w:val="373739"/>
        </w:rPr>
        <w:t xml:space="preserve">  </w:t>
      </w:r>
      <w:r>
        <w:rPr>
          <w:rFonts w:ascii="Courier New" w:hAnsi="Courier New" w:cs="Courier New"/>
          <w:color w:val="373739"/>
        </w:rPr>
        <w:t xml:space="preserve"> </w:t>
      </w:r>
      <w:r w:rsidR="007863C3">
        <w:rPr>
          <w:rFonts w:ascii="Courier New" w:hAnsi="Courier New" w:cs="Courier New"/>
          <w:color w:val="373739"/>
        </w:rPr>
        <w:t xml:space="preserve"> </w:t>
      </w:r>
    </w:p>
    <w:p w14:paraId="440AC4AA" w14:textId="09E558AB" w:rsidR="005E52BC" w:rsidRDefault="00CA76B7" w:rsidP="00D025F7">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 xml:space="preserve">Citrix </w:t>
      </w:r>
      <w:r w:rsidR="00BF485A">
        <w:rPr>
          <w:rFonts w:ascii="Courier New" w:hAnsi="Courier New" w:cs="Courier New"/>
          <w:color w:val="333333"/>
          <w:shd w:val="clear" w:color="auto" w:fill="FFFFFF"/>
        </w:rPr>
        <w:t>also</w:t>
      </w:r>
      <w:r>
        <w:rPr>
          <w:rFonts w:ascii="Courier New" w:hAnsi="Courier New" w:cs="Courier New"/>
          <w:color w:val="333333"/>
          <w:shd w:val="clear" w:color="auto" w:fill="FFFFFF"/>
        </w:rPr>
        <w:t xml:space="preserve"> argue</w:t>
      </w:r>
      <w:r w:rsidR="00BF485A">
        <w:rPr>
          <w:rFonts w:ascii="Courier New" w:hAnsi="Courier New" w:cs="Courier New"/>
          <w:color w:val="333333"/>
          <w:shd w:val="clear" w:color="auto" w:fill="FFFFFF"/>
        </w:rPr>
        <w:t>d</w:t>
      </w:r>
      <w:r>
        <w:rPr>
          <w:rFonts w:ascii="Courier New" w:hAnsi="Courier New" w:cs="Courier New"/>
          <w:color w:val="333333"/>
          <w:shd w:val="clear" w:color="auto" w:fill="FFFFFF"/>
        </w:rPr>
        <w:t xml:space="preserve"> that</w:t>
      </w:r>
      <w:r w:rsidR="00D040C8">
        <w:rPr>
          <w:rFonts w:ascii="Courier New" w:hAnsi="Courier New" w:cs="Courier New"/>
          <w:color w:val="333333"/>
          <w:shd w:val="clear" w:color="auto" w:fill="FFFFFF"/>
        </w:rPr>
        <w:t xml:space="preserve"> its sale</w:t>
      </w:r>
      <w:r w:rsidR="00EC57BF">
        <w:rPr>
          <w:rFonts w:ascii="Courier New" w:hAnsi="Courier New" w:cs="Courier New"/>
          <w:color w:val="333333"/>
          <w:shd w:val="clear" w:color="auto" w:fill="FFFFFF"/>
        </w:rPr>
        <w:t>s</w:t>
      </w:r>
      <w:r w:rsidR="00D040C8">
        <w:rPr>
          <w:rFonts w:ascii="Courier New" w:hAnsi="Courier New" w:cs="Courier New"/>
          <w:color w:val="333333"/>
          <w:shd w:val="clear" w:color="auto" w:fill="FFFFFF"/>
        </w:rPr>
        <w:t xml:space="preserve"> of </w:t>
      </w:r>
      <w:r w:rsidR="00BF485A">
        <w:rPr>
          <w:rFonts w:ascii="Courier New" w:hAnsi="Courier New" w:cs="Courier New"/>
          <w:color w:val="333333"/>
          <w:shd w:val="clear" w:color="auto" w:fill="FFFFFF"/>
        </w:rPr>
        <w:t xml:space="preserve">the Online Products constitute </w:t>
      </w:r>
      <w:r w:rsidR="00EC57BF">
        <w:rPr>
          <w:rFonts w:ascii="Courier New" w:hAnsi="Courier New" w:cs="Courier New"/>
          <w:color w:val="333333"/>
          <w:shd w:val="clear" w:color="auto" w:fill="FFFFFF"/>
        </w:rPr>
        <w:t>sale</w:t>
      </w:r>
      <w:r w:rsidR="00D341B5">
        <w:rPr>
          <w:rFonts w:ascii="Courier New" w:hAnsi="Courier New" w:cs="Courier New"/>
          <w:color w:val="333333"/>
          <w:shd w:val="clear" w:color="auto" w:fill="FFFFFF"/>
        </w:rPr>
        <w:t>s</w:t>
      </w:r>
      <w:r w:rsidR="00D040C8">
        <w:rPr>
          <w:rFonts w:ascii="Courier New" w:hAnsi="Courier New" w:cs="Courier New"/>
          <w:color w:val="333333"/>
          <w:shd w:val="clear" w:color="auto" w:fill="FFFFFF"/>
        </w:rPr>
        <w:t xml:space="preserve"> of </w:t>
      </w:r>
      <w:r w:rsidR="00BF485A">
        <w:rPr>
          <w:rFonts w:ascii="Courier New" w:hAnsi="Courier New" w:cs="Courier New"/>
          <w:color w:val="333333"/>
          <w:shd w:val="clear" w:color="auto" w:fill="FFFFFF"/>
        </w:rPr>
        <w:t>service</w:t>
      </w:r>
      <w:r w:rsidR="00D341B5">
        <w:rPr>
          <w:rFonts w:ascii="Courier New" w:hAnsi="Courier New" w:cs="Courier New"/>
          <w:color w:val="333333"/>
          <w:shd w:val="clear" w:color="auto" w:fill="FFFFFF"/>
        </w:rPr>
        <w:t>s</w:t>
      </w:r>
      <w:r w:rsidR="00BF485A">
        <w:rPr>
          <w:rFonts w:ascii="Courier New" w:hAnsi="Courier New" w:cs="Courier New"/>
          <w:color w:val="333333"/>
          <w:shd w:val="clear" w:color="auto" w:fill="FFFFFF"/>
        </w:rPr>
        <w:t xml:space="preserve"> and not </w:t>
      </w:r>
      <w:r w:rsidR="006C0FE4">
        <w:rPr>
          <w:rFonts w:ascii="Courier New" w:hAnsi="Courier New" w:cs="Courier New"/>
          <w:color w:val="333333"/>
          <w:shd w:val="clear" w:color="auto" w:fill="FFFFFF"/>
        </w:rPr>
        <w:t xml:space="preserve">of </w:t>
      </w:r>
      <w:r w:rsidR="00BF485A">
        <w:rPr>
          <w:rFonts w:ascii="Courier New" w:hAnsi="Courier New" w:cs="Courier New"/>
          <w:color w:val="333333"/>
          <w:shd w:val="clear" w:color="auto" w:fill="FFFFFF"/>
        </w:rPr>
        <w:t xml:space="preserve">tangible personal property. </w:t>
      </w:r>
      <w:r w:rsidR="00D025F7">
        <w:rPr>
          <w:rFonts w:ascii="Courier New" w:hAnsi="Courier New" w:cs="Courier New"/>
          <w:color w:val="333333"/>
          <w:shd w:val="clear" w:color="auto" w:fill="FFFFFF"/>
        </w:rPr>
        <w:t>In support of its argument, Citrix points to several facts, including that:</w:t>
      </w:r>
      <w:r w:rsidR="00C541E5">
        <w:rPr>
          <w:rFonts w:ascii="Courier New" w:hAnsi="Courier New" w:cs="Courier New"/>
          <w:color w:val="333333"/>
          <w:shd w:val="clear" w:color="auto" w:fill="FFFFFF"/>
        </w:rPr>
        <w:t xml:space="preserve"> </w:t>
      </w:r>
      <w:r w:rsidR="009E5BF1">
        <w:rPr>
          <w:rFonts w:ascii="Courier New" w:hAnsi="Courier New" w:cs="Courier New"/>
          <w:color w:val="333333"/>
          <w:shd w:val="clear" w:color="auto" w:fill="FFFFFF"/>
        </w:rPr>
        <w:t>the S</w:t>
      </w:r>
      <w:r w:rsidR="005E52BC">
        <w:rPr>
          <w:rFonts w:ascii="Courier New" w:hAnsi="Courier New" w:cs="Courier New"/>
          <w:color w:val="333333"/>
          <w:shd w:val="clear" w:color="auto" w:fill="FFFFFF"/>
        </w:rPr>
        <w:t>ale</w:t>
      </w:r>
      <w:r w:rsidR="00D341B5">
        <w:rPr>
          <w:rFonts w:ascii="Courier New" w:hAnsi="Courier New" w:cs="Courier New"/>
          <w:color w:val="333333"/>
          <w:shd w:val="clear" w:color="auto" w:fill="FFFFFF"/>
        </w:rPr>
        <w:t>s</w:t>
      </w:r>
      <w:r w:rsidR="005E52BC">
        <w:rPr>
          <w:rFonts w:ascii="Courier New" w:hAnsi="Courier New" w:cs="Courier New"/>
          <w:color w:val="333333"/>
          <w:shd w:val="clear" w:color="auto" w:fill="FFFFFF"/>
        </w:rPr>
        <w:t xml:space="preserve"> </w:t>
      </w:r>
      <w:r w:rsidR="009E5BF1">
        <w:rPr>
          <w:rFonts w:ascii="Courier New" w:hAnsi="Courier New" w:cs="Courier New"/>
          <w:color w:val="333333"/>
          <w:shd w:val="clear" w:color="auto" w:fill="FFFFFF"/>
        </w:rPr>
        <w:t>A</w:t>
      </w:r>
      <w:r w:rsidR="00C541E5">
        <w:rPr>
          <w:rFonts w:ascii="Courier New" w:hAnsi="Courier New" w:cs="Courier New"/>
          <w:color w:val="333333"/>
          <w:shd w:val="clear" w:color="auto" w:fill="FFFFFF"/>
        </w:rPr>
        <w:t xml:space="preserve">greements consistently refer to the Online Products as services, as do </w:t>
      </w:r>
      <w:r w:rsidR="00D341B5">
        <w:rPr>
          <w:rFonts w:ascii="Courier New" w:hAnsi="Courier New" w:cs="Courier New"/>
          <w:color w:val="333333"/>
          <w:shd w:val="clear" w:color="auto" w:fill="FFFFFF"/>
        </w:rPr>
        <w:t>Citrix’s</w:t>
      </w:r>
      <w:r w:rsidR="005E52BC">
        <w:rPr>
          <w:rFonts w:ascii="Courier New" w:hAnsi="Courier New" w:cs="Courier New"/>
          <w:color w:val="333333"/>
          <w:shd w:val="clear" w:color="auto" w:fill="FFFFFF"/>
        </w:rPr>
        <w:t xml:space="preserve"> marketing documents and </w:t>
      </w:r>
      <w:r w:rsidR="00C541E5">
        <w:rPr>
          <w:rFonts w:ascii="Courier New" w:hAnsi="Courier New" w:cs="Courier New"/>
          <w:color w:val="333333"/>
          <w:shd w:val="clear" w:color="auto" w:fill="FFFFFF"/>
        </w:rPr>
        <w:t xml:space="preserve">filings </w:t>
      </w:r>
      <w:r w:rsidR="00D341B5">
        <w:rPr>
          <w:rFonts w:ascii="Courier New" w:hAnsi="Courier New" w:cs="Courier New"/>
          <w:color w:val="333333"/>
          <w:shd w:val="clear" w:color="auto" w:fill="FFFFFF"/>
        </w:rPr>
        <w:lastRenderedPageBreak/>
        <w:t>w</w:t>
      </w:r>
      <w:r w:rsidR="00C541E5">
        <w:rPr>
          <w:rFonts w:ascii="Courier New" w:hAnsi="Courier New" w:cs="Courier New"/>
          <w:color w:val="333333"/>
          <w:shd w:val="clear" w:color="auto" w:fill="FFFFFF"/>
        </w:rPr>
        <w:t>ith the Securities and Exc</w:t>
      </w:r>
      <w:r w:rsidR="00791B0E">
        <w:rPr>
          <w:rFonts w:ascii="Courier New" w:hAnsi="Courier New" w:cs="Courier New"/>
          <w:color w:val="333333"/>
          <w:shd w:val="clear" w:color="auto" w:fill="FFFFFF"/>
        </w:rPr>
        <w:t>h</w:t>
      </w:r>
      <w:r w:rsidR="00C541E5">
        <w:rPr>
          <w:rFonts w:ascii="Courier New" w:hAnsi="Courier New" w:cs="Courier New"/>
          <w:color w:val="333333"/>
          <w:shd w:val="clear" w:color="auto" w:fill="FFFFFF"/>
        </w:rPr>
        <w:t>ange Commission</w:t>
      </w:r>
      <w:r w:rsidR="00D025F7">
        <w:rPr>
          <w:rFonts w:ascii="Courier New" w:hAnsi="Courier New" w:cs="Courier New"/>
          <w:color w:val="333333"/>
          <w:shd w:val="clear" w:color="auto" w:fill="FFFFFF"/>
        </w:rPr>
        <w:t>;</w:t>
      </w:r>
      <w:r w:rsidR="005E52BC">
        <w:rPr>
          <w:rFonts w:ascii="Courier New" w:hAnsi="Courier New" w:cs="Courier New"/>
          <w:color w:val="333333"/>
          <w:shd w:val="clear" w:color="auto" w:fill="FFFFFF"/>
        </w:rPr>
        <w:t xml:space="preserve"> </w:t>
      </w:r>
      <w:r w:rsidR="00D040C8">
        <w:rPr>
          <w:rFonts w:ascii="Courier New" w:hAnsi="Courier New" w:cs="Courier New"/>
          <w:color w:val="333333"/>
          <w:shd w:val="clear" w:color="auto" w:fill="FFFFFF"/>
        </w:rPr>
        <w:t xml:space="preserve">and </w:t>
      </w:r>
      <w:r w:rsidR="005E52BC">
        <w:rPr>
          <w:rFonts w:ascii="Courier New" w:hAnsi="Courier New" w:cs="Courier New"/>
          <w:color w:val="333333"/>
          <w:shd w:val="clear" w:color="auto" w:fill="FFFFFF"/>
        </w:rPr>
        <w:t xml:space="preserve">the network hardware and </w:t>
      </w:r>
      <w:r w:rsidR="00350DB5">
        <w:rPr>
          <w:rFonts w:ascii="Courier New" w:hAnsi="Courier New" w:cs="Courier New"/>
          <w:color w:val="333333"/>
          <w:shd w:val="clear" w:color="auto" w:fill="FFFFFF"/>
        </w:rPr>
        <w:t xml:space="preserve">server </w:t>
      </w:r>
      <w:r w:rsidR="005E52BC">
        <w:rPr>
          <w:rFonts w:ascii="Courier New" w:hAnsi="Courier New" w:cs="Courier New"/>
          <w:color w:val="333333"/>
          <w:shd w:val="clear" w:color="auto" w:fill="FFFFFF"/>
        </w:rPr>
        <w:t>software systems</w:t>
      </w:r>
      <w:r w:rsidR="009E5BF1">
        <w:rPr>
          <w:rFonts w:ascii="Courier New" w:hAnsi="Courier New" w:cs="Courier New"/>
          <w:color w:val="333333"/>
          <w:shd w:val="clear" w:color="auto" w:fill="FFFFFF"/>
        </w:rPr>
        <w:t xml:space="preserve"> that function together to provide the Online Products </w:t>
      </w:r>
      <w:r w:rsidR="00350DB5">
        <w:rPr>
          <w:rFonts w:ascii="Courier New" w:hAnsi="Courier New" w:cs="Courier New"/>
          <w:color w:val="333333"/>
          <w:shd w:val="clear" w:color="auto" w:fill="FFFFFF"/>
        </w:rPr>
        <w:t xml:space="preserve">do not operate </w:t>
      </w:r>
      <w:r w:rsidR="005E52BC">
        <w:rPr>
          <w:rFonts w:ascii="Courier New" w:hAnsi="Courier New" w:cs="Courier New"/>
          <w:color w:val="333333"/>
          <w:shd w:val="clear" w:color="auto" w:fill="FFFFFF"/>
        </w:rPr>
        <w:t>automatic</w:t>
      </w:r>
      <w:r w:rsidR="00350DB5">
        <w:rPr>
          <w:rFonts w:ascii="Courier New" w:hAnsi="Courier New" w:cs="Courier New"/>
          <w:color w:val="333333"/>
          <w:shd w:val="clear" w:color="auto" w:fill="FFFFFF"/>
        </w:rPr>
        <w:t>ally</w:t>
      </w:r>
      <w:r w:rsidR="005E52BC">
        <w:rPr>
          <w:rFonts w:ascii="Courier New" w:hAnsi="Courier New" w:cs="Courier New"/>
          <w:color w:val="333333"/>
          <w:shd w:val="clear" w:color="auto" w:fill="FFFFFF"/>
        </w:rPr>
        <w:t xml:space="preserve">, </w:t>
      </w:r>
      <w:r w:rsidR="00350DB5">
        <w:rPr>
          <w:rFonts w:ascii="Courier New" w:hAnsi="Courier New" w:cs="Courier New"/>
          <w:color w:val="333333"/>
          <w:shd w:val="clear" w:color="auto" w:fill="FFFFFF"/>
        </w:rPr>
        <w:t xml:space="preserve">but </w:t>
      </w:r>
      <w:r w:rsidR="005E52BC">
        <w:rPr>
          <w:rFonts w:ascii="Courier New" w:hAnsi="Courier New" w:cs="Courier New"/>
          <w:color w:val="333333"/>
          <w:shd w:val="clear" w:color="auto" w:fill="FFFFFF"/>
        </w:rPr>
        <w:t>requir</w:t>
      </w:r>
      <w:r w:rsidR="00350DB5">
        <w:rPr>
          <w:rFonts w:ascii="Courier New" w:hAnsi="Courier New" w:cs="Courier New"/>
          <w:color w:val="333333"/>
          <w:shd w:val="clear" w:color="auto" w:fill="FFFFFF"/>
        </w:rPr>
        <w:t>e</w:t>
      </w:r>
      <w:r w:rsidR="005E52BC">
        <w:rPr>
          <w:rFonts w:ascii="Courier New" w:hAnsi="Courier New" w:cs="Courier New"/>
          <w:color w:val="333333"/>
          <w:shd w:val="clear" w:color="auto" w:fill="FFFFFF"/>
        </w:rPr>
        <w:t xml:space="preserve"> numerous employees to operate and maintain the system</w:t>
      </w:r>
      <w:r w:rsidR="00350DB5">
        <w:rPr>
          <w:rFonts w:ascii="Courier New" w:hAnsi="Courier New" w:cs="Courier New"/>
          <w:color w:val="333333"/>
          <w:shd w:val="clear" w:color="auto" w:fill="FFFFFF"/>
        </w:rPr>
        <w:t>s</w:t>
      </w:r>
      <w:r w:rsidR="00D040C8">
        <w:rPr>
          <w:rFonts w:ascii="Courier New" w:hAnsi="Courier New" w:cs="Courier New"/>
          <w:color w:val="333333"/>
          <w:shd w:val="clear" w:color="auto" w:fill="FFFFFF"/>
        </w:rPr>
        <w:t xml:space="preserve">. Citrix </w:t>
      </w:r>
      <w:r w:rsidR="009E5BF1">
        <w:rPr>
          <w:rFonts w:ascii="Courier New" w:hAnsi="Courier New" w:cs="Courier New"/>
          <w:color w:val="333333"/>
          <w:shd w:val="clear" w:color="auto" w:fill="FFFFFF"/>
        </w:rPr>
        <w:t xml:space="preserve">also </w:t>
      </w:r>
      <w:r w:rsidR="00D040C8">
        <w:rPr>
          <w:rFonts w:ascii="Courier New" w:hAnsi="Courier New" w:cs="Courier New"/>
          <w:color w:val="333333"/>
          <w:shd w:val="clear" w:color="auto" w:fill="FFFFFF"/>
        </w:rPr>
        <w:t xml:space="preserve">places particular emphasis </w:t>
      </w:r>
      <w:r w:rsidR="009E5BF1">
        <w:rPr>
          <w:rFonts w:ascii="Courier New" w:hAnsi="Courier New" w:cs="Courier New"/>
          <w:color w:val="333333"/>
          <w:shd w:val="clear" w:color="auto" w:fill="FFFFFF"/>
        </w:rPr>
        <w:t xml:space="preserve">on </w:t>
      </w:r>
      <w:r w:rsidR="005E52BC">
        <w:rPr>
          <w:rFonts w:ascii="Courier New" w:hAnsi="Courier New" w:cs="Courier New"/>
          <w:color w:val="333333"/>
          <w:shd w:val="clear" w:color="auto" w:fill="FFFFFF"/>
        </w:rPr>
        <w:t xml:space="preserve">Mr. </w:t>
      </w:r>
      <w:proofErr w:type="spellStart"/>
      <w:r w:rsidR="005E52BC">
        <w:rPr>
          <w:rFonts w:ascii="Courier New" w:hAnsi="Courier New" w:cs="Courier New"/>
          <w:color w:val="333333"/>
          <w:shd w:val="clear" w:color="auto" w:fill="FFFFFF"/>
        </w:rPr>
        <w:t>Kanwar’s</w:t>
      </w:r>
      <w:proofErr w:type="spellEnd"/>
      <w:r w:rsidR="005E52BC">
        <w:rPr>
          <w:rFonts w:ascii="Courier New" w:hAnsi="Courier New" w:cs="Courier New"/>
          <w:color w:val="333333"/>
          <w:shd w:val="clear" w:color="auto" w:fill="FFFFFF"/>
        </w:rPr>
        <w:t xml:space="preserve"> </w:t>
      </w:r>
      <w:r w:rsidR="00D040C8">
        <w:rPr>
          <w:rFonts w:ascii="Courier New" w:hAnsi="Courier New" w:cs="Courier New"/>
          <w:color w:val="333333"/>
          <w:shd w:val="clear" w:color="auto" w:fill="FFFFFF"/>
        </w:rPr>
        <w:t>“uncontested” testimony</w:t>
      </w:r>
      <w:r w:rsidR="005E52BC">
        <w:rPr>
          <w:rFonts w:ascii="Courier New" w:hAnsi="Courier New" w:cs="Courier New"/>
          <w:color w:val="333333"/>
          <w:shd w:val="clear" w:color="auto" w:fill="FFFFFF"/>
        </w:rPr>
        <w:t xml:space="preserve"> that Citrix’s customers are “ultimately looking for . . . the ability to connect with other entities</w:t>
      </w:r>
      <w:r w:rsidR="001A6E81">
        <w:rPr>
          <w:rFonts w:ascii="Courier New" w:hAnsi="Courier New" w:cs="Courier New"/>
          <w:color w:val="333333"/>
          <w:shd w:val="clear" w:color="auto" w:fill="FFFFFF"/>
        </w:rPr>
        <w:t>,</w:t>
      </w:r>
      <w:r w:rsidR="005E52BC">
        <w:rPr>
          <w:rFonts w:ascii="Courier New" w:hAnsi="Courier New" w:cs="Courier New"/>
          <w:color w:val="333333"/>
          <w:shd w:val="clear" w:color="auto" w:fill="FFFFFF"/>
        </w:rPr>
        <w:t>”</w:t>
      </w:r>
      <w:r w:rsidR="001A6E81">
        <w:rPr>
          <w:rFonts w:ascii="Courier New" w:hAnsi="Courier New" w:cs="Courier New"/>
          <w:color w:val="333333"/>
          <w:shd w:val="clear" w:color="auto" w:fill="FFFFFF"/>
        </w:rPr>
        <w:t xml:space="preserve"> which reflects his opinion that </w:t>
      </w:r>
      <w:r w:rsidR="00494FBB">
        <w:rPr>
          <w:rFonts w:ascii="Courier New" w:hAnsi="Courier New" w:cs="Courier New"/>
          <w:color w:val="333333"/>
          <w:shd w:val="clear" w:color="auto" w:fill="FFFFFF"/>
        </w:rPr>
        <w:t xml:space="preserve">provision of </w:t>
      </w:r>
      <w:r w:rsidR="001A6E81">
        <w:rPr>
          <w:rFonts w:ascii="Courier New" w:hAnsi="Courier New" w:cs="Courier New"/>
          <w:color w:val="333333"/>
          <w:shd w:val="clear" w:color="auto" w:fill="FFFFFF"/>
        </w:rPr>
        <w:t xml:space="preserve">the Online Products </w:t>
      </w:r>
      <w:r w:rsidR="00494FBB">
        <w:rPr>
          <w:rFonts w:ascii="Courier New" w:hAnsi="Courier New" w:cs="Courier New"/>
          <w:color w:val="333333"/>
          <w:shd w:val="clear" w:color="auto" w:fill="FFFFFF"/>
        </w:rPr>
        <w:t>constitutes</w:t>
      </w:r>
      <w:r w:rsidR="001A6E81">
        <w:rPr>
          <w:rFonts w:ascii="Courier New" w:hAnsi="Courier New" w:cs="Courier New"/>
          <w:color w:val="333333"/>
          <w:shd w:val="clear" w:color="auto" w:fill="FFFFFF"/>
        </w:rPr>
        <w:t xml:space="preserve"> services.</w:t>
      </w:r>
      <w:r w:rsidR="005E52BC">
        <w:rPr>
          <w:rFonts w:ascii="Courier New" w:hAnsi="Courier New" w:cs="Courier New"/>
          <w:color w:val="333333"/>
          <w:shd w:val="clear" w:color="auto" w:fill="FFFFFF"/>
        </w:rPr>
        <w:t xml:space="preserve"> </w:t>
      </w:r>
    </w:p>
    <w:p w14:paraId="1D79EFDA" w14:textId="4E33B6BA" w:rsidR="003D05B2" w:rsidRDefault="00350DB5" w:rsidP="00EC57BF">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color w:val="333333"/>
          <w:shd w:val="clear" w:color="auto" w:fill="FFFFFF"/>
        </w:rPr>
        <w:t xml:space="preserve">Massachusetts </w:t>
      </w:r>
      <w:r w:rsidR="00AD630D">
        <w:rPr>
          <w:rFonts w:ascii="Courier New" w:hAnsi="Courier New" w:cs="Courier New"/>
          <w:color w:val="333333"/>
          <w:shd w:val="clear" w:color="auto" w:fill="FFFFFF"/>
        </w:rPr>
        <w:t xml:space="preserve">sales tax law distinguishes between sales of tangible personal property, which are taxable absent an exemption, and sales of services, which are generally not subject to tax. </w:t>
      </w:r>
      <w:proofErr w:type="gramStart"/>
      <w:r w:rsidR="00AD630D">
        <w:rPr>
          <w:rFonts w:ascii="Courier New" w:hAnsi="Courier New" w:cs="Courier New"/>
          <w:color w:val="333333"/>
          <w:shd w:val="clear" w:color="auto" w:fill="FFFFFF"/>
        </w:rPr>
        <w:t>G.L. c. 64</w:t>
      </w:r>
      <w:r>
        <w:rPr>
          <w:rFonts w:ascii="Courier New" w:hAnsi="Courier New" w:cs="Courier New"/>
          <w:color w:val="333333"/>
          <w:shd w:val="clear" w:color="auto" w:fill="FFFFFF"/>
        </w:rPr>
        <w:t>H</w:t>
      </w:r>
      <w:r w:rsidR="00AD630D">
        <w:rPr>
          <w:rFonts w:ascii="Courier New" w:hAnsi="Courier New" w:cs="Courier New"/>
          <w:color w:val="333333"/>
          <w:shd w:val="clear" w:color="auto" w:fill="FFFFFF"/>
        </w:rPr>
        <w:t>, §§ 1</w:t>
      </w:r>
      <w:r>
        <w:rPr>
          <w:rFonts w:ascii="Courier New" w:hAnsi="Courier New" w:cs="Courier New"/>
          <w:color w:val="333333"/>
          <w:shd w:val="clear" w:color="auto" w:fill="FFFFFF"/>
        </w:rPr>
        <w:t xml:space="preserve"> and </w:t>
      </w:r>
      <w:r w:rsidR="00AD630D">
        <w:rPr>
          <w:rFonts w:ascii="Courier New" w:hAnsi="Courier New" w:cs="Courier New"/>
          <w:color w:val="333333"/>
          <w:shd w:val="clear" w:color="auto" w:fill="FFFFFF"/>
        </w:rPr>
        <w:t>2.</w:t>
      </w:r>
      <w:proofErr w:type="gramEnd"/>
      <w:r w:rsidR="005A71D1">
        <w:rPr>
          <w:rStyle w:val="FootnoteReference"/>
          <w:rFonts w:ascii="Courier New" w:hAnsi="Courier New" w:cs="Courier New"/>
          <w:color w:val="333333"/>
          <w:shd w:val="clear" w:color="auto" w:fill="FFFFFF"/>
        </w:rPr>
        <w:footnoteReference w:id="10"/>
      </w:r>
      <w:r w:rsidR="00AD630D">
        <w:rPr>
          <w:rFonts w:ascii="Courier New" w:hAnsi="Courier New" w:cs="Courier New"/>
          <w:color w:val="333333"/>
          <w:shd w:val="clear" w:color="auto" w:fill="FFFFFF"/>
        </w:rPr>
        <w:t xml:space="preserve"> </w:t>
      </w:r>
      <w:r w:rsidR="003D05B2">
        <w:rPr>
          <w:rFonts w:ascii="Courier New" w:hAnsi="Courier New" w:cs="Courier New"/>
          <w:color w:val="333333"/>
          <w:shd w:val="clear" w:color="auto" w:fill="FFFFFF"/>
        </w:rPr>
        <w:t>The Regulation acknowledges th</w:t>
      </w:r>
      <w:r w:rsidR="00AD630D">
        <w:rPr>
          <w:rFonts w:ascii="Courier New" w:hAnsi="Courier New" w:cs="Courier New"/>
          <w:color w:val="333333"/>
          <w:shd w:val="clear" w:color="auto" w:fill="FFFFFF"/>
        </w:rPr>
        <w:t>is</w:t>
      </w:r>
      <w:r w:rsidR="003D05B2">
        <w:rPr>
          <w:rFonts w:ascii="Courier New" w:hAnsi="Courier New" w:cs="Courier New"/>
          <w:color w:val="333333"/>
          <w:shd w:val="clear" w:color="auto" w:fill="FFFFFF"/>
        </w:rPr>
        <w:t xml:space="preserve"> distinction </w:t>
      </w:r>
      <w:r w:rsidR="00AD630D">
        <w:rPr>
          <w:rFonts w:ascii="Courier New" w:hAnsi="Courier New" w:cs="Courier New"/>
          <w:color w:val="333333"/>
          <w:shd w:val="clear" w:color="auto" w:fill="FFFFFF"/>
        </w:rPr>
        <w:t>in the context of charges for remote access to standardized software, which are generally subject to tax, as follows:</w:t>
      </w:r>
    </w:p>
    <w:p w14:paraId="43DC22E1" w14:textId="77777777" w:rsidR="003D05B2" w:rsidRDefault="003D05B2" w:rsidP="003D05B2">
      <w:pPr>
        <w:spacing w:before="100" w:beforeAutospacing="1" w:after="100" w:afterAutospacing="1"/>
        <w:ind w:left="720" w:right="720"/>
        <w:contextualSpacing/>
        <w:jc w:val="both"/>
        <w:rPr>
          <w:rFonts w:ascii="Courier New" w:hAnsi="Courier New" w:cs="Courier New"/>
        </w:rPr>
      </w:pPr>
      <w:r>
        <w:rPr>
          <w:rFonts w:ascii="Courier New" w:hAnsi="Courier New" w:cs="Courier New"/>
        </w:rPr>
        <w:t>[W]</w:t>
      </w:r>
      <w:r w:rsidRPr="0024433C">
        <w:rPr>
          <w:rFonts w:ascii="Courier New" w:hAnsi="Courier New" w:cs="Courier New"/>
        </w:rPr>
        <w:t xml:space="preserve">here there is no charge for the use of the software and the object of the transaction is acquiring a good or service other than the use of the software, sales or use tax does not apply. See, e.g., 830 CMR </w:t>
      </w:r>
      <w:proofErr w:type="gramStart"/>
      <w:r w:rsidRPr="0024433C">
        <w:rPr>
          <w:rFonts w:ascii="Courier New" w:hAnsi="Courier New" w:cs="Courier New"/>
        </w:rPr>
        <w:t>64H.1.3(</w:t>
      </w:r>
      <w:proofErr w:type="gramEnd"/>
      <w:r w:rsidRPr="0024433C">
        <w:rPr>
          <w:rFonts w:ascii="Courier New" w:hAnsi="Courier New" w:cs="Courier New"/>
        </w:rPr>
        <w:t>13).</w:t>
      </w:r>
    </w:p>
    <w:p w14:paraId="3E5FA04E" w14:textId="77777777" w:rsidR="003D05B2" w:rsidRDefault="003D05B2" w:rsidP="003D05B2">
      <w:pPr>
        <w:contextualSpacing/>
        <w:jc w:val="both"/>
        <w:rPr>
          <w:rFonts w:ascii="Courier New" w:hAnsi="Courier New" w:cs="Courier New"/>
        </w:rPr>
      </w:pPr>
    </w:p>
    <w:p w14:paraId="4EBBBA14" w14:textId="36424D6C" w:rsidR="003D05B2" w:rsidRDefault="003D05B2" w:rsidP="003D05B2">
      <w:pPr>
        <w:contextualSpacing/>
        <w:jc w:val="both"/>
        <w:rPr>
          <w:rFonts w:ascii="Courier New" w:hAnsi="Courier New" w:cs="Courier New"/>
        </w:rPr>
      </w:pPr>
      <w:r w:rsidRPr="0024433C">
        <w:rPr>
          <w:rFonts w:ascii="Courier New" w:hAnsi="Courier New" w:cs="Courier New"/>
        </w:rPr>
        <w:t xml:space="preserve">830 CMR </w:t>
      </w:r>
      <w:proofErr w:type="gramStart"/>
      <w:r w:rsidRPr="0024433C">
        <w:rPr>
          <w:rFonts w:ascii="Courier New" w:hAnsi="Courier New" w:cs="Courier New"/>
        </w:rPr>
        <w:t>64H.1.3(</w:t>
      </w:r>
      <w:proofErr w:type="gramEnd"/>
      <w:r w:rsidRPr="0024433C">
        <w:rPr>
          <w:rFonts w:ascii="Courier New" w:hAnsi="Courier New" w:cs="Courier New"/>
        </w:rPr>
        <w:t>1</w:t>
      </w:r>
      <w:r>
        <w:rPr>
          <w:rFonts w:ascii="Courier New" w:hAnsi="Courier New" w:cs="Courier New"/>
        </w:rPr>
        <w:t>4</w:t>
      </w:r>
      <w:r w:rsidRPr="0024433C">
        <w:rPr>
          <w:rFonts w:ascii="Courier New" w:hAnsi="Courier New" w:cs="Courier New"/>
        </w:rPr>
        <w:t>)</w:t>
      </w:r>
      <w:r w:rsidR="00494FBB">
        <w:rPr>
          <w:rFonts w:ascii="Courier New" w:hAnsi="Courier New" w:cs="Courier New"/>
        </w:rPr>
        <w:t>(a)</w:t>
      </w:r>
      <w:r w:rsidR="00EA5025">
        <w:rPr>
          <w:rFonts w:ascii="Courier New" w:hAnsi="Courier New" w:cs="Courier New"/>
        </w:rPr>
        <w:t>.</w:t>
      </w:r>
    </w:p>
    <w:p w14:paraId="1BB39D7A" w14:textId="77777777" w:rsidR="00FC448B" w:rsidRDefault="00FC448B" w:rsidP="003D05B2">
      <w:pPr>
        <w:contextualSpacing/>
        <w:jc w:val="both"/>
        <w:rPr>
          <w:rFonts w:ascii="Courier New" w:hAnsi="Courier New" w:cs="Courier New"/>
        </w:rPr>
      </w:pPr>
    </w:p>
    <w:p w14:paraId="52F45E1E" w14:textId="05C07C4F" w:rsidR="00F50930" w:rsidRDefault="0065476F" w:rsidP="00F50930">
      <w:pPr>
        <w:spacing w:line="480" w:lineRule="auto"/>
        <w:ind w:firstLine="720"/>
        <w:contextualSpacing/>
        <w:jc w:val="both"/>
        <w:rPr>
          <w:rFonts w:ascii="Courier New" w:hAnsi="Courier New" w:cs="Courier New"/>
          <w:color w:val="333333"/>
          <w:shd w:val="clear" w:color="auto" w:fill="FFFFFF"/>
        </w:rPr>
      </w:pPr>
      <w:r>
        <w:rPr>
          <w:rFonts w:ascii="Courier New" w:hAnsi="Courier New" w:cs="Courier New"/>
        </w:rPr>
        <w:lastRenderedPageBreak/>
        <w:t xml:space="preserve">The </w:t>
      </w:r>
      <w:r w:rsidR="00F50930">
        <w:rPr>
          <w:rFonts w:ascii="Courier New" w:hAnsi="Courier New" w:cs="Courier New"/>
        </w:rPr>
        <w:t xml:space="preserve">Supreme Judicial Court first enunciated the </w:t>
      </w:r>
      <w:r w:rsidR="00661868">
        <w:rPr>
          <w:rFonts w:ascii="Courier New" w:hAnsi="Courier New" w:cs="Courier New"/>
        </w:rPr>
        <w:t xml:space="preserve">test to determine the </w:t>
      </w:r>
      <w:r>
        <w:rPr>
          <w:rFonts w:ascii="Courier New" w:hAnsi="Courier New" w:cs="Courier New"/>
        </w:rPr>
        <w:t xml:space="preserve">“object of the transaction” in </w:t>
      </w:r>
      <w:r w:rsidRPr="00370438">
        <w:rPr>
          <w:rFonts w:ascii="Courier New" w:hAnsi="Courier New" w:cs="Courier New"/>
          <w:b/>
          <w:i/>
          <w:color w:val="333333"/>
          <w:shd w:val="clear" w:color="auto" w:fill="FFFFFF"/>
        </w:rPr>
        <w:t>Commissioner</w:t>
      </w:r>
      <w:r w:rsidR="00EA5025">
        <w:rPr>
          <w:rFonts w:ascii="Courier New" w:hAnsi="Courier New" w:cs="Courier New"/>
          <w:b/>
          <w:i/>
          <w:color w:val="333333"/>
          <w:shd w:val="clear" w:color="auto" w:fill="FFFFFF"/>
        </w:rPr>
        <w:t xml:space="preserve"> of Revenue</w:t>
      </w:r>
      <w:r w:rsidRPr="00370438">
        <w:rPr>
          <w:rFonts w:ascii="Courier New" w:hAnsi="Courier New" w:cs="Courier New"/>
          <w:b/>
          <w:i/>
          <w:color w:val="333333"/>
          <w:shd w:val="clear" w:color="auto" w:fill="FFFFFF"/>
        </w:rPr>
        <w:t xml:space="preserve"> v. Houghton Mifflin</w:t>
      </w:r>
      <w:r w:rsidR="00F50930">
        <w:rPr>
          <w:rFonts w:ascii="Courier New" w:hAnsi="Courier New" w:cs="Courier New"/>
          <w:b/>
          <w:i/>
          <w:color w:val="333333"/>
          <w:shd w:val="clear" w:color="auto" w:fill="FFFFFF"/>
        </w:rPr>
        <w:t xml:space="preserve"> Co.</w:t>
      </w:r>
      <w:r>
        <w:rPr>
          <w:rFonts w:ascii="Courier New" w:hAnsi="Courier New" w:cs="Courier New"/>
          <w:color w:val="333333"/>
          <w:shd w:val="clear" w:color="auto" w:fill="FFFFFF"/>
        </w:rPr>
        <w:t>, 396 Mass. 666, 670 (1986).</w:t>
      </w:r>
      <w:r w:rsidR="00F50930">
        <w:rPr>
          <w:rFonts w:ascii="Courier New" w:hAnsi="Courier New" w:cs="Courier New"/>
          <w:color w:val="333333"/>
          <w:shd w:val="clear" w:color="auto" w:fill="FFFFFF"/>
        </w:rPr>
        <w:t xml:space="preserve"> In </w:t>
      </w:r>
      <w:r w:rsidR="00F50930" w:rsidRPr="00F50930">
        <w:rPr>
          <w:rFonts w:ascii="Courier New" w:hAnsi="Courier New" w:cs="Courier New"/>
          <w:b/>
          <w:i/>
          <w:color w:val="333333"/>
          <w:shd w:val="clear" w:color="auto" w:fill="FFFFFF"/>
        </w:rPr>
        <w:t>Houghton Mifflin</w:t>
      </w:r>
      <w:r w:rsidR="00F50930">
        <w:rPr>
          <w:rFonts w:ascii="Courier New" w:hAnsi="Courier New" w:cs="Courier New"/>
          <w:color w:val="333333"/>
          <w:shd w:val="clear" w:color="auto" w:fill="FFFFFF"/>
        </w:rPr>
        <w:t xml:space="preserve">, the Court considered application of the sales tax to transactions involving </w:t>
      </w:r>
      <w:r w:rsidR="00686676">
        <w:rPr>
          <w:rFonts w:ascii="Courier New" w:hAnsi="Courier New" w:cs="Courier New"/>
          <w:color w:val="333333"/>
          <w:shd w:val="clear" w:color="auto" w:fill="FFFFFF"/>
        </w:rPr>
        <w:t xml:space="preserve">provision of </w:t>
      </w:r>
      <w:r w:rsidR="00F50930">
        <w:rPr>
          <w:rFonts w:ascii="Courier New" w:hAnsi="Courier New" w:cs="Courier New"/>
          <w:color w:val="333333"/>
          <w:shd w:val="clear" w:color="auto" w:fill="FFFFFF"/>
        </w:rPr>
        <w:t xml:space="preserve">typesetting and compositing </w:t>
      </w:r>
      <w:r w:rsidR="00686676">
        <w:rPr>
          <w:rFonts w:ascii="Courier New" w:hAnsi="Courier New" w:cs="Courier New"/>
          <w:color w:val="333333"/>
          <w:shd w:val="clear" w:color="auto" w:fill="FFFFFF"/>
        </w:rPr>
        <w:t xml:space="preserve">services </w:t>
      </w:r>
      <w:r w:rsidR="00F50930">
        <w:rPr>
          <w:rFonts w:ascii="Courier New" w:hAnsi="Courier New" w:cs="Courier New"/>
          <w:color w:val="333333"/>
          <w:shd w:val="clear" w:color="auto" w:fill="FFFFFF"/>
        </w:rPr>
        <w:t xml:space="preserve">in which the taxpayer also received </w:t>
      </w:r>
      <w:r w:rsidR="00494FBB">
        <w:rPr>
          <w:rFonts w:ascii="Courier New" w:hAnsi="Courier New" w:cs="Courier New"/>
          <w:color w:val="333333"/>
          <w:shd w:val="clear" w:color="auto" w:fill="FFFFFF"/>
        </w:rPr>
        <w:t xml:space="preserve">tangible </w:t>
      </w:r>
      <w:r w:rsidR="00F50930">
        <w:rPr>
          <w:rFonts w:ascii="Courier New" w:hAnsi="Courier New" w:cs="Courier New"/>
          <w:color w:val="333333"/>
          <w:shd w:val="clear" w:color="auto" w:fill="FFFFFF"/>
        </w:rPr>
        <w:t xml:space="preserve">reproduction proofs. </w:t>
      </w:r>
      <w:r w:rsidR="00686676">
        <w:rPr>
          <w:rFonts w:ascii="Courier New" w:hAnsi="Courier New" w:cs="Courier New"/>
          <w:color w:val="333333"/>
          <w:shd w:val="clear" w:color="auto" w:fill="FFFFFF"/>
        </w:rPr>
        <w:t xml:space="preserve">The Court held that </w:t>
      </w:r>
      <w:r w:rsidR="00F50930">
        <w:rPr>
          <w:rFonts w:ascii="Courier New" w:hAnsi="Courier New" w:cs="Courier New"/>
          <w:color w:val="333333"/>
          <w:shd w:val="clear" w:color="auto" w:fill="FFFFFF"/>
        </w:rPr>
        <w:t xml:space="preserve">“bundled transactions” </w:t>
      </w:r>
      <w:r w:rsidR="00686676">
        <w:rPr>
          <w:rFonts w:ascii="Courier New" w:hAnsi="Courier New" w:cs="Courier New"/>
          <w:color w:val="333333"/>
          <w:shd w:val="clear" w:color="auto" w:fill="FFFFFF"/>
        </w:rPr>
        <w:t>such as these, where the service and property components of a transaction are integrated, are</w:t>
      </w:r>
      <w:r w:rsidR="00F50930">
        <w:rPr>
          <w:rFonts w:ascii="Courier New" w:hAnsi="Courier New" w:cs="Courier New"/>
          <w:color w:val="333333"/>
          <w:shd w:val="clear" w:color="auto" w:fill="FFFFFF"/>
        </w:rPr>
        <w:t xml:space="preserve"> subject to the rule that</w:t>
      </w:r>
    </w:p>
    <w:p w14:paraId="61578428" w14:textId="5C0C544F" w:rsidR="00F50930" w:rsidRDefault="00F50930" w:rsidP="003C31BE">
      <w:pPr>
        <w:ind w:left="720" w:right="720"/>
        <w:contextualSpacing/>
        <w:jc w:val="both"/>
        <w:rPr>
          <w:rFonts w:ascii="Courier New" w:hAnsi="Courier New" w:cs="Courier New"/>
          <w:color w:val="333333"/>
          <w:shd w:val="clear" w:color="auto" w:fill="FFFFFF"/>
        </w:rPr>
      </w:pPr>
      <w:proofErr w:type="gramStart"/>
      <w:r>
        <w:rPr>
          <w:rFonts w:ascii="Courier New" w:hAnsi="Courier New" w:cs="Courier New"/>
          <w:color w:val="333333"/>
          <w:shd w:val="clear" w:color="auto" w:fill="FFFFFF"/>
        </w:rPr>
        <w:t>the</w:t>
      </w:r>
      <w:proofErr w:type="gramEnd"/>
      <w:r>
        <w:rPr>
          <w:rFonts w:ascii="Courier New" w:hAnsi="Courier New" w:cs="Courier New"/>
          <w:color w:val="333333"/>
          <w:shd w:val="clear" w:color="auto" w:fill="FFFFFF"/>
        </w:rPr>
        <w:t xml:space="preserve"> character of the transaction must be analyzed to ascertain whether the buyer’s basic purpose was to acquire the property which was sold to it, or to obtain the services.</w:t>
      </w:r>
    </w:p>
    <w:p w14:paraId="06D32DEA" w14:textId="77777777" w:rsidR="00350DB5" w:rsidRDefault="00350DB5" w:rsidP="00350DB5">
      <w:pPr>
        <w:ind w:right="720"/>
        <w:contextualSpacing/>
        <w:jc w:val="both"/>
        <w:rPr>
          <w:rFonts w:ascii="Courier New" w:hAnsi="Courier New" w:cs="Courier New"/>
          <w:color w:val="333333"/>
          <w:shd w:val="clear" w:color="auto" w:fill="FFFFFF"/>
        </w:rPr>
      </w:pPr>
    </w:p>
    <w:p w14:paraId="6E950FD8" w14:textId="19A46F02" w:rsidR="00350DB5" w:rsidRDefault="00350DB5" w:rsidP="00350DB5">
      <w:pPr>
        <w:spacing w:line="480" w:lineRule="auto"/>
        <w:ind w:right="720"/>
        <w:contextualSpacing/>
        <w:jc w:val="both"/>
        <w:rPr>
          <w:rFonts w:ascii="Courier New" w:hAnsi="Courier New" w:cs="Courier New"/>
          <w:color w:val="333333"/>
          <w:shd w:val="clear" w:color="auto" w:fill="FFFFFF"/>
        </w:rPr>
      </w:pPr>
      <w:proofErr w:type="gramStart"/>
      <w:r w:rsidRPr="00370438">
        <w:rPr>
          <w:rFonts w:ascii="Courier New" w:hAnsi="Courier New" w:cs="Courier New"/>
          <w:b/>
          <w:i/>
          <w:color w:val="333333"/>
          <w:shd w:val="clear" w:color="auto" w:fill="FFFFFF"/>
        </w:rPr>
        <w:t>Houghton Mifflin</w:t>
      </w:r>
      <w:r>
        <w:rPr>
          <w:rFonts w:ascii="Courier New" w:hAnsi="Courier New" w:cs="Courier New"/>
          <w:color w:val="333333"/>
          <w:shd w:val="clear" w:color="auto" w:fill="FFFFFF"/>
        </w:rPr>
        <w:t>, 396 Mass. at 670.</w:t>
      </w:r>
      <w:proofErr w:type="gramEnd"/>
    </w:p>
    <w:p w14:paraId="1EEED541" w14:textId="75ADEDFE" w:rsidR="000707D5" w:rsidRDefault="00494FBB" w:rsidP="00EB0C0D">
      <w:pPr>
        <w:spacing w:before="100" w:beforeAutospacing="1" w:after="100" w:afterAutospacing="1" w:line="480" w:lineRule="auto"/>
        <w:ind w:firstLine="720"/>
        <w:contextualSpacing/>
        <w:jc w:val="both"/>
        <w:rPr>
          <w:rFonts w:ascii="Courier New" w:hAnsi="Courier New" w:cs="Courier New"/>
          <w:color w:val="141414"/>
        </w:rPr>
      </w:pPr>
      <w:r>
        <w:rPr>
          <w:rFonts w:ascii="Courier New" w:hAnsi="Courier New" w:cs="Courier New"/>
          <w:color w:val="141414"/>
        </w:rPr>
        <w:t>As referenced above, i</w:t>
      </w:r>
      <w:r w:rsidR="00686676">
        <w:rPr>
          <w:rFonts w:ascii="Courier New" w:hAnsi="Courier New" w:cs="Courier New"/>
          <w:color w:val="141414"/>
        </w:rPr>
        <w:t xml:space="preserve">n </w:t>
      </w:r>
      <w:r w:rsidR="00686676" w:rsidRPr="00C826BE">
        <w:rPr>
          <w:rFonts w:ascii="Courier New" w:hAnsi="Courier New" w:cs="Courier New"/>
          <w:color w:val="141414"/>
        </w:rPr>
        <w:t>Letter Ruling 12-10</w:t>
      </w:r>
      <w:r w:rsidR="00686676">
        <w:rPr>
          <w:rFonts w:ascii="Courier New" w:hAnsi="Courier New" w:cs="Courier New"/>
          <w:b/>
          <w:i/>
          <w:color w:val="141414"/>
        </w:rPr>
        <w:t xml:space="preserve">, </w:t>
      </w:r>
      <w:r w:rsidR="00686676">
        <w:rPr>
          <w:rFonts w:ascii="Courier New" w:hAnsi="Courier New" w:cs="Courier New"/>
          <w:color w:val="141414"/>
        </w:rPr>
        <w:t>the Commissioner considered whether Citrix’s sale</w:t>
      </w:r>
      <w:r>
        <w:rPr>
          <w:rFonts w:ascii="Courier New" w:hAnsi="Courier New" w:cs="Courier New"/>
          <w:color w:val="141414"/>
        </w:rPr>
        <w:t>s</w:t>
      </w:r>
      <w:r w:rsidR="00686676">
        <w:rPr>
          <w:rFonts w:ascii="Courier New" w:hAnsi="Courier New" w:cs="Courier New"/>
          <w:color w:val="141414"/>
        </w:rPr>
        <w:t xml:space="preserve"> of the Online </w:t>
      </w:r>
      <w:r w:rsidR="00062F7F">
        <w:rPr>
          <w:rFonts w:ascii="Courier New" w:hAnsi="Courier New" w:cs="Courier New"/>
          <w:color w:val="141414"/>
        </w:rPr>
        <w:t>P</w:t>
      </w:r>
      <w:r w:rsidR="00686676">
        <w:rPr>
          <w:rFonts w:ascii="Courier New" w:hAnsi="Courier New" w:cs="Courier New"/>
          <w:color w:val="141414"/>
        </w:rPr>
        <w:t xml:space="preserve">roducts were subject to sales tax. In reaching </w:t>
      </w:r>
      <w:r w:rsidR="00B748ED">
        <w:rPr>
          <w:rFonts w:ascii="Courier New" w:hAnsi="Courier New" w:cs="Courier New"/>
          <w:color w:val="141414"/>
        </w:rPr>
        <w:t>the</w:t>
      </w:r>
      <w:r w:rsidR="00686676">
        <w:rPr>
          <w:rFonts w:ascii="Courier New" w:hAnsi="Courier New" w:cs="Courier New"/>
          <w:color w:val="141414"/>
        </w:rPr>
        <w:t xml:space="preserve"> conclusion that the sales were so subject, the Commissioner</w:t>
      </w:r>
      <w:r>
        <w:rPr>
          <w:rFonts w:ascii="Courier New" w:hAnsi="Courier New" w:cs="Courier New"/>
          <w:color w:val="141414"/>
        </w:rPr>
        <w:t xml:space="preserve"> noted </w:t>
      </w:r>
      <w:r w:rsidR="004E21D9">
        <w:rPr>
          <w:rFonts w:ascii="Courier New" w:hAnsi="Courier New" w:cs="Courier New"/>
          <w:color w:val="141414"/>
        </w:rPr>
        <w:t>Citrix’s</w:t>
      </w:r>
      <w:r>
        <w:rPr>
          <w:rFonts w:ascii="Courier New" w:hAnsi="Courier New" w:cs="Courier New"/>
          <w:color w:val="141414"/>
        </w:rPr>
        <w:t xml:space="preserve"> ancillary provision of services, likely in the form of customer service, and ultimately</w:t>
      </w:r>
      <w:r w:rsidR="00686676">
        <w:rPr>
          <w:rFonts w:ascii="Courier New" w:hAnsi="Courier New" w:cs="Courier New"/>
          <w:color w:val="141414"/>
        </w:rPr>
        <w:t xml:space="preserve"> </w:t>
      </w:r>
      <w:r w:rsidR="00E80FCC">
        <w:rPr>
          <w:rFonts w:ascii="Courier New" w:hAnsi="Courier New" w:cs="Courier New"/>
          <w:color w:val="141414"/>
        </w:rPr>
        <w:t xml:space="preserve">determined that the </w:t>
      </w:r>
      <w:r w:rsidR="00686676">
        <w:rPr>
          <w:rFonts w:ascii="Courier New" w:hAnsi="Courier New" w:cs="Courier New"/>
          <w:color w:val="141414"/>
        </w:rPr>
        <w:t>object of the transaction</w:t>
      </w:r>
      <w:r>
        <w:rPr>
          <w:rFonts w:ascii="Courier New" w:hAnsi="Courier New" w:cs="Courier New"/>
          <w:color w:val="141414"/>
        </w:rPr>
        <w:t>s</w:t>
      </w:r>
      <w:r w:rsidR="00686676">
        <w:rPr>
          <w:rFonts w:ascii="Courier New" w:hAnsi="Courier New" w:cs="Courier New"/>
          <w:color w:val="141414"/>
        </w:rPr>
        <w:t xml:space="preserve"> was </w:t>
      </w:r>
      <w:r w:rsidR="004D33B3">
        <w:rPr>
          <w:rFonts w:ascii="Courier New" w:hAnsi="Courier New" w:cs="Courier New"/>
          <w:color w:val="141414"/>
        </w:rPr>
        <w:t>Citrix’s</w:t>
      </w:r>
      <w:r w:rsidR="00686676">
        <w:rPr>
          <w:rFonts w:ascii="Courier New" w:hAnsi="Courier New" w:cs="Courier New"/>
          <w:color w:val="141414"/>
        </w:rPr>
        <w:t xml:space="preserve"> </w:t>
      </w:r>
      <w:r>
        <w:rPr>
          <w:rFonts w:ascii="Courier New" w:hAnsi="Courier New" w:cs="Courier New"/>
          <w:color w:val="141414"/>
        </w:rPr>
        <w:t xml:space="preserve">sale of the right to </w:t>
      </w:r>
      <w:r w:rsidR="00686676">
        <w:rPr>
          <w:rFonts w:ascii="Courier New" w:hAnsi="Courier New" w:cs="Courier New"/>
          <w:color w:val="141414"/>
        </w:rPr>
        <w:t xml:space="preserve">use </w:t>
      </w:r>
      <w:r w:rsidR="004D33B3">
        <w:rPr>
          <w:rFonts w:ascii="Courier New" w:hAnsi="Courier New" w:cs="Courier New"/>
          <w:color w:val="141414"/>
        </w:rPr>
        <w:t>its</w:t>
      </w:r>
      <w:r w:rsidR="00686676">
        <w:rPr>
          <w:rFonts w:ascii="Courier New" w:hAnsi="Courier New" w:cs="Courier New"/>
          <w:color w:val="141414"/>
        </w:rPr>
        <w:t xml:space="preserve"> </w:t>
      </w:r>
      <w:r>
        <w:rPr>
          <w:rFonts w:ascii="Courier New" w:hAnsi="Courier New" w:cs="Courier New"/>
          <w:color w:val="141414"/>
        </w:rPr>
        <w:t xml:space="preserve">prewritten </w:t>
      </w:r>
      <w:r w:rsidR="00686676">
        <w:rPr>
          <w:rFonts w:ascii="Courier New" w:hAnsi="Courier New" w:cs="Courier New"/>
          <w:color w:val="141414"/>
        </w:rPr>
        <w:t xml:space="preserve">software. </w:t>
      </w:r>
      <w:r w:rsidR="00715FDF">
        <w:rPr>
          <w:rFonts w:ascii="Courier New" w:hAnsi="Courier New" w:cs="Courier New"/>
          <w:color w:val="141414"/>
        </w:rPr>
        <w:t>T</w:t>
      </w:r>
      <w:r w:rsidR="00350DB5">
        <w:rPr>
          <w:rFonts w:ascii="Courier New" w:hAnsi="Courier New" w:cs="Courier New"/>
          <w:color w:val="141414"/>
        </w:rPr>
        <w:t>he Commissioner</w:t>
      </w:r>
      <w:r w:rsidR="00715FDF">
        <w:rPr>
          <w:rFonts w:ascii="Courier New" w:hAnsi="Courier New" w:cs="Courier New"/>
          <w:color w:val="141414"/>
        </w:rPr>
        <w:t>’s analysis</w:t>
      </w:r>
      <w:r w:rsidR="00350DB5">
        <w:rPr>
          <w:rFonts w:ascii="Courier New" w:hAnsi="Courier New" w:cs="Courier New"/>
          <w:color w:val="141414"/>
        </w:rPr>
        <w:t xml:space="preserve"> implicitly addressed </w:t>
      </w:r>
      <w:r w:rsidR="00B57C01">
        <w:rPr>
          <w:rFonts w:ascii="Courier New" w:hAnsi="Courier New" w:cs="Courier New"/>
          <w:color w:val="141414"/>
        </w:rPr>
        <w:t xml:space="preserve">concerns raised by Citrix in these appeals. For example, </w:t>
      </w:r>
      <w:r w:rsidR="00EB0C0D">
        <w:rPr>
          <w:rFonts w:ascii="Courier New" w:hAnsi="Courier New" w:cs="Courier New"/>
          <w:color w:val="141414"/>
        </w:rPr>
        <w:t xml:space="preserve">Letter </w:t>
      </w:r>
      <w:r w:rsidR="00EB0C0D">
        <w:rPr>
          <w:rFonts w:ascii="Courier New" w:hAnsi="Courier New" w:cs="Courier New"/>
          <w:color w:val="141414"/>
        </w:rPr>
        <w:lastRenderedPageBreak/>
        <w:t>Ruling</w:t>
      </w:r>
      <w:r w:rsidR="00EA5025">
        <w:rPr>
          <w:rFonts w:ascii="Courier New" w:hAnsi="Courier New" w:cs="Courier New"/>
          <w:color w:val="141414"/>
        </w:rPr>
        <w:t xml:space="preserve"> 12-10</w:t>
      </w:r>
      <w:r w:rsidR="00EB0C0D">
        <w:rPr>
          <w:rFonts w:ascii="Courier New" w:hAnsi="Courier New" w:cs="Courier New"/>
          <w:color w:val="141414"/>
        </w:rPr>
        <w:t xml:space="preserve"> states that, in part, to </w:t>
      </w:r>
      <w:r w:rsidR="00686676">
        <w:rPr>
          <w:rFonts w:ascii="Courier New" w:hAnsi="Courier New" w:cs="Courier New"/>
          <w:color w:val="141414"/>
        </w:rPr>
        <w:t>determin</w:t>
      </w:r>
      <w:r w:rsidR="00EB0C0D">
        <w:rPr>
          <w:rFonts w:ascii="Courier New" w:hAnsi="Courier New" w:cs="Courier New"/>
          <w:color w:val="141414"/>
        </w:rPr>
        <w:t>e</w:t>
      </w:r>
      <w:r w:rsidR="00686676">
        <w:rPr>
          <w:rFonts w:ascii="Courier New" w:hAnsi="Courier New" w:cs="Courier New"/>
          <w:color w:val="141414"/>
        </w:rPr>
        <w:t xml:space="preserve"> </w:t>
      </w:r>
      <w:r w:rsidR="00EB0C0D">
        <w:rPr>
          <w:rFonts w:ascii="Courier New" w:hAnsi="Courier New" w:cs="Courier New"/>
          <w:color w:val="141414"/>
        </w:rPr>
        <w:t>“</w:t>
      </w:r>
      <w:r w:rsidR="00686676">
        <w:rPr>
          <w:rFonts w:ascii="Courier New" w:hAnsi="Courier New" w:cs="Courier New"/>
          <w:color w:val="141414"/>
        </w:rPr>
        <w:t>the object of the transaction, the Department [of Revenue] generally looks to the customer’s experience in using the product rather than the ‘behind the scenes’ operations where the software is accessed on a seller’s server.</w:t>
      </w:r>
      <w:r w:rsidR="00EB0C0D">
        <w:rPr>
          <w:rFonts w:ascii="Courier New" w:hAnsi="Courier New" w:cs="Courier New"/>
          <w:color w:val="141414"/>
        </w:rPr>
        <w:t xml:space="preserve">” </w:t>
      </w:r>
      <w:r w:rsidR="00686676">
        <w:rPr>
          <w:rFonts w:ascii="Courier New" w:hAnsi="Courier New" w:cs="Courier New"/>
          <w:color w:val="141414"/>
        </w:rPr>
        <w:t xml:space="preserve"> </w:t>
      </w:r>
    </w:p>
    <w:p w14:paraId="7E36C8EE" w14:textId="25261037" w:rsidR="00490898" w:rsidRDefault="00490898" w:rsidP="000707D5">
      <w:pPr>
        <w:spacing w:line="480" w:lineRule="auto"/>
        <w:ind w:firstLine="720"/>
        <w:contextualSpacing/>
        <w:jc w:val="both"/>
        <w:rPr>
          <w:rFonts w:ascii="Courier New" w:hAnsi="Courier New" w:cs="Courier New"/>
          <w:color w:val="373739"/>
        </w:rPr>
      </w:pPr>
      <w:r>
        <w:rPr>
          <w:rFonts w:ascii="Courier New" w:hAnsi="Courier New" w:cs="Courier New"/>
          <w:color w:val="373739"/>
        </w:rPr>
        <w:t xml:space="preserve">The “behind the scenes” operations </w:t>
      </w:r>
      <w:r w:rsidR="000707D5">
        <w:rPr>
          <w:rFonts w:ascii="Courier New" w:hAnsi="Courier New" w:cs="Courier New"/>
          <w:color w:val="373739"/>
        </w:rPr>
        <w:t>referenced by the Commissioner include the many</w:t>
      </w:r>
      <w:r>
        <w:rPr>
          <w:rFonts w:ascii="Courier New" w:hAnsi="Courier New" w:cs="Courier New"/>
          <w:color w:val="373739"/>
        </w:rPr>
        <w:t xml:space="preserve"> </w:t>
      </w:r>
      <w:r w:rsidR="000707D5">
        <w:rPr>
          <w:rFonts w:ascii="Courier New" w:hAnsi="Courier New" w:cs="Courier New"/>
          <w:color w:val="373739"/>
        </w:rPr>
        <w:t xml:space="preserve">support </w:t>
      </w:r>
      <w:r>
        <w:rPr>
          <w:rFonts w:ascii="Courier New" w:hAnsi="Courier New" w:cs="Courier New"/>
          <w:color w:val="373739"/>
        </w:rPr>
        <w:t>functions necessary to develop</w:t>
      </w:r>
      <w:r w:rsidR="000707D5">
        <w:rPr>
          <w:rFonts w:ascii="Courier New" w:hAnsi="Courier New" w:cs="Courier New"/>
          <w:color w:val="373739"/>
        </w:rPr>
        <w:t>,</w:t>
      </w:r>
      <w:r>
        <w:rPr>
          <w:rFonts w:ascii="Courier New" w:hAnsi="Courier New" w:cs="Courier New"/>
          <w:color w:val="373739"/>
        </w:rPr>
        <w:t xml:space="preserve"> maintain, test, and troubleshoot</w:t>
      </w:r>
      <w:r w:rsidR="004D33B3">
        <w:rPr>
          <w:rFonts w:ascii="Courier New" w:hAnsi="Courier New" w:cs="Courier New"/>
          <w:color w:val="373739"/>
        </w:rPr>
        <w:t xml:space="preserve"> the</w:t>
      </w:r>
      <w:r>
        <w:rPr>
          <w:rFonts w:ascii="Courier New" w:hAnsi="Courier New" w:cs="Courier New"/>
          <w:color w:val="373739"/>
        </w:rPr>
        <w:t xml:space="preserve"> Online Products as well as </w:t>
      </w:r>
      <w:r w:rsidR="004D33B3">
        <w:rPr>
          <w:rFonts w:ascii="Courier New" w:hAnsi="Courier New" w:cs="Courier New"/>
          <w:color w:val="373739"/>
        </w:rPr>
        <w:t xml:space="preserve">Citrix’s </w:t>
      </w:r>
      <w:r>
        <w:rPr>
          <w:rFonts w:ascii="Courier New" w:hAnsi="Courier New" w:cs="Courier New"/>
          <w:color w:val="373739"/>
        </w:rPr>
        <w:t xml:space="preserve">network hardware. While these operations may </w:t>
      </w:r>
      <w:r w:rsidR="004D33B3">
        <w:rPr>
          <w:rFonts w:ascii="Courier New" w:hAnsi="Courier New" w:cs="Courier New"/>
          <w:color w:val="373739"/>
        </w:rPr>
        <w:t>be numerous and</w:t>
      </w:r>
      <w:r>
        <w:rPr>
          <w:rFonts w:ascii="Courier New" w:hAnsi="Courier New" w:cs="Courier New"/>
          <w:color w:val="373739"/>
        </w:rPr>
        <w:t xml:space="preserve"> costly and require substantial employee support, </w:t>
      </w:r>
      <w:r w:rsidR="00BD7AC3">
        <w:rPr>
          <w:rFonts w:ascii="Courier New" w:hAnsi="Courier New" w:cs="Courier New"/>
          <w:color w:val="373739"/>
        </w:rPr>
        <w:t xml:space="preserve">the evidence presented </w:t>
      </w:r>
      <w:r w:rsidR="004117B4">
        <w:rPr>
          <w:rFonts w:ascii="Courier New" w:hAnsi="Courier New" w:cs="Courier New"/>
          <w:color w:val="373739"/>
        </w:rPr>
        <w:t xml:space="preserve">and common sense </w:t>
      </w:r>
      <w:r w:rsidR="00BD7AC3">
        <w:rPr>
          <w:rFonts w:ascii="Courier New" w:hAnsi="Courier New" w:cs="Courier New"/>
          <w:color w:val="373739"/>
        </w:rPr>
        <w:t xml:space="preserve">do not indicate that </w:t>
      </w:r>
      <w:r>
        <w:rPr>
          <w:rFonts w:ascii="Courier New" w:hAnsi="Courier New" w:cs="Courier New"/>
          <w:color w:val="373739"/>
        </w:rPr>
        <w:t xml:space="preserve">they </w:t>
      </w:r>
      <w:r w:rsidR="00BD7AC3">
        <w:rPr>
          <w:rFonts w:ascii="Courier New" w:hAnsi="Courier New" w:cs="Courier New"/>
          <w:color w:val="373739"/>
        </w:rPr>
        <w:t>are</w:t>
      </w:r>
      <w:r>
        <w:rPr>
          <w:rFonts w:ascii="Courier New" w:hAnsi="Courier New" w:cs="Courier New"/>
          <w:color w:val="373739"/>
        </w:rPr>
        <w:t xml:space="preserve"> services sought by </w:t>
      </w:r>
      <w:r w:rsidR="000707D5">
        <w:rPr>
          <w:rFonts w:ascii="Courier New" w:hAnsi="Courier New" w:cs="Courier New"/>
          <w:color w:val="373739"/>
        </w:rPr>
        <w:t xml:space="preserve">Citrix’s </w:t>
      </w:r>
      <w:r>
        <w:rPr>
          <w:rFonts w:ascii="Courier New" w:hAnsi="Courier New" w:cs="Courier New"/>
          <w:color w:val="373739"/>
        </w:rPr>
        <w:t>customers</w:t>
      </w:r>
      <w:r w:rsidR="00BD7AC3">
        <w:rPr>
          <w:rFonts w:ascii="Courier New" w:hAnsi="Courier New" w:cs="Courier New"/>
          <w:color w:val="373739"/>
        </w:rPr>
        <w:t>. Rather, Citrix’s customers</w:t>
      </w:r>
      <w:r w:rsidR="000707D5">
        <w:rPr>
          <w:rFonts w:ascii="Courier New" w:hAnsi="Courier New" w:cs="Courier New"/>
          <w:color w:val="373739"/>
        </w:rPr>
        <w:t xml:space="preserve"> subscribe to, access</w:t>
      </w:r>
      <w:r w:rsidR="00EA5025">
        <w:rPr>
          <w:rFonts w:ascii="Courier New" w:hAnsi="Courier New" w:cs="Courier New"/>
          <w:color w:val="373739"/>
        </w:rPr>
        <w:t>,</w:t>
      </w:r>
      <w:r w:rsidR="000707D5">
        <w:rPr>
          <w:rFonts w:ascii="Courier New" w:hAnsi="Courier New" w:cs="Courier New"/>
          <w:color w:val="373739"/>
        </w:rPr>
        <w:t xml:space="preserve"> and use</w:t>
      </w:r>
      <w:r>
        <w:rPr>
          <w:rFonts w:ascii="Courier New" w:hAnsi="Courier New" w:cs="Courier New"/>
          <w:color w:val="373739"/>
        </w:rPr>
        <w:t xml:space="preserve"> the Online Products</w:t>
      </w:r>
      <w:r w:rsidR="004F33A2">
        <w:rPr>
          <w:rFonts w:ascii="Courier New" w:hAnsi="Courier New" w:cs="Courier New"/>
          <w:color w:val="373739"/>
        </w:rPr>
        <w:t xml:space="preserve"> without </w:t>
      </w:r>
      <w:r w:rsidR="000707D5">
        <w:rPr>
          <w:rFonts w:ascii="Courier New" w:hAnsi="Courier New" w:cs="Courier New"/>
          <w:color w:val="373739"/>
        </w:rPr>
        <w:t>any</w:t>
      </w:r>
      <w:r w:rsidR="004F33A2">
        <w:rPr>
          <w:rFonts w:ascii="Courier New" w:hAnsi="Courier New" w:cs="Courier New"/>
          <w:color w:val="373739"/>
        </w:rPr>
        <w:t xml:space="preserve"> view to </w:t>
      </w:r>
      <w:r w:rsidR="004D33B3">
        <w:rPr>
          <w:rFonts w:ascii="Courier New" w:hAnsi="Courier New" w:cs="Courier New"/>
          <w:color w:val="373739"/>
        </w:rPr>
        <w:t xml:space="preserve">the unseen </w:t>
      </w:r>
      <w:r w:rsidR="004F33A2">
        <w:rPr>
          <w:rFonts w:ascii="Courier New" w:hAnsi="Courier New" w:cs="Courier New"/>
          <w:color w:val="373739"/>
        </w:rPr>
        <w:t>support operations</w:t>
      </w:r>
      <w:r>
        <w:rPr>
          <w:rFonts w:ascii="Courier New" w:hAnsi="Courier New" w:cs="Courier New"/>
          <w:color w:val="373739"/>
        </w:rPr>
        <w:t>.</w:t>
      </w:r>
      <w:r w:rsidR="000707D5">
        <w:rPr>
          <w:rFonts w:ascii="Courier New" w:hAnsi="Courier New" w:cs="Courier New"/>
          <w:color w:val="373739"/>
        </w:rPr>
        <w:t xml:space="preserve"> In essence, the support operations are part of Citrix’s overhead, which is necessary to its provision </w:t>
      </w:r>
      <w:r w:rsidR="00B55906">
        <w:rPr>
          <w:rFonts w:ascii="Courier New" w:hAnsi="Courier New" w:cs="Courier New"/>
          <w:color w:val="373739"/>
        </w:rPr>
        <w:t xml:space="preserve">and use </w:t>
      </w:r>
      <w:r w:rsidR="000707D5">
        <w:rPr>
          <w:rFonts w:ascii="Courier New" w:hAnsi="Courier New" w:cs="Courier New"/>
          <w:color w:val="373739"/>
        </w:rPr>
        <w:t>of the standardized software products that it sells.</w:t>
      </w:r>
      <w:r>
        <w:rPr>
          <w:rFonts w:ascii="Courier New" w:hAnsi="Courier New" w:cs="Courier New"/>
          <w:color w:val="373739"/>
        </w:rPr>
        <w:t xml:space="preserve"> </w:t>
      </w:r>
    </w:p>
    <w:p w14:paraId="71C88A3C" w14:textId="4714DEEB" w:rsidR="0024433C" w:rsidRPr="0024433C" w:rsidRDefault="003D05B2" w:rsidP="00490898">
      <w:pPr>
        <w:spacing w:before="100" w:beforeAutospacing="1" w:after="100" w:afterAutospacing="1" w:line="480" w:lineRule="auto"/>
        <w:ind w:firstLine="720"/>
        <w:contextualSpacing/>
        <w:jc w:val="both"/>
        <w:rPr>
          <w:rFonts w:ascii="Courier New" w:hAnsi="Courier New" w:cs="Courier New"/>
          <w:sz w:val="20"/>
          <w:szCs w:val="20"/>
        </w:rPr>
      </w:pPr>
      <w:r>
        <w:rPr>
          <w:rFonts w:ascii="Courier New" w:hAnsi="Courier New" w:cs="Courier New"/>
        </w:rPr>
        <w:t>T</w:t>
      </w:r>
      <w:r w:rsidR="0024433C" w:rsidRPr="0024433C">
        <w:rPr>
          <w:rFonts w:ascii="Courier New" w:hAnsi="Courier New" w:cs="Courier New"/>
        </w:rPr>
        <w:t xml:space="preserve">he </w:t>
      </w:r>
      <w:r w:rsidR="009B0D91">
        <w:rPr>
          <w:rFonts w:ascii="Courier New" w:hAnsi="Courier New" w:cs="Courier New"/>
        </w:rPr>
        <w:t xml:space="preserve">Regulation </w:t>
      </w:r>
      <w:r>
        <w:rPr>
          <w:rFonts w:ascii="Courier New" w:hAnsi="Courier New" w:cs="Courier New"/>
        </w:rPr>
        <w:t>also provides an example that is instructive in the current appeals</w:t>
      </w:r>
      <w:r w:rsidR="00EA5025">
        <w:rPr>
          <w:rFonts w:ascii="Courier New" w:hAnsi="Courier New" w:cs="Courier New"/>
        </w:rPr>
        <w:t>:</w:t>
      </w:r>
    </w:p>
    <w:p w14:paraId="627E367C" w14:textId="77777777" w:rsidR="00B30BCB" w:rsidRDefault="0024433C" w:rsidP="0024433C">
      <w:pPr>
        <w:spacing w:before="100" w:beforeAutospacing="1" w:after="100" w:afterAutospacing="1"/>
        <w:ind w:left="720" w:right="720"/>
        <w:contextualSpacing/>
        <w:jc w:val="both"/>
        <w:rPr>
          <w:rFonts w:ascii="Courier New" w:hAnsi="Courier New" w:cs="Courier New"/>
        </w:rPr>
      </w:pPr>
      <w:r w:rsidRPr="0024433C">
        <w:rPr>
          <w:rFonts w:ascii="Courier New" w:hAnsi="Courier New" w:cs="Courier New"/>
        </w:rPr>
        <w:t xml:space="preserve">Example 2: Ann wants to acquire prewritten computer software to prepare her personal income tax return. The vendor of the software gives her the option of purchasing the software on a disk that will be mailed to her home or she can pay to securely access the software on the vendor’s server through the Internet and use of a personal </w:t>
      </w:r>
      <w:r w:rsidRPr="0024433C">
        <w:rPr>
          <w:rFonts w:ascii="Courier New" w:hAnsi="Courier New" w:cs="Courier New"/>
        </w:rPr>
        <w:lastRenderedPageBreak/>
        <w:t>access code. In either case, the functionality of the software is the same. The object of the transaction here is the use of the software. Charges for the prewritten software will be subject to sales or use tax regardless of the method of delivery chosen by Ann.</w:t>
      </w:r>
    </w:p>
    <w:p w14:paraId="6321283C" w14:textId="77777777" w:rsidR="00062F7F" w:rsidRDefault="00062F7F" w:rsidP="00062F7F">
      <w:pPr>
        <w:contextualSpacing/>
        <w:jc w:val="both"/>
        <w:rPr>
          <w:rFonts w:ascii="Courier New" w:hAnsi="Courier New" w:cs="Courier New"/>
        </w:rPr>
      </w:pPr>
    </w:p>
    <w:p w14:paraId="29D3A031" w14:textId="06B8C12E" w:rsidR="00062F7F" w:rsidRDefault="00062F7F" w:rsidP="00062F7F">
      <w:pPr>
        <w:contextualSpacing/>
        <w:jc w:val="both"/>
        <w:rPr>
          <w:rFonts w:ascii="Courier New" w:hAnsi="Courier New" w:cs="Courier New"/>
        </w:rPr>
      </w:pPr>
      <w:r w:rsidRPr="0024433C">
        <w:rPr>
          <w:rFonts w:ascii="Courier New" w:hAnsi="Courier New" w:cs="Courier New"/>
        </w:rPr>
        <w:t xml:space="preserve">830 CMR </w:t>
      </w:r>
      <w:proofErr w:type="gramStart"/>
      <w:r w:rsidRPr="0024433C">
        <w:rPr>
          <w:rFonts w:ascii="Courier New" w:hAnsi="Courier New" w:cs="Courier New"/>
        </w:rPr>
        <w:t>64H.1.3(</w:t>
      </w:r>
      <w:proofErr w:type="gramEnd"/>
      <w:r w:rsidRPr="0024433C">
        <w:rPr>
          <w:rFonts w:ascii="Courier New" w:hAnsi="Courier New" w:cs="Courier New"/>
        </w:rPr>
        <w:t>1</w:t>
      </w:r>
      <w:r>
        <w:rPr>
          <w:rFonts w:ascii="Courier New" w:hAnsi="Courier New" w:cs="Courier New"/>
        </w:rPr>
        <w:t>4</w:t>
      </w:r>
      <w:r w:rsidRPr="0024433C">
        <w:rPr>
          <w:rFonts w:ascii="Courier New" w:hAnsi="Courier New" w:cs="Courier New"/>
        </w:rPr>
        <w:t>)</w:t>
      </w:r>
      <w:r>
        <w:rPr>
          <w:rFonts w:ascii="Courier New" w:hAnsi="Courier New" w:cs="Courier New"/>
        </w:rPr>
        <w:t>(a)</w:t>
      </w:r>
      <w:r w:rsidR="00EA5025">
        <w:rPr>
          <w:rFonts w:ascii="Courier New" w:hAnsi="Courier New" w:cs="Courier New"/>
        </w:rPr>
        <w:t>.</w:t>
      </w:r>
    </w:p>
    <w:p w14:paraId="496675F2" w14:textId="77777777" w:rsidR="009B0D91" w:rsidRDefault="009B0D91" w:rsidP="0024433C">
      <w:pPr>
        <w:spacing w:before="100" w:beforeAutospacing="1" w:after="100" w:afterAutospacing="1"/>
        <w:ind w:left="720" w:right="720"/>
        <w:contextualSpacing/>
        <w:jc w:val="both"/>
        <w:rPr>
          <w:rFonts w:ascii="Courier New" w:hAnsi="Courier New" w:cs="Courier New"/>
        </w:rPr>
      </w:pPr>
    </w:p>
    <w:p w14:paraId="7AC7905D" w14:textId="18CEA267" w:rsidR="009B0D91" w:rsidRDefault="009E3B1A" w:rsidP="00BD7AC3">
      <w:pPr>
        <w:spacing w:before="100" w:beforeAutospacing="1" w:after="100" w:afterAutospacing="1" w:line="480" w:lineRule="auto"/>
        <w:ind w:firstLine="720"/>
        <w:contextualSpacing/>
        <w:jc w:val="both"/>
        <w:rPr>
          <w:rFonts w:ascii="Courier New" w:hAnsi="Courier New" w:cs="Courier New"/>
        </w:rPr>
      </w:pPr>
      <w:r>
        <w:rPr>
          <w:rFonts w:ascii="Courier New" w:hAnsi="Courier New" w:cs="Courier New"/>
        </w:rPr>
        <w:t>T</w:t>
      </w:r>
      <w:r w:rsidR="009B0D91">
        <w:rPr>
          <w:rFonts w:ascii="Courier New" w:hAnsi="Courier New" w:cs="Courier New"/>
        </w:rPr>
        <w:t>he consumer in Example 2</w:t>
      </w:r>
      <w:r w:rsidR="0065476F">
        <w:rPr>
          <w:rFonts w:ascii="Courier New" w:hAnsi="Courier New" w:cs="Courier New"/>
        </w:rPr>
        <w:t xml:space="preserve"> may </w:t>
      </w:r>
      <w:r w:rsidR="009B0D91">
        <w:rPr>
          <w:rFonts w:ascii="Courier New" w:hAnsi="Courier New" w:cs="Courier New"/>
        </w:rPr>
        <w:t>access prewritten software</w:t>
      </w:r>
      <w:r w:rsidR="0065476F">
        <w:rPr>
          <w:rFonts w:ascii="Courier New" w:hAnsi="Courier New" w:cs="Courier New"/>
        </w:rPr>
        <w:t xml:space="preserve"> that resides on remote servers to achieve a </w:t>
      </w:r>
      <w:r>
        <w:rPr>
          <w:rFonts w:ascii="Courier New" w:hAnsi="Courier New" w:cs="Courier New"/>
        </w:rPr>
        <w:t xml:space="preserve">specific </w:t>
      </w:r>
      <w:r w:rsidR="0065476F">
        <w:rPr>
          <w:rFonts w:ascii="Courier New" w:hAnsi="Courier New" w:cs="Courier New"/>
        </w:rPr>
        <w:t>goal</w:t>
      </w:r>
      <w:r>
        <w:rPr>
          <w:rFonts w:ascii="Courier New" w:hAnsi="Courier New" w:cs="Courier New"/>
        </w:rPr>
        <w:t>, completion of her tax returns.</w:t>
      </w:r>
      <w:r w:rsidR="009B0D91">
        <w:rPr>
          <w:rFonts w:ascii="Courier New" w:hAnsi="Courier New" w:cs="Courier New"/>
        </w:rPr>
        <w:t xml:space="preserve"> </w:t>
      </w:r>
      <w:r w:rsidR="00B9223F">
        <w:rPr>
          <w:rFonts w:ascii="Courier New" w:hAnsi="Courier New" w:cs="Courier New"/>
        </w:rPr>
        <w:t xml:space="preserve">Similarly, </w:t>
      </w:r>
      <w:r w:rsidR="009B0D91">
        <w:rPr>
          <w:rFonts w:ascii="Courier New" w:hAnsi="Courier New" w:cs="Courier New"/>
        </w:rPr>
        <w:t xml:space="preserve">Citrix’s customers access </w:t>
      </w:r>
      <w:r w:rsidR="00B9223F">
        <w:rPr>
          <w:rFonts w:ascii="Courier New" w:hAnsi="Courier New" w:cs="Courier New"/>
        </w:rPr>
        <w:t xml:space="preserve">and use the </w:t>
      </w:r>
      <w:r w:rsidR="009B0D91">
        <w:rPr>
          <w:rFonts w:ascii="Courier New" w:hAnsi="Courier New" w:cs="Courier New"/>
        </w:rPr>
        <w:t>Online Products</w:t>
      </w:r>
      <w:r w:rsidR="00B9223F">
        <w:rPr>
          <w:rFonts w:ascii="Courier New" w:hAnsi="Courier New" w:cs="Courier New"/>
        </w:rPr>
        <w:t xml:space="preserve"> to achieve their goals, wh</w:t>
      </w:r>
      <w:r w:rsidR="00BD7AC3">
        <w:rPr>
          <w:rFonts w:ascii="Courier New" w:hAnsi="Courier New" w:cs="Courier New"/>
        </w:rPr>
        <w:t>ich include</w:t>
      </w:r>
      <w:r w:rsidR="00B9223F">
        <w:rPr>
          <w:rFonts w:ascii="Courier New" w:hAnsi="Courier New" w:cs="Courier New"/>
        </w:rPr>
        <w:t xml:space="preserve"> remote computer access, shared</w:t>
      </w:r>
      <w:r w:rsidR="00BD7AC3">
        <w:rPr>
          <w:rFonts w:ascii="Courier New" w:hAnsi="Courier New" w:cs="Courier New"/>
        </w:rPr>
        <w:t>-</w:t>
      </w:r>
      <w:r w:rsidR="00B9223F">
        <w:rPr>
          <w:rFonts w:ascii="Courier New" w:hAnsi="Courier New" w:cs="Courier New"/>
        </w:rPr>
        <w:t>screen technical support</w:t>
      </w:r>
      <w:r w:rsidR="00BD7AC3">
        <w:rPr>
          <w:rFonts w:ascii="Courier New" w:hAnsi="Courier New" w:cs="Courier New"/>
        </w:rPr>
        <w:t>, and</w:t>
      </w:r>
      <w:r w:rsidR="00B9223F">
        <w:rPr>
          <w:rFonts w:ascii="Courier New" w:hAnsi="Courier New" w:cs="Courier New"/>
        </w:rPr>
        <w:t xml:space="preserve"> web conferencing. </w:t>
      </w:r>
      <w:r w:rsidR="000707D5">
        <w:rPr>
          <w:rFonts w:ascii="Courier New" w:hAnsi="Courier New" w:cs="Courier New"/>
        </w:rPr>
        <w:t>In each case, it is the functionality of standardized software that customers seek</w:t>
      </w:r>
      <w:r w:rsidR="004117B4">
        <w:rPr>
          <w:rFonts w:ascii="Courier New" w:hAnsi="Courier New" w:cs="Courier New"/>
        </w:rPr>
        <w:t xml:space="preserve"> and </w:t>
      </w:r>
      <w:r w:rsidR="008F323B">
        <w:rPr>
          <w:rFonts w:ascii="Courier New" w:hAnsi="Courier New" w:cs="Courier New"/>
        </w:rPr>
        <w:t>that</w:t>
      </w:r>
      <w:r w:rsidR="004117B4">
        <w:rPr>
          <w:rFonts w:ascii="Courier New" w:hAnsi="Courier New" w:cs="Courier New"/>
        </w:rPr>
        <w:t xml:space="preserve"> enables them to complete specific tasks</w:t>
      </w:r>
      <w:r w:rsidR="000707D5">
        <w:rPr>
          <w:rFonts w:ascii="Courier New" w:hAnsi="Courier New" w:cs="Courier New"/>
        </w:rPr>
        <w:t>.</w:t>
      </w:r>
      <w:r w:rsidR="009B0D91">
        <w:rPr>
          <w:rFonts w:ascii="Courier New" w:hAnsi="Courier New" w:cs="Courier New"/>
        </w:rPr>
        <w:t xml:space="preserve"> </w:t>
      </w:r>
    </w:p>
    <w:p w14:paraId="661835CD" w14:textId="700B54F3" w:rsidR="000707D5" w:rsidRDefault="000707D5" w:rsidP="008B239F">
      <w:pPr>
        <w:spacing w:before="100" w:beforeAutospacing="1" w:after="100" w:afterAutospacing="1" w:line="480" w:lineRule="auto"/>
        <w:contextualSpacing/>
        <w:jc w:val="both"/>
        <w:rPr>
          <w:rFonts w:ascii="Courier New" w:hAnsi="Courier New" w:cs="Courier New"/>
        </w:rPr>
      </w:pPr>
      <w:r>
        <w:rPr>
          <w:rFonts w:ascii="Courier New" w:hAnsi="Courier New" w:cs="Courier New"/>
        </w:rPr>
        <w:tab/>
        <w:t xml:space="preserve">Finally, the Board acknowledges that Citrix’s various written materials refer to the Online </w:t>
      </w:r>
      <w:r w:rsidR="00BD7AC3">
        <w:rPr>
          <w:rFonts w:ascii="Courier New" w:hAnsi="Courier New" w:cs="Courier New"/>
        </w:rPr>
        <w:t>P</w:t>
      </w:r>
      <w:r>
        <w:rPr>
          <w:rFonts w:ascii="Courier New" w:hAnsi="Courier New" w:cs="Courier New"/>
        </w:rPr>
        <w:t xml:space="preserve">roducts as services, and that Mr. </w:t>
      </w:r>
      <w:proofErr w:type="spellStart"/>
      <w:r>
        <w:rPr>
          <w:rFonts w:ascii="Courier New" w:hAnsi="Courier New" w:cs="Courier New"/>
        </w:rPr>
        <w:t>Kanwar</w:t>
      </w:r>
      <w:proofErr w:type="spellEnd"/>
      <w:r w:rsidR="00BD7AC3">
        <w:rPr>
          <w:rFonts w:ascii="Courier New" w:hAnsi="Courier New" w:cs="Courier New"/>
        </w:rPr>
        <w:t>, a high-level Citrix employee, views the products as services.</w:t>
      </w:r>
      <w:r>
        <w:rPr>
          <w:rFonts w:ascii="Courier New" w:hAnsi="Courier New" w:cs="Courier New"/>
        </w:rPr>
        <w:t xml:space="preserve"> </w:t>
      </w:r>
      <w:r w:rsidR="000E4FE9">
        <w:rPr>
          <w:rFonts w:ascii="Courier New" w:hAnsi="Courier New" w:cs="Courier New"/>
        </w:rPr>
        <w:t>However, the</w:t>
      </w:r>
      <w:r w:rsidR="001E7B36">
        <w:rPr>
          <w:rFonts w:ascii="Courier New" w:hAnsi="Courier New" w:cs="Courier New"/>
        </w:rPr>
        <w:t xml:space="preserve">se facts </w:t>
      </w:r>
      <w:r w:rsidR="000E4FE9">
        <w:rPr>
          <w:rFonts w:ascii="Courier New" w:hAnsi="Courier New" w:cs="Courier New"/>
        </w:rPr>
        <w:t xml:space="preserve">must be </w:t>
      </w:r>
      <w:r w:rsidR="001E7B36">
        <w:rPr>
          <w:rFonts w:ascii="Courier New" w:hAnsi="Courier New" w:cs="Courier New"/>
        </w:rPr>
        <w:t>considered</w:t>
      </w:r>
      <w:r w:rsidR="000E4FE9">
        <w:rPr>
          <w:rFonts w:ascii="Courier New" w:hAnsi="Courier New" w:cs="Courier New"/>
        </w:rPr>
        <w:t xml:space="preserve"> in the broader context of all available facts</w:t>
      </w:r>
      <w:r w:rsidR="00080DE8">
        <w:rPr>
          <w:rFonts w:ascii="Courier New" w:hAnsi="Courier New" w:cs="Courier New"/>
        </w:rPr>
        <w:t xml:space="preserve"> in these appeals. In this regard, the evidence establishe</w:t>
      </w:r>
      <w:r w:rsidR="001E7B36">
        <w:rPr>
          <w:rFonts w:ascii="Courier New" w:hAnsi="Courier New" w:cs="Courier New"/>
        </w:rPr>
        <w:t>d</w:t>
      </w:r>
      <w:r w:rsidR="00080DE8">
        <w:rPr>
          <w:rFonts w:ascii="Courier New" w:hAnsi="Courier New" w:cs="Courier New"/>
        </w:rPr>
        <w:t xml:space="preserve"> that </w:t>
      </w:r>
      <w:r w:rsidR="002D0BA5">
        <w:rPr>
          <w:rFonts w:ascii="Courier New" w:hAnsi="Courier New" w:cs="Courier New"/>
        </w:rPr>
        <w:t xml:space="preserve">the basic purpose of </w:t>
      </w:r>
      <w:r w:rsidR="00080DE8">
        <w:rPr>
          <w:rFonts w:ascii="Courier New" w:hAnsi="Courier New" w:cs="Courier New"/>
        </w:rPr>
        <w:t xml:space="preserve">Citrix’s customers </w:t>
      </w:r>
      <w:r w:rsidR="00080DE8">
        <w:rPr>
          <w:rFonts w:ascii="Courier New" w:hAnsi="Courier New" w:cs="Courier New"/>
          <w:color w:val="333333"/>
          <w:shd w:val="clear" w:color="auto" w:fill="FFFFFF"/>
        </w:rPr>
        <w:t xml:space="preserve">in purchasing one or more of the Online Products </w:t>
      </w:r>
      <w:r w:rsidR="00D506BF">
        <w:rPr>
          <w:rFonts w:ascii="Courier New" w:hAnsi="Courier New" w:cs="Courier New"/>
          <w:color w:val="333333"/>
          <w:shd w:val="clear" w:color="auto" w:fill="FFFFFF"/>
        </w:rPr>
        <w:t xml:space="preserve">is </w:t>
      </w:r>
      <w:r w:rsidR="00080DE8">
        <w:rPr>
          <w:rFonts w:ascii="Courier New" w:hAnsi="Courier New" w:cs="Courier New"/>
          <w:color w:val="333333"/>
          <w:shd w:val="clear" w:color="auto" w:fill="FFFFFF"/>
        </w:rPr>
        <w:t xml:space="preserve">to acquire access to and use of </w:t>
      </w:r>
      <w:r w:rsidR="00EA5025">
        <w:rPr>
          <w:rFonts w:ascii="Courier New" w:hAnsi="Courier New" w:cs="Courier New"/>
          <w:color w:val="333333"/>
          <w:shd w:val="clear" w:color="auto" w:fill="FFFFFF"/>
        </w:rPr>
        <w:t xml:space="preserve">the </w:t>
      </w:r>
      <w:r w:rsidR="00AD3F9C">
        <w:rPr>
          <w:rFonts w:ascii="Courier New" w:hAnsi="Courier New" w:cs="Courier New"/>
          <w:color w:val="333333"/>
          <w:shd w:val="clear" w:color="auto" w:fill="FFFFFF"/>
        </w:rPr>
        <w:t>p</w:t>
      </w:r>
      <w:r w:rsidR="00080DE8">
        <w:rPr>
          <w:rFonts w:ascii="Courier New" w:hAnsi="Courier New" w:cs="Courier New"/>
          <w:color w:val="333333"/>
          <w:shd w:val="clear" w:color="auto" w:fill="FFFFFF"/>
        </w:rPr>
        <w:t>roduct</w:t>
      </w:r>
      <w:r w:rsidR="00AD3F9C">
        <w:rPr>
          <w:rFonts w:ascii="Courier New" w:hAnsi="Courier New" w:cs="Courier New"/>
          <w:color w:val="333333"/>
          <w:shd w:val="clear" w:color="auto" w:fill="FFFFFF"/>
        </w:rPr>
        <w:t>(</w:t>
      </w:r>
      <w:r w:rsidR="00080DE8">
        <w:rPr>
          <w:rFonts w:ascii="Courier New" w:hAnsi="Courier New" w:cs="Courier New"/>
          <w:color w:val="333333"/>
          <w:shd w:val="clear" w:color="auto" w:fill="FFFFFF"/>
        </w:rPr>
        <w:t>s</w:t>
      </w:r>
      <w:r w:rsidR="00AD3F9C">
        <w:rPr>
          <w:rFonts w:ascii="Courier New" w:hAnsi="Courier New" w:cs="Courier New"/>
          <w:color w:val="333333"/>
          <w:shd w:val="clear" w:color="auto" w:fill="FFFFFF"/>
        </w:rPr>
        <w:t>)</w:t>
      </w:r>
      <w:r w:rsidR="00080DE8">
        <w:rPr>
          <w:rFonts w:ascii="Courier New" w:hAnsi="Courier New" w:cs="Courier New"/>
          <w:color w:val="333333"/>
          <w:shd w:val="clear" w:color="auto" w:fill="FFFFFF"/>
        </w:rPr>
        <w:t>, each of which constitute</w:t>
      </w:r>
      <w:r w:rsidR="00AD3F9C">
        <w:rPr>
          <w:rFonts w:ascii="Courier New" w:hAnsi="Courier New" w:cs="Courier New"/>
          <w:color w:val="333333"/>
          <w:shd w:val="clear" w:color="auto" w:fill="FFFFFF"/>
        </w:rPr>
        <w:t>s</w:t>
      </w:r>
      <w:r w:rsidR="00080DE8">
        <w:rPr>
          <w:rFonts w:ascii="Courier New" w:hAnsi="Courier New" w:cs="Courier New"/>
          <w:color w:val="333333"/>
          <w:shd w:val="clear" w:color="auto" w:fill="FFFFFF"/>
        </w:rPr>
        <w:t xml:space="preserve"> </w:t>
      </w:r>
      <w:r w:rsidR="00080DE8">
        <w:rPr>
          <w:rFonts w:ascii="Courier New" w:hAnsi="Courier New" w:cs="Courier New"/>
          <w:color w:val="333333"/>
          <w:shd w:val="clear" w:color="auto" w:fill="FFFFFF"/>
        </w:rPr>
        <w:lastRenderedPageBreak/>
        <w:t xml:space="preserve">standardized computer software </w:t>
      </w:r>
      <w:r w:rsidR="00AD3F9C">
        <w:rPr>
          <w:rFonts w:ascii="Courier New" w:hAnsi="Courier New" w:cs="Courier New"/>
          <w:color w:val="333333"/>
          <w:shd w:val="clear" w:color="auto" w:fill="FFFFFF"/>
        </w:rPr>
        <w:t>as contemplated by</w:t>
      </w:r>
      <w:r w:rsidR="00080DE8">
        <w:rPr>
          <w:rFonts w:ascii="Courier New" w:hAnsi="Courier New" w:cs="Courier New"/>
          <w:color w:val="333333"/>
          <w:shd w:val="clear" w:color="auto" w:fill="FFFFFF"/>
        </w:rPr>
        <w:t xml:space="preserve"> Chapter 64H.</w:t>
      </w:r>
      <w:r w:rsidR="00080DE8">
        <w:rPr>
          <w:rFonts w:ascii="Courier New" w:hAnsi="Courier New" w:cs="Courier New"/>
        </w:rPr>
        <w:t xml:space="preserve">  </w:t>
      </w:r>
      <w:r w:rsidR="000E4FE9">
        <w:rPr>
          <w:rFonts w:ascii="Courier New" w:hAnsi="Courier New" w:cs="Courier New"/>
        </w:rPr>
        <w:t xml:space="preserve"> </w:t>
      </w:r>
    </w:p>
    <w:p w14:paraId="149C5B5D" w14:textId="3CC7B0D7" w:rsidR="00D506BF" w:rsidRDefault="0065096F" w:rsidP="00D025F7">
      <w:pPr>
        <w:spacing w:line="480" w:lineRule="auto"/>
        <w:ind w:firstLine="720"/>
        <w:contextualSpacing/>
        <w:jc w:val="both"/>
        <w:rPr>
          <w:rFonts w:ascii="Courier New" w:hAnsi="Courier New" w:cs="Courier New"/>
        </w:rPr>
      </w:pPr>
      <w:r>
        <w:rPr>
          <w:rFonts w:ascii="Courier New" w:hAnsi="Courier New" w:cs="Courier New"/>
        </w:rPr>
        <w:t xml:space="preserve">In sum, the Board found and ruled that the Online Products constitute standardized software within the meaning of Chapter 64H; the </w:t>
      </w:r>
      <w:r w:rsidR="00B55906">
        <w:rPr>
          <w:rFonts w:ascii="Courier New" w:hAnsi="Courier New" w:cs="Courier New"/>
        </w:rPr>
        <w:t xml:space="preserve">Regulation’s </w:t>
      </w:r>
      <w:r w:rsidR="00DC7868">
        <w:rPr>
          <w:rFonts w:ascii="Courier New" w:hAnsi="Courier New" w:cs="Courier New"/>
        </w:rPr>
        <w:t>defin</w:t>
      </w:r>
      <w:r w:rsidR="00B55906">
        <w:rPr>
          <w:rFonts w:ascii="Courier New" w:hAnsi="Courier New" w:cs="Courier New"/>
        </w:rPr>
        <w:t>ition of</w:t>
      </w:r>
      <w:r w:rsidR="00DC7868">
        <w:rPr>
          <w:rFonts w:ascii="Courier New" w:hAnsi="Courier New" w:cs="Courier New"/>
        </w:rPr>
        <w:t xml:space="preserve"> a sale as including “</w:t>
      </w:r>
      <w:r w:rsidR="00DC7868" w:rsidRPr="00E73647">
        <w:rPr>
          <w:rFonts w:ascii="Courier New" w:hAnsi="Courier New" w:cs="Courier New"/>
        </w:rPr>
        <w:t>transfers of rights to use software installed on a remote server</w:t>
      </w:r>
      <w:r w:rsidR="00DC7868">
        <w:rPr>
          <w:rFonts w:ascii="Courier New" w:hAnsi="Courier New" w:cs="Courier New"/>
        </w:rPr>
        <w:t>”</w:t>
      </w:r>
      <w:r w:rsidR="00B55906">
        <w:rPr>
          <w:rFonts w:ascii="Courier New" w:hAnsi="Courier New" w:cs="Courier New"/>
        </w:rPr>
        <w:t xml:space="preserve"> was within the scope of Chapter 64H</w:t>
      </w:r>
      <w:r w:rsidR="008F363A">
        <w:rPr>
          <w:rFonts w:ascii="Courier New" w:hAnsi="Courier New" w:cs="Courier New"/>
        </w:rPr>
        <w:t xml:space="preserve">; the </w:t>
      </w:r>
      <w:r w:rsidR="00B55906">
        <w:rPr>
          <w:rFonts w:ascii="Courier New" w:hAnsi="Courier New" w:cs="Courier New"/>
        </w:rPr>
        <w:t>Regulation</w:t>
      </w:r>
      <w:r w:rsidR="008F363A">
        <w:rPr>
          <w:rFonts w:ascii="Courier New" w:hAnsi="Courier New" w:cs="Courier New"/>
        </w:rPr>
        <w:t>’s definition</w:t>
      </w:r>
      <w:r w:rsidR="004D33B3">
        <w:rPr>
          <w:rFonts w:ascii="Courier New" w:hAnsi="Courier New" w:cs="Courier New"/>
        </w:rPr>
        <w:t xml:space="preserve"> of a sale</w:t>
      </w:r>
      <w:r w:rsidR="008F363A">
        <w:rPr>
          <w:rFonts w:ascii="Courier New" w:hAnsi="Courier New" w:cs="Courier New"/>
        </w:rPr>
        <w:t xml:space="preserve"> accurately </w:t>
      </w:r>
      <w:r w:rsidR="00474685">
        <w:rPr>
          <w:rFonts w:ascii="Courier New" w:hAnsi="Courier New" w:cs="Courier New"/>
        </w:rPr>
        <w:t>describes</w:t>
      </w:r>
      <w:r w:rsidR="008F363A">
        <w:rPr>
          <w:rFonts w:ascii="Courier New" w:hAnsi="Courier New" w:cs="Courier New"/>
        </w:rPr>
        <w:t xml:space="preserve"> the sales at issue in these appeals</w:t>
      </w:r>
      <w:r w:rsidR="00DC7868">
        <w:rPr>
          <w:rFonts w:ascii="Courier New" w:hAnsi="Courier New" w:cs="Courier New"/>
        </w:rPr>
        <w:t xml:space="preserve">; and the sales at issue were sales of tangible personal property and not services. </w:t>
      </w:r>
      <w:r w:rsidR="00D025F7">
        <w:rPr>
          <w:rFonts w:ascii="Courier New" w:hAnsi="Courier New" w:cs="Courier New"/>
        </w:rPr>
        <w:t xml:space="preserve">Based </w:t>
      </w:r>
      <w:r w:rsidR="00C76F93">
        <w:rPr>
          <w:rFonts w:ascii="Courier New" w:hAnsi="Courier New" w:cs="Courier New"/>
        </w:rPr>
        <w:t xml:space="preserve">on </w:t>
      </w:r>
      <w:r w:rsidR="00DC7868">
        <w:rPr>
          <w:rFonts w:ascii="Courier New" w:hAnsi="Courier New" w:cs="Courier New"/>
        </w:rPr>
        <w:t xml:space="preserve">these conclusions and the record as a whole, </w:t>
      </w:r>
      <w:r w:rsidR="00D025F7">
        <w:rPr>
          <w:rFonts w:ascii="Courier New" w:hAnsi="Courier New" w:cs="Courier New"/>
        </w:rPr>
        <w:t xml:space="preserve">the Board found and ruled that </w:t>
      </w:r>
      <w:r w:rsidR="00474685">
        <w:rPr>
          <w:rFonts w:ascii="Courier New" w:hAnsi="Courier New" w:cs="Courier New"/>
        </w:rPr>
        <w:t xml:space="preserve">Citrix’s </w:t>
      </w:r>
      <w:r w:rsidR="00D025F7">
        <w:rPr>
          <w:rFonts w:ascii="Courier New" w:hAnsi="Courier New" w:cs="Courier New"/>
        </w:rPr>
        <w:t xml:space="preserve">sales of the Online Products </w:t>
      </w:r>
      <w:r w:rsidR="00474685">
        <w:rPr>
          <w:rFonts w:ascii="Courier New" w:hAnsi="Courier New" w:cs="Courier New"/>
        </w:rPr>
        <w:t>w</w:t>
      </w:r>
      <w:r w:rsidR="00D025F7">
        <w:rPr>
          <w:rFonts w:ascii="Courier New" w:hAnsi="Courier New" w:cs="Courier New"/>
        </w:rPr>
        <w:t>ere subject to the sales tax pursuant to G.L. c. 64H, §§ 1</w:t>
      </w:r>
      <w:r w:rsidR="008F363A">
        <w:rPr>
          <w:rFonts w:ascii="Courier New" w:hAnsi="Courier New" w:cs="Courier New"/>
        </w:rPr>
        <w:t xml:space="preserve"> and </w:t>
      </w:r>
      <w:r w:rsidR="00D025F7">
        <w:rPr>
          <w:rFonts w:ascii="Courier New" w:hAnsi="Courier New" w:cs="Courier New"/>
        </w:rPr>
        <w:t>2. Accordingly, the Board issued decision</w:t>
      </w:r>
      <w:r w:rsidR="002D0BA5">
        <w:rPr>
          <w:rFonts w:ascii="Courier New" w:hAnsi="Courier New" w:cs="Courier New"/>
        </w:rPr>
        <w:t>s</w:t>
      </w:r>
      <w:r w:rsidR="00D025F7">
        <w:rPr>
          <w:rFonts w:ascii="Courier New" w:hAnsi="Courier New" w:cs="Courier New"/>
        </w:rPr>
        <w:t xml:space="preserve"> for the appellee in th</w:t>
      </w:r>
      <w:r w:rsidR="004D33B3">
        <w:rPr>
          <w:rFonts w:ascii="Courier New" w:hAnsi="Courier New" w:cs="Courier New"/>
        </w:rPr>
        <w:t>ese</w:t>
      </w:r>
      <w:r w:rsidR="00D025F7">
        <w:rPr>
          <w:rFonts w:ascii="Courier New" w:hAnsi="Courier New" w:cs="Courier New"/>
        </w:rPr>
        <w:t xml:space="preserve"> appeal</w:t>
      </w:r>
      <w:r w:rsidR="004D33B3">
        <w:rPr>
          <w:rFonts w:ascii="Courier New" w:hAnsi="Courier New" w:cs="Courier New"/>
        </w:rPr>
        <w:t>s</w:t>
      </w:r>
      <w:r w:rsidR="00D025F7">
        <w:rPr>
          <w:rFonts w:ascii="Courier New" w:hAnsi="Courier New" w:cs="Courier New"/>
        </w:rPr>
        <w:t>.</w:t>
      </w:r>
    </w:p>
    <w:p w14:paraId="6E188777" w14:textId="6E667DCA" w:rsidR="00D025F7" w:rsidRDefault="00D025F7" w:rsidP="00DC7868">
      <w:pPr>
        <w:spacing w:line="480" w:lineRule="auto"/>
        <w:ind w:firstLine="720"/>
        <w:jc w:val="both"/>
        <w:rPr>
          <w:rFonts w:ascii="Courier New" w:hAnsi="Courier New"/>
          <w:b/>
        </w:rPr>
      </w:pPr>
      <w:r w:rsidRPr="001610C2">
        <w:rPr>
          <w:rFonts w:ascii="Courier New" w:hAnsi="Courier New"/>
        </w:rPr>
        <w:tab/>
      </w:r>
      <w:r w:rsidRPr="001610C2">
        <w:rPr>
          <w:rFonts w:ascii="Courier New" w:hAnsi="Courier New"/>
        </w:rPr>
        <w:tab/>
      </w:r>
      <w:r w:rsidRPr="001610C2">
        <w:rPr>
          <w:rFonts w:ascii="Courier New" w:hAnsi="Courier New"/>
        </w:rPr>
        <w:tab/>
      </w:r>
      <w:r>
        <w:rPr>
          <w:rFonts w:ascii="Courier New" w:hAnsi="Courier New"/>
        </w:rPr>
        <w:tab/>
      </w:r>
      <w:r w:rsidRPr="00AE3DBC">
        <w:rPr>
          <w:rFonts w:ascii="Courier New" w:hAnsi="Courier New"/>
          <w:b/>
        </w:rPr>
        <w:t>THE</w:t>
      </w:r>
      <w:r>
        <w:rPr>
          <w:rFonts w:ascii="Courier New" w:hAnsi="Courier New"/>
        </w:rPr>
        <w:t xml:space="preserve"> </w:t>
      </w:r>
      <w:r w:rsidRPr="00DC5970">
        <w:rPr>
          <w:rFonts w:ascii="Courier New" w:hAnsi="Courier New"/>
          <w:b/>
        </w:rPr>
        <w:t>A</w:t>
      </w:r>
      <w:r w:rsidRPr="001610C2">
        <w:rPr>
          <w:rFonts w:ascii="Courier New" w:hAnsi="Courier New"/>
          <w:b/>
        </w:rPr>
        <w:t>PPELLATE TAX BOARD</w:t>
      </w:r>
    </w:p>
    <w:p w14:paraId="3E11C682" w14:textId="77777777" w:rsidR="00D025F7" w:rsidRPr="001610C2" w:rsidRDefault="00D025F7" w:rsidP="00D025F7">
      <w:pPr>
        <w:spacing w:line="480" w:lineRule="auto"/>
        <w:jc w:val="both"/>
        <w:rPr>
          <w:rFonts w:ascii="Courier New" w:hAnsi="Courier New"/>
          <w:b/>
        </w:rPr>
      </w:pPr>
      <w:r w:rsidRPr="001610C2">
        <w:rPr>
          <w:rFonts w:ascii="Courier New" w:hAnsi="Courier New"/>
          <w:b/>
        </w:rPr>
        <w:tab/>
      </w:r>
      <w:r w:rsidRPr="001610C2">
        <w:rPr>
          <w:rFonts w:ascii="Courier New" w:hAnsi="Courier New"/>
          <w:b/>
        </w:rPr>
        <w:tab/>
      </w:r>
    </w:p>
    <w:p w14:paraId="4AF940D1" w14:textId="77777777" w:rsidR="00D025F7" w:rsidRDefault="00D025F7" w:rsidP="00D025F7">
      <w:pPr>
        <w:ind w:left="2880"/>
        <w:jc w:val="both"/>
        <w:rPr>
          <w:rFonts w:ascii="Courier New" w:hAnsi="Courier New"/>
          <w:b/>
        </w:rPr>
      </w:pPr>
    </w:p>
    <w:p w14:paraId="573878BA" w14:textId="77777777" w:rsidR="00D025F7" w:rsidRPr="001610C2" w:rsidRDefault="00D025F7" w:rsidP="00D025F7">
      <w:pPr>
        <w:ind w:left="2880"/>
        <w:jc w:val="both"/>
        <w:rPr>
          <w:rFonts w:ascii="Courier New" w:hAnsi="Courier New"/>
          <w:b/>
        </w:rPr>
      </w:pPr>
      <w:r w:rsidRPr="001610C2">
        <w:rPr>
          <w:rFonts w:ascii="Courier New" w:hAnsi="Courier New"/>
          <w:b/>
        </w:rPr>
        <w:t>By:</w:t>
      </w:r>
      <w:r>
        <w:rPr>
          <w:rFonts w:ascii="Courier New" w:hAnsi="Courier New"/>
          <w:b/>
        </w:rPr>
        <w:t xml:space="preserve"> </w:t>
      </w:r>
      <w:r w:rsidRPr="001610C2">
        <w:rPr>
          <w:rFonts w:ascii="Courier New" w:hAnsi="Courier New"/>
          <w:b/>
        </w:rPr>
        <w:t xml:space="preserve"> ___________________</w:t>
      </w:r>
      <w:r>
        <w:rPr>
          <w:rFonts w:ascii="Courier New" w:hAnsi="Courier New"/>
          <w:b/>
        </w:rPr>
        <w:t>____</w:t>
      </w:r>
      <w:r w:rsidRPr="001610C2">
        <w:rPr>
          <w:rFonts w:ascii="Courier New" w:hAnsi="Courier New"/>
          <w:b/>
        </w:rPr>
        <w:t>_____</w:t>
      </w:r>
      <w:r>
        <w:rPr>
          <w:rFonts w:ascii="Courier New" w:hAnsi="Courier New"/>
          <w:b/>
        </w:rPr>
        <w:t>___</w:t>
      </w:r>
      <w:r w:rsidRPr="001610C2">
        <w:rPr>
          <w:rFonts w:ascii="Courier New" w:hAnsi="Courier New"/>
          <w:b/>
        </w:rPr>
        <w:t>__</w:t>
      </w:r>
    </w:p>
    <w:p w14:paraId="2C7C5981" w14:textId="77777777" w:rsidR="00D025F7" w:rsidRDefault="00D025F7" w:rsidP="00D025F7">
      <w:pPr>
        <w:pStyle w:val="Heading1"/>
        <w:jc w:val="both"/>
      </w:pPr>
      <w:r>
        <w:tab/>
        <w:t xml:space="preserve">     Thomas W. Hammond, Jr., Chairman</w:t>
      </w:r>
    </w:p>
    <w:p w14:paraId="39826CDA" w14:textId="77777777" w:rsidR="00D025F7" w:rsidRPr="00505A6B" w:rsidRDefault="00D025F7" w:rsidP="00D025F7"/>
    <w:p w14:paraId="1271E66F" w14:textId="77777777" w:rsidR="00E16C7C" w:rsidRDefault="00E16C7C" w:rsidP="00E16C7C">
      <w:pPr>
        <w:spacing w:line="480" w:lineRule="auto"/>
        <w:jc w:val="both"/>
        <w:rPr>
          <w:rFonts w:ascii="Courier New" w:hAnsi="Courier New"/>
          <w:b/>
        </w:rPr>
      </w:pPr>
    </w:p>
    <w:p w14:paraId="70E1E0AF" w14:textId="77777777" w:rsidR="008B20F7" w:rsidRPr="001610C2" w:rsidRDefault="008B20F7" w:rsidP="008B20F7">
      <w:pPr>
        <w:spacing w:line="480" w:lineRule="auto"/>
        <w:jc w:val="both"/>
        <w:rPr>
          <w:rFonts w:ascii="Courier New" w:hAnsi="Courier New"/>
          <w:b/>
        </w:rPr>
      </w:pPr>
      <w:r w:rsidRPr="001610C2">
        <w:rPr>
          <w:rFonts w:ascii="Courier New" w:hAnsi="Courier New"/>
          <w:b/>
        </w:rPr>
        <w:t>A true copy,</w:t>
      </w:r>
    </w:p>
    <w:p w14:paraId="24758553" w14:textId="77777777" w:rsidR="008B20F7" w:rsidRPr="001610C2" w:rsidRDefault="008B20F7" w:rsidP="008B20F7">
      <w:pPr>
        <w:jc w:val="both"/>
        <w:rPr>
          <w:rFonts w:ascii="Courier New" w:hAnsi="Courier New"/>
          <w:b/>
        </w:rPr>
      </w:pPr>
      <w:r w:rsidRPr="001610C2">
        <w:rPr>
          <w:rFonts w:ascii="Courier New" w:hAnsi="Courier New"/>
          <w:b/>
        </w:rPr>
        <w:t>Attest: _____________</w:t>
      </w:r>
      <w:r>
        <w:rPr>
          <w:rFonts w:ascii="Courier New" w:hAnsi="Courier New"/>
          <w:b/>
        </w:rPr>
        <w:t>____</w:t>
      </w:r>
      <w:r w:rsidRPr="001610C2">
        <w:rPr>
          <w:rFonts w:ascii="Courier New" w:hAnsi="Courier New"/>
          <w:b/>
        </w:rPr>
        <w:t>______</w:t>
      </w:r>
    </w:p>
    <w:p w14:paraId="4B887C45" w14:textId="77777777" w:rsidR="008B20F7" w:rsidRDefault="008B20F7" w:rsidP="008B20F7">
      <w:pPr>
        <w:jc w:val="both"/>
        <w:rPr>
          <w:rFonts w:ascii="Courier New" w:hAnsi="Courier New" w:cs="Courier New"/>
          <w:color w:val="373739"/>
        </w:rPr>
      </w:pPr>
      <w:r w:rsidRPr="001610C2">
        <w:tab/>
        <w:t xml:space="preserve">   </w:t>
      </w:r>
      <w:r>
        <w:t xml:space="preserve">     </w:t>
      </w:r>
      <w:r w:rsidRPr="005551AD">
        <w:rPr>
          <w:rFonts w:ascii="Courier New" w:hAnsi="Courier New" w:cs="Courier New"/>
          <w:b/>
        </w:rPr>
        <w:t>Clerk of the Board</w:t>
      </w:r>
    </w:p>
    <w:p w14:paraId="5EDB0D5C" w14:textId="77777777" w:rsidR="00D506BF" w:rsidRDefault="00D506BF" w:rsidP="00D025F7">
      <w:pPr>
        <w:spacing w:line="480" w:lineRule="auto"/>
        <w:jc w:val="both"/>
        <w:rPr>
          <w:rFonts w:ascii="Courier New" w:hAnsi="Courier New"/>
          <w:b/>
        </w:rPr>
      </w:pPr>
    </w:p>
    <w:sectPr w:rsidR="00D506BF" w:rsidSect="00E16C7C">
      <w:footerReference w:type="even" r:id="rId9"/>
      <w:footerReference w:type="default" r:id="rId10"/>
      <w:pgSz w:w="12240" w:h="15840"/>
      <w:pgMar w:top="1440" w:right="1800" w:bottom="1440" w:left="1800" w:header="720" w:footer="576" w:gutter="0"/>
      <w:pgNumType w:start="53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1F3E9" w14:textId="77777777" w:rsidR="00E85464" w:rsidRDefault="00E85464">
      <w:r>
        <w:separator/>
      </w:r>
    </w:p>
  </w:endnote>
  <w:endnote w:type="continuationSeparator" w:id="0">
    <w:p w14:paraId="727ECB38" w14:textId="77777777" w:rsidR="00E85464" w:rsidRDefault="00E85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0043F" w14:textId="77777777" w:rsidR="00E85464" w:rsidRDefault="00E85464" w:rsidP="00042291">
    <w:pPr>
      <w:pStyle w:val="Footer"/>
      <w:framePr w:wrap="around" w:vAnchor="text" w:hAnchor="margin" w:xAlign="center" w:y="1"/>
      <w:rPr>
        <w:rStyle w:val="PageNumber0"/>
      </w:rPr>
    </w:pPr>
    <w:r>
      <w:rPr>
        <w:rStyle w:val="PageNumber0"/>
      </w:rPr>
      <w:fldChar w:fldCharType="begin"/>
    </w:r>
    <w:r>
      <w:rPr>
        <w:rStyle w:val="PageNumber0"/>
      </w:rPr>
      <w:instrText xml:space="preserve">PAGE  </w:instrText>
    </w:r>
    <w:r>
      <w:rPr>
        <w:rStyle w:val="PageNumber0"/>
      </w:rPr>
      <w:fldChar w:fldCharType="end"/>
    </w:r>
  </w:p>
  <w:p w14:paraId="7884D804" w14:textId="77777777" w:rsidR="00E85464" w:rsidRDefault="00E854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BF97" w14:textId="13AEF0B1" w:rsidR="00E85464" w:rsidRPr="00E16C7C" w:rsidRDefault="00E16C7C" w:rsidP="00042291">
    <w:pPr>
      <w:pStyle w:val="Footer"/>
      <w:framePr w:wrap="around" w:vAnchor="text" w:hAnchor="margin" w:xAlign="center" w:y="1"/>
      <w:rPr>
        <w:rStyle w:val="PageNumber0"/>
        <w:rFonts w:ascii="Courier New" w:hAnsi="Courier New" w:cs="Courier New"/>
        <w:b/>
      </w:rPr>
    </w:pPr>
    <w:r w:rsidRPr="00E16C7C">
      <w:rPr>
        <w:rStyle w:val="PageNumber0"/>
        <w:rFonts w:ascii="Courier New" w:hAnsi="Courier New" w:cs="Courier New"/>
        <w:b/>
      </w:rPr>
      <w:t>ATB 2018-</w:t>
    </w:r>
    <w:r w:rsidR="00E85464" w:rsidRPr="00E16C7C">
      <w:rPr>
        <w:rStyle w:val="PageNumber0"/>
        <w:rFonts w:ascii="Courier New" w:hAnsi="Courier New" w:cs="Courier New"/>
        <w:b/>
      </w:rPr>
      <w:fldChar w:fldCharType="begin"/>
    </w:r>
    <w:r w:rsidR="00E85464" w:rsidRPr="00E16C7C">
      <w:rPr>
        <w:rStyle w:val="PageNumber0"/>
        <w:rFonts w:ascii="Courier New" w:hAnsi="Courier New" w:cs="Courier New"/>
        <w:b/>
      </w:rPr>
      <w:instrText xml:space="preserve">PAGE  </w:instrText>
    </w:r>
    <w:r w:rsidR="00E85464" w:rsidRPr="00E16C7C">
      <w:rPr>
        <w:rStyle w:val="PageNumber0"/>
        <w:rFonts w:ascii="Courier New" w:hAnsi="Courier New" w:cs="Courier New"/>
        <w:b/>
      </w:rPr>
      <w:fldChar w:fldCharType="separate"/>
    </w:r>
    <w:r w:rsidR="00B509E9">
      <w:rPr>
        <w:rStyle w:val="PageNumber0"/>
        <w:rFonts w:ascii="Courier New" w:hAnsi="Courier New" w:cs="Courier New"/>
        <w:b/>
        <w:noProof/>
      </w:rPr>
      <w:t>559</w:t>
    </w:r>
    <w:r w:rsidR="00E85464" w:rsidRPr="00E16C7C">
      <w:rPr>
        <w:rStyle w:val="PageNumber0"/>
        <w:rFonts w:ascii="Courier New" w:hAnsi="Courier New" w:cs="Courier New"/>
        <w:b/>
      </w:rPr>
      <w:fldChar w:fldCharType="end"/>
    </w:r>
  </w:p>
  <w:p w14:paraId="1A67675B" w14:textId="77777777" w:rsidR="00E85464" w:rsidRDefault="00E854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F8730" w14:textId="77777777" w:rsidR="00E85464" w:rsidRDefault="00E85464">
      <w:r>
        <w:separator/>
      </w:r>
    </w:p>
  </w:footnote>
  <w:footnote w:type="continuationSeparator" w:id="0">
    <w:p w14:paraId="141C65E8" w14:textId="77777777" w:rsidR="00E85464" w:rsidRDefault="00E85464">
      <w:r>
        <w:continuationSeparator/>
      </w:r>
    </w:p>
  </w:footnote>
  <w:footnote w:id="1">
    <w:p w14:paraId="3E6758DC" w14:textId="1F8083D1" w:rsidR="00BC4F63" w:rsidRPr="00BC4F63" w:rsidRDefault="00BC4F63" w:rsidP="00BC4F63">
      <w:pPr>
        <w:pStyle w:val="FootnoteText"/>
        <w:jc w:val="both"/>
        <w:rPr>
          <w:rFonts w:ascii="Courier New" w:hAnsi="Courier New" w:cs="Courier New"/>
        </w:rPr>
      </w:pPr>
      <w:r w:rsidRPr="00BC4F63">
        <w:rPr>
          <w:rStyle w:val="FootnoteReference"/>
          <w:rFonts w:ascii="Courier New" w:hAnsi="Courier New" w:cs="Courier New"/>
        </w:rPr>
        <w:footnoteRef/>
      </w:r>
      <w:r w:rsidRPr="00BC4F63">
        <w:rPr>
          <w:rFonts w:ascii="Courier New" w:hAnsi="Courier New" w:cs="Courier New"/>
        </w:rPr>
        <w:t xml:space="preserve"> The decisions also reflected the parties’ stipulation that penalties associated with the contested assessments would be abated.</w:t>
      </w:r>
    </w:p>
  </w:footnote>
  <w:footnote w:id="2">
    <w:p w14:paraId="41BACB2C" w14:textId="4B4D7162" w:rsidR="00E85464" w:rsidRDefault="00E85464" w:rsidP="00524C1C">
      <w:pPr>
        <w:pStyle w:val="FootnoteText"/>
        <w:jc w:val="both"/>
      </w:pPr>
      <w:r w:rsidRPr="00135A23">
        <w:rPr>
          <w:rStyle w:val="FootnoteReference"/>
          <w:rFonts w:ascii="Courier New" w:hAnsi="Courier New" w:cs="Courier New"/>
        </w:rPr>
        <w:footnoteRef/>
      </w:r>
      <w:r w:rsidRPr="00135A23">
        <w:rPr>
          <w:rFonts w:ascii="Courier New" w:hAnsi="Courier New" w:cs="Courier New"/>
        </w:rPr>
        <w:t xml:space="preserve"> </w:t>
      </w:r>
      <w:r w:rsidRPr="00524C1C">
        <w:rPr>
          <w:rFonts w:ascii="Courier New" w:hAnsi="Courier New" w:cs="Courier New"/>
        </w:rPr>
        <w:t xml:space="preserve">One witness, Mr. </w:t>
      </w:r>
      <w:proofErr w:type="spellStart"/>
      <w:r w:rsidRPr="00524C1C">
        <w:rPr>
          <w:rFonts w:ascii="Courier New" w:hAnsi="Courier New" w:cs="Courier New"/>
        </w:rPr>
        <w:t>Anshuman</w:t>
      </w:r>
      <w:proofErr w:type="spellEnd"/>
      <w:r w:rsidRPr="00524C1C">
        <w:rPr>
          <w:rFonts w:ascii="Courier New" w:hAnsi="Courier New" w:cs="Courier New"/>
        </w:rPr>
        <w:t xml:space="preserve"> </w:t>
      </w:r>
      <w:proofErr w:type="spellStart"/>
      <w:r w:rsidRPr="00524C1C">
        <w:rPr>
          <w:rFonts w:ascii="Courier New" w:hAnsi="Courier New" w:cs="Courier New"/>
        </w:rPr>
        <w:t>Kanwar</w:t>
      </w:r>
      <w:proofErr w:type="spellEnd"/>
      <w:r w:rsidRPr="00524C1C">
        <w:rPr>
          <w:rFonts w:ascii="Courier New" w:hAnsi="Courier New" w:cs="Courier New"/>
        </w:rPr>
        <w:t xml:space="preserve">, was called by and testified on behalf of Citrix. The Commissioner did not </w:t>
      </w:r>
      <w:r>
        <w:rPr>
          <w:rFonts w:ascii="Courier New" w:hAnsi="Courier New" w:cs="Courier New"/>
        </w:rPr>
        <w:t>offer</w:t>
      </w:r>
      <w:r w:rsidRPr="00524C1C">
        <w:rPr>
          <w:rFonts w:ascii="Courier New" w:hAnsi="Courier New" w:cs="Courier New"/>
        </w:rPr>
        <w:t xml:space="preserve"> any witnesses.</w:t>
      </w:r>
    </w:p>
  </w:footnote>
  <w:footnote w:id="3">
    <w:p w14:paraId="5BF34E88" w14:textId="33653315" w:rsidR="00E85464" w:rsidRPr="004767C6" w:rsidRDefault="00E85464" w:rsidP="004767C6">
      <w:pPr>
        <w:pStyle w:val="FootnoteText"/>
        <w:jc w:val="both"/>
        <w:rPr>
          <w:rFonts w:ascii="Courier New" w:hAnsi="Courier New" w:cs="Courier New"/>
        </w:rPr>
      </w:pPr>
      <w:r w:rsidRPr="004767C6">
        <w:rPr>
          <w:rStyle w:val="FootnoteReference"/>
          <w:rFonts w:ascii="Courier New" w:hAnsi="Courier New" w:cs="Courier New"/>
        </w:rPr>
        <w:footnoteRef/>
      </w:r>
      <w:r w:rsidRPr="004767C6">
        <w:rPr>
          <w:rFonts w:ascii="Courier New" w:hAnsi="Courier New" w:cs="Courier New"/>
        </w:rPr>
        <w:t xml:space="preserve"> After the issuance of the First NIA and prior to the issuance of the First NOA, the Commissioner promulgated </w:t>
      </w:r>
      <w:r w:rsidR="001A3FDB" w:rsidRPr="00C826BE">
        <w:rPr>
          <w:rFonts w:ascii="Courier New" w:hAnsi="Courier New" w:cs="Courier New"/>
        </w:rPr>
        <w:t>Letter Ruling 12-10: Screen Sharing Software and the Massachusetts Sales/Use Tax</w:t>
      </w:r>
      <w:r w:rsidR="00C0313F">
        <w:rPr>
          <w:rFonts w:ascii="Courier New" w:hAnsi="Courier New" w:cs="Courier New"/>
        </w:rPr>
        <w:t xml:space="preserve"> (“Letter Ruling 12-10”)</w:t>
      </w:r>
      <w:r w:rsidR="001A3FDB">
        <w:rPr>
          <w:rFonts w:ascii="Courier New" w:hAnsi="Courier New" w:cs="Courier New"/>
        </w:rPr>
        <w:t xml:space="preserve">. </w:t>
      </w:r>
      <w:r w:rsidR="001A3FDB" w:rsidRPr="00C826BE">
        <w:rPr>
          <w:rFonts w:ascii="Courier New" w:hAnsi="Courier New" w:cs="Courier New"/>
        </w:rPr>
        <w:t>L</w:t>
      </w:r>
      <w:r w:rsidR="0083123C" w:rsidRPr="00C826BE">
        <w:rPr>
          <w:rFonts w:ascii="Courier New" w:hAnsi="Courier New" w:cs="Courier New"/>
        </w:rPr>
        <w:t xml:space="preserve">etter </w:t>
      </w:r>
      <w:r w:rsidR="001A3FDB" w:rsidRPr="00C826BE">
        <w:rPr>
          <w:rFonts w:ascii="Courier New" w:hAnsi="Courier New" w:cs="Courier New"/>
        </w:rPr>
        <w:t>R</w:t>
      </w:r>
      <w:r w:rsidR="0083123C" w:rsidRPr="00C826BE">
        <w:rPr>
          <w:rFonts w:ascii="Courier New" w:hAnsi="Courier New" w:cs="Courier New"/>
        </w:rPr>
        <w:t>uling</w:t>
      </w:r>
      <w:r w:rsidR="001A3FDB" w:rsidRPr="00C826BE">
        <w:rPr>
          <w:rFonts w:ascii="Courier New" w:hAnsi="Courier New" w:cs="Courier New"/>
        </w:rPr>
        <w:t xml:space="preserve"> 12-10</w:t>
      </w:r>
      <w:r w:rsidR="001A3FDB">
        <w:rPr>
          <w:rFonts w:ascii="Courier New" w:hAnsi="Courier New" w:cs="Courier New"/>
        </w:rPr>
        <w:t xml:space="preserve"> </w:t>
      </w:r>
      <w:r w:rsidRPr="004767C6">
        <w:rPr>
          <w:rFonts w:ascii="Courier New" w:hAnsi="Courier New" w:cs="Courier New"/>
        </w:rPr>
        <w:t xml:space="preserve">addressed a </w:t>
      </w:r>
      <w:r w:rsidR="0083123C">
        <w:rPr>
          <w:rFonts w:ascii="Courier New" w:hAnsi="Courier New" w:cs="Courier New"/>
        </w:rPr>
        <w:t>l</w:t>
      </w:r>
      <w:r w:rsidRPr="004767C6">
        <w:rPr>
          <w:rFonts w:ascii="Courier New" w:hAnsi="Courier New" w:cs="Courier New"/>
        </w:rPr>
        <w:t xml:space="preserve">etter </w:t>
      </w:r>
      <w:r w:rsidR="0083123C">
        <w:rPr>
          <w:rFonts w:ascii="Courier New" w:hAnsi="Courier New" w:cs="Courier New"/>
        </w:rPr>
        <w:t>r</w:t>
      </w:r>
      <w:r w:rsidRPr="004767C6">
        <w:rPr>
          <w:rFonts w:ascii="Courier New" w:hAnsi="Courier New" w:cs="Courier New"/>
        </w:rPr>
        <w:t xml:space="preserve">uling request from Citrix and stated the Commissioner’s conclusion that the software products at issue in these appeals constituted sales of prewritten software </w:t>
      </w:r>
      <w:r>
        <w:rPr>
          <w:rFonts w:ascii="Courier New" w:hAnsi="Courier New" w:cs="Courier New"/>
        </w:rPr>
        <w:t>s</w:t>
      </w:r>
      <w:r w:rsidRPr="004767C6">
        <w:rPr>
          <w:rFonts w:ascii="Courier New" w:hAnsi="Courier New" w:cs="Courier New"/>
        </w:rPr>
        <w:t>ubject to Massachusetts sales tax</w:t>
      </w:r>
      <w:r>
        <w:rPr>
          <w:rFonts w:ascii="Courier New" w:hAnsi="Courier New" w:cs="Courier New"/>
        </w:rPr>
        <w:t xml:space="preserve"> imposed under G.L. c. 64H, </w:t>
      </w:r>
      <w:r w:rsidR="001A3FDB">
        <w:rPr>
          <w:rFonts w:ascii="Courier New" w:hAnsi="Courier New" w:cs="Courier New"/>
        </w:rPr>
        <w:t xml:space="preserve">§§ </w:t>
      </w:r>
      <w:r>
        <w:rPr>
          <w:rFonts w:ascii="Courier New" w:hAnsi="Courier New" w:cs="Courier New"/>
        </w:rPr>
        <w:t>1</w:t>
      </w:r>
      <w:r w:rsidR="0083123C">
        <w:rPr>
          <w:rFonts w:ascii="Courier New" w:hAnsi="Courier New" w:cs="Courier New"/>
        </w:rPr>
        <w:t xml:space="preserve"> and </w:t>
      </w:r>
      <w:r>
        <w:rPr>
          <w:rFonts w:ascii="Courier New" w:hAnsi="Courier New" w:cs="Courier New"/>
        </w:rPr>
        <w:t>2</w:t>
      </w:r>
      <w:r w:rsidRPr="004767C6">
        <w:rPr>
          <w:rFonts w:ascii="Courier New" w:hAnsi="Courier New" w:cs="Courier New"/>
        </w:rPr>
        <w:t>.</w:t>
      </w:r>
    </w:p>
  </w:footnote>
  <w:footnote w:id="4">
    <w:p w14:paraId="0D359A68" w14:textId="27387E49" w:rsidR="001A6E81" w:rsidRPr="001A6E81" w:rsidRDefault="001A6E81" w:rsidP="001A6E81">
      <w:pPr>
        <w:pStyle w:val="FootnoteText"/>
        <w:jc w:val="both"/>
        <w:rPr>
          <w:rFonts w:ascii="Courier New" w:hAnsi="Courier New" w:cs="Courier New"/>
        </w:rPr>
      </w:pPr>
      <w:r w:rsidRPr="001A6E81">
        <w:rPr>
          <w:rStyle w:val="FootnoteReference"/>
          <w:rFonts w:ascii="Courier New" w:hAnsi="Courier New" w:cs="Courier New"/>
        </w:rPr>
        <w:footnoteRef/>
      </w:r>
      <w:r w:rsidRPr="001A6E81">
        <w:rPr>
          <w:rFonts w:ascii="Courier New" w:hAnsi="Courier New" w:cs="Courier New"/>
        </w:rPr>
        <w:t xml:space="preserve"> The Sales Agreements consistently refer to the Online Products as services, as do Citrix’s marketing </w:t>
      </w:r>
      <w:r w:rsidR="00494FBB">
        <w:rPr>
          <w:rFonts w:ascii="Courier New" w:hAnsi="Courier New" w:cs="Courier New"/>
        </w:rPr>
        <w:t>materials</w:t>
      </w:r>
      <w:r w:rsidRPr="001A6E81">
        <w:rPr>
          <w:rFonts w:ascii="Courier New" w:hAnsi="Courier New" w:cs="Courier New"/>
        </w:rPr>
        <w:t xml:space="preserve"> and its filings with the Securities and Exchange Commission.</w:t>
      </w:r>
    </w:p>
  </w:footnote>
  <w:footnote w:id="5">
    <w:p w14:paraId="35C8F5D0" w14:textId="06ED56C6" w:rsidR="00E85464" w:rsidRPr="00B31200" w:rsidRDefault="00E85464" w:rsidP="00C71825">
      <w:pPr>
        <w:pStyle w:val="FootnoteText"/>
        <w:jc w:val="both"/>
        <w:rPr>
          <w:rFonts w:ascii="Courier New" w:hAnsi="Courier New" w:cs="Courier New"/>
        </w:rPr>
      </w:pPr>
      <w:r w:rsidRPr="00B31200">
        <w:rPr>
          <w:rStyle w:val="FootnoteReference"/>
          <w:rFonts w:ascii="Courier New" w:hAnsi="Courier New" w:cs="Courier New"/>
        </w:rPr>
        <w:footnoteRef/>
      </w:r>
      <w:r w:rsidRPr="00B31200">
        <w:rPr>
          <w:rFonts w:ascii="Courier New" w:hAnsi="Courier New" w:cs="Courier New"/>
        </w:rPr>
        <w:t xml:space="preserve"> </w:t>
      </w:r>
      <w:r w:rsidR="0083123C">
        <w:rPr>
          <w:rFonts w:ascii="Courier New" w:hAnsi="Courier New" w:cs="Courier New"/>
        </w:rPr>
        <w:t xml:space="preserve">Endpoint Software, in some variant, is necessary to use each of the Online Products. </w:t>
      </w:r>
      <w:r w:rsidRPr="00B31200">
        <w:rPr>
          <w:rFonts w:ascii="Courier New" w:hAnsi="Courier New" w:cs="Courier New"/>
        </w:rPr>
        <w:t xml:space="preserve">There is no charge for </w:t>
      </w:r>
      <w:r w:rsidR="0083123C">
        <w:rPr>
          <w:rFonts w:ascii="Courier New" w:hAnsi="Courier New" w:cs="Courier New"/>
        </w:rPr>
        <w:t>E</w:t>
      </w:r>
      <w:r w:rsidRPr="00B31200">
        <w:rPr>
          <w:rFonts w:ascii="Courier New" w:hAnsi="Courier New" w:cs="Courier New"/>
        </w:rPr>
        <w:t xml:space="preserve">ndpoint Software and its utility is limited to </w:t>
      </w:r>
      <w:r w:rsidR="001A6E81">
        <w:rPr>
          <w:rFonts w:ascii="Courier New" w:hAnsi="Courier New" w:cs="Courier New"/>
        </w:rPr>
        <w:t>facilitating</w:t>
      </w:r>
      <w:r w:rsidRPr="00B31200">
        <w:rPr>
          <w:rFonts w:ascii="Courier New" w:hAnsi="Courier New" w:cs="Courier New"/>
        </w:rPr>
        <w:t xml:space="preserve"> access to </w:t>
      </w:r>
      <w:r w:rsidR="001A6E81">
        <w:rPr>
          <w:rFonts w:ascii="Courier New" w:hAnsi="Courier New" w:cs="Courier New"/>
        </w:rPr>
        <w:t>the Online Products</w:t>
      </w:r>
      <w:r w:rsidRPr="00B31200">
        <w:rPr>
          <w:rFonts w:ascii="Courier New" w:hAnsi="Courier New" w:cs="Courier New"/>
        </w:rPr>
        <w:t xml:space="preserve">. </w:t>
      </w:r>
    </w:p>
  </w:footnote>
  <w:footnote w:id="6">
    <w:p w14:paraId="46A9BADD" w14:textId="1349BF96" w:rsidR="00060E3F" w:rsidRPr="00B31200" w:rsidRDefault="00060E3F" w:rsidP="00060E3F">
      <w:pPr>
        <w:pStyle w:val="FootnoteText"/>
        <w:jc w:val="both"/>
        <w:rPr>
          <w:rFonts w:ascii="Courier New" w:hAnsi="Courier New" w:cs="Courier New"/>
        </w:rPr>
      </w:pPr>
      <w:r w:rsidRPr="00B31200">
        <w:rPr>
          <w:rStyle w:val="FootnoteReference"/>
          <w:rFonts w:ascii="Courier New" w:hAnsi="Courier New" w:cs="Courier New"/>
        </w:rPr>
        <w:footnoteRef/>
      </w:r>
      <w:r w:rsidRPr="00B31200">
        <w:rPr>
          <w:rFonts w:ascii="Courier New" w:hAnsi="Courier New" w:cs="Courier New"/>
        </w:rPr>
        <w:t xml:space="preserve"> </w:t>
      </w:r>
      <w:r w:rsidR="00B31200" w:rsidRPr="00B31200">
        <w:rPr>
          <w:rFonts w:ascii="Courier New" w:hAnsi="Courier New" w:cs="Courier New"/>
        </w:rPr>
        <w:t xml:space="preserve">Even </w:t>
      </w:r>
      <w:r w:rsidRPr="00B31200">
        <w:rPr>
          <w:rFonts w:ascii="Courier New" w:hAnsi="Courier New" w:cs="Courier New"/>
        </w:rPr>
        <w:t xml:space="preserve">earlier, a distinction had been drawn between standardized and custom software, </w:t>
      </w:r>
      <w:r w:rsidR="00B55906">
        <w:rPr>
          <w:rFonts w:ascii="Courier New" w:hAnsi="Courier New" w:cs="Courier New"/>
        </w:rPr>
        <w:t xml:space="preserve">with only </w:t>
      </w:r>
      <w:r w:rsidRPr="00B31200">
        <w:rPr>
          <w:rFonts w:ascii="Courier New" w:hAnsi="Courier New" w:cs="Courier New"/>
        </w:rPr>
        <w:t>the former be</w:t>
      </w:r>
      <w:r w:rsidR="00B55906">
        <w:rPr>
          <w:rFonts w:ascii="Courier New" w:hAnsi="Courier New" w:cs="Courier New"/>
        </w:rPr>
        <w:t>ing</w:t>
      </w:r>
      <w:r w:rsidRPr="00B31200">
        <w:rPr>
          <w:rFonts w:ascii="Courier New" w:hAnsi="Courier New" w:cs="Courier New"/>
        </w:rPr>
        <w:t xml:space="preserve"> subject to sales and use tax. </w:t>
      </w:r>
      <w:r w:rsidRPr="00B31200">
        <w:rPr>
          <w:rFonts w:ascii="Courier New" w:hAnsi="Courier New" w:cs="Courier New"/>
          <w:i/>
        </w:rPr>
        <w:t>See, e.g.</w:t>
      </w:r>
      <w:r w:rsidRPr="00B31200">
        <w:rPr>
          <w:rFonts w:ascii="Courier New" w:hAnsi="Courier New" w:cs="Courier New"/>
        </w:rPr>
        <w:t xml:space="preserve"> </w:t>
      </w:r>
      <w:r w:rsidRPr="00D64798">
        <w:rPr>
          <w:rFonts w:ascii="Courier New" w:hAnsi="Courier New" w:cs="Courier New"/>
        </w:rPr>
        <w:t>Letter Ruling 88-14: Computer Software Sales</w:t>
      </w:r>
      <w:r w:rsidRPr="00B31200">
        <w:rPr>
          <w:rFonts w:ascii="Courier New" w:hAnsi="Courier New" w:cs="Courier New"/>
        </w:rPr>
        <w:t>.</w:t>
      </w:r>
    </w:p>
  </w:footnote>
  <w:footnote w:id="7">
    <w:p w14:paraId="1CED60A3" w14:textId="4AFA6693" w:rsidR="00BB0CBB" w:rsidRDefault="00BB0CBB" w:rsidP="00135A23">
      <w:pPr>
        <w:jc w:val="both"/>
      </w:pPr>
      <w:r w:rsidRPr="00B31200">
        <w:rPr>
          <w:rStyle w:val="FootnoteReference"/>
          <w:rFonts w:ascii="Courier New" w:hAnsi="Courier New" w:cs="Courier New"/>
          <w:sz w:val="20"/>
          <w:szCs w:val="20"/>
        </w:rPr>
        <w:footnoteRef/>
      </w:r>
      <w:r w:rsidRPr="00B31200">
        <w:rPr>
          <w:rFonts w:ascii="Courier New" w:hAnsi="Courier New" w:cs="Courier New"/>
          <w:sz w:val="20"/>
          <w:szCs w:val="20"/>
        </w:rPr>
        <w:t xml:space="preserve"> In a load and leave transaction, </w:t>
      </w:r>
      <w:r w:rsidRPr="00B31200">
        <w:rPr>
          <w:rFonts w:ascii="Courier New" w:hAnsi="Courier New" w:cs="Courier New"/>
          <w:color w:val="141414"/>
          <w:sz w:val="20"/>
          <w:szCs w:val="20"/>
        </w:rPr>
        <w:t>a vendor installs software directly onto a customer</w:t>
      </w:r>
      <w:r w:rsidR="0053019F">
        <w:rPr>
          <w:rFonts w:ascii="Courier New" w:hAnsi="Courier New" w:cs="Courier New"/>
          <w:color w:val="141414"/>
          <w:sz w:val="20"/>
          <w:szCs w:val="20"/>
        </w:rPr>
        <w:t>’</w:t>
      </w:r>
      <w:r w:rsidRPr="00B31200">
        <w:rPr>
          <w:rFonts w:ascii="Courier New" w:hAnsi="Courier New" w:cs="Courier New"/>
          <w:color w:val="141414"/>
          <w:sz w:val="20"/>
          <w:szCs w:val="20"/>
        </w:rPr>
        <w:t>s computer using tangible storage media, but does not transfer the tangible medium used to load the software as part of the sale. </w:t>
      </w:r>
    </w:p>
  </w:footnote>
  <w:footnote w:id="8">
    <w:p w14:paraId="67E795AF" w14:textId="3A216D2E" w:rsidR="002E00E9" w:rsidRPr="002E00E9" w:rsidRDefault="002E00E9" w:rsidP="002E00E9">
      <w:pPr>
        <w:pStyle w:val="FootnoteText"/>
        <w:jc w:val="both"/>
        <w:rPr>
          <w:rFonts w:ascii="Courier New" w:hAnsi="Courier New" w:cs="Courier New"/>
        </w:rPr>
      </w:pPr>
      <w:r w:rsidRPr="002E00E9">
        <w:rPr>
          <w:rStyle w:val="FootnoteReference"/>
          <w:rFonts w:ascii="Courier New" w:hAnsi="Courier New" w:cs="Courier New"/>
        </w:rPr>
        <w:footnoteRef/>
      </w:r>
      <w:r w:rsidRPr="002E00E9">
        <w:rPr>
          <w:rFonts w:ascii="Courier New" w:hAnsi="Courier New" w:cs="Courier New"/>
        </w:rPr>
        <w:t xml:space="preserve"> Several months prior to the issuance of the </w:t>
      </w:r>
      <w:r w:rsidR="000F6420">
        <w:rPr>
          <w:rFonts w:ascii="Courier New" w:hAnsi="Courier New" w:cs="Courier New"/>
        </w:rPr>
        <w:t>R</w:t>
      </w:r>
      <w:r w:rsidRPr="002E00E9">
        <w:rPr>
          <w:rFonts w:ascii="Courier New" w:hAnsi="Courier New" w:cs="Courier New"/>
        </w:rPr>
        <w:t xml:space="preserve">egulation, the Commissioner issued </w:t>
      </w:r>
      <w:r w:rsidRPr="00C826BE">
        <w:rPr>
          <w:rFonts w:ascii="Courier New" w:hAnsi="Courier New" w:cs="Courier New"/>
        </w:rPr>
        <w:t>Technical Information Release 05-15</w:t>
      </w:r>
      <w:r w:rsidR="000F6420" w:rsidRPr="00C826BE">
        <w:rPr>
          <w:rFonts w:ascii="Courier New" w:hAnsi="Courier New" w:cs="Courier New"/>
        </w:rPr>
        <w:t>: Transfers of Prewritten Computer Software</w:t>
      </w:r>
      <w:r w:rsidR="00924805">
        <w:rPr>
          <w:rFonts w:ascii="Courier New" w:hAnsi="Courier New" w:cs="Courier New"/>
        </w:rPr>
        <w:t xml:space="preserve"> (“Technical Information Release 05-15”)</w:t>
      </w:r>
      <w:r w:rsidRPr="002E00E9">
        <w:rPr>
          <w:rFonts w:ascii="Courier New" w:hAnsi="Courier New" w:cs="Courier New"/>
        </w:rPr>
        <w:t xml:space="preserve">, which outlined the </w:t>
      </w:r>
      <w:r w:rsidR="00A362D1">
        <w:rPr>
          <w:rFonts w:ascii="Courier New" w:hAnsi="Courier New" w:cs="Courier New"/>
        </w:rPr>
        <w:t xml:space="preserve">2005 </w:t>
      </w:r>
      <w:r w:rsidRPr="002E00E9">
        <w:rPr>
          <w:rFonts w:ascii="Courier New" w:hAnsi="Courier New" w:cs="Courier New"/>
        </w:rPr>
        <w:t xml:space="preserve">statutory change to the definition of tangible personal property and </w:t>
      </w:r>
      <w:r w:rsidR="000F6420">
        <w:rPr>
          <w:rFonts w:ascii="Courier New" w:hAnsi="Courier New" w:cs="Courier New"/>
        </w:rPr>
        <w:t xml:space="preserve">the consequences for </w:t>
      </w:r>
      <w:r w:rsidRPr="002E00E9">
        <w:rPr>
          <w:rFonts w:ascii="Courier New" w:hAnsi="Courier New" w:cs="Courier New"/>
        </w:rPr>
        <w:t>treatment of sales of prewritten software under the sales and use tax. T</w:t>
      </w:r>
      <w:r w:rsidR="002361B1">
        <w:rPr>
          <w:rFonts w:ascii="Courier New" w:hAnsi="Courier New" w:cs="Courier New"/>
        </w:rPr>
        <w:t xml:space="preserve">echnical </w:t>
      </w:r>
      <w:r w:rsidR="00D341B5">
        <w:rPr>
          <w:rFonts w:ascii="Courier New" w:hAnsi="Courier New" w:cs="Courier New"/>
        </w:rPr>
        <w:t>I</w:t>
      </w:r>
      <w:r w:rsidR="002361B1">
        <w:rPr>
          <w:rFonts w:ascii="Courier New" w:hAnsi="Courier New" w:cs="Courier New"/>
        </w:rPr>
        <w:t xml:space="preserve">nformation </w:t>
      </w:r>
      <w:r w:rsidR="00D341B5">
        <w:rPr>
          <w:rFonts w:ascii="Courier New" w:hAnsi="Courier New" w:cs="Courier New"/>
        </w:rPr>
        <w:t>R</w:t>
      </w:r>
      <w:r w:rsidR="002361B1">
        <w:rPr>
          <w:rFonts w:ascii="Courier New" w:hAnsi="Courier New" w:cs="Courier New"/>
        </w:rPr>
        <w:t>elease</w:t>
      </w:r>
      <w:r w:rsidR="00924805">
        <w:rPr>
          <w:rFonts w:ascii="Courier New" w:hAnsi="Courier New" w:cs="Courier New"/>
        </w:rPr>
        <w:t xml:space="preserve"> 05-15</w:t>
      </w:r>
      <w:r w:rsidR="00CD4763">
        <w:rPr>
          <w:rFonts w:ascii="Courier New" w:hAnsi="Courier New" w:cs="Courier New"/>
        </w:rPr>
        <w:t>’s</w:t>
      </w:r>
      <w:r w:rsidRPr="002E00E9">
        <w:rPr>
          <w:rFonts w:ascii="Courier New" w:hAnsi="Courier New" w:cs="Courier New"/>
        </w:rPr>
        <w:t xml:space="preserve"> discussion </w:t>
      </w:r>
      <w:r w:rsidR="000F6420">
        <w:rPr>
          <w:rFonts w:ascii="Courier New" w:hAnsi="Courier New" w:cs="Courier New"/>
        </w:rPr>
        <w:t>as it relates to the issues before the Board in these appeals</w:t>
      </w:r>
      <w:r w:rsidRPr="002E00E9">
        <w:rPr>
          <w:rFonts w:ascii="Courier New" w:hAnsi="Courier New" w:cs="Courier New"/>
        </w:rPr>
        <w:t xml:space="preserve"> </w:t>
      </w:r>
      <w:r w:rsidR="000F6420">
        <w:rPr>
          <w:rFonts w:ascii="Courier New" w:hAnsi="Courier New" w:cs="Courier New"/>
        </w:rPr>
        <w:t>is substantively the same as t</w:t>
      </w:r>
      <w:r w:rsidRPr="002E00E9">
        <w:rPr>
          <w:rFonts w:ascii="Courier New" w:hAnsi="Courier New" w:cs="Courier New"/>
        </w:rPr>
        <w:t xml:space="preserve">he </w:t>
      </w:r>
      <w:r w:rsidR="000F6420">
        <w:rPr>
          <w:rFonts w:ascii="Courier New" w:hAnsi="Courier New" w:cs="Courier New"/>
        </w:rPr>
        <w:t>R</w:t>
      </w:r>
      <w:r w:rsidRPr="002E00E9">
        <w:rPr>
          <w:rFonts w:ascii="Courier New" w:hAnsi="Courier New" w:cs="Courier New"/>
        </w:rPr>
        <w:t xml:space="preserve">egulation and </w:t>
      </w:r>
      <w:r w:rsidR="007204B5">
        <w:rPr>
          <w:rFonts w:ascii="Courier New" w:hAnsi="Courier New" w:cs="Courier New"/>
        </w:rPr>
        <w:t>T</w:t>
      </w:r>
      <w:r w:rsidR="002361B1">
        <w:rPr>
          <w:rFonts w:ascii="Courier New" w:hAnsi="Courier New" w:cs="Courier New"/>
        </w:rPr>
        <w:t xml:space="preserve">echnical </w:t>
      </w:r>
      <w:r w:rsidR="007204B5">
        <w:rPr>
          <w:rFonts w:ascii="Courier New" w:hAnsi="Courier New" w:cs="Courier New"/>
        </w:rPr>
        <w:t>I</w:t>
      </w:r>
      <w:r w:rsidR="002361B1">
        <w:rPr>
          <w:rFonts w:ascii="Courier New" w:hAnsi="Courier New" w:cs="Courier New"/>
        </w:rPr>
        <w:t xml:space="preserve">nformation </w:t>
      </w:r>
      <w:r w:rsidR="007204B5">
        <w:rPr>
          <w:rFonts w:ascii="Courier New" w:hAnsi="Courier New" w:cs="Courier New"/>
        </w:rPr>
        <w:t>R</w:t>
      </w:r>
      <w:r w:rsidR="002361B1">
        <w:rPr>
          <w:rFonts w:ascii="Courier New" w:hAnsi="Courier New" w:cs="Courier New"/>
        </w:rPr>
        <w:t>elease</w:t>
      </w:r>
      <w:r w:rsidR="007204B5">
        <w:rPr>
          <w:rFonts w:ascii="Courier New" w:hAnsi="Courier New" w:cs="Courier New"/>
        </w:rPr>
        <w:t xml:space="preserve"> </w:t>
      </w:r>
      <w:r w:rsidR="00924805">
        <w:rPr>
          <w:rFonts w:ascii="Courier New" w:hAnsi="Courier New" w:cs="Courier New"/>
        </w:rPr>
        <w:t xml:space="preserve">05-15 </w:t>
      </w:r>
      <w:r w:rsidRPr="002E00E9">
        <w:rPr>
          <w:rFonts w:ascii="Courier New" w:hAnsi="Courier New" w:cs="Courier New"/>
        </w:rPr>
        <w:t>is therefore not discussed further in th</w:t>
      </w:r>
      <w:r w:rsidR="002361B1">
        <w:rPr>
          <w:rFonts w:ascii="Courier New" w:hAnsi="Courier New" w:cs="Courier New"/>
        </w:rPr>
        <w:t>ese</w:t>
      </w:r>
      <w:r w:rsidRPr="002E00E9">
        <w:rPr>
          <w:rFonts w:ascii="Courier New" w:hAnsi="Courier New" w:cs="Courier New"/>
        </w:rPr>
        <w:t xml:space="preserve"> </w:t>
      </w:r>
      <w:r w:rsidR="00B748ED">
        <w:rPr>
          <w:rFonts w:ascii="Courier New" w:hAnsi="Courier New" w:cs="Courier New"/>
        </w:rPr>
        <w:t>f</w:t>
      </w:r>
      <w:r w:rsidRPr="002E00E9">
        <w:rPr>
          <w:rFonts w:ascii="Courier New" w:hAnsi="Courier New" w:cs="Courier New"/>
        </w:rPr>
        <w:t xml:space="preserve">indings of </w:t>
      </w:r>
      <w:r w:rsidR="00B748ED">
        <w:rPr>
          <w:rFonts w:ascii="Courier New" w:hAnsi="Courier New" w:cs="Courier New"/>
        </w:rPr>
        <w:t>f</w:t>
      </w:r>
      <w:r w:rsidRPr="002E00E9">
        <w:rPr>
          <w:rFonts w:ascii="Courier New" w:hAnsi="Courier New" w:cs="Courier New"/>
        </w:rPr>
        <w:t xml:space="preserve">act and </w:t>
      </w:r>
      <w:r w:rsidR="00B748ED">
        <w:rPr>
          <w:rFonts w:ascii="Courier New" w:hAnsi="Courier New" w:cs="Courier New"/>
        </w:rPr>
        <w:t>r</w:t>
      </w:r>
      <w:r w:rsidRPr="002E00E9">
        <w:rPr>
          <w:rFonts w:ascii="Courier New" w:hAnsi="Courier New" w:cs="Courier New"/>
        </w:rPr>
        <w:t xml:space="preserve">eport.  </w:t>
      </w:r>
    </w:p>
  </w:footnote>
  <w:footnote w:id="9">
    <w:p w14:paraId="0D689445" w14:textId="2662D6ED" w:rsidR="00E725CD" w:rsidRPr="0007333C" w:rsidRDefault="00E725CD" w:rsidP="0007333C">
      <w:pPr>
        <w:pStyle w:val="FootnoteText"/>
        <w:jc w:val="both"/>
        <w:rPr>
          <w:rFonts w:ascii="Courier New" w:hAnsi="Courier New" w:cs="Courier New"/>
        </w:rPr>
      </w:pPr>
      <w:r w:rsidRPr="0007333C">
        <w:rPr>
          <w:rStyle w:val="FootnoteReference"/>
          <w:rFonts w:ascii="Courier New" w:hAnsi="Courier New" w:cs="Courier New"/>
        </w:rPr>
        <w:footnoteRef/>
      </w:r>
      <w:r w:rsidRPr="0007333C">
        <w:rPr>
          <w:rFonts w:ascii="Courier New" w:hAnsi="Courier New" w:cs="Courier New"/>
        </w:rPr>
        <w:t xml:space="preserve"> For purposes of the sales and use tax, there is no distinction in Massachusetts law among standardized software, prewritten software, and canned software.</w:t>
      </w:r>
    </w:p>
  </w:footnote>
  <w:footnote w:id="10">
    <w:p w14:paraId="4660B2F9" w14:textId="3D52AB97" w:rsidR="005A71D1" w:rsidRPr="005A71D1" w:rsidRDefault="005A71D1" w:rsidP="005A71D1">
      <w:pPr>
        <w:pStyle w:val="FootnoteText"/>
        <w:jc w:val="both"/>
        <w:rPr>
          <w:rFonts w:ascii="Courier New" w:hAnsi="Courier New" w:cs="Courier New"/>
        </w:rPr>
      </w:pPr>
      <w:r w:rsidRPr="005A71D1">
        <w:rPr>
          <w:rStyle w:val="FootnoteReference"/>
          <w:rFonts w:ascii="Courier New" w:hAnsi="Courier New" w:cs="Courier New"/>
        </w:rPr>
        <w:footnoteRef/>
      </w:r>
      <w:r w:rsidRPr="005A71D1">
        <w:rPr>
          <w:rFonts w:ascii="Courier New" w:hAnsi="Courier New" w:cs="Courier New"/>
        </w:rPr>
        <w:t xml:space="preserve"> Personal service transactions that invol</w:t>
      </w:r>
      <w:r>
        <w:rPr>
          <w:rFonts w:ascii="Courier New" w:hAnsi="Courier New" w:cs="Courier New"/>
        </w:rPr>
        <w:t>v</w:t>
      </w:r>
      <w:r w:rsidRPr="005A71D1">
        <w:rPr>
          <w:rFonts w:ascii="Courier New" w:hAnsi="Courier New" w:cs="Courier New"/>
        </w:rPr>
        <w:t>e sales of tangible personal property</w:t>
      </w:r>
      <w:r>
        <w:rPr>
          <w:rFonts w:ascii="Courier New" w:hAnsi="Courier New" w:cs="Courier New"/>
        </w:rPr>
        <w:t xml:space="preserve"> “</w:t>
      </w:r>
      <w:r w:rsidRPr="005A71D1">
        <w:rPr>
          <w:rFonts w:ascii="Courier New" w:hAnsi="Courier New" w:cs="Courier New"/>
        </w:rPr>
        <w:t>as inco</w:t>
      </w:r>
      <w:r>
        <w:rPr>
          <w:rFonts w:ascii="Courier New" w:hAnsi="Courier New" w:cs="Courier New"/>
        </w:rPr>
        <w:t>n</w:t>
      </w:r>
      <w:r w:rsidRPr="005A71D1">
        <w:rPr>
          <w:rFonts w:ascii="Courier New" w:hAnsi="Courier New" w:cs="Courier New"/>
        </w:rPr>
        <w:t>sequential elements for which no separate charges are mad</w:t>
      </w:r>
      <w:r>
        <w:rPr>
          <w:rFonts w:ascii="Courier New" w:hAnsi="Courier New" w:cs="Courier New"/>
        </w:rPr>
        <w:t>e</w:t>
      </w:r>
      <w:r w:rsidRPr="005A71D1">
        <w:rPr>
          <w:rFonts w:ascii="Courier New" w:hAnsi="Courier New" w:cs="Courier New"/>
        </w:rPr>
        <w:t xml:space="preserve">” are also not subject to the sales tax. </w:t>
      </w:r>
      <w:proofErr w:type="gramStart"/>
      <w:r w:rsidRPr="005A71D1">
        <w:rPr>
          <w:rFonts w:ascii="Courier New" w:hAnsi="Courier New" w:cs="Courier New"/>
        </w:rPr>
        <w:t>G.L. c. 64H, § 1.</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0644D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7B4322"/>
    <w:multiLevelType w:val="multilevel"/>
    <w:tmpl w:val="8CAAEF7E"/>
    <w:lvl w:ilvl="0">
      <w:start w:val="1"/>
      <w:numFmt w:val="decimal"/>
      <w:lvlText w:val="%1."/>
      <w:lvlJc w:val="left"/>
      <w:pPr>
        <w:ind w:left="840" w:hanging="6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FB56EE"/>
    <w:multiLevelType w:val="hybridMultilevel"/>
    <w:tmpl w:val="5AC82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80767"/>
    <w:multiLevelType w:val="hybridMultilevel"/>
    <w:tmpl w:val="8CAAEF7E"/>
    <w:lvl w:ilvl="0" w:tplc="EEDE54F4">
      <w:start w:val="1"/>
      <w:numFmt w:val="decimal"/>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574604"/>
    <w:multiLevelType w:val="hybridMultilevel"/>
    <w:tmpl w:val="59045030"/>
    <w:lvl w:ilvl="0" w:tplc="2580F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3CA"/>
    <w:rsid w:val="00000B9A"/>
    <w:rsid w:val="00001893"/>
    <w:rsid w:val="00005FE9"/>
    <w:rsid w:val="00006992"/>
    <w:rsid w:val="00010AF6"/>
    <w:rsid w:val="00011D33"/>
    <w:rsid w:val="0001544A"/>
    <w:rsid w:val="00021DEE"/>
    <w:rsid w:val="00021E74"/>
    <w:rsid w:val="00025B3A"/>
    <w:rsid w:val="0002768C"/>
    <w:rsid w:val="00030C26"/>
    <w:rsid w:val="000310E9"/>
    <w:rsid w:val="00033705"/>
    <w:rsid w:val="0003697E"/>
    <w:rsid w:val="000411AA"/>
    <w:rsid w:val="00042291"/>
    <w:rsid w:val="00043555"/>
    <w:rsid w:val="00045ADE"/>
    <w:rsid w:val="00045B7A"/>
    <w:rsid w:val="0005144C"/>
    <w:rsid w:val="00052326"/>
    <w:rsid w:val="00053504"/>
    <w:rsid w:val="00054701"/>
    <w:rsid w:val="00055402"/>
    <w:rsid w:val="00060DA4"/>
    <w:rsid w:val="00060E3F"/>
    <w:rsid w:val="00061838"/>
    <w:rsid w:val="00062F7F"/>
    <w:rsid w:val="00063047"/>
    <w:rsid w:val="00067D5C"/>
    <w:rsid w:val="000707D5"/>
    <w:rsid w:val="00071C00"/>
    <w:rsid w:val="0007333C"/>
    <w:rsid w:val="000809B3"/>
    <w:rsid w:val="00080D3F"/>
    <w:rsid w:val="00080DE8"/>
    <w:rsid w:val="0008177C"/>
    <w:rsid w:val="0008187A"/>
    <w:rsid w:val="00083904"/>
    <w:rsid w:val="00085BCF"/>
    <w:rsid w:val="00090028"/>
    <w:rsid w:val="00090A9D"/>
    <w:rsid w:val="00095CEB"/>
    <w:rsid w:val="00097CDC"/>
    <w:rsid w:val="000A5B65"/>
    <w:rsid w:val="000A5C9F"/>
    <w:rsid w:val="000A7C2A"/>
    <w:rsid w:val="000B24CE"/>
    <w:rsid w:val="000B57F8"/>
    <w:rsid w:val="000B6AA5"/>
    <w:rsid w:val="000B6BFF"/>
    <w:rsid w:val="000B7ED1"/>
    <w:rsid w:val="000C2BE5"/>
    <w:rsid w:val="000C3EEB"/>
    <w:rsid w:val="000C468E"/>
    <w:rsid w:val="000D2516"/>
    <w:rsid w:val="000D2CBB"/>
    <w:rsid w:val="000D3854"/>
    <w:rsid w:val="000E0613"/>
    <w:rsid w:val="000E12C0"/>
    <w:rsid w:val="000E1CEC"/>
    <w:rsid w:val="000E22E2"/>
    <w:rsid w:val="000E37A3"/>
    <w:rsid w:val="000E3F66"/>
    <w:rsid w:val="000E4FE9"/>
    <w:rsid w:val="000E67E0"/>
    <w:rsid w:val="000F31D8"/>
    <w:rsid w:val="000F6420"/>
    <w:rsid w:val="000F6986"/>
    <w:rsid w:val="001012AF"/>
    <w:rsid w:val="001045B3"/>
    <w:rsid w:val="0010495D"/>
    <w:rsid w:val="00111849"/>
    <w:rsid w:val="00113D6F"/>
    <w:rsid w:val="00114FC9"/>
    <w:rsid w:val="00117BB7"/>
    <w:rsid w:val="001261B8"/>
    <w:rsid w:val="0013030C"/>
    <w:rsid w:val="00132550"/>
    <w:rsid w:val="00132D60"/>
    <w:rsid w:val="00135A23"/>
    <w:rsid w:val="00136560"/>
    <w:rsid w:val="00151127"/>
    <w:rsid w:val="00151672"/>
    <w:rsid w:val="00152CAB"/>
    <w:rsid w:val="001540D7"/>
    <w:rsid w:val="00157105"/>
    <w:rsid w:val="0016467E"/>
    <w:rsid w:val="00166CAB"/>
    <w:rsid w:val="00170406"/>
    <w:rsid w:val="00170FF3"/>
    <w:rsid w:val="00172236"/>
    <w:rsid w:val="00172D43"/>
    <w:rsid w:val="00173B6E"/>
    <w:rsid w:val="00175CB0"/>
    <w:rsid w:val="001773E0"/>
    <w:rsid w:val="00185D25"/>
    <w:rsid w:val="001875FE"/>
    <w:rsid w:val="00191E02"/>
    <w:rsid w:val="00192046"/>
    <w:rsid w:val="00192FE1"/>
    <w:rsid w:val="00193D87"/>
    <w:rsid w:val="00193F2E"/>
    <w:rsid w:val="001943AD"/>
    <w:rsid w:val="001963CA"/>
    <w:rsid w:val="001972E9"/>
    <w:rsid w:val="00197782"/>
    <w:rsid w:val="001A08C0"/>
    <w:rsid w:val="001A20DF"/>
    <w:rsid w:val="001A3CAC"/>
    <w:rsid w:val="001A3FDB"/>
    <w:rsid w:val="001A6E81"/>
    <w:rsid w:val="001A7001"/>
    <w:rsid w:val="001B41FB"/>
    <w:rsid w:val="001B5569"/>
    <w:rsid w:val="001B675F"/>
    <w:rsid w:val="001B7DD1"/>
    <w:rsid w:val="001C0869"/>
    <w:rsid w:val="001C1056"/>
    <w:rsid w:val="001C3187"/>
    <w:rsid w:val="001C3861"/>
    <w:rsid w:val="001C5925"/>
    <w:rsid w:val="001C7AAF"/>
    <w:rsid w:val="001C7D33"/>
    <w:rsid w:val="001D0F89"/>
    <w:rsid w:val="001D444B"/>
    <w:rsid w:val="001E10E5"/>
    <w:rsid w:val="001E7B36"/>
    <w:rsid w:val="0020006D"/>
    <w:rsid w:val="00202425"/>
    <w:rsid w:val="0020410D"/>
    <w:rsid w:val="00204AF9"/>
    <w:rsid w:val="002058C6"/>
    <w:rsid w:val="00210504"/>
    <w:rsid w:val="002124C3"/>
    <w:rsid w:val="002150BD"/>
    <w:rsid w:val="0021532D"/>
    <w:rsid w:val="002157F0"/>
    <w:rsid w:val="00215B9F"/>
    <w:rsid w:val="0022070D"/>
    <w:rsid w:val="00220E39"/>
    <w:rsid w:val="00222693"/>
    <w:rsid w:val="00222B06"/>
    <w:rsid w:val="002237C3"/>
    <w:rsid w:val="00223BAC"/>
    <w:rsid w:val="002361B1"/>
    <w:rsid w:val="002404EE"/>
    <w:rsid w:val="0024123C"/>
    <w:rsid w:val="002424B8"/>
    <w:rsid w:val="00242E20"/>
    <w:rsid w:val="0024433C"/>
    <w:rsid w:val="002448D9"/>
    <w:rsid w:val="0024501C"/>
    <w:rsid w:val="00246BD1"/>
    <w:rsid w:val="00246D17"/>
    <w:rsid w:val="00247D8C"/>
    <w:rsid w:val="00247E6D"/>
    <w:rsid w:val="00252784"/>
    <w:rsid w:val="00257486"/>
    <w:rsid w:val="00257E20"/>
    <w:rsid w:val="002644FC"/>
    <w:rsid w:val="00264C22"/>
    <w:rsid w:val="0027722E"/>
    <w:rsid w:val="00281E9F"/>
    <w:rsid w:val="00282D30"/>
    <w:rsid w:val="00284AF9"/>
    <w:rsid w:val="00285856"/>
    <w:rsid w:val="002868ED"/>
    <w:rsid w:val="00286965"/>
    <w:rsid w:val="00286C46"/>
    <w:rsid w:val="00286D93"/>
    <w:rsid w:val="002879C3"/>
    <w:rsid w:val="00290444"/>
    <w:rsid w:val="00297338"/>
    <w:rsid w:val="002A0877"/>
    <w:rsid w:val="002A1394"/>
    <w:rsid w:val="002A33D9"/>
    <w:rsid w:val="002A6D0A"/>
    <w:rsid w:val="002B4DDF"/>
    <w:rsid w:val="002B739F"/>
    <w:rsid w:val="002C01DD"/>
    <w:rsid w:val="002C4278"/>
    <w:rsid w:val="002C6989"/>
    <w:rsid w:val="002C74EA"/>
    <w:rsid w:val="002D0BA5"/>
    <w:rsid w:val="002D46AE"/>
    <w:rsid w:val="002E00E9"/>
    <w:rsid w:val="002E08E6"/>
    <w:rsid w:val="002E2634"/>
    <w:rsid w:val="002E28B8"/>
    <w:rsid w:val="002E384D"/>
    <w:rsid w:val="002E5F1E"/>
    <w:rsid w:val="002F3651"/>
    <w:rsid w:val="002F5974"/>
    <w:rsid w:val="002F6B8C"/>
    <w:rsid w:val="002F6EBE"/>
    <w:rsid w:val="002F6FAC"/>
    <w:rsid w:val="00302EF9"/>
    <w:rsid w:val="00303DEC"/>
    <w:rsid w:val="003120C2"/>
    <w:rsid w:val="00315DCE"/>
    <w:rsid w:val="00317091"/>
    <w:rsid w:val="0032376C"/>
    <w:rsid w:val="00323A0D"/>
    <w:rsid w:val="003248D7"/>
    <w:rsid w:val="00327E62"/>
    <w:rsid w:val="0033475A"/>
    <w:rsid w:val="00341C4B"/>
    <w:rsid w:val="00347874"/>
    <w:rsid w:val="003503DB"/>
    <w:rsid w:val="00350DB5"/>
    <w:rsid w:val="00352044"/>
    <w:rsid w:val="003526FF"/>
    <w:rsid w:val="0035380B"/>
    <w:rsid w:val="00354206"/>
    <w:rsid w:val="00355AA3"/>
    <w:rsid w:val="0035609C"/>
    <w:rsid w:val="00356D4D"/>
    <w:rsid w:val="0035708F"/>
    <w:rsid w:val="00360FC0"/>
    <w:rsid w:val="0036154D"/>
    <w:rsid w:val="003627E2"/>
    <w:rsid w:val="00364035"/>
    <w:rsid w:val="003648B6"/>
    <w:rsid w:val="003649AA"/>
    <w:rsid w:val="00367734"/>
    <w:rsid w:val="00370438"/>
    <w:rsid w:val="00371021"/>
    <w:rsid w:val="00371AF2"/>
    <w:rsid w:val="0037213C"/>
    <w:rsid w:val="00376A31"/>
    <w:rsid w:val="00377D87"/>
    <w:rsid w:val="003814DE"/>
    <w:rsid w:val="003818E8"/>
    <w:rsid w:val="00381A67"/>
    <w:rsid w:val="00384B9D"/>
    <w:rsid w:val="0038670E"/>
    <w:rsid w:val="003928B7"/>
    <w:rsid w:val="003930D0"/>
    <w:rsid w:val="00393A77"/>
    <w:rsid w:val="00393C2F"/>
    <w:rsid w:val="003940A2"/>
    <w:rsid w:val="00397801"/>
    <w:rsid w:val="003978D4"/>
    <w:rsid w:val="003A1E4E"/>
    <w:rsid w:val="003B0D41"/>
    <w:rsid w:val="003B1103"/>
    <w:rsid w:val="003B239F"/>
    <w:rsid w:val="003C31BE"/>
    <w:rsid w:val="003D05B2"/>
    <w:rsid w:val="003D1D09"/>
    <w:rsid w:val="003D7BAC"/>
    <w:rsid w:val="003E17CB"/>
    <w:rsid w:val="003E2CBB"/>
    <w:rsid w:val="003E3275"/>
    <w:rsid w:val="003E34C9"/>
    <w:rsid w:val="003E7DEF"/>
    <w:rsid w:val="003F0BE1"/>
    <w:rsid w:val="003F2DBD"/>
    <w:rsid w:val="003F4532"/>
    <w:rsid w:val="003F5085"/>
    <w:rsid w:val="003F743C"/>
    <w:rsid w:val="0040522E"/>
    <w:rsid w:val="0040644F"/>
    <w:rsid w:val="00406855"/>
    <w:rsid w:val="00410C1C"/>
    <w:rsid w:val="00411572"/>
    <w:rsid w:val="004117B4"/>
    <w:rsid w:val="00412ADF"/>
    <w:rsid w:val="00413F03"/>
    <w:rsid w:val="004179E5"/>
    <w:rsid w:val="00417F0E"/>
    <w:rsid w:val="00423114"/>
    <w:rsid w:val="004279AC"/>
    <w:rsid w:val="00427B44"/>
    <w:rsid w:val="004308F4"/>
    <w:rsid w:val="00431B0B"/>
    <w:rsid w:val="00435AA4"/>
    <w:rsid w:val="00435D05"/>
    <w:rsid w:val="00435F83"/>
    <w:rsid w:val="00440291"/>
    <w:rsid w:val="00440805"/>
    <w:rsid w:val="00445CC3"/>
    <w:rsid w:val="00450079"/>
    <w:rsid w:val="00451682"/>
    <w:rsid w:val="004535DA"/>
    <w:rsid w:val="0045549B"/>
    <w:rsid w:val="00457EE8"/>
    <w:rsid w:val="00461E29"/>
    <w:rsid w:val="0046291C"/>
    <w:rsid w:val="00465F23"/>
    <w:rsid w:val="004676F2"/>
    <w:rsid w:val="00467AB7"/>
    <w:rsid w:val="00473DC6"/>
    <w:rsid w:val="00474685"/>
    <w:rsid w:val="004760B0"/>
    <w:rsid w:val="004767C6"/>
    <w:rsid w:val="0048390F"/>
    <w:rsid w:val="00485F58"/>
    <w:rsid w:val="00487665"/>
    <w:rsid w:val="00487A39"/>
    <w:rsid w:val="00490898"/>
    <w:rsid w:val="00492D11"/>
    <w:rsid w:val="0049473A"/>
    <w:rsid w:val="00494FBB"/>
    <w:rsid w:val="00495C7B"/>
    <w:rsid w:val="004A0B5F"/>
    <w:rsid w:val="004A2BBE"/>
    <w:rsid w:val="004A3D12"/>
    <w:rsid w:val="004A73D4"/>
    <w:rsid w:val="004B1821"/>
    <w:rsid w:val="004B30F6"/>
    <w:rsid w:val="004B65DA"/>
    <w:rsid w:val="004B69CB"/>
    <w:rsid w:val="004C6C38"/>
    <w:rsid w:val="004D33B3"/>
    <w:rsid w:val="004D33FA"/>
    <w:rsid w:val="004D5372"/>
    <w:rsid w:val="004D6714"/>
    <w:rsid w:val="004E077B"/>
    <w:rsid w:val="004E1C54"/>
    <w:rsid w:val="004E21D9"/>
    <w:rsid w:val="004E3FE1"/>
    <w:rsid w:val="004E48D4"/>
    <w:rsid w:val="004E6D5B"/>
    <w:rsid w:val="004E6DD9"/>
    <w:rsid w:val="004E7F63"/>
    <w:rsid w:val="004F33A2"/>
    <w:rsid w:val="004F4B0A"/>
    <w:rsid w:val="004F6E30"/>
    <w:rsid w:val="004F7039"/>
    <w:rsid w:val="004F76C8"/>
    <w:rsid w:val="004F7DEC"/>
    <w:rsid w:val="00501DE4"/>
    <w:rsid w:val="00501FE3"/>
    <w:rsid w:val="00505867"/>
    <w:rsid w:val="00505A6B"/>
    <w:rsid w:val="00506CB4"/>
    <w:rsid w:val="0051286C"/>
    <w:rsid w:val="0051624A"/>
    <w:rsid w:val="00522BA3"/>
    <w:rsid w:val="00523288"/>
    <w:rsid w:val="00524C1C"/>
    <w:rsid w:val="00524C36"/>
    <w:rsid w:val="005251AB"/>
    <w:rsid w:val="005251D7"/>
    <w:rsid w:val="005268E4"/>
    <w:rsid w:val="0053019F"/>
    <w:rsid w:val="00530A73"/>
    <w:rsid w:val="00533A20"/>
    <w:rsid w:val="00533B2F"/>
    <w:rsid w:val="0053694E"/>
    <w:rsid w:val="00537FAB"/>
    <w:rsid w:val="0054572C"/>
    <w:rsid w:val="00545ABB"/>
    <w:rsid w:val="005461D4"/>
    <w:rsid w:val="005471D8"/>
    <w:rsid w:val="00547C56"/>
    <w:rsid w:val="005524B0"/>
    <w:rsid w:val="00553BEC"/>
    <w:rsid w:val="005556F5"/>
    <w:rsid w:val="0055614A"/>
    <w:rsid w:val="005563C5"/>
    <w:rsid w:val="00557AEC"/>
    <w:rsid w:val="00565844"/>
    <w:rsid w:val="005726A5"/>
    <w:rsid w:val="00575C7B"/>
    <w:rsid w:val="00580560"/>
    <w:rsid w:val="0058092E"/>
    <w:rsid w:val="00584491"/>
    <w:rsid w:val="00584732"/>
    <w:rsid w:val="00587834"/>
    <w:rsid w:val="00587BA8"/>
    <w:rsid w:val="00587F21"/>
    <w:rsid w:val="00591208"/>
    <w:rsid w:val="0059633A"/>
    <w:rsid w:val="005A2D3E"/>
    <w:rsid w:val="005A60BF"/>
    <w:rsid w:val="005A6E67"/>
    <w:rsid w:val="005A6FAD"/>
    <w:rsid w:val="005A6FE1"/>
    <w:rsid w:val="005A71D1"/>
    <w:rsid w:val="005B3487"/>
    <w:rsid w:val="005B3A44"/>
    <w:rsid w:val="005B620B"/>
    <w:rsid w:val="005C0BE1"/>
    <w:rsid w:val="005C2756"/>
    <w:rsid w:val="005C4942"/>
    <w:rsid w:val="005C620E"/>
    <w:rsid w:val="005D4FDD"/>
    <w:rsid w:val="005D7067"/>
    <w:rsid w:val="005E1923"/>
    <w:rsid w:val="005E324C"/>
    <w:rsid w:val="005E3AE3"/>
    <w:rsid w:val="005E492A"/>
    <w:rsid w:val="005E5212"/>
    <w:rsid w:val="005E52BC"/>
    <w:rsid w:val="005E57FA"/>
    <w:rsid w:val="005E664E"/>
    <w:rsid w:val="005E68DD"/>
    <w:rsid w:val="005F4008"/>
    <w:rsid w:val="005F471B"/>
    <w:rsid w:val="005F5A9A"/>
    <w:rsid w:val="005F686A"/>
    <w:rsid w:val="00600030"/>
    <w:rsid w:val="00600D21"/>
    <w:rsid w:val="00604538"/>
    <w:rsid w:val="00611AA0"/>
    <w:rsid w:val="00611C35"/>
    <w:rsid w:val="006151E7"/>
    <w:rsid w:val="006156E3"/>
    <w:rsid w:val="0061772E"/>
    <w:rsid w:val="006220D2"/>
    <w:rsid w:val="0062727C"/>
    <w:rsid w:val="00630EEB"/>
    <w:rsid w:val="006328D9"/>
    <w:rsid w:val="00633B8C"/>
    <w:rsid w:val="006355B8"/>
    <w:rsid w:val="00635935"/>
    <w:rsid w:val="00636D53"/>
    <w:rsid w:val="00642699"/>
    <w:rsid w:val="00643297"/>
    <w:rsid w:val="0064633B"/>
    <w:rsid w:val="006465F7"/>
    <w:rsid w:val="00646AAA"/>
    <w:rsid w:val="006477DB"/>
    <w:rsid w:val="0065096F"/>
    <w:rsid w:val="0065476F"/>
    <w:rsid w:val="00654E33"/>
    <w:rsid w:val="00656A95"/>
    <w:rsid w:val="00661868"/>
    <w:rsid w:val="00662647"/>
    <w:rsid w:val="00665BAF"/>
    <w:rsid w:val="00665FCD"/>
    <w:rsid w:val="006703CF"/>
    <w:rsid w:val="00670750"/>
    <w:rsid w:val="0067095E"/>
    <w:rsid w:val="006721C8"/>
    <w:rsid w:val="00676410"/>
    <w:rsid w:val="006814E2"/>
    <w:rsid w:val="00681954"/>
    <w:rsid w:val="00682AA2"/>
    <w:rsid w:val="00683AD6"/>
    <w:rsid w:val="006846C1"/>
    <w:rsid w:val="00686676"/>
    <w:rsid w:val="00690362"/>
    <w:rsid w:val="00692CBA"/>
    <w:rsid w:val="00693E0A"/>
    <w:rsid w:val="00694D2A"/>
    <w:rsid w:val="006960DA"/>
    <w:rsid w:val="0069704E"/>
    <w:rsid w:val="006A1271"/>
    <w:rsid w:val="006A1B77"/>
    <w:rsid w:val="006A2CB7"/>
    <w:rsid w:val="006A71BE"/>
    <w:rsid w:val="006A738B"/>
    <w:rsid w:val="006B1972"/>
    <w:rsid w:val="006B3632"/>
    <w:rsid w:val="006B51FB"/>
    <w:rsid w:val="006C0FE4"/>
    <w:rsid w:val="006C381A"/>
    <w:rsid w:val="006C492D"/>
    <w:rsid w:val="006C64A9"/>
    <w:rsid w:val="006D059D"/>
    <w:rsid w:val="006D1316"/>
    <w:rsid w:val="006D14D1"/>
    <w:rsid w:val="006D14DE"/>
    <w:rsid w:val="006D2C9A"/>
    <w:rsid w:val="006D31FD"/>
    <w:rsid w:val="006D361B"/>
    <w:rsid w:val="006D5846"/>
    <w:rsid w:val="006E0F8F"/>
    <w:rsid w:val="006E10F1"/>
    <w:rsid w:val="006E265A"/>
    <w:rsid w:val="006E3C9A"/>
    <w:rsid w:val="006E3E1F"/>
    <w:rsid w:val="006F0ACB"/>
    <w:rsid w:val="006F0C0E"/>
    <w:rsid w:val="006F18C1"/>
    <w:rsid w:val="006F361E"/>
    <w:rsid w:val="006F62CE"/>
    <w:rsid w:val="006F71D7"/>
    <w:rsid w:val="00700815"/>
    <w:rsid w:val="007011FA"/>
    <w:rsid w:val="0070131B"/>
    <w:rsid w:val="007031A6"/>
    <w:rsid w:val="0070496E"/>
    <w:rsid w:val="00704F55"/>
    <w:rsid w:val="007073DB"/>
    <w:rsid w:val="00712F8E"/>
    <w:rsid w:val="0071570E"/>
    <w:rsid w:val="00715FC0"/>
    <w:rsid w:val="00715FDF"/>
    <w:rsid w:val="0072009F"/>
    <w:rsid w:val="007204B5"/>
    <w:rsid w:val="00723646"/>
    <w:rsid w:val="007238BC"/>
    <w:rsid w:val="00727149"/>
    <w:rsid w:val="00732732"/>
    <w:rsid w:val="00735120"/>
    <w:rsid w:val="00736276"/>
    <w:rsid w:val="00743C3D"/>
    <w:rsid w:val="00746B94"/>
    <w:rsid w:val="00747C08"/>
    <w:rsid w:val="007607D5"/>
    <w:rsid w:val="00762E26"/>
    <w:rsid w:val="0076449B"/>
    <w:rsid w:val="00764B07"/>
    <w:rsid w:val="00766515"/>
    <w:rsid w:val="007752AF"/>
    <w:rsid w:val="00775E48"/>
    <w:rsid w:val="0078000D"/>
    <w:rsid w:val="0078077A"/>
    <w:rsid w:val="007815A3"/>
    <w:rsid w:val="007858F7"/>
    <w:rsid w:val="007863C3"/>
    <w:rsid w:val="00786FF1"/>
    <w:rsid w:val="00787CAE"/>
    <w:rsid w:val="00791B0E"/>
    <w:rsid w:val="00794A70"/>
    <w:rsid w:val="00795C53"/>
    <w:rsid w:val="007970FF"/>
    <w:rsid w:val="00797C75"/>
    <w:rsid w:val="007A02B7"/>
    <w:rsid w:val="007A0C1A"/>
    <w:rsid w:val="007A15B4"/>
    <w:rsid w:val="007A605E"/>
    <w:rsid w:val="007A7A4F"/>
    <w:rsid w:val="007A7E96"/>
    <w:rsid w:val="007B14AC"/>
    <w:rsid w:val="007B3B11"/>
    <w:rsid w:val="007B446D"/>
    <w:rsid w:val="007B6D82"/>
    <w:rsid w:val="007C1319"/>
    <w:rsid w:val="007C3F27"/>
    <w:rsid w:val="007C4411"/>
    <w:rsid w:val="007D0E0F"/>
    <w:rsid w:val="007D2E58"/>
    <w:rsid w:val="007D67D0"/>
    <w:rsid w:val="007D70C0"/>
    <w:rsid w:val="007E21CE"/>
    <w:rsid w:val="007E2C72"/>
    <w:rsid w:val="007E4A37"/>
    <w:rsid w:val="007E52E6"/>
    <w:rsid w:val="007E5567"/>
    <w:rsid w:val="007E6F3C"/>
    <w:rsid w:val="007F42C0"/>
    <w:rsid w:val="007F42EF"/>
    <w:rsid w:val="007F4DB1"/>
    <w:rsid w:val="007F5569"/>
    <w:rsid w:val="007F5B24"/>
    <w:rsid w:val="0080021B"/>
    <w:rsid w:val="00800923"/>
    <w:rsid w:val="00801586"/>
    <w:rsid w:val="00804480"/>
    <w:rsid w:val="00811B91"/>
    <w:rsid w:val="0081517C"/>
    <w:rsid w:val="00815B7A"/>
    <w:rsid w:val="0082058C"/>
    <w:rsid w:val="00821707"/>
    <w:rsid w:val="00823D9C"/>
    <w:rsid w:val="00830C02"/>
    <w:rsid w:val="0083123C"/>
    <w:rsid w:val="008328D3"/>
    <w:rsid w:val="008375EE"/>
    <w:rsid w:val="008378C6"/>
    <w:rsid w:val="008417AA"/>
    <w:rsid w:val="0084182C"/>
    <w:rsid w:val="00846192"/>
    <w:rsid w:val="00846F6F"/>
    <w:rsid w:val="00847649"/>
    <w:rsid w:val="00851562"/>
    <w:rsid w:val="00851AE9"/>
    <w:rsid w:val="008559E6"/>
    <w:rsid w:val="00856FB1"/>
    <w:rsid w:val="00857B8C"/>
    <w:rsid w:val="0086236A"/>
    <w:rsid w:val="00865945"/>
    <w:rsid w:val="00866E87"/>
    <w:rsid w:val="008705BF"/>
    <w:rsid w:val="008716BA"/>
    <w:rsid w:val="00872975"/>
    <w:rsid w:val="008732F8"/>
    <w:rsid w:val="00873321"/>
    <w:rsid w:val="00874071"/>
    <w:rsid w:val="0087455C"/>
    <w:rsid w:val="00875CD5"/>
    <w:rsid w:val="00876425"/>
    <w:rsid w:val="00880B06"/>
    <w:rsid w:val="008820AA"/>
    <w:rsid w:val="00886233"/>
    <w:rsid w:val="00886423"/>
    <w:rsid w:val="00890CA2"/>
    <w:rsid w:val="00892B2E"/>
    <w:rsid w:val="0089316B"/>
    <w:rsid w:val="00893F17"/>
    <w:rsid w:val="00895761"/>
    <w:rsid w:val="00896B86"/>
    <w:rsid w:val="008A02C4"/>
    <w:rsid w:val="008A10B6"/>
    <w:rsid w:val="008A4FAD"/>
    <w:rsid w:val="008A7EF0"/>
    <w:rsid w:val="008B20F7"/>
    <w:rsid w:val="008B239F"/>
    <w:rsid w:val="008B3623"/>
    <w:rsid w:val="008B5819"/>
    <w:rsid w:val="008B6C42"/>
    <w:rsid w:val="008B7CF0"/>
    <w:rsid w:val="008C356A"/>
    <w:rsid w:val="008C6D31"/>
    <w:rsid w:val="008D75BF"/>
    <w:rsid w:val="008E4706"/>
    <w:rsid w:val="008E4F07"/>
    <w:rsid w:val="008E591A"/>
    <w:rsid w:val="008F323B"/>
    <w:rsid w:val="008F363A"/>
    <w:rsid w:val="008F3658"/>
    <w:rsid w:val="008F3D7B"/>
    <w:rsid w:val="008F6982"/>
    <w:rsid w:val="008F7BB2"/>
    <w:rsid w:val="00901A68"/>
    <w:rsid w:val="00902B9D"/>
    <w:rsid w:val="00904648"/>
    <w:rsid w:val="00905BBD"/>
    <w:rsid w:val="0091140E"/>
    <w:rsid w:val="00911F4D"/>
    <w:rsid w:val="00915D0C"/>
    <w:rsid w:val="00920394"/>
    <w:rsid w:val="009205B6"/>
    <w:rsid w:val="00920D6E"/>
    <w:rsid w:val="00922A62"/>
    <w:rsid w:val="00924805"/>
    <w:rsid w:val="00934299"/>
    <w:rsid w:val="00935B45"/>
    <w:rsid w:val="009369D5"/>
    <w:rsid w:val="009436E3"/>
    <w:rsid w:val="00943B87"/>
    <w:rsid w:val="009444FA"/>
    <w:rsid w:val="00946645"/>
    <w:rsid w:val="0095286A"/>
    <w:rsid w:val="00954FC1"/>
    <w:rsid w:val="00960F31"/>
    <w:rsid w:val="00961D89"/>
    <w:rsid w:val="00962CFB"/>
    <w:rsid w:val="009631D6"/>
    <w:rsid w:val="00964982"/>
    <w:rsid w:val="009821D5"/>
    <w:rsid w:val="009825B7"/>
    <w:rsid w:val="00983B85"/>
    <w:rsid w:val="00986069"/>
    <w:rsid w:val="009902D9"/>
    <w:rsid w:val="00990B3D"/>
    <w:rsid w:val="0099212A"/>
    <w:rsid w:val="00992C12"/>
    <w:rsid w:val="009A2404"/>
    <w:rsid w:val="009A4CB1"/>
    <w:rsid w:val="009B0D91"/>
    <w:rsid w:val="009B1054"/>
    <w:rsid w:val="009B35BC"/>
    <w:rsid w:val="009B4DEE"/>
    <w:rsid w:val="009B70E9"/>
    <w:rsid w:val="009C263C"/>
    <w:rsid w:val="009C32F4"/>
    <w:rsid w:val="009D1D2F"/>
    <w:rsid w:val="009D3F0F"/>
    <w:rsid w:val="009D44E8"/>
    <w:rsid w:val="009E3610"/>
    <w:rsid w:val="009E3B1A"/>
    <w:rsid w:val="009E4403"/>
    <w:rsid w:val="009E4608"/>
    <w:rsid w:val="009E5BF1"/>
    <w:rsid w:val="009E7910"/>
    <w:rsid w:val="009F0840"/>
    <w:rsid w:val="009F0D71"/>
    <w:rsid w:val="009F55F3"/>
    <w:rsid w:val="009F70C4"/>
    <w:rsid w:val="00A02883"/>
    <w:rsid w:val="00A06976"/>
    <w:rsid w:val="00A100E0"/>
    <w:rsid w:val="00A1024C"/>
    <w:rsid w:val="00A17559"/>
    <w:rsid w:val="00A20928"/>
    <w:rsid w:val="00A21536"/>
    <w:rsid w:val="00A21AAC"/>
    <w:rsid w:val="00A31A8D"/>
    <w:rsid w:val="00A3220C"/>
    <w:rsid w:val="00A3376B"/>
    <w:rsid w:val="00A34B41"/>
    <w:rsid w:val="00A35EE8"/>
    <w:rsid w:val="00A362D1"/>
    <w:rsid w:val="00A3696B"/>
    <w:rsid w:val="00A40FC1"/>
    <w:rsid w:val="00A41D71"/>
    <w:rsid w:val="00A434D6"/>
    <w:rsid w:val="00A4398F"/>
    <w:rsid w:val="00A45247"/>
    <w:rsid w:val="00A50C28"/>
    <w:rsid w:val="00A51162"/>
    <w:rsid w:val="00A536F6"/>
    <w:rsid w:val="00A541F8"/>
    <w:rsid w:val="00A56EA2"/>
    <w:rsid w:val="00A57584"/>
    <w:rsid w:val="00A57E97"/>
    <w:rsid w:val="00A629CA"/>
    <w:rsid w:val="00A62E21"/>
    <w:rsid w:val="00A63A5B"/>
    <w:rsid w:val="00A67B61"/>
    <w:rsid w:val="00A733AC"/>
    <w:rsid w:val="00A87B92"/>
    <w:rsid w:val="00A91AD4"/>
    <w:rsid w:val="00A92228"/>
    <w:rsid w:val="00A94B0C"/>
    <w:rsid w:val="00A94BEF"/>
    <w:rsid w:val="00A96397"/>
    <w:rsid w:val="00A97FAB"/>
    <w:rsid w:val="00AA0E26"/>
    <w:rsid w:val="00AA1057"/>
    <w:rsid w:val="00AA47E2"/>
    <w:rsid w:val="00AA6606"/>
    <w:rsid w:val="00AA72BF"/>
    <w:rsid w:val="00AB065A"/>
    <w:rsid w:val="00AB2476"/>
    <w:rsid w:val="00AB3244"/>
    <w:rsid w:val="00AB3C8B"/>
    <w:rsid w:val="00AB4070"/>
    <w:rsid w:val="00AB5353"/>
    <w:rsid w:val="00AB5BDB"/>
    <w:rsid w:val="00AC1CB2"/>
    <w:rsid w:val="00AD2FEF"/>
    <w:rsid w:val="00AD3F9C"/>
    <w:rsid w:val="00AD630D"/>
    <w:rsid w:val="00AD72A9"/>
    <w:rsid w:val="00AE13E1"/>
    <w:rsid w:val="00AE3DBC"/>
    <w:rsid w:val="00AE5496"/>
    <w:rsid w:val="00AE57E6"/>
    <w:rsid w:val="00AE6DF8"/>
    <w:rsid w:val="00AF1705"/>
    <w:rsid w:val="00AF1B97"/>
    <w:rsid w:val="00AF218D"/>
    <w:rsid w:val="00AF31D8"/>
    <w:rsid w:val="00AF3343"/>
    <w:rsid w:val="00AF5F76"/>
    <w:rsid w:val="00AF680B"/>
    <w:rsid w:val="00B048EE"/>
    <w:rsid w:val="00B04DB5"/>
    <w:rsid w:val="00B05010"/>
    <w:rsid w:val="00B057C3"/>
    <w:rsid w:val="00B107A5"/>
    <w:rsid w:val="00B12A34"/>
    <w:rsid w:val="00B13799"/>
    <w:rsid w:val="00B21A65"/>
    <w:rsid w:val="00B22BAF"/>
    <w:rsid w:val="00B2302F"/>
    <w:rsid w:val="00B30BCB"/>
    <w:rsid w:val="00B31200"/>
    <w:rsid w:val="00B3311F"/>
    <w:rsid w:val="00B34AD7"/>
    <w:rsid w:val="00B3595C"/>
    <w:rsid w:val="00B366C1"/>
    <w:rsid w:val="00B376AF"/>
    <w:rsid w:val="00B37E25"/>
    <w:rsid w:val="00B44C43"/>
    <w:rsid w:val="00B46841"/>
    <w:rsid w:val="00B509E9"/>
    <w:rsid w:val="00B5350B"/>
    <w:rsid w:val="00B55906"/>
    <w:rsid w:val="00B56FA6"/>
    <w:rsid w:val="00B57304"/>
    <w:rsid w:val="00B57C01"/>
    <w:rsid w:val="00B57FC1"/>
    <w:rsid w:val="00B64D58"/>
    <w:rsid w:val="00B66C86"/>
    <w:rsid w:val="00B66DEC"/>
    <w:rsid w:val="00B748ED"/>
    <w:rsid w:val="00B76949"/>
    <w:rsid w:val="00B81174"/>
    <w:rsid w:val="00B836BF"/>
    <w:rsid w:val="00B8375D"/>
    <w:rsid w:val="00B867B9"/>
    <w:rsid w:val="00B87BD1"/>
    <w:rsid w:val="00B9223F"/>
    <w:rsid w:val="00B928F1"/>
    <w:rsid w:val="00B94A7E"/>
    <w:rsid w:val="00B9763F"/>
    <w:rsid w:val="00BA50FC"/>
    <w:rsid w:val="00BA5583"/>
    <w:rsid w:val="00BA565E"/>
    <w:rsid w:val="00BA6037"/>
    <w:rsid w:val="00BA7956"/>
    <w:rsid w:val="00BB0CBB"/>
    <w:rsid w:val="00BB2F82"/>
    <w:rsid w:val="00BB3A7F"/>
    <w:rsid w:val="00BB3F12"/>
    <w:rsid w:val="00BB44A1"/>
    <w:rsid w:val="00BB570E"/>
    <w:rsid w:val="00BB5CD1"/>
    <w:rsid w:val="00BB6150"/>
    <w:rsid w:val="00BB6B09"/>
    <w:rsid w:val="00BB7F5B"/>
    <w:rsid w:val="00BC0B07"/>
    <w:rsid w:val="00BC20A7"/>
    <w:rsid w:val="00BC4F63"/>
    <w:rsid w:val="00BC524F"/>
    <w:rsid w:val="00BC54B6"/>
    <w:rsid w:val="00BC5FD8"/>
    <w:rsid w:val="00BC62CE"/>
    <w:rsid w:val="00BD32D3"/>
    <w:rsid w:val="00BD434D"/>
    <w:rsid w:val="00BD54B8"/>
    <w:rsid w:val="00BD5E22"/>
    <w:rsid w:val="00BD79AB"/>
    <w:rsid w:val="00BD7AC3"/>
    <w:rsid w:val="00BE2701"/>
    <w:rsid w:val="00BE287A"/>
    <w:rsid w:val="00BE420D"/>
    <w:rsid w:val="00BE4EB5"/>
    <w:rsid w:val="00BE756D"/>
    <w:rsid w:val="00BF3766"/>
    <w:rsid w:val="00BF485A"/>
    <w:rsid w:val="00BF59EF"/>
    <w:rsid w:val="00BF7130"/>
    <w:rsid w:val="00C0027C"/>
    <w:rsid w:val="00C008ED"/>
    <w:rsid w:val="00C0313F"/>
    <w:rsid w:val="00C03FE4"/>
    <w:rsid w:val="00C05335"/>
    <w:rsid w:val="00C072CF"/>
    <w:rsid w:val="00C10081"/>
    <w:rsid w:val="00C11336"/>
    <w:rsid w:val="00C12800"/>
    <w:rsid w:val="00C17232"/>
    <w:rsid w:val="00C22255"/>
    <w:rsid w:val="00C26339"/>
    <w:rsid w:val="00C26741"/>
    <w:rsid w:val="00C26B92"/>
    <w:rsid w:val="00C345F1"/>
    <w:rsid w:val="00C35313"/>
    <w:rsid w:val="00C36821"/>
    <w:rsid w:val="00C374A9"/>
    <w:rsid w:val="00C413F0"/>
    <w:rsid w:val="00C541E5"/>
    <w:rsid w:val="00C5547D"/>
    <w:rsid w:val="00C55C16"/>
    <w:rsid w:val="00C6333E"/>
    <w:rsid w:val="00C648FD"/>
    <w:rsid w:val="00C6717D"/>
    <w:rsid w:val="00C71825"/>
    <w:rsid w:val="00C72982"/>
    <w:rsid w:val="00C730B3"/>
    <w:rsid w:val="00C73705"/>
    <w:rsid w:val="00C74775"/>
    <w:rsid w:val="00C749AC"/>
    <w:rsid w:val="00C76F93"/>
    <w:rsid w:val="00C775DE"/>
    <w:rsid w:val="00C77C7C"/>
    <w:rsid w:val="00C826BE"/>
    <w:rsid w:val="00C82C7D"/>
    <w:rsid w:val="00C840E9"/>
    <w:rsid w:val="00C84817"/>
    <w:rsid w:val="00C85E2E"/>
    <w:rsid w:val="00C87B8B"/>
    <w:rsid w:val="00C916B2"/>
    <w:rsid w:val="00C91758"/>
    <w:rsid w:val="00C91AD8"/>
    <w:rsid w:val="00C93CE6"/>
    <w:rsid w:val="00C958D8"/>
    <w:rsid w:val="00C96A14"/>
    <w:rsid w:val="00CA2F9C"/>
    <w:rsid w:val="00CA3617"/>
    <w:rsid w:val="00CA76B7"/>
    <w:rsid w:val="00CB0239"/>
    <w:rsid w:val="00CB6BFA"/>
    <w:rsid w:val="00CC03BC"/>
    <w:rsid w:val="00CD0652"/>
    <w:rsid w:val="00CD397D"/>
    <w:rsid w:val="00CD4763"/>
    <w:rsid w:val="00CD4B5C"/>
    <w:rsid w:val="00CE273F"/>
    <w:rsid w:val="00CE5232"/>
    <w:rsid w:val="00CF460E"/>
    <w:rsid w:val="00CF6883"/>
    <w:rsid w:val="00CF7310"/>
    <w:rsid w:val="00D00091"/>
    <w:rsid w:val="00D025F7"/>
    <w:rsid w:val="00D040C8"/>
    <w:rsid w:val="00D05454"/>
    <w:rsid w:val="00D075D5"/>
    <w:rsid w:val="00D07F55"/>
    <w:rsid w:val="00D10A90"/>
    <w:rsid w:val="00D153DC"/>
    <w:rsid w:val="00D1700B"/>
    <w:rsid w:val="00D209D1"/>
    <w:rsid w:val="00D20DDD"/>
    <w:rsid w:val="00D22217"/>
    <w:rsid w:val="00D22669"/>
    <w:rsid w:val="00D23026"/>
    <w:rsid w:val="00D234AA"/>
    <w:rsid w:val="00D24E5A"/>
    <w:rsid w:val="00D30BA4"/>
    <w:rsid w:val="00D31C8E"/>
    <w:rsid w:val="00D31CAE"/>
    <w:rsid w:val="00D341B5"/>
    <w:rsid w:val="00D36B82"/>
    <w:rsid w:val="00D370A5"/>
    <w:rsid w:val="00D37E30"/>
    <w:rsid w:val="00D420DD"/>
    <w:rsid w:val="00D423D3"/>
    <w:rsid w:val="00D44A94"/>
    <w:rsid w:val="00D47BE3"/>
    <w:rsid w:val="00D506BF"/>
    <w:rsid w:val="00D51F60"/>
    <w:rsid w:val="00D52E5B"/>
    <w:rsid w:val="00D55C03"/>
    <w:rsid w:val="00D573B5"/>
    <w:rsid w:val="00D575EE"/>
    <w:rsid w:val="00D60642"/>
    <w:rsid w:val="00D64798"/>
    <w:rsid w:val="00D661A8"/>
    <w:rsid w:val="00D70CAE"/>
    <w:rsid w:val="00D70DE0"/>
    <w:rsid w:val="00D72A42"/>
    <w:rsid w:val="00D77517"/>
    <w:rsid w:val="00D80DF7"/>
    <w:rsid w:val="00D8174C"/>
    <w:rsid w:val="00D83AFF"/>
    <w:rsid w:val="00D86280"/>
    <w:rsid w:val="00D906BB"/>
    <w:rsid w:val="00D92ACA"/>
    <w:rsid w:val="00D93291"/>
    <w:rsid w:val="00D93A38"/>
    <w:rsid w:val="00D945D7"/>
    <w:rsid w:val="00D94908"/>
    <w:rsid w:val="00D97F53"/>
    <w:rsid w:val="00DA24E2"/>
    <w:rsid w:val="00DA574A"/>
    <w:rsid w:val="00DA5AA4"/>
    <w:rsid w:val="00DB333E"/>
    <w:rsid w:val="00DB3E4C"/>
    <w:rsid w:val="00DB3FC3"/>
    <w:rsid w:val="00DB7409"/>
    <w:rsid w:val="00DB74C8"/>
    <w:rsid w:val="00DC10B4"/>
    <w:rsid w:val="00DC328B"/>
    <w:rsid w:val="00DC5970"/>
    <w:rsid w:val="00DC6718"/>
    <w:rsid w:val="00DC6757"/>
    <w:rsid w:val="00DC7868"/>
    <w:rsid w:val="00DD142B"/>
    <w:rsid w:val="00DD1BEC"/>
    <w:rsid w:val="00DD31B6"/>
    <w:rsid w:val="00DD3F25"/>
    <w:rsid w:val="00DD566F"/>
    <w:rsid w:val="00DD5AF1"/>
    <w:rsid w:val="00DE2FB9"/>
    <w:rsid w:val="00DE447B"/>
    <w:rsid w:val="00DE46A4"/>
    <w:rsid w:val="00DE55FC"/>
    <w:rsid w:val="00DE6AD0"/>
    <w:rsid w:val="00DE725D"/>
    <w:rsid w:val="00DF140F"/>
    <w:rsid w:val="00DF3258"/>
    <w:rsid w:val="00DF3933"/>
    <w:rsid w:val="00DF6B3B"/>
    <w:rsid w:val="00DF6C87"/>
    <w:rsid w:val="00DF7DED"/>
    <w:rsid w:val="00E034E5"/>
    <w:rsid w:val="00E0407D"/>
    <w:rsid w:val="00E0435D"/>
    <w:rsid w:val="00E1077A"/>
    <w:rsid w:val="00E10F00"/>
    <w:rsid w:val="00E12488"/>
    <w:rsid w:val="00E14B7D"/>
    <w:rsid w:val="00E15B83"/>
    <w:rsid w:val="00E16C7C"/>
    <w:rsid w:val="00E21BDA"/>
    <w:rsid w:val="00E22431"/>
    <w:rsid w:val="00E23D44"/>
    <w:rsid w:val="00E2502C"/>
    <w:rsid w:val="00E257F6"/>
    <w:rsid w:val="00E30F86"/>
    <w:rsid w:val="00E31A2F"/>
    <w:rsid w:val="00E3366F"/>
    <w:rsid w:val="00E34705"/>
    <w:rsid w:val="00E34BA4"/>
    <w:rsid w:val="00E41985"/>
    <w:rsid w:val="00E422A1"/>
    <w:rsid w:val="00E45741"/>
    <w:rsid w:val="00E50230"/>
    <w:rsid w:val="00E51960"/>
    <w:rsid w:val="00E51A96"/>
    <w:rsid w:val="00E53089"/>
    <w:rsid w:val="00E53830"/>
    <w:rsid w:val="00E559AD"/>
    <w:rsid w:val="00E55A56"/>
    <w:rsid w:val="00E57A2B"/>
    <w:rsid w:val="00E61D49"/>
    <w:rsid w:val="00E62399"/>
    <w:rsid w:val="00E62471"/>
    <w:rsid w:val="00E62969"/>
    <w:rsid w:val="00E704A6"/>
    <w:rsid w:val="00E71D12"/>
    <w:rsid w:val="00E725CD"/>
    <w:rsid w:val="00E72649"/>
    <w:rsid w:val="00E73647"/>
    <w:rsid w:val="00E7744A"/>
    <w:rsid w:val="00E77BCA"/>
    <w:rsid w:val="00E80FCC"/>
    <w:rsid w:val="00E81876"/>
    <w:rsid w:val="00E83D3C"/>
    <w:rsid w:val="00E83FE1"/>
    <w:rsid w:val="00E85464"/>
    <w:rsid w:val="00E85EA4"/>
    <w:rsid w:val="00E87C0E"/>
    <w:rsid w:val="00E937E9"/>
    <w:rsid w:val="00E94F5B"/>
    <w:rsid w:val="00E95C0E"/>
    <w:rsid w:val="00E96E41"/>
    <w:rsid w:val="00E97AC8"/>
    <w:rsid w:val="00EA34A7"/>
    <w:rsid w:val="00EA4BA8"/>
    <w:rsid w:val="00EA5025"/>
    <w:rsid w:val="00EA6429"/>
    <w:rsid w:val="00EA6A6A"/>
    <w:rsid w:val="00EA7D3D"/>
    <w:rsid w:val="00EB03C2"/>
    <w:rsid w:val="00EB0C0D"/>
    <w:rsid w:val="00EB2E51"/>
    <w:rsid w:val="00EB371D"/>
    <w:rsid w:val="00EB4418"/>
    <w:rsid w:val="00EB7244"/>
    <w:rsid w:val="00EB767B"/>
    <w:rsid w:val="00EC09AA"/>
    <w:rsid w:val="00EC2BD9"/>
    <w:rsid w:val="00EC57BF"/>
    <w:rsid w:val="00EC692C"/>
    <w:rsid w:val="00EC6ADC"/>
    <w:rsid w:val="00EC6F5E"/>
    <w:rsid w:val="00ED60BF"/>
    <w:rsid w:val="00ED74B2"/>
    <w:rsid w:val="00EE23D4"/>
    <w:rsid w:val="00EF4399"/>
    <w:rsid w:val="00EF4529"/>
    <w:rsid w:val="00EF5337"/>
    <w:rsid w:val="00F00E6A"/>
    <w:rsid w:val="00F01580"/>
    <w:rsid w:val="00F01FD1"/>
    <w:rsid w:val="00F0267B"/>
    <w:rsid w:val="00F02F27"/>
    <w:rsid w:val="00F03900"/>
    <w:rsid w:val="00F053F8"/>
    <w:rsid w:val="00F11735"/>
    <w:rsid w:val="00F1213C"/>
    <w:rsid w:val="00F13042"/>
    <w:rsid w:val="00F13B5B"/>
    <w:rsid w:val="00F16CDA"/>
    <w:rsid w:val="00F16F3F"/>
    <w:rsid w:val="00F20711"/>
    <w:rsid w:val="00F21050"/>
    <w:rsid w:val="00F30CB2"/>
    <w:rsid w:val="00F34197"/>
    <w:rsid w:val="00F43586"/>
    <w:rsid w:val="00F43E98"/>
    <w:rsid w:val="00F43FBF"/>
    <w:rsid w:val="00F47F5E"/>
    <w:rsid w:val="00F50686"/>
    <w:rsid w:val="00F50930"/>
    <w:rsid w:val="00F50D1C"/>
    <w:rsid w:val="00F52215"/>
    <w:rsid w:val="00F530F7"/>
    <w:rsid w:val="00F564FB"/>
    <w:rsid w:val="00F6049E"/>
    <w:rsid w:val="00F606C7"/>
    <w:rsid w:val="00F70668"/>
    <w:rsid w:val="00F7229E"/>
    <w:rsid w:val="00F72DCA"/>
    <w:rsid w:val="00F74B73"/>
    <w:rsid w:val="00F77BD9"/>
    <w:rsid w:val="00F902C1"/>
    <w:rsid w:val="00F92489"/>
    <w:rsid w:val="00F96A9D"/>
    <w:rsid w:val="00F97836"/>
    <w:rsid w:val="00F97B17"/>
    <w:rsid w:val="00FA0DC7"/>
    <w:rsid w:val="00FA334C"/>
    <w:rsid w:val="00FA3B34"/>
    <w:rsid w:val="00FA4D98"/>
    <w:rsid w:val="00FA5883"/>
    <w:rsid w:val="00FB088B"/>
    <w:rsid w:val="00FB08FF"/>
    <w:rsid w:val="00FB1993"/>
    <w:rsid w:val="00FB5379"/>
    <w:rsid w:val="00FB5AC5"/>
    <w:rsid w:val="00FB7981"/>
    <w:rsid w:val="00FC1DE6"/>
    <w:rsid w:val="00FC2F53"/>
    <w:rsid w:val="00FC448B"/>
    <w:rsid w:val="00FD0B29"/>
    <w:rsid w:val="00FD4D97"/>
    <w:rsid w:val="00FD5874"/>
    <w:rsid w:val="00FD595A"/>
    <w:rsid w:val="00FD5FD2"/>
    <w:rsid w:val="00FD7019"/>
    <w:rsid w:val="00FE2115"/>
    <w:rsid w:val="00FE2273"/>
    <w:rsid w:val="00FE726E"/>
    <w:rsid w:val="00FF116F"/>
    <w:rsid w:val="00FF455A"/>
    <w:rsid w:val="00FF475F"/>
    <w:rsid w:val="00FF4B58"/>
    <w:rsid w:val="00FF6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16DE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3CA"/>
    <w:rPr>
      <w:sz w:val="24"/>
      <w:szCs w:val="24"/>
    </w:rPr>
  </w:style>
  <w:style w:type="paragraph" w:styleId="Heading1">
    <w:name w:val="heading 1"/>
    <w:basedOn w:val="Normal"/>
    <w:next w:val="Normal"/>
    <w:qFormat/>
    <w:rsid w:val="001963CA"/>
    <w:pPr>
      <w:keepNext/>
      <w:ind w:left="2880" w:hanging="2880"/>
      <w:outlineLvl w:val="0"/>
    </w:pPr>
    <w:rPr>
      <w:rFonts w:ascii="Courier New" w:hAnsi="Courier New" w:cs="Courier New"/>
      <w:b/>
      <w:bCs/>
    </w:rPr>
  </w:style>
  <w:style w:type="paragraph" w:styleId="Heading2">
    <w:name w:val="heading 2"/>
    <w:basedOn w:val="Normal"/>
    <w:next w:val="Normal"/>
    <w:qFormat/>
    <w:rsid w:val="001963CA"/>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63CA"/>
    <w:pPr>
      <w:jc w:val="center"/>
    </w:pPr>
    <w:rPr>
      <w:rFonts w:ascii="Courier New" w:hAnsi="Courier New" w:cs="Courier New"/>
      <w:b/>
      <w:bCs/>
    </w:rPr>
  </w:style>
  <w:style w:type="paragraph" w:styleId="FootnoteText">
    <w:name w:val="footnote text"/>
    <w:basedOn w:val="Normal"/>
    <w:link w:val="FootnoteTextChar"/>
    <w:semiHidden/>
    <w:rsid w:val="00F564FB"/>
    <w:rPr>
      <w:sz w:val="20"/>
      <w:szCs w:val="20"/>
    </w:rPr>
  </w:style>
  <w:style w:type="character" w:styleId="FootnoteReference">
    <w:name w:val="footnote reference"/>
    <w:semiHidden/>
    <w:rsid w:val="00F564FB"/>
    <w:rPr>
      <w:vertAlign w:val="superscript"/>
    </w:rPr>
  </w:style>
  <w:style w:type="character" w:customStyle="1" w:styleId="FootnoteTextChar">
    <w:name w:val="Footnote Text Char"/>
    <w:link w:val="FootnoteText"/>
    <w:uiPriority w:val="99"/>
    <w:semiHidden/>
    <w:rsid w:val="00876425"/>
  </w:style>
  <w:style w:type="paragraph" w:styleId="Header">
    <w:name w:val="header"/>
    <w:basedOn w:val="Normal"/>
    <w:link w:val="HeaderChar"/>
    <w:rsid w:val="00151672"/>
    <w:pPr>
      <w:tabs>
        <w:tab w:val="center" w:pos="4680"/>
        <w:tab w:val="right" w:pos="9360"/>
      </w:tabs>
    </w:pPr>
  </w:style>
  <w:style w:type="character" w:customStyle="1" w:styleId="HeaderChar">
    <w:name w:val="Header Char"/>
    <w:link w:val="Header"/>
    <w:rsid w:val="00151672"/>
    <w:rPr>
      <w:sz w:val="24"/>
      <w:szCs w:val="24"/>
    </w:rPr>
  </w:style>
  <w:style w:type="paragraph" w:styleId="Footer">
    <w:name w:val="footer"/>
    <w:basedOn w:val="Normal"/>
    <w:link w:val="FooterChar"/>
    <w:uiPriority w:val="99"/>
    <w:rsid w:val="00151672"/>
    <w:pPr>
      <w:tabs>
        <w:tab w:val="center" w:pos="4680"/>
        <w:tab w:val="right" w:pos="9360"/>
      </w:tabs>
    </w:pPr>
  </w:style>
  <w:style w:type="character" w:customStyle="1" w:styleId="FooterChar">
    <w:name w:val="Footer Char"/>
    <w:link w:val="Footer"/>
    <w:uiPriority w:val="99"/>
    <w:rsid w:val="00151672"/>
    <w:rPr>
      <w:sz w:val="24"/>
      <w:szCs w:val="24"/>
    </w:rPr>
  </w:style>
  <w:style w:type="paragraph" w:styleId="BodyText2">
    <w:name w:val="Body Text 2"/>
    <w:basedOn w:val="Normal"/>
    <w:rsid w:val="007A0C1A"/>
    <w:pPr>
      <w:autoSpaceDE w:val="0"/>
      <w:autoSpaceDN w:val="0"/>
      <w:spacing w:after="120" w:line="480" w:lineRule="auto"/>
    </w:pPr>
    <w:rPr>
      <w:sz w:val="20"/>
      <w:szCs w:val="20"/>
    </w:rPr>
  </w:style>
  <w:style w:type="character" w:styleId="Strong">
    <w:name w:val="Strong"/>
    <w:qFormat/>
    <w:rsid w:val="00D80DF7"/>
    <w:rPr>
      <w:b/>
      <w:bCs/>
    </w:rPr>
  </w:style>
  <w:style w:type="paragraph" w:styleId="NormalWeb">
    <w:name w:val="Normal (Web)"/>
    <w:basedOn w:val="Normal"/>
    <w:uiPriority w:val="99"/>
    <w:unhideWhenUsed/>
    <w:rsid w:val="00021DEE"/>
    <w:pPr>
      <w:spacing w:before="100" w:beforeAutospacing="1" w:after="100" w:afterAutospacing="1" w:line="210" w:lineRule="atLeast"/>
    </w:pPr>
    <w:rPr>
      <w:rFonts w:ascii="Arial" w:hAnsi="Arial" w:cs="Arial"/>
      <w:color w:val="000000"/>
      <w:sz w:val="18"/>
      <w:szCs w:val="18"/>
    </w:rPr>
  </w:style>
  <w:style w:type="paragraph" w:styleId="BodyTextIndent">
    <w:name w:val="Body Text Indent"/>
    <w:basedOn w:val="Normal"/>
    <w:rsid w:val="00E22431"/>
    <w:pPr>
      <w:spacing w:after="120"/>
      <w:ind w:left="360"/>
    </w:pPr>
  </w:style>
  <w:style w:type="paragraph" w:customStyle="1" w:styleId="pagenumber">
    <w:name w:val="pagenumber"/>
    <w:basedOn w:val="Normal"/>
    <w:rsid w:val="006B3632"/>
    <w:pPr>
      <w:spacing w:before="100" w:beforeAutospacing="1" w:after="100" w:afterAutospacing="1"/>
      <w:jc w:val="center"/>
    </w:pPr>
  </w:style>
  <w:style w:type="character" w:styleId="Hyperlink">
    <w:name w:val="Hyperlink"/>
    <w:uiPriority w:val="99"/>
    <w:unhideWhenUsed/>
    <w:rsid w:val="006B3632"/>
    <w:rPr>
      <w:color w:val="0000FF"/>
      <w:u w:val="single"/>
    </w:rPr>
  </w:style>
  <w:style w:type="character" w:customStyle="1" w:styleId="term1">
    <w:name w:val="term1"/>
    <w:rsid w:val="00E23D44"/>
    <w:rPr>
      <w:b/>
      <w:bCs/>
    </w:rPr>
  </w:style>
  <w:style w:type="paragraph" w:styleId="BalloonText">
    <w:name w:val="Balloon Text"/>
    <w:basedOn w:val="Normal"/>
    <w:link w:val="BalloonTextChar"/>
    <w:rsid w:val="005A2D3E"/>
    <w:rPr>
      <w:rFonts w:ascii="Tahoma" w:hAnsi="Tahoma" w:cs="Tahoma"/>
      <w:sz w:val="16"/>
      <w:szCs w:val="16"/>
    </w:rPr>
  </w:style>
  <w:style w:type="character" w:customStyle="1" w:styleId="BalloonTextChar">
    <w:name w:val="Balloon Text Char"/>
    <w:link w:val="BalloonText"/>
    <w:rsid w:val="005A2D3E"/>
    <w:rPr>
      <w:rFonts w:ascii="Tahoma" w:hAnsi="Tahoma" w:cs="Tahoma"/>
      <w:sz w:val="16"/>
      <w:szCs w:val="16"/>
    </w:rPr>
  </w:style>
  <w:style w:type="paragraph" w:styleId="EndnoteText">
    <w:name w:val="endnote text"/>
    <w:basedOn w:val="Normal"/>
    <w:link w:val="EndnoteTextChar"/>
    <w:rsid w:val="006A738B"/>
    <w:rPr>
      <w:sz w:val="20"/>
      <w:szCs w:val="20"/>
    </w:rPr>
  </w:style>
  <w:style w:type="character" w:customStyle="1" w:styleId="EndnoteTextChar">
    <w:name w:val="Endnote Text Char"/>
    <w:basedOn w:val="DefaultParagraphFont"/>
    <w:link w:val="EndnoteText"/>
    <w:rsid w:val="006A738B"/>
  </w:style>
  <w:style w:type="character" w:styleId="EndnoteReference">
    <w:name w:val="endnote reference"/>
    <w:rsid w:val="006A738B"/>
    <w:rPr>
      <w:vertAlign w:val="superscript"/>
    </w:rPr>
  </w:style>
  <w:style w:type="table" w:styleId="TableGrid">
    <w:name w:val="Table Grid"/>
    <w:basedOn w:val="TableNormal"/>
    <w:rsid w:val="0028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E26"/>
    <w:rPr>
      <w:rFonts w:ascii="Calibri" w:eastAsia="Calibri" w:hAnsi="Calibri"/>
      <w:sz w:val="22"/>
      <w:szCs w:val="22"/>
    </w:rPr>
  </w:style>
  <w:style w:type="character" w:customStyle="1" w:styleId="apple-converted-space">
    <w:name w:val="apple-converted-space"/>
    <w:rsid w:val="00821707"/>
  </w:style>
  <w:style w:type="character" w:customStyle="1" w:styleId="sssh">
    <w:name w:val="ss_sh"/>
    <w:rsid w:val="00821707"/>
  </w:style>
  <w:style w:type="character" w:customStyle="1" w:styleId="ssit">
    <w:name w:val="ss_it"/>
    <w:rsid w:val="00821707"/>
  </w:style>
  <w:style w:type="character" w:styleId="PageNumber0">
    <w:name w:val="page number"/>
    <w:basedOn w:val="DefaultParagraphFont"/>
    <w:rsid w:val="00A20928"/>
  </w:style>
  <w:style w:type="character" w:styleId="Emphasis">
    <w:name w:val="Emphasis"/>
    <w:uiPriority w:val="20"/>
    <w:qFormat/>
    <w:rsid w:val="00BB0C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3CA"/>
    <w:rPr>
      <w:sz w:val="24"/>
      <w:szCs w:val="24"/>
    </w:rPr>
  </w:style>
  <w:style w:type="paragraph" w:styleId="Heading1">
    <w:name w:val="heading 1"/>
    <w:basedOn w:val="Normal"/>
    <w:next w:val="Normal"/>
    <w:qFormat/>
    <w:rsid w:val="001963CA"/>
    <w:pPr>
      <w:keepNext/>
      <w:ind w:left="2880" w:hanging="2880"/>
      <w:outlineLvl w:val="0"/>
    </w:pPr>
    <w:rPr>
      <w:rFonts w:ascii="Courier New" w:hAnsi="Courier New" w:cs="Courier New"/>
      <w:b/>
      <w:bCs/>
    </w:rPr>
  </w:style>
  <w:style w:type="paragraph" w:styleId="Heading2">
    <w:name w:val="heading 2"/>
    <w:basedOn w:val="Normal"/>
    <w:next w:val="Normal"/>
    <w:qFormat/>
    <w:rsid w:val="001963CA"/>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63CA"/>
    <w:pPr>
      <w:jc w:val="center"/>
    </w:pPr>
    <w:rPr>
      <w:rFonts w:ascii="Courier New" w:hAnsi="Courier New" w:cs="Courier New"/>
      <w:b/>
      <w:bCs/>
    </w:rPr>
  </w:style>
  <w:style w:type="paragraph" w:styleId="FootnoteText">
    <w:name w:val="footnote text"/>
    <w:basedOn w:val="Normal"/>
    <w:link w:val="FootnoteTextChar"/>
    <w:semiHidden/>
    <w:rsid w:val="00F564FB"/>
    <w:rPr>
      <w:sz w:val="20"/>
      <w:szCs w:val="20"/>
    </w:rPr>
  </w:style>
  <w:style w:type="character" w:styleId="FootnoteReference">
    <w:name w:val="footnote reference"/>
    <w:semiHidden/>
    <w:rsid w:val="00F564FB"/>
    <w:rPr>
      <w:vertAlign w:val="superscript"/>
    </w:rPr>
  </w:style>
  <w:style w:type="character" w:customStyle="1" w:styleId="FootnoteTextChar">
    <w:name w:val="Footnote Text Char"/>
    <w:link w:val="FootnoteText"/>
    <w:uiPriority w:val="99"/>
    <w:semiHidden/>
    <w:rsid w:val="00876425"/>
  </w:style>
  <w:style w:type="paragraph" w:styleId="Header">
    <w:name w:val="header"/>
    <w:basedOn w:val="Normal"/>
    <w:link w:val="HeaderChar"/>
    <w:rsid w:val="00151672"/>
    <w:pPr>
      <w:tabs>
        <w:tab w:val="center" w:pos="4680"/>
        <w:tab w:val="right" w:pos="9360"/>
      </w:tabs>
    </w:pPr>
  </w:style>
  <w:style w:type="character" w:customStyle="1" w:styleId="HeaderChar">
    <w:name w:val="Header Char"/>
    <w:link w:val="Header"/>
    <w:rsid w:val="00151672"/>
    <w:rPr>
      <w:sz w:val="24"/>
      <w:szCs w:val="24"/>
    </w:rPr>
  </w:style>
  <w:style w:type="paragraph" w:styleId="Footer">
    <w:name w:val="footer"/>
    <w:basedOn w:val="Normal"/>
    <w:link w:val="FooterChar"/>
    <w:uiPriority w:val="99"/>
    <w:rsid w:val="00151672"/>
    <w:pPr>
      <w:tabs>
        <w:tab w:val="center" w:pos="4680"/>
        <w:tab w:val="right" w:pos="9360"/>
      </w:tabs>
    </w:pPr>
  </w:style>
  <w:style w:type="character" w:customStyle="1" w:styleId="FooterChar">
    <w:name w:val="Footer Char"/>
    <w:link w:val="Footer"/>
    <w:uiPriority w:val="99"/>
    <w:rsid w:val="00151672"/>
    <w:rPr>
      <w:sz w:val="24"/>
      <w:szCs w:val="24"/>
    </w:rPr>
  </w:style>
  <w:style w:type="paragraph" w:styleId="BodyText2">
    <w:name w:val="Body Text 2"/>
    <w:basedOn w:val="Normal"/>
    <w:rsid w:val="007A0C1A"/>
    <w:pPr>
      <w:autoSpaceDE w:val="0"/>
      <w:autoSpaceDN w:val="0"/>
      <w:spacing w:after="120" w:line="480" w:lineRule="auto"/>
    </w:pPr>
    <w:rPr>
      <w:sz w:val="20"/>
      <w:szCs w:val="20"/>
    </w:rPr>
  </w:style>
  <w:style w:type="character" w:styleId="Strong">
    <w:name w:val="Strong"/>
    <w:qFormat/>
    <w:rsid w:val="00D80DF7"/>
    <w:rPr>
      <w:b/>
      <w:bCs/>
    </w:rPr>
  </w:style>
  <w:style w:type="paragraph" w:styleId="NormalWeb">
    <w:name w:val="Normal (Web)"/>
    <w:basedOn w:val="Normal"/>
    <w:uiPriority w:val="99"/>
    <w:unhideWhenUsed/>
    <w:rsid w:val="00021DEE"/>
    <w:pPr>
      <w:spacing w:before="100" w:beforeAutospacing="1" w:after="100" w:afterAutospacing="1" w:line="210" w:lineRule="atLeast"/>
    </w:pPr>
    <w:rPr>
      <w:rFonts w:ascii="Arial" w:hAnsi="Arial" w:cs="Arial"/>
      <w:color w:val="000000"/>
      <w:sz w:val="18"/>
      <w:szCs w:val="18"/>
    </w:rPr>
  </w:style>
  <w:style w:type="paragraph" w:styleId="BodyTextIndent">
    <w:name w:val="Body Text Indent"/>
    <w:basedOn w:val="Normal"/>
    <w:rsid w:val="00E22431"/>
    <w:pPr>
      <w:spacing w:after="120"/>
      <w:ind w:left="360"/>
    </w:pPr>
  </w:style>
  <w:style w:type="paragraph" w:customStyle="1" w:styleId="pagenumber">
    <w:name w:val="pagenumber"/>
    <w:basedOn w:val="Normal"/>
    <w:rsid w:val="006B3632"/>
    <w:pPr>
      <w:spacing w:before="100" w:beforeAutospacing="1" w:after="100" w:afterAutospacing="1"/>
      <w:jc w:val="center"/>
    </w:pPr>
  </w:style>
  <w:style w:type="character" w:styleId="Hyperlink">
    <w:name w:val="Hyperlink"/>
    <w:uiPriority w:val="99"/>
    <w:unhideWhenUsed/>
    <w:rsid w:val="006B3632"/>
    <w:rPr>
      <w:color w:val="0000FF"/>
      <w:u w:val="single"/>
    </w:rPr>
  </w:style>
  <w:style w:type="character" w:customStyle="1" w:styleId="term1">
    <w:name w:val="term1"/>
    <w:rsid w:val="00E23D44"/>
    <w:rPr>
      <w:b/>
      <w:bCs/>
    </w:rPr>
  </w:style>
  <w:style w:type="paragraph" w:styleId="BalloonText">
    <w:name w:val="Balloon Text"/>
    <w:basedOn w:val="Normal"/>
    <w:link w:val="BalloonTextChar"/>
    <w:rsid w:val="005A2D3E"/>
    <w:rPr>
      <w:rFonts w:ascii="Tahoma" w:hAnsi="Tahoma" w:cs="Tahoma"/>
      <w:sz w:val="16"/>
      <w:szCs w:val="16"/>
    </w:rPr>
  </w:style>
  <w:style w:type="character" w:customStyle="1" w:styleId="BalloonTextChar">
    <w:name w:val="Balloon Text Char"/>
    <w:link w:val="BalloonText"/>
    <w:rsid w:val="005A2D3E"/>
    <w:rPr>
      <w:rFonts w:ascii="Tahoma" w:hAnsi="Tahoma" w:cs="Tahoma"/>
      <w:sz w:val="16"/>
      <w:szCs w:val="16"/>
    </w:rPr>
  </w:style>
  <w:style w:type="paragraph" w:styleId="EndnoteText">
    <w:name w:val="endnote text"/>
    <w:basedOn w:val="Normal"/>
    <w:link w:val="EndnoteTextChar"/>
    <w:rsid w:val="006A738B"/>
    <w:rPr>
      <w:sz w:val="20"/>
      <w:szCs w:val="20"/>
    </w:rPr>
  </w:style>
  <w:style w:type="character" w:customStyle="1" w:styleId="EndnoteTextChar">
    <w:name w:val="Endnote Text Char"/>
    <w:basedOn w:val="DefaultParagraphFont"/>
    <w:link w:val="EndnoteText"/>
    <w:rsid w:val="006A738B"/>
  </w:style>
  <w:style w:type="character" w:styleId="EndnoteReference">
    <w:name w:val="endnote reference"/>
    <w:rsid w:val="006A738B"/>
    <w:rPr>
      <w:vertAlign w:val="superscript"/>
    </w:rPr>
  </w:style>
  <w:style w:type="table" w:styleId="TableGrid">
    <w:name w:val="Table Grid"/>
    <w:basedOn w:val="TableNormal"/>
    <w:rsid w:val="00282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62E26"/>
    <w:rPr>
      <w:rFonts w:ascii="Calibri" w:eastAsia="Calibri" w:hAnsi="Calibri"/>
      <w:sz w:val="22"/>
      <w:szCs w:val="22"/>
    </w:rPr>
  </w:style>
  <w:style w:type="character" w:customStyle="1" w:styleId="apple-converted-space">
    <w:name w:val="apple-converted-space"/>
    <w:rsid w:val="00821707"/>
  </w:style>
  <w:style w:type="character" w:customStyle="1" w:styleId="sssh">
    <w:name w:val="ss_sh"/>
    <w:rsid w:val="00821707"/>
  </w:style>
  <w:style w:type="character" w:customStyle="1" w:styleId="ssit">
    <w:name w:val="ss_it"/>
    <w:rsid w:val="00821707"/>
  </w:style>
  <w:style w:type="character" w:styleId="PageNumber0">
    <w:name w:val="page number"/>
    <w:basedOn w:val="DefaultParagraphFont"/>
    <w:rsid w:val="00A20928"/>
  </w:style>
  <w:style w:type="character" w:styleId="Emphasis">
    <w:name w:val="Emphasis"/>
    <w:uiPriority w:val="20"/>
    <w:qFormat/>
    <w:rsid w:val="00BB0C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04519">
      <w:bodyDiv w:val="1"/>
      <w:marLeft w:val="0"/>
      <w:marRight w:val="0"/>
      <w:marTop w:val="0"/>
      <w:marBottom w:val="0"/>
      <w:divBdr>
        <w:top w:val="none" w:sz="0" w:space="0" w:color="auto"/>
        <w:left w:val="none" w:sz="0" w:space="0" w:color="auto"/>
        <w:bottom w:val="none" w:sz="0" w:space="0" w:color="auto"/>
        <w:right w:val="none" w:sz="0" w:space="0" w:color="auto"/>
      </w:divBdr>
      <w:divsChild>
        <w:div w:id="1001350338">
          <w:marLeft w:val="0"/>
          <w:marRight w:val="0"/>
          <w:marTop w:val="0"/>
          <w:marBottom w:val="0"/>
          <w:divBdr>
            <w:top w:val="none" w:sz="0" w:space="0" w:color="auto"/>
            <w:left w:val="none" w:sz="0" w:space="0" w:color="auto"/>
            <w:bottom w:val="none" w:sz="0" w:space="0" w:color="auto"/>
            <w:right w:val="none" w:sz="0" w:space="0" w:color="auto"/>
          </w:divBdr>
          <w:divsChild>
            <w:div w:id="1784036488">
              <w:marLeft w:val="0"/>
              <w:marRight w:val="0"/>
              <w:marTop w:val="0"/>
              <w:marBottom w:val="0"/>
              <w:divBdr>
                <w:top w:val="none" w:sz="0" w:space="0" w:color="auto"/>
                <w:left w:val="none" w:sz="0" w:space="0" w:color="auto"/>
                <w:bottom w:val="none" w:sz="0" w:space="0" w:color="auto"/>
                <w:right w:val="none" w:sz="0" w:space="0" w:color="auto"/>
              </w:divBdr>
              <w:divsChild>
                <w:div w:id="4604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37577">
      <w:bodyDiv w:val="1"/>
      <w:marLeft w:val="0"/>
      <w:marRight w:val="0"/>
      <w:marTop w:val="0"/>
      <w:marBottom w:val="0"/>
      <w:divBdr>
        <w:top w:val="none" w:sz="0" w:space="0" w:color="auto"/>
        <w:left w:val="none" w:sz="0" w:space="0" w:color="auto"/>
        <w:bottom w:val="none" w:sz="0" w:space="0" w:color="auto"/>
        <w:right w:val="none" w:sz="0" w:space="0" w:color="auto"/>
      </w:divBdr>
      <w:divsChild>
        <w:div w:id="533155282">
          <w:marLeft w:val="0"/>
          <w:marRight w:val="0"/>
          <w:marTop w:val="0"/>
          <w:marBottom w:val="0"/>
          <w:divBdr>
            <w:top w:val="none" w:sz="0" w:space="0" w:color="auto"/>
            <w:left w:val="none" w:sz="0" w:space="0" w:color="auto"/>
            <w:bottom w:val="none" w:sz="0" w:space="0" w:color="auto"/>
            <w:right w:val="none" w:sz="0" w:space="0" w:color="auto"/>
          </w:divBdr>
          <w:divsChild>
            <w:div w:id="1490707847">
              <w:marLeft w:val="0"/>
              <w:marRight w:val="0"/>
              <w:marTop w:val="0"/>
              <w:marBottom w:val="0"/>
              <w:divBdr>
                <w:top w:val="none" w:sz="0" w:space="0" w:color="auto"/>
                <w:left w:val="none" w:sz="0" w:space="0" w:color="auto"/>
                <w:bottom w:val="none" w:sz="0" w:space="0" w:color="auto"/>
                <w:right w:val="none" w:sz="0" w:space="0" w:color="auto"/>
              </w:divBdr>
              <w:divsChild>
                <w:div w:id="13546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0663">
      <w:bodyDiv w:val="1"/>
      <w:marLeft w:val="0"/>
      <w:marRight w:val="0"/>
      <w:marTop w:val="0"/>
      <w:marBottom w:val="0"/>
      <w:divBdr>
        <w:top w:val="none" w:sz="0" w:space="0" w:color="auto"/>
        <w:left w:val="none" w:sz="0" w:space="0" w:color="auto"/>
        <w:bottom w:val="none" w:sz="0" w:space="0" w:color="auto"/>
        <w:right w:val="none" w:sz="0" w:space="0" w:color="auto"/>
      </w:divBdr>
    </w:div>
    <w:div w:id="320619645">
      <w:bodyDiv w:val="1"/>
      <w:marLeft w:val="0"/>
      <w:marRight w:val="0"/>
      <w:marTop w:val="0"/>
      <w:marBottom w:val="0"/>
      <w:divBdr>
        <w:top w:val="none" w:sz="0" w:space="0" w:color="auto"/>
        <w:left w:val="none" w:sz="0" w:space="0" w:color="auto"/>
        <w:bottom w:val="none" w:sz="0" w:space="0" w:color="auto"/>
        <w:right w:val="none" w:sz="0" w:space="0" w:color="auto"/>
      </w:divBdr>
      <w:divsChild>
        <w:div w:id="211044561">
          <w:marLeft w:val="0"/>
          <w:marRight w:val="0"/>
          <w:marTop w:val="0"/>
          <w:marBottom w:val="0"/>
          <w:divBdr>
            <w:top w:val="none" w:sz="0" w:space="0" w:color="auto"/>
            <w:left w:val="none" w:sz="0" w:space="0" w:color="auto"/>
            <w:bottom w:val="none" w:sz="0" w:space="0" w:color="auto"/>
            <w:right w:val="none" w:sz="0" w:space="0" w:color="auto"/>
          </w:divBdr>
        </w:div>
      </w:divsChild>
    </w:div>
    <w:div w:id="324020087">
      <w:bodyDiv w:val="1"/>
      <w:marLeft w:val="0"/>
      <w:marRight w:val="0"/>
      <w:marTop w:val="0"/>
      <w:marBottom w:val="0"/>
      <w:divBdr>
        <w:top w:val="none" w:sz="0" w:space="0" w:color="auto"/>
        <w:left w:val="none" w:sz="0" w:space="0" w:color="auto"/>
        <w:bottom w:val="none" w:sz="0" w:space="0" w:color="auto"/>
        <w:right w:val="none" w:sz="0" w:space="0" w:color="auto"/>
      </w:divBdr>
      <w:divsChild>
        <w:div w:id="198973899">
          <w:marLeft w:val="0"/>
          <w:marRight w:val="0"/>
          <w:marTop w:val="0"/>
          <w:marBottom w:val="0"/>
          <w:divBdr>
            <w:top w:val="none" w:sz="0" w:space="0" w:color="auto"/>
            <w:left w:val="none" w:sz="0" w:space="0" w:color="auto"/>
            <w:bottom w:val="none" w:sz="0" w:space="0" w:color="auto"/>
            <w:right w:val="none" w:sz="0" w:space="0" w:color="auto"/>
          </w:divBdr>
          <w:divsChild>
            <w:div w:id="1532960860">
              <w:marLeft w:val="0"/>
              <w:marRight w:val="0"/>
              <w:marTop w:val="0"/>
              <w:marBottom w:val="0"/>
              <w:divBdr>
                <w:top w:val="none" w:sz="0" w:space="0" w:color="auto"/>
                <w:left w:val="none" w:sz="0" w:space="0" w:color="auto"/>
                <w:bottom w:val="none" w:sz="0" w:space="0" w:color="auto"/>
                <w:right w:val="none" w:sz="0" w:space="0" w:color="auto"/>
              </w:divBdr>
              <w:divsChild>
                <w:div w:id="803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33367">
      <w:bodyDiv w:val="1"/>
      <w:marLeft w:val="0"/>
      <w:marRight w:val="0"/>
      <w:marTop w:val="0"/>
      <w:marBottom w:val="0"/>
      <w:divBdr>
        <w:top w:val="none" w:sz="0" w:space="0" w:color="auto"/>
        <w:left w:val="none" w:sz="0" w:space="0" w:color="auto"/>
        <w:bottom w:val="none" w:sz="0" w:space="0" w:color="auto"/>
        <w:right w:val="none" w:sz="0" w:space="0" w:color="auto"/>
      </w:divBdr>
    </w:div>
    <w:div w:id="663316339">
      <w:bodyDiv w:val="1"/>
      <w:marLeft w:val="0"/>
      <w:marRight w:val="0"/>
      <w:marTop w:val="0"/>
      <w:marBottom w:val="0"/>
      <w:divBdr>
        <w:top w:val="none" w:sz="0" w:space="0" w:color="auto"/>
        <w:left w:val="none" w:sz="0" w:space="0" w:color="auto"/>
        <w:bottom w:val="none" w:sz="0" w:space="0" w:color="auto"/>
        <w:right w:val="none" w:sz="0" w:space="0" w:color="auto"/>
      </w:divBdr>
    </w:div>
    <w:div w:id="697630988">
      <w:bodyDiv w:val="1"/>
      <w:marLeft w:val="0"/>
      <w:marRight w:val="0"/>
      <w:marTop w:val="0"/>
      <w:marBottom w:val="0"/>
      <w:divBdr>
        <w:top w:val="none" w:sz="0" w:space="0" w:color="auto"/>
        <w:left w:val="none" w:sz="0" w:space="0" w:color="auto"/>
        <w:bottom w:val="none" w:sz="0" w:space="0" w:color="auto"/>
        <w:right w:val="none" w:sz="0" w:space="0" w:color="auto"/>
      </w:divBdr>
      <w:divsChild>
        <w:div w:id="2018456167">
          <w:marLeft w:val="0"/>
          <w:marRight w:val="0"/>
          <w:marTop w:val="0"/>
          <w:marBottom w:val="0"/>
          <w:divBdr>
            <w:top w:val="none" w:sz="0" w:space="0" w:color="auto"/>
            <w:left w:val="none" w:sz="0" w:space="0" w:color="auto"/>
            <w:bottom w:val="none" w:sz="0" w:space="0" w:color="auto"/>
            <w:right w:val="none" w:sz="0" w:space="0" w:color="auto"/>
          </w:divBdr>
        </w:div>
      </w:divsChild>
    </w:div>
    <w:div w:id="881595490">
      <w:bodyDiv w:val="1"/>
      <w:marLeft w:val="0"/>
      <w:marRight w:val="0"/>
      <w:marTop w:val="0"/>
      <w:marBottom w:val="0"/>
      <w:divBdr>
        <w:top w:val="none" w:sz="0" w:space="0" w:color="auto"/>
        <w:left w:val="none" w:sz="0" w:space="0" w:color="auto"/>
        <w:bottom w:val="none" w:sz="0" w:space="0" w:color="auto"/>
        <w:right w:val="none" w:sz="0" w:space="0" w:color="auto"/>
      </w:divBdr>
    </w:div>
    <w:div w:id="1017346949">
      <w:bodyDiv w:val="1"/>
      <w:marLeft w:val="0"/>
      <w:marRight w:val="0"/>
      <w:marTop w:val="0"/>
      <w:marBottom w:val="0"/>
      <w:divBdr>
        <w:top w:val="none" w:sz="0" w:space="0" w:color="auto"/>
        <w:left w:val="none" w:sz="0" w:space="0" w:color="auto"/>
        <w:bottom w:val="none" w:sz="0" w:space="0" w:color="auto"/>
        <w:right w:val="none" w:sz="0" w:space="0" w:color="auto"/>
      </w:divBdr>
      <w:divsChild>
        <w:div w:id="18305657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099906845">
      <w:bodyDiv w:val="1"/>
      <w:marLeft w:val="0"/>
      <w:marRight w:val="0"/>
      <w:marTop w:val="0"/>
      <w:marBottom w:val="0"/>
      <w:divBdr>
        <w:top w:val="none" w:sz="0" w:space="0" w:color="auto"/>
        <w:left w:val="none" w:sz="0" w:space="0" w:color="auto"/>
        <w:bottom w:val="none" w:sz="0" w:space="0" w:color="auto"/>
        <w:right w:val="none" w:sz="0" w:space="0" w:color="auto"/>
      </w:divBdr>
    </w:div>
    <w:div w:id="1234125639">
      <w:bodyDiv w:val="1"/>
      <w:marLeft w:val="0"/>
      <w:marRight w:val="0"/>
      <w:marTop w:val="0"/>
      <w:marBottom w:val="0"/>
      <w:divBdr>
        <w:top w:val="none" w:sz="0" w:space="0" w:color="auto"/>
        <w:left w:val="none" w:sz="0" w:space="0" w:color="auto"/>
        <w:bottom w:val="none" w:sz="0" w:space="0" w:color="auto"/>
        <w:right w:val="none" w:sz="0" w:space="0" w:color="auto"/>
      </w:divBdr>
    </w:div>
    <w:div w:id="1303081155">
      <w:bodyDiv w:val="1"/>
      <w:marLeft w:val="0"/>
      <w:marRight w:val="0"/>
      <w:marTop w:val="0"/>
      <w:marBottom w:val="0"/>
      <w:divBdr>
        <w:top w:val="none" w:sz="0" w:space="0" w:color="auto"/>
        <w:left w:val="none" w:sz="0" w:space="0" w:color="auto"/>
        <w:bottom w:val="none" w:sz="0" w:space="0" w:color="auto"/>
        <w:right w:val="none" w:sz="0" w:space="0" w:color="auto"/>
      </w:divBdr>
    </w:div>
    <w:div w:id="1545094501">
      <w:bodyDiv w:val="1"/>
      <w:marLeft w:val="0"/>
      <w:marRight w:val="0"/>
      <w:marTop w:val="0"/>
      <w:marBottom w:val="0"/>
      <w:divBdr>
        <w:top w:val="none" w:sz="0" w:space="0" w:color="auto"/>
        <w:left w:val="none" w:sz="0" w:space="0" w:color="auto"/>
        <w:bottom w:val="none" w:sz="0" w:space="0" w:color="auto"/>
        <w:right w:val="none" w:sz="0" w:space="0" w:color="auto"/>
      </w:divBdr>
      <w:divsChild>
        <w:div w:id="1595745682">
          <w:marLeft w:val="0"/>
          <w:marRight w:val="0"/>
          <w:marTop w:val="0"/>
          <w:marBottom w:val="0"/>
          <w:divBdr>
            <w:top w:val="none" w:sz="0" w:space="0" w:color="auto"/>
            <w:left w:val="none" w:sz="0" w:space="0" w:color="auto"/>
            <w:bottom w:val="none" w:sz="0" w:space="0" w:color="auto"/>
            <w:right w:val="none" w:sz="0" w:space="0" w:color="auto"/>
          </w:divBdr>
          <w:divsChild>
            <w:div w:id="1853104176">
              <w:marLeft w:val="0"/>
              <w:marRight w:val="0"/>
              <w:marTop w:val="0"/>
              <w:marBottom w:val="0"/>
              <w:divBdr>
                <w:top w:val="none" w:sz="0" w:space="0" w:color="auto"/>
                <w:left w:val="none" w:sz="0" w:space="0" w:color="auto"/>
                <w:bottom w:val="none" w:sz="0" w:space="0" w:color="auto"/>
                <w:right w:val="none" w:sz="0" w:space="0" w:color="auto"/>
              </w:divBdr>
              <w:divsChild>
                <w:div w:id="1458375474">
                  <w:marLeft w:val="0"/>
                  <w:marRight w:val="0"/>
                  <w:marTop w:val="0"/>
                  <w:marBottom w:val="0"/>
                  <w:divBdr>
                    <w:top w:val="none" w:sz="0" w:space="0" w:color="auto"/>
                    <w:left w:val="none" w:sz="0" w:space="0" w:color="auto"/>
                    <w:bottom w:val="none" w:sz="0" w:space="0" w:color="auto"/>
                    <w:right w:val="none" w:sz="0" w:space="0" w:color="auto"/>
                  </w:divBdr>
                </w:div>
                <w:div w:id="2334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26753">
      <w:bodyDiv w:val="1"/>
      <w:marLeft w:val="0"/>
      <w:marRight w:val="0"/>
      <w:marTop w:val="0"/>
      <w:marBottom w:val="0"/>
      <w:divBdr>
        <w:top w:val="none" w:sz="0" w:space="0" w:color="auto"/>
        <w:left w:val="none" w:sz="0" w:space="0" w:color="auto"/>
        <w:bottom w:val="none" w:sz="0" w:space="0" w:color="auto"/>
        <w:right w:val="none" w:sz="0" w:space="0" w:color="auto"/>
      </w:divBdr>
    </w:div>
    <w:div w:id="1611400053">
      <w:bodyDiv w:val="1"/>
      <w:marLeft w:val="0"/>
      <w:marRight w:val="0"/>
      <w:marTop w:val="0"/>
      <w:marBottom w:val="0"/>
      <w:divBdr>
        <w:top w:val="none" w:sz="0" w:space="0" w:color="auto"/>
        <w:left w:val="none" w:sz="0" w:space="0" w:color="auto"/>
        <w:bottom w:val="none" w:sz="0" w:space="0" w:color="auto"/>
        <w:right w:val="none" w:sz="0" w:space="0" w:color="auto"/>
      </w:divBdr>
      <w:divsChild>
        <w:div w:id="1393307750">
          <w:marLeft w:val="0"/>
          <w:marRight w:val="0"/>
          <w:marTop w:val="0"/>
          <w:marBottom w:val="0"/>
          <w:divBdr>
            <w:top w:val="none" w:sz="0" w:space="0" w:color="auto"/>
            <w:left w:val="none" w:sz="0" w:space="0" w:color="auto"/>
            <w:bottom w:val="none" w:sz="0" w:space="0" w:color="auto"/>
            <w:right w:val="none" w:sz="0" w:space="0" w:color="auto"/>
          </w:divBdr>
          <w:divsChild>
            <w:div w:id="2099859240">
              <w:marLeft w:val="0"/>
              <w:marRight w:val="0"/>
              <w:marTop w:val="0"/>
              <w:marBottom w:val="0"/>
              <w:divBdr>
                <w:top w:val="none" w:sz="0" w:space="0" w:color="auto"/>
                <w:left w:val="none" w:sz="0" w:space="0" w:color="auto"/>
                <w:bottom w:val="none" w:sz="0" w:space="0" w:color="auto"/>
                <w:right w:val="none" w:sz="0" w:space="0" w:color="auto"/>
              </w:divBdr>
              <w:divsChild>
                <w:div w:id="759909857">
                  <w:marLeft w:val="0"/>
                  <w:marRight w:val="0"/>
                  <w:marTop w:val="0"/>
                  <w:marBottom w:val="0"/>
                  <w:divBdr>
                    <w:top w:val="none" w:sz="0" w:space="0" w:color="auto"/>
                    <w:left w:val="none" w:sz="0" w:space="0" w:color="auto"/>
                    <w:bottom w:val="none" w:sz="0" w:space="0" w:color="auto"/>
                    <w:right w:val="none" w:sz="0" w:space="0" w:color="auto"/>
                  </w:divBdr>
                </w:div>
                <w:div w:id="107782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18319">
      <w:bodyDiv w:val="1"/>
      <w:marLeft w:val="0"/>
      <w:marRight w:val="0"/>
      <w:marTop w:val="0"/>
      <w:marBottom w:val="0"/>
      <w:divBdr>
        <w:top w:val="none" w:sz="0" w:space="0" w:color="auto"/>
        <w:left w:val="none" w:sz="0" w:space="0" w:color="auto"/>
        <w:bottom w:val="none" w:sz="0" w:space="0" w:color="auto"/>
        <w:right w:val="none" w:sz="0" w:space="0" w:color="auto"/>
      </w:divBdr>
    </w:div>
    <w:div w:id="1802117447">
      <w:bodyDiv w:val="1"/>
      <w:marLeft w:val="0"/>
      <w:marRight w:val="0"/>
      <w:marTop w:val="0"/>
      <w:marBottom w:val="0"/>
      <w:divBdr>
        <w:top w:val="none" w:sz="0" w:space="0" w:color="auto"/>
        <w:left w:val="none" w:sz="0" w:space="0" w:color="auto"/>
        <w:bottom w:val="none" w:sz="0" w:space="0" w:color="auto"/>
        <w:right w:val="none" w:sz="0" w:space="0" w:color="auto"/>
      </w:divBdr>
      <w:divsChild>
        <w:div w:id="673000891">
          <w:marLeft w:val="0"/>
          <w:marRight w:val="0"/>
          <w:marTop w:val="0"/>
          <w:marBottom w:val="0"/>
          <w:divBdr>
            <w:top w:val="none" w:sz="0" w:space="0" w:color="auto"/>
            <w:left w:val="none" w:sz="0" w:space="0" w:color="auto"/>
            <w:bottom w:val="none" w:sz="0" w:space="0" w:color="auto"/>
            <w:right w:val="none" w:sz="0" w:space="0" w:color="auto"/>
          </w:divBdr>
          <w:divsChild>
            <w:div w:id="723142862">
              <w:marLeft w:val="0"/>
              <w:marRight w:val="0"/>
              <w:marTop w:val="0"/>
              <w:marBottom w:val="0"/>
              <w:divBdr>
                <w:top w:val="none" w:sz="0" w:space="0" w:color="auto"/>
                <w:left w:val="none" w:sz="0" w:space="0" w:color="auto"/>
                <w:bottom w:val="none" w:sz="0" w:space="0" w:color="auto"/>
                <w:right w:val="none" w:sz="0" w:space="0" w:color="auto"/>
              </w:divBdr>
              <w:divsChild>
                <w:div w:id="7567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92302">
      <w:bodyDiv w:val="1"/>
      <w:marLeft w:val="0"/>
      <w:marRight w:val="0"/>
      <w:marTop w:val="0"/>
      <w:marBottom w:val="0"/>
      <w:divBdr>
        <w:top w:val="none" w:sz="0" w:space="0" w:color="auto"/>
        <w:left w:val="none" w:sz="0" w:space="0" w:color="auto"/>
        <w:bottom w:val="none" w:sz="0" w:space="0" w:color="auto"/>
        <w:right w:val="none" w:sz="0" w:space="0" w:color="auto"/>
      </w:divBdr>
      <w:divsChild>
        <w:div w:id="592400402">
          <w:marLeft w:val="0"/>
          <w:marRight w:val="0"/>
          <w:marTop w:val="0"/>
          <w:marBottom w:val="0"/>
          <w:divBdr>
            <w:top w:val="none" w:sz="0" w:space="0" w:color="auto"/>
            <w:left w:val="none" w:sz="0" w:space="0" w:color="auto"/>
            <w:bottom w:val="none" w:sz="0" w:space="0" w:color="auto"/>
            <w:right w:val="none" w:sz="0" w:space="0" w:color="auto"/>
          </w:divBdr>
          <w:divsChild>
            <w:div w:id="1510750927">
              <w:marLeft w:val="0"/>
              <w:marRight w:val="0"/>
              <w:marTop w:val="0"/>
              <w:marBottom w:val="0"/>
              <w:divBdr>
                <w:top w:val="none" w:sz="0" w:space="0" w:color="auto"/>
                <w:left w:val="none" w:sz="0" w:space="0" w:color="auto"/>
                <w:bottom w:val="none" w:sz="0" w:space="0" w:color="auto"/>
                <w:right w:val="none" w:sz="0" w:space="0" w:color="auto"/>
              </w:divBdr>
              <w:divsChild>
                <w:div w:id="155191206">
                  <w:marLeft w:val="0"/>
                  <w:marRight w:val="0"/>
                  <w:marTop w:val="0"/>
                  <w:marBottom w:val="0"/>
                  <w:divBdr>
                    <w:top w:val="none" w:sz="0" w:space="0" w:color="auto"/>
                    <w:left w:val="none" w:sz="0" w:space="0" w:color="auto"/>
                    <w:bottom w:val="none" w:sz="0" w:space="0" w:color="auto"/>
                    <w:right w:val="none" w:sz="0" w:space="0" w:color="auto"/>
                  </w:divBdr>
                </w:div>
                <w:div w:id="167499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BDC6F-69B5-4D7C-B30B-42EC7367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4067</Words>
  <Characters>22459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
  <LinksUpToDate>false</LinksUpToDate>
  <CharactersWithSpaces>26474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OWNER</dc:creator>
  <cp:lastModifiedBy>ANF</cp:lastModifiedBy>
  <cp:revision>5</cp:revision>
  <cp:lastPrinted>2018-11-06T19:08:00Z</cp:lastPrinted>
  <dcterms:created xsi:type="dcterms:W3CDTF">2018-11-02T14:15:00Z</dcterms:created>
  <dcterms:modified xsi:type="dcterms:W3CDTF">2018-11-06T19:08:00Z</dcterms:modified>
</cp:coreProperties>
</file>