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E552308" w14:textId="24628525" w:rsidR="00C5086D" w:rsidRDefault="00C5086D" w:rsidP="002B660D">
      <w:pPr>
        <w:ind w:left="-720"/>
        <w:jc w:val="both"/>
        <w:rPr>
          <w:rFonts w:eastAsia="Times New Roman" w:cstheme="minorHAnsi"/>
          <w:sz w:val="24"/>
          <w:szCs w:val="24"/>
        </w:rPr>
      </w:pPr>
      <w:r w:rsidRPr="00C14074">
        <w:rPr>
          <w:rFonts w:ascii="Edwardian Script ITC" w:hAnsi="Edwardian Script ITC"/>
          <w:b/>
          <w:noProof/>
          <w:color w:val="0033CC"/>
          <w:sz w:val="72"/>
          <w:szCs w:val="72"/>
        </w:rPr>
        <mc:AlternateContent>
          <mc:Choice Requires="wps">
            <w:drawing>
              <wp:inline distT="0" distB="0" distL="0" distR="0" wp14:anchorId="483D9F5F" wp14:editId="17D568FF">
                <wp:extent cx="2004060" cy="1729740"/>
                <wp:effectExtent l="0" t="0" r="0" b="38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729740"/>
                        </a:xfrm>
                        <a:prstGeom prst="rect">
                          <a:avLst/>
                        </a:prstGeom>
                        <a:solidFill>
                          <a:srgbClr val="FFFFFF"/>
                        </a:solidFill>
                        <a:ln w="9525">
                          <a:noFill/>
                          <a:miter lim="800000"/>
                          <a:headEnd/>
                          <a:tailEnd/>
                        </a:ln>
                      </wps:spPr>
                      <wps:txbx>
                        <w:txbxContent>
                          <w:p w14:paraId="2D4C0649" w14:textId="77777777" w:rsidR="00C5086D" w:rsidRPr="00C14074" w:rsidRDefault="00C5086D" w:rsidP="00C5086D">
                            <w:pPr>
                              <w:spacing w:after="0" w:line="240" w:lineRule="auto"/>
                              <w:jc w:val="center"/>
                              <w:rPr>
                                <w:rFonts w:ascii="Edwardian Script ITC" w:hAnsi="Edwardian Script ITC"/>
                                <w:sz w:val="32"/>
                                <w:szCs w:val="32"/>
                              </w:rPr>
                            </w:pPr>
                            <w:r w:rsidRPr="00C14074">
                              <w:rPr>
                                <w:rFonts w:ascii="Edwardian Script ITC" w:hAnsi="Edwardian Script ITC"/>
                                <w:sz w:val="32"/>
                                <w:szCs w:val="32"/>
                              </w:rPr>
                              <w:t>Arthur G. Vigeant</w:t>
                            </w:r>
                          </w:p>
                          <w:p w14:paraId="5899EA45" w14:textId="77777777" w:rsidR="00C5086D" w:rsidRPr="00C14074" w:rsidRDefault="00C5086D" w:rsidP="00C5086D">
                            <w:pPr>
                              <w:spacing w:after="0" w:line="240" w:lineRule="auto"/>
                              <w:jc w:val="center"/>
                              <w:rPr>
                                <w:rFonts w:ascii="Garamond" w:hAnsi="Garamond"/>
                                <w:sz w:val="20"/>
                                <w:szCs w:val="20"/>
                              </w:rPr>
                            </w:pPr>
                            <w:r w:rsidRPr="00C14074">
                              <w:rPr>
                                <w:rFonts w:ascii="Garamond" w:hAnsi="Garamond"/>
                                <w:sz w:val="20"/>
                                <w:szCs w:val="20"/>
                              </w:rPr>
                              <w:t>MAYOR</w:t>
                            </w:r>
                          </w:p>
                          <w:p w14:paraId="23BD4B69" w14:textId="77777777" w:rsidR="00C5086D" w:rsidRDefault="00C5086D" w:rsidP="00C5086D">
                            <w:pPr>
                              <w:spacing w:after="0" w:line="240" w:lineRule="auto"/>
                              <w:jc w:val="center"/>
                            </w:pPr>
                          </w:p>
                          <w:p w14:paraId="3002B5AA" w14:textId="77777777" w:rsidR="00C5086D" w:rsidRPr="00C14074" w:rsidRDefault="00C5086D" w:rsidP="00C5086D">
                            <w:pPr>
                              <w:spacing w:after="0" w:line="240" w:lineRule="auto"/>
                              <w:jc w:val="center"/>
                              <w:rPr>
                                <w:rFonts w:ascii="Edwardian Script ITC" w:hAnsi="Edwardian Script ITC"/>
                                <w:sz w:val="32"/>
                                <w:szCs w:val="32"/>
                              </w:rPr>
                            </w:pPr>
                            <w:r>
                              <w:rPr>
                                <w:rFonts w:ascii="Edwardian Script ITC" w:hAnsi="Edwardian Script ITC"/>
                                <w:sz w:val="32"/>
                                <w:szCs w:val="32"/>
                              </w:rPr>
                              <w:t>Patricia M. Bernard</w:t>
                            </w:r>
                          </w:p>
                          <w:p w14:paraId="73000F46" w14:textId="77777777" w:rsidR="00C5086D" w:rsidRPr="00C14074" w:rsidRDefault="00C5086D" w:rsidP="00C5086D">
                            <w:pPr>
                              <w:spacing w:after="0" w:line="240" w:lineRule="auto"/>
                              <w:jc w:val="center"/>
                              <w:rPr>
                                <w:rFonts w:ascii="Garamond" w:hAnsi="Garamond"/>
                                <w:sz w:val="20"/>
                                <w:szCs w:val="20"/>
                              </w:rPr>
                            </w:pPr>
                            <w:r w:rsidRPr="00C14074">
                              <w:rPr>
                                <w:rFonts w:ascii="Garamond" w:hAnsi="Garamond"/>
                                <w:sz w:val="20"/>
                                <w:szCs w:val="20"/>
                              </w:rPr>
                              <w:t>EXECUTIVE AIDE</w:t>
                            </w:r>
                          </w:p>
                          <w:p w14:paraId="6456EC6F" w14:textId="77777777" w:rsidR="00C5086D" w:rsidRDefault="00C5086D" w:rsidP="00C5086D">
                            <w:pPr>
                              <w:spacing w:after="0" w:line="240" w:lineRule="auto"/>
                              <w:jc w:val="center"/>
                            </w:pPr>
                          </w:p>
                          <w:p w14:paraId="75B94FD6" w14:textId="77777777" w:rsidR="00C5086D" w:rsidRPr="00C14074" w:rsidRDefault="00C5086D" w:rsidP="00C5086D">
                            <w:pPr>
                              <w:spacing w:after="0" w:line="240" w:lineRule="auto"/>
                              <w:jc w:val="center"/>
                              <w:rPr>
                                <w:rFonts w:ascii="Edwardian Script ITC" w:hAnsi="Edwardian Script ITC"/>
                                <w:sz w:val="32"/>
                                <w:szCs w:val="32"/>
                              </w:rPr>
                            </w:pPr>
                            <w:r>
                              <w:rPr>
                                <w:rFonts w:ascii="Edwardian Script ITC" w:hAnsi="Edwardian Script ITC"/>
                                <w:sz w:val="32"/>
                                <w:szCs w:val="32"/>
                              </w:rPr>
                              <w:t>Ryan P. Egan</w:t>
                            </w:r>
                          </w:p>
                          <w:p w14:paraId="6138CC10" w14:textId="77777777" w:rsidR="00C5086D" w:rsidRPr="00C14074" w:rsidRDefault="00C5086D" w:rsidP="00C5086D">
                            <w:pPr>
                              <w:spacing w:after="0" w:line="240" w:lineRule="auto"/>
                              <w:jc w:val="center"/>
                              <w:rPr>
                                <w:rFonts w:ascii="Garamond" w:hAnsi="Garamond"/>
                                <w:sz w:val="20"/>
                                <w:szCs w:val="20"/>
                              </w:rPr>
                            </w:pPr>
                            <w:r w:rsidRPr="00C14074">
                              <w:rPr>
                                <w:rFonts w:ascii="Garamond" w:hAnsi="Garamond"/>
                                <w:sz w:val="20"/>
                                <w:szCs w:val="20"/>
                              </w:rPr>
                              <w:t>EXECUTIVE SECRETARY</w:t>
                            </w:r>
                          </w:p>
                        </w:txbxContent>
                      </wps:txbx>
                      <wps:bodyPr rot="0" vert="horz" wrap="square" lIns="91440" tIns="45720" rIns="91440" bIns="45720" anchor="t" anchorCtr="0">
                        <a:noAutofit/>
                      </wps:bodyPr>
                    </wps:wsp>
                  </a:graphicData>
                </a:graphic>
              </wp:inline>
            </w:drawing>
          </mc:Choice>
          <mc:Fallback>
            <w:pict>
              <v:shapetype w14:anchorId="483D9F5F" id="_x0000_t202" coordsize="21600,21600" o:spt="202" path="m,l,21600r21600,l21600,xe">
                <v:stroke joinstyle="miter"/>
                <v:path gradientshapeok="t" o:connecttype="rect"/>
              </v:shapetype>
              <v:shape id="Text Box 2" o:spid="_x0000_s1026" type="#_x0000_t202" style="width:157.8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" stroked="f">
                <v:textbox>
                  <w:txbxContent>
                    <w:p w14:paraId="2D4C0649" w14:textId="77777777" w:rsidR="00C5086D" w:rsidRPr="00C14074" w:rsidRDefault="00C5086D" w:rsidP="00C5086D">
                      <w:pPr>
                        <w:spacing w:after="0" w:line="240" w:lineRule="auto"/>
                        <w:jc w:val="center"/>
                        <w:rPr>
                          <w:rFonts w:ascii="Edwardian Script ITC" w:hAnsi="Edwardian Script ITC"/>
                          <w:sz w:val="32"/>
                          <w:szCs w:val="32"/>
                        </w:rPr>
                      </w:pPr>
                      <w:r w:rsidRPr="00C14074">
                        <w:rPr>
                          <w:rFonts w:ascii="Edwardian Script ITC" w:hAnsi="Edwardian Script ITC"/>
                          <w:sz w:val="32"/>
                          <w:szCs w:val="32"/>
                        </w:rPr>
                        <w:t>Arthur G. Vigeant</w:t>
                      </w:r>
                    </w:p>
                    <w:p w14:paraId="5899EA45" w14:textId="77777777" w:rsidR="00C5086D" w:rsidRPr="00C14074" w:rsidRDefault="00C5086D" w:rsidP="00C5086D">
                      <w:pPr>
                        <w:spacing w:after="0" w:line="240" w:lineRule="auto"/>
                        <w:jc w:val="center"/>
                        <w:rPr>
                          <w:rFonts w:ascii="Garamond" w:hAnsi="Garamond"/>
                          <w:sz w:val="20"/>
                          <w:szCs w:val="20"/>
                        </w:rPr>
                      </w:pPr>
                      <w:r w:rsidRPr="00C14074">
                        <w:rPr>
                          <w:rFonts w:ascii="Garamond" w:hAnsi="Garamond"/>
                          <w:sz w:val="20"/>
                          <w:szCs w:val="20"/>
                        </w:rPr>
                        <w:t>MAYOR</w:t>
                      </w:r>
                    </w:p>
                    <w:p w14:paraId="23BD4B69" w14:textId="77777777" w:rsidR="00C5086D" w:rsidRDefault="00C5086D" w:rsidP="00C5086D">
                      <w:pPr>
                        <w:spacing w:after="0" w:line="240" w:lineRule="auto"/>
                        <w:jc w:val="center"/>
                      </w:pPr>
                    </w:p>
                    <w:p w14:paraId="3002B5AA" w14:textId="77777777" w:rsidR="00C5086D" w:rsidRPr="00C14074" w:rsidRDefault="00C5086D" w:rsidP="00C5086D">
                      <w:pPr>
                        <w:spacing w:after="0" w:line="240" w:lineRule="auto"/>
                        <w:jc w:val="center"/>
                        <w:rPr>
                          <w:rFonts w:ascii="Edwardian Script ITC" w:hAnsi="Edwardian Script ITC"/>
                          <w:sz w:val="32"/>
                          <w:szCs w:val="32"/>
                        </w:rPr>
                      </w:pPr>
                      <w:r>
                        <w:rPr>
                          <w:rFonts w:ascii="Edwardian Script ITC" w:hAnsi="Edwardian Script ITC"/>
                          <w:sz w:val="32"/>
                          <w:szCs w:val="32"/>
                        </w:rPr>
                        <w:t>Patricia M. Bernard</w:t>
                      </w:r>
                    </w:p>
                    <w:p w14:paraId="73000F46" w14:textId="77777777" w:rsidR="00C5086D" w:rsidRPr="00C14074" w:rsidRDefault="00C5086D" w:rsidP="00C5086D">
                      <w:pPr>
                        <w:spacing w:after="0" w:line="240" w:lineRule="auto"/>
                        <w:jc w:val="center"/>
                        <w:rPr>
                          <w:rFonts w:ascii="Garamond" w:hAnsi="Garamond"/>
                          <w:sz w:val="20"/>
                          <w:szCs w:val="20"/>
                        </w:rPr>
                      </w:pPr>
                      <w:r w:rsidRPr="00C14074">
                        <w:rPr>
                          <w:rFonts w:ascii="Garamond" w:hAnsi="Garamond"/>
                          <w:sz w:val="20"/>
                          <w:szCs w:val="20"/>
                        </w:rPr>
                        <w:t>EXECUTIVE AIDE</w:t>
                      </w:r>
                    </w:p>
                    <w:p w14:paraId="6456EC6F" w14:textId="77777777" w:rsidR="00C5086D" w:rsidRDefault="00C5086D" w:rsidP="00C5086D">
                      <w:pPr>
                        <w:spacing w:after="0" w:line="240" w:lineRule="auto"/>
                        <w:jc w:val="center"/>
                      </w:pPr>
                    </w:p>
                    <w:p w14:paraId="75B94FD6" w14:textId="77777777" w:rsidR="00C5086D" w:rsidRPr="00C14074" w:rsidRDefault="00C5086D" w:rsidP="00C5086D">
                      <w:pPr>
                        <w:spacing w:after="0" w:line="240" w:lineRule="auto"/>
                        <w:jc w:val="center"/>
                        <w:rPr>
                          <w:rFonts w:ascii="Edwardian Script ITC" w:hAnsi="Edwardian Script ITC"/>
                          <w:sz w:val="32"/>
                          <w:szCs w:val="32"/>
                        </w:rPr>
                      </w:pPr>
                      <w:r>
                        <w:rPr>
                          <w:rFonts w:ascii="Edwardian Script ITC" w:hAnsi="Edwardian Script ITC"/>
                          <w:sz w:val="32"/>
                          <w:szCs w:val="32"/>
                        </w:rPr>
                        <w:t>Ryan P. Egan</w:t>
                      </w:r>
                    </w:p>
                    <w:p w14:paraId="6138CC10" w14:textId="77777777" w:rsidR="00C5086D" w:rsidRPr="00C14074" w:rsidRDefault="00C5086D" w:rsidP="00C5086D">
                      <w:pPr>
                        <w:spacing w:after="0" w:line="240" w:lineRule="auto"/>
                        <w:jc w:val="center"/>
                        <w:rPr>
                          <w:rFonts w:ascii="Garamond" w:hAnsi="Garamond"/>
                          <w:sz w:val="20"/>
                          <w:szCs w:val="20"/>
                        </w:rPr>
                      </w:pPr>
                      <w:r w:rsidRPr="00C14074">
                        <w:rPr>
                          <w:rFonts w:ascii="Garamond" w:hAnsi="Garamond"/>
                          <w:sz w:val="20"/>
                          <w:szCs w:val="20"/>
                        </w:rPr>
                        <w:t>EXECUTIVE SECRETARY</w:t>
                      </w:r>
                    </w:p>
                  </w:txbxContent>
                </v:textbox>
                <w10:anchorlock/>
              </v:shape>
            </w:pict>
          </mc:Fallback>
        </mc:AlternateContent>
      </w:r>
      <w:r w:rsidRPr="00C14074">
        <w:rPr>
          <w:rFonts w:ascii="Garamond" w:hAnsi="Garamond"/>
          <w:b/>
          <w:noProof/>
          <w:color w:val="0033CC"/>
          <w:sz w:val="20"/>
          <w:szCs w:val="20"/>
        </w:rPr>
        <mc:AlternateContent>
          <mc:Choice Requires="wps">
            <w:drawing>
              <wp:inline distT="0" distB="0" distL="0" distR="0" wp14:anchorId="11724D78" wp14:editId="6912B6E7">
                <wp:extent cx="3483864" cy="2752344"/>
                <wp:effectExtent l="0" t="0" r="254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2752344"/>
                        </a:xfrm>
                        <a:prstGeom prst="rect">
                          <a:avLst/>
                        </a:prstGeom>
                        <a:solidFill>
                          <a:srgbClr val="FFFFFF"/>
                        </a:solidFill>
                        <a:ln w="9525">
                          <a:noFill/>
                          <a:miter lim="800000"/>
                          <a:headEnd/>
                          <a:tailEnd/>
                        </a:ln>
                      </wps:spPr>
                      <wps:txbx>
                        <w:txbxContent>
                          <w:p w14:paraId="2B82E43D" w14:textId="77777777" w:rsidR="00C5086D" w:rsidRPr="00C14074" w:rsidRDefault="00C5086D" w:rsidP="00C5086D">
                            <w:pPr>
                              <w:ind w:left="-720"/>
                              <w:rPr>
                                <w:rFonts w:ascii="Edwardian Script ITC" w:hAnsi="Edwardian Script ITC"/>
                                <w:b/>
                                <w:color w:val="0033CC"/>
                                <w:sz w:val="72"/>
                                <w:szCs w:val="72"/>
                              </w:rPr>
                            </w:pPr>
                            <w:r>
                              <w:rPr>
                                <w:rFonts w:ascii="Edwardian Script ITC" w:hAnsi="Edwardian Script ITC"/>
                                <w:b/>
                                <w:color w:val="0033CC"/>
                                <w:sz w:val="72"/>
                                <w:szCs w:val="72"/>
                              </w:rPr>
                              <w:t xml:space="preserve"> </w:t>
                            </w:r>
                          </w:p>
                          <w:p w14:paraId="577ABB5F" w14:textId="77777777" w:rsidR="00C5086D" w:rsidRDefault="00C5086D" w:rsidP="00C5086D">
                            <w:pPr>
                              <w:widowControl w:val="0"/>
                              <w:spacing w:after="0" w:line="240" w:lineRule="auto"/>
                              <w:jc w:val="center"/>
                              <w:rPr>
                                <w:rFonts w:ascii="Edwardian Script ITC" w:hAnsi="Edwardian Script ITC"/>
                                <w:b/>
                                <w:color w:val="0033CC"/>
                                <w:sz w:val="72"/>
                                <w:szCs w:val="72"/>
                              </w:rPr>
                            </w:pPr>
                            <w:r>
                              <w:rPr>
                                <w:rFonts w:ascii="Edwardian Script ITC" w:hAnsi="Edwardian Script ITC"/>
                                <w:b/>
                                <w:color w:val="0033CC"/>
                                <w:sz w:val="72"/>
                                <w:szCs w:val="72"/>
                              </w:rPr>
                              <w:t>City of Marlborough</w:t>
                            </w:r>
                          </w:p>
                          <w:p w14:paraId="1A7302BB" w14:textId="77777777" w:rsidR="00C5086D" w:rsidRDefault="00C5086D" w:rsidP="00C5086D">
                            <w:pPr>
                              <w:jc w:val="center"/>
                              <w:rPr>
                                <w:rFonts w:ascii="Edwardian Script ITC" w:hAnsi="Edwardian Script ITC"/>
                                <w:b/>
                                <w:color w:val="0033CC"/>
                                <w:sz w:val="72"/>
                                <w:szCs w:val="72"/>
                              </w:rPr>
                            </w:pPr>
                            <w:r w:rsidRPr="00C14074">
                              <w:rPr>
                                <w:rFonts w:ascii="Edwardian Script ITC" w:hAnsi="Edwardian Script ITC"/>
                                <w:b/>
                                <w:color w:val="0033CC"/>
                                <w:sz w:val="72"/>
                                <w:szCs w:val="72"/>
                              </w:rPr>
                              <w:t>Office of the Mayor</w:t>
                            </w:r>
                          </w:p>
                          <w:p w14:paraId="493C83E5"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140 Main Street</w:t>
                            </w:r>
                          </w:p>
                          <w:p w14:paraId="319CB85E"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Marlborough, Massachusetts 01752</w:t>
                            </w:r>
                          </w:p>
                          <w:p w14:paraId="6459AF42"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508.460.3770 Fax 508.460.3698 TDD 508.460.3610</w:t>
                            </w:r>
                          </w:p>
                          <w:p w14:paraId="5FA57142"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www.marlborough-ma.gov</w:t>
                            </w:r>
                          </w:p>
                          <w:p w14:paraId="68F6DB99" w14:textId="77777777" w:rsidR="00C5086D" w:rsidRDefault="00C5086D" w:rsidP="00C5086D">
                            <w:pPr>
                              <w:jc w:val="center"/>
                            </w:pPr>
                          </w:p>
                        </w:txbxContent>
                      </wps:txbx>
                      <wps:bodyPr rot="0" vert="horz" wrap="square" lIns="91440" tIns="45720" rIns="91440" bIns="45720" anchor="t" anchorCtr="0">
                        <a:noAutofit/>
                      </wps:bodyPr>
                    </wps:wsp>
                  </a:graphicData>
                </a:graphic>
              </wp:inline>
            </w:drawing>
          </mc:Choice>
          <mc:Fallback>
            <w:pict>
              <v:shape w14:anchorId="11724D78" id="_x0000_s1027" type="#_x0000_t202" style="width:274.3pt;height:2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" stroked="f">
                <v:textbox>
                  <w:txbxContent>
                    <w:p w14:paraId="2B82E43D" w14:textId="77777777" w:rsidR="00C5086D" w:rsidRPr="00C14074" w:rsidRDefault="00C5086D" w:rsidP="00C5086D">
                      <w:pPr>
                        <w:ind w:left="-720"/>
                        <w:rPr>
                          <w:rFonts w:ascii="Edwardian Script ITC" w:hAnsi="Edwardian Script ITC"/>
                          <w:b/>
                          <w:color w:val="0033CC"/>
                          <w:sz w:val="72"/>
                          <w:szCs w:val="72"/>
                        </w:rPr>
                      </w:pPr>
                      <w:r>
                        <w:rPr>
                          <w:rFonts w:ascii="Edwardian Script ITC" w:hAnsi="Edwardian Script ITC"/>
                          <w:b/>
                          <w:color w:val="0033CC"/>
                          <w:sz w:val="72"/>
                          <w:szCs w:val="72"/>
                        </w:rPr>
                        <w:t xml:space="preserve"> </w:t>
                      </w:r>
                    </w:p>
                    <w:p w14:paraId="577ABB5F" w14:textId="77777777" w:rsidR="00C5086D" w:rsidRDefault="00C5086D" w:rsidP="00C5086D">
                      <w:pPr>
                        <w:widowControl w:val="0"/>
                        <w:spacing w:after="0" w:line="240" w:lineRule="auto"/>
                        <w:jc w:val="center"/>
                        <w:rPr>
                          <w:rFonts w:ascii="Edwardian Script ITC" w:hAnsi="Edwardian Script ITC"/>
                          <w:b/>
                          <w:color w:val="0033CC"/>
                          <w:sz w:val="72"/>
                          <w:szCs w:val="72"/>
                        </w:rPr>
                      </w:pPr>
                      <w:r>
                        <w:rPr>
                          <w:rFonts w:ascii="Edwardian Script ITC" w:hAnsi="Edwardian Script ITC"/>
                          <w:b/>
                          <w:color w:val="0033CC"/>
                          <w:sz w:val="72"/>
                          <w:szCs w:val="72"/>
                        </w:rPr>
                        <w:t>City of Marlborough</w:t>
                      </w:r>
                    </w:p>
                    <w:p w14:paraId="1A7302BB" w14:textId="77777777" w:rsidR="00C5086D" w:rsidRDefault="00C5086D" w:rsidP="00C5086D">
                      <w:pPr>
                        <w:jc w:val="center"/>
                        <w:rPr>
                          <w:rFonts w:ascii="Edwardian Script ITC" w:hAnsi="Edwardian Script ITC"/>
                          <w:b/>
                          <w:color w:val="0033CC"/>
                          <w:sz w:val="72"/>
                          <w:szCs w:val="72"/>
                        </w:rPr>
                      </w:pPr>
                      <w:r w:rsidRPr="00C14074">
                        <w:rPr>
                          <w:rFonts w:ascii="Edwardian Script ITC" w:hAnsi="Edwardian Script ITC"/>
                          <w:b/>
                          <w:color w:val="0033CC"/>
                          <w:sz w:val="72"/>
                          <w:szCs w:val="72"/>
                        </w:rPr>
                        <w:t>Office of the Mayor</w:t>
                      </w:r>
                    </w:p>
                    <w:p w14:paraId="493C83E5"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140 Main Street</w:t>
                      </w:r>
                    </w:p>
                    <w:p w14:paraId="319CB85E"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Marlborough, Massachusetts 01752</w:t>
                      </w:r>
                    </w:p>
                    <w:p w14:paraId="6459AF42"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508.460.3770 Fax 508.460.3698 TDD 508.460.3610</w:t>
                      </w:r>
                    </w:p>
                    <w:p w14:paraId="5FA57142" w14:textId="77777777" w:rsidR="00C5086D" w:rsidRPr="005C00C2" w:rsidRDefault="00C5086D" w:rsidP="00C5086D">
                      <w:pPr>
                        <w:spacing w:after="0" w:line="240" w:lineRule="auto"/>
                        <w:jc w:val="center"/>
                        <w:rPr>
                          <w:rFonts w:ascii="Garamond" w:hAnsi="Garamond"/>
                          <w:sz w:val="20"/>
                          <w:szCs w:val="20"/>
                        </w:rPr>
                      </w:pPr>
                      <w:r w:rsidRPr="005C00C2">
                        <w:rPr>
                          <w:rFonts w:ascii="Garamond" w:hAnsi="Garamond"/>
                          <w:sz w:val="20"/>
                          <w:szCs w:val="20"/>
                        </w:rPr>
                        <w:t>www.marlborough-ma.gov</w:t>
                      </w:r>
                    </w:p>
                    <w:p w14:paraId="68F6DB99" w14:textId="77777777" w:rsidR="00C5086D" w:rsidRDefault="00C5086D" w:rsidP="00C5086D">
                      <w:pPr>
                        <w:jc w:val="center"/>
                      </w:pPr>
                    </w:p>
                  </w:txbxContent>
                </v:textbox>
                <w10:anchorlock/>
              </v:shape>
            </w:pict>
          </mc:Fallback>
        </mc:AlternateContent>
      </w:r>
      <w:r>
        <w:rPr>
          <w:noProof/>
        </w:rPr>
        <w:drawing>
          <wp:inline distT="0" distB="0" distL="0" distR="0" wp14:anchorId="0DFFB29C" wp14:editId="45D55674">
            <wp:extent cx="1427762" cy="1332396"/>
            <wp:effectExtent l="0" t="0" r="1270" b="127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_City_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7762" cy="1332396"/>
                    </a:xfrm>
                    <a:prstGeom prst="rect">
                      <a:avLst/>
                    </a:prstGeom>
                  </pic:spPr>
                </pic:pic>
              </a:graphicData>
            </a:graphic>
          </wp:inline>
        </w:drawing>
      </w:r>
      <w:r w:rsidR="00817868">
        <w:rPr>
          <w:rFonts w:ascii="Edwardian Script ITC" w:hAnsi="Edwardian Script ITC"/>
          <w:b/>
          <w:color w:val="0033CC"/>
          <w:sz w:val="72"/>
          <w:szCs w:val="72"/>
        </w:rPr>
        <w:t>\</w:t>
      </w:r>
    </w:p>
    <w:p w14:paraId="70E34783" w14:textId="7247378A" w:rsidR="007C7D28" w:rsidRPr="00E70F0D" w:rsidRDefault="007C7D28" w:rsidP="007C7D28">
      <w:pPr>
        <w:spacing w:after="0" w:line="240" w:lineRule="auto"/>
        <w:rPr>
          <w:rFonts w:ascii="Times New Roman" w:eastAsia="Times New Roman" w:hAnsi="Times New Roman" w:cs="Times New Roman"/>
        </w:rPr>
      </w:pPr>
      <w:r w:rsidRPr="00E70F0D">
        <w:rPr>
          <w:rFonts w:ascii="Times New Roman" w:eastAsia="Times New Roman" w:hAnsi="Times New Roman" w:cs="Times New Roman"/>
        </w:rPr>
        <w:t xml:space="preserve">January </w:t>
      </w:r>
      <w:r w:rsidR="00C5086D" w:rsidRPr="00E70F0D">
        <w:rPr>
          <w:rFonts w:ascii="Times New Roman" w:eastAsia="Times New Roman" w:hAnsi="Times New Roman" w:cs="Times New Roman"/>
        </w:rPr>
        <w:t>26</w:t>
      </w:r>
      <w:r w:rsidRPr="00E70F0D">
        <w:rPr>
          <w:rFonts w:ascii="Times New Roman" w:eastAsia="Times New Roman" w:hAnsi="Times New Roman" w:cs="Times New Roman"/>
        </w:rPr>
        <w:t>, 2022</w:t>
      </w:r>
    </w:p>
    <w:p w14:paraId="5A3B588F" w14:textId="77777777" w:rsidR="007C7D28" w:rsidRPr="00E70F0D" w:rsidRDefault="007C7D28" w:rsidP="007C7D28">
      <w:pPr>
        <w:spacing w:after="0" w:line="240" w:lineRule="auto"/>
        <w:rPr>
          <w:rFonts w:ascii="Times New Roman" w:eastAsia="Times New Roman" w:hAnsi="Times New Roman" w:cs="Times New Roman"/>
        </w:rPr>
      </w:pPr>
    </w:p>
    <w:p w14:paraId="31C15C69" w14:textId="77777777" w:rsidR="007C7D28" w:rsidRPr="00E70F0D" w:rsidRDefault="007C7D28" w:rsidP="007C7D28">
      <w:pPr>
        <w:spacing w:after="0" w:line="240" w:lineRule="auto"/>
        <w:rPr>
          <w:rFonts w:ascii="Times New Roman" w:eastAsia="Times New Roman" w:hAnsi="Times New Roman" w:cs="Times New Roman"/>
        </w:rPr>
      </w:pPr>
      <w:r w:rsidRPr="00E70F0D">
        <w:rPr>
          <w:rFonts w:ascii="Times New Roman" w:eastAsia="Times New Roman" w:hAnsi="Times New Roman" w:cs="Times New Roman"/>
        </w:rPr>
        <w:t xml:space="preserve">VIA EMAIL </w:t>
      </w:r>
      <w:hyperlink r:id="rId9" w:history="1">
        <w:r w:rsidRPr="00E70F0D">
          <w:rPr>
            <w:rFonts w:ascii="Times New Roman" w:eastAsia="Times New Roman" w:hAnsi="Times New Roman" w:cs="Times New Roman"/>
            <w:color w:val="0563C1"/>
            <w:u w:val="single"/>
          </w:rPr>
          <w:t>DPH.DON@State.MA.US</w:t>
        </w:r>
      </w:hyperlink>
    </w:p>
    <w:p w14:paraId="620308A7" w14:textId="77777777" w:rsidR="007C7D28" w:rsidRPr="00E70F0D" w:rsidRDefault="007C7D28" w:rsidP="007C7D28">
      <w:pPr>
        <w:spacing w:after="0" w:line="240" w:lineRule="auto"/>
        <w:rPr>
          <w:rFonts w:ascii="Times New Roman" w:eastAsia="Times New Roman" w:hAnsi="Times New Roman" w:cs="Times New Roman"/>
        </w:rPr>
      </w:pPr>
    </w:p>
    <w:p w14:paraId="296FC6B6" w14:textId="77777777" w:rsidR="007C7D28" w:rsidRPr="00E70F0D" w:rsidRDefault="007C7D28" w:rsidP="007C7D28">
      <w:pPr>
        <w:spacing w:after="0" w:line="240" w:lineRule="auto"/>
        <w:rPr>
          <w:rFonts w:ascii="Times New Roman" w:eastAsia="Times New Roman" w:hAnsi="Times New Roman" w:cs="Times New Roman"/>
        </w:rPr>
      </w:pPr>
      <w:r w:rsidRPr="00E70F0D">
        <w:rPr>
          <w:rFonts w:ascii="Times New Roman" w:eastAsia="Times New Roman" w:hAnsi="Times New Roman" w:cs="Times New Roman"/>
        </w:rPr>
        <w:t>Lara Szent-Gyorgyi</w:t>
      </w:r>
    </w:p>
    <w:p w14:paraId="4026F801" w14:textId="77777777" w:rsidR="007C7D28" w:rsidRPr="00E70F0D" w:rsidRDefault="007C7D28" w:rsidP="007C7D28">
      <w:pPr>
        <w:spacing w:after="0" w:line="240" w:lineRule="auto"/>
        <w:rPr>
          <w:rFonts w:ascii="Times New Roman" w:eastAsia="Times New Roman" w:hAnsi="Times New Roman" w:cs="Times New Roman"/>
        </w:rPr>
      </w:pPr>
      <w:r w:rsidRPr="00E70F0D">
        <w:rPr>
          <w:rFonts w:ascii="Times New Roman" w:eastAsia="Times New Roman" w:hAnsi="Times New Roman" w:cs="Times New Roman"/>
        </w:rPr>
        <w:t>Director, Determination of Need Program</w:t>
      </w:r>
    </w:p>
    <w:p w14:paraId="32050792" w14:textId="77777777" w:rsidR="007C7D28" w:rsidRPr="00E70F0D" w:rsidRDefault="007C7D28" w:rsidP="007C7D28">
      <w:pPr>
        <w:spacing w:after="0" w:line="240" w:lineRule="auto"/>
        <w:rPr>
          <w:rFonts w:ascii="Times New Roman" w:eastAsia="Times New Roman" w:hAnsi="Times New Roman" w:cs="Times New Roman"/>
        </w:rPr>
      </w:pPr>
      <w:r w:rsidRPr="00E70F0D">
        <w:rPr>
          <w:rFonts w:ascii="Times New Roman" w:eastAsia="Times New Roman" w:hAnsi="Times New Roman" w:cs="Times New Roman"/>
        </w:rPr>
        <w:t>Massachusetts Department of Public Health</w:t>
      </w:r>
    </w:p>
    <w:p w14:paraId="06003147" w14:textId="77777777" w:rsidR="007C7D28" w:rsidRPr="00E70F0D" w:rsidRDefault="007C7D28" w:rsidP="007C7D28">
      <w:pPr>
        <w:spacing w:after="0" w:line="240" w:lineRule="auto"/>
        <w:rPr>
          <w:rFonts w:ascii="Times New Roman" w:hAnsi="Times New Roman" w:cs="Times New Roman"/>
        </w:rPr>
      </w:pPr>
      <w:r w:rsidRPr="00E70F0D">
        <w:rPr>
          <w:rFonts w:ascii="Times New Roman" w:hAnsi="Times New Roman" w:cs="Times New Roman"/>
        </w:rPr>
        <w:t>Department of Public Health </w:t>
      </w:r>
    </w:p>
    <w:p w14:paraId="506F1DF9" w14:textId="77777777" w:rsidR="007C7D28" w:rsidRPr="00E70F0D" w:rsidRDefault="007C7D28" w:rsidP="007C7D28">
      <w:pPr>
        <w:spacing w:after="0" w:line="240" w:lineRule="auto"/>
        <w:rPr>
          <w:rFonts w:ascii="Times New Roman" w:hAnsi="Times New Roman" w:cs="Times New Roman"/>
        </w:rPr>
      </w:pPr>
      <w:r w:rsidRPr="00E70F0D">
        <w:rPr>
          <w:rFonts w:ascii="Times New Roman" w:hAnsi="Times New Roman" w:cs="Times New Roman"/>
        </w:rPr>
        <w:t>67 Forest Street </w:t>
      </w:r>
    </w:p>
    <w:p w14:paraId="51DDC79A" w14:textId="77777777" w:rsidR="007C7D28" w:rsidRPr="00E70F0D" w:rsidRDefault="007C7D28" w:rsidP="007C7D28">
      <w:pPr>
        <w:spacing w:after="0" w:line="240" w:lineRule="auto"/>
        <w:rPr>
          <w:rFonts w:ascii="Times New Roman" w:hAnsi="Times New Roman" w:cs="Times New Roman"/>
        </w:rPr>
      </w:pPr>
      <w:r w:rsidRPr="00E70F0D">
        <w:rPr>
          <w:rFonts w:ascii="Times New Roman" w:hAnsi="Times New Roman" w:cs="Times New Roman"/>
        </w:rPr>
        <w:t>Marlborough, MA 01752 </w:t>
      </w:r>
    </w:p>
    <w:p w14:paraId="443F393C" w14:textId="77777777" w:rsidR="007C7D28" w:rsidRPr="00E70F0D" w:rsidRDefault="007C7D28" w:rsidP="007C7D28">
      <w:pPr>
        <w:spacing w:after="0" w:line="240" w:lineRule="auto"/>
        <w:rPr>
          <w:rFonts w:ascii="Times New Roman" w:hAnsi="Times New Roman" w:cs="Times New Roman"/>
        </w:rPr>
      </w:pPr>
    </w:p>
    <w:p w14:paraId="488387EA" w14:textId="0A295EA8" w:rsidR="007C7D28" w:rsidRPr="00E70F0D" w:rsidRDefault="007C7D28" w:rsidP="007C7D28">
      <w:pPr>
        <w:spacing w:after="0" w:line="240" w:lineRule="auto"/>
        <w:rPr>
          <w:rFonts w:ascii="Times New Roman" w:hAnsi="Times New Roman" w:cs="Times New Roman"/>
          <w:b/>
          <w:bCs/>
        </w:rPr>
      </w:pPr>
      <w:r w:rsidRPr="00E70F0D">
        <w:rPr>
          <w:rFonts w:ascii="Times New Roman" w:eastAsia="Times New Roman" w:hAnsi="Times New Roman" w:cs="Times New Roman"/>
          <w:b/>
          <w:bCs/>
        </w:rPr>
        <w:t>RE:</w:t>
      </w:r>
      <w:r w:rsidRPr="00E70F0D">
        <w:rPr>
          <w:rFonts w:ascii="Times New Roman" w:eastAsia="Times New Roman" w:hAnsi="Times New Roman" w:cs="Times New Roman"/>
          <w:b/>
          <w:bCs/>
        </w:rPr>
        <w:tab/>
      </w:r>
      <w:r w:rsidR="005263AF" w:rsidRPr="00E70F0D">
        <w:rPr>
          <w:rFonts w:ascii="Times New Roman" w:eastAsia="Times New Roman" w:hAnsi="Times New Roman" w:cs="Times New Roman"/>
          <w:b/>
          <w:bCs/>
        </w:rPr>
        <w:t xml:space="preserve">Mass General Brigham Ambulatory, </w:t>
      </w:r>
      <w:r w:rsidRPr="00E70F0D">
        <w:rPr>
          <w:rFonts w:ascii="Times New Roman" w:eastAsia="Times New Roman" w:hAnsi="Times New Roman" w:cs="Times New Roman"/>
          <w:b/>
          <w:bCs/>
        </w:rPr>
        <w:t>Project #21012113-AS</w:t>
      </w:r>
      <w:r w:rsidR="005263AF" w:rsidRPr="00E70F0D">
        <w:rPr>
          <w:rFonts w:ascii="Times New Roman" w:eastAsia="Times New Roman" w:hAnsi="Times New Roman" w:cs="Times New Roman"/>
          <w:b/>
          <w:bCs/>
        </w:rPr>
        <w:t xml:space="preserve">, </w:t>
      </w:r>
      <w:r w:rsidRPr="00E70F0D">
        <w:rPr>
          <w:rFonts w:ascii="Times New Roman" w:hAnsi="Times New Roman" w:cs="Times New Roman"/>
          <w:b/>
          <w:bCs/>
        </w:rPr>
        <w:t>Independent Cost-</w:t>
      </w:r>
    </w:p>
    <w:p w14:paraId="79020308" w14:textId="71F16111" w:rsidR="007C7D28" w:rsidRPr="00E70F0D" w:rsidRDefault="007C7D28" w:rsidP="007C7D28">
      <w:pPr>
        <w:spacing w:after="0" w:line="240" w:lineRule="auto"/>
        <w:ind w:firstLine="720"/>
        <w:rPr>
          <w:rFonts w:ascii="Times New Roman" w:eastAsia="Times New Roman" w:hAnsi="Times New Roman" w:cs="Times New Roman"/>
          <w:b/>
          <w:bCs/>
        </w:rPr>
      </w:pPr>
      <w:r w:rsidRPr="00E70F0D">
        <w:rPr>
          <w:rFonts w:ascii="Times New Roman" w:hAnsi="Times New Roman" w:cs="Times New Roman"/>
          <w:b/>
          <w:bCs/>
        </w:rPr>
        <w:t xml:space="preserve">Analysis Comment by </w:t>
      </w:r>
      <w:r w:rsidR="00085E5D" w:rsidRPr="00E70F0D">
        <w:rPr>
          <w:rFonts w:ascii="Times New Roman" w:hAnsi="Times New Roman" w:cs="Times New Roman"/>
          <w:b/>
          <w:bCs/>
        </w:rPr>
        <w:t xml:space="preserve">the City of Marlborough </w:t>
      </w:r>
      <w:r w:rsidR="005263AF" w:rsidRPr="00E70F0D">
        <w:rPr>
          <w:rFonts w:ascii="Times New Roman" w:hAnsi="Times New Roman" w:cs="Times New Roman"/>
          <w:b/>
          <w:bCs/>
        </w:rPr>
        <w:t>Ten Taxpayer Group</w:t>
      </w:r>
    </w:p>
    <w:p w14:paraId="5D3B40BE" w14:textId="77777777" w:rsidR="007C7D28" w:rsidRPr="00E70F0D" w:rsidRDefault="007C7D28" w:rsidP="007C7D28">
      <w:pPr>
        <w:spacing w:line="254" w:lineRule="auto"/>
        <w:rPr>
          <w:rFonts w:ascii="Times New Roman" w:hAnsi="Times New Roman" w:cs="Times New Roman"/>
        </w:rPr>
      </w:pPr>
    </w:p>
    <w:p w14:paraId="34A4486F" w14:textId="30E36DFB" w:rsidR="0020235E" w:rsidRPr="00E70F0D" w:rsidRDefault="007C7D28" w:rsidP="007C7D28">
      <w:pPr>
        <w:spacing w:line="254" w:lineRule="auto"/>
        <w:rPr>
          <w:rFonts w:ascii="Times New Roman" w:hAnsi="Times New Roman" w:cs="Times New Roman"/>
        </w:rPr>
      </w:pPr>
      <w:r w:rsidRPr="00E70F0D">
        <w:rPr>
          <w:rFonts w:ascii="Times New Roman" w:hAnsi="Times New Roman" w:cs="Times New Roman"/>
        </w:rPr>
        <w:t>Dear Director Szent-Gyorgyi:</w:t>
      </w:r>
    </w:p>
    <w:p w14:paraId="1F993896" w14:textId="38BAF059" w:rsidR="007C7D28" w:rsidRPr="00E70F0D" w:rsidRDefault="005263AF" w:rsidP="0020235E">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This</w:t>
      </w:r>
      <w:r w:rsidR="007C7D28" w:rsidRPr="00E70F0D">
        <w:rPr>
          <w:rFonts w:ascii="Times New Roman" w:hAnsi="Times New Roman" w:cs="Times New Roman"/>
        </w:rPr>
        <w:t xml:space="preserve"> comment letter </w:t>
      </w:r>
      <w:r w:rsidRPr="00E70F0D">
        <w:rPr>
          <w:rFonts w:ascii="Times New Roman" w:hAnsi="Times New Roman" w:cs="Times New Roman"/>
        </w:rPr>
        <w:t xml:space="preserve">is filed </w:t>
      </w:r>
      <w:r w:rsidR="007C7D28" w:rsidRPr="00E70F0D">
        <w:rPr>
          <w:rFonts w:ascii="Times New Roman" w:hAnsi="Times New Roman" w:cs="Times New Roman"/>
        </w:rPr>
        <w:t xml:space="preserve">on behalf of the Ten Taxpayer Group </w:t>
      </w:r>
      <w:r w:rsidR="00085E5D" w:rsidRPr="00E70F0D">
        <w:rPr>
          <w:rFonts w:ascii="Times New Roman" w:hAnsi="Times New Roman" w:cs="Times New Roman"/>
        </w:rPr>
        <w:t>by the City of Marlborough</w:t>
      </w:r>
      <w:r w:rsidRPr="00E70F0D">
        <w:rPr>
          <w:rFonts w:ascii="Times New Roman" w:hAnsi="Times New Roman" w:cs="Times New Roman"/>
        </w:rPr>
        <w:t xml:space="preserve">. </w:t>
      </w:r>
    </w:p>
    <w:p w14:paraId="541C8AD6" w14:textId="77777777" w:rsidR="007C7D28" w:rsidRPr="00E70F0D" w:rsidRDefault="007C7D28" w:rsidP="007C7D28">
      <w:pPr>
        <w:spacing w:after="0" w:line="240" w:lineRule="auto"/>
        <w:rPr>
          <w:rFonts w:ascii="Times New Roman" w:hAnsi="Times New Roman" w:cs="Times New Roman"/>
        </w:rPr>
      </w:pPr>
    </w:p>
    <w:p w14:paraId="6D07A6A3" w14:textId="1450FB57" w:rsidR="00D34F15" w:rsidRPr="00E70F0D" w:rsidRDefault="00085E5D" w:rsidP="0020235E">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The</w:t>
      </w:r>
      <w:r w:rsidR="005263AF" w:rsidRPr="00E70F0D">
        <w:rPr>
          <w:rFonts w:ascii="Times New Roman" w:hAnsi="Times New Roman" w:cs="Times New Roman"/>
        </w:rPr>
        <w:t xml:space="preserve"> City of Marlborough highly value</w:t>
      </w:r>
      <w:r w:rsidRPr="00E70F0D">
        <w:rPr>
          <w:rFonts w:ascii="Times New Roman" w:hAnsi="Times New Roman" w:cs="Times New Roman"/>
        </w:rPr>
        <w:t>s</w:t>
      </w:r>
      <w:r w:rsidR="005263AF" w:rsidRPr="00E70F0D">
        <w:rPr>
          <w:rFonts w:ascii="Times New Roman" w:hAnsi="Times New Roman" w:cs="Times New Roman"/>
        </w:rPr>
        <w:t xml:space="preserve"> Marlborough Hospital as a </w:t>
      </w:r>
      <w:r w:rsidR="00381C1B" w:rsidRPr="00E70F0D">
        <w:rPr>
          <w:rFonts w:ascii="Times New Roman" w:hAnsi="Times New Roman" w:cs="Times New Roman"/>
        </w:rPr>
        <w:t>crucial</w:t>
      </w:r>
      <w:r w:rsidR="005263AF" w:rsidRPr="00E70F0D">
        <w:rPr>
          <w:rFonts w:ascii="Times New Roman" w:hAnsi="Times New Roman" w:cs="Times New Roman"/>
        </w:rPr>
        <w:t xml:space="preserve"> community asset.  </w:t>
      </w:r>
      <w:r w:rsidR="00381C1B" w:rsidRPr="00E70F0D">
        <w:rPr>
          <w:rFonts w:ascii="Times New Roman" w:hAnsi="Times New Roman" w:cs="Times New Roman"/>
        </w:rPr>
        <w:t xml:space="preserve">Marlborough Hospital has been a vital part of our community for over 130 years and has cared for hundreds of thousands of patients in that time.  Remarkably, state data shows that </w:t>
      </w:r>
      <w:r w:rsidR="00381C1B" w:rsidRPr="00E70F0D">
        <w:rPr>
          <w:rFonts w:ascii="Times New Roman" w:hAnsi="Times New Roman" w:cs="Times New Roman"/>
        </w:rPr>
        <w:lastRenderedPageBreak/>
        <w:t>Marlborough Hospital has the lowest inpatient rates of any hospital in,</w:t>
      </w:r>
      <w:r w:rsidR="00381C1B" w:rsidRPr="00E70F0D">
        <w:rPr>
          <w:rStyle w:val="FootnoteReference"/>
          <w:rFonts w:ascii="Times New Roman" w:hAnsi="Times New Roman" w:cs="Times New Roman"/>
        </w:rPr>
        <w:footnoteReference w:id="1"/>
      </w:r>
      <w:r w:rsidR="00381C1B" w:rsidRPr="00E70F0D">
        <w:rPr>
          <w:rFonts w:ascii="Times New Roman" w:hAnsi="Times New Roman" w:cs="Times New Roman"/>
        </w:rPr>
        <w:t xml:space="preserve"> while it also has received national recognition </w:t>
      </w:r>
      <w:r w:rsidR="00D34F15" w:rsidRPr="00E70F0D">
        <w:rPr>
          <w:rFonts w:ascii="Times New Roman" w:hAnsi="Times New Roman" w:cs="Times New Roman"/>
        </w:rPr>
        <w:t xml:space="preserve">for quality of care </w:t>
      </w:r>
      <w:r w:rsidR="00381C1B" w:rsidRPr="00E70F0D">
        <w:rPr>
          <w:rFonts w:ascii="Times New Roman" w:hAnsi="Times New Roman" w:cs="Times New Roman"/>
        </w:rPr>
        <w:t xml:space="preserve">from groups like </w:t>
      </w:r>
      <w:r w:rsidRPr="00E70F0D">
        <w:rPr>
          <w:rFonts w:ascii="Times New Roman" w:hAnsi="Times New Roman" w:cs="Times New Roman"/>
        </w:rPr>
        <w:t xml:space="preserve">The </w:t>
      </w:r>
      <w:r w:rsidR="00381C1B" w:rsidRPr="00E70F0D">
        <w:rPr>
          <w:rFonts w:ascii="Times New Roman" w:hAnsi="Times New Roman" w:cs="Times New Roman"/>
        </w:rPr>
        <w:t>Leapfrog</w:t>
      </w:r>
      <w:r w:rsidR="00D34F15" w:rsidRPr="00E70F0D">
        <w:rPr>
          <w:rFonts w:ascii="Times New Roman" w:hAnsi="Times New Roman" w:cs="Times New Roman"/>
        </w:rPr>
        <w:t xml:space="preserve"> </w:t>
      </w:r>
      <w:r w:rsidRPr="00E70F0D">
        <w:rPr>
          <w:rFonts w:ascii="Times New Roman" w:hAnsi="Times New Roman" w:cs="Times New Roman"/>
        </w:rPr>
        <w:t xml:space="preserve">Group </w:t>
      </w:r>
      <w:r w:rsidR="00D34F15" w:rsidRPr="00E70F0D">
        <w:rPr>
          <w:rFonts w:ascii="Times New Roman" w:hAnsi="Times New Roman" w:cs="Times New Roman"/>
        </w:rPr>
        <w:t>and the CMS Star Ratings.</w:t>
      </w:r>
    </w:p>
    <w:p w14:paraId="1E61E16B" w14:textId="77777777" w:rsidR="00D34F15" w:rsidRPr="00E70F0D" w:rsidRDefault="00D34F15" w:rsidP="007C7D28">
      <w:pPr>
        <w:spacing w:after="0" w:line="240" w:lineRule="auto"/>
        <w:rPr>
          <w:rFonts w:ascii="Times New Roman" w:hAnsi="Times New Roman" w:cs="Times New Roman"/>
        </w:rPr>
      </w:pPr>
    </w:p>
    <w:p w14:paraId="1625FF41" w14:textId="4A1FB77A" w:rsidR="00381C1B" w:rsidRPr="00E70F0D" w:rsidRDefault="0020235E" w:rsidP="0020235E">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It</w:t>
      </w:r>
      <w:r w:rsidR="00D34F15" w:rsidRPr="00E70F0D">
        <w:rPr>
          <w:rFonts w:ascii="Times New Roman" w:hAnsi="Times New Roman" w:cs="Times New Roman"/>
        </w:rPr>
        <w:t xml:space="preserve"> does this while also serving as our community’s safety net hospital.  </w:t>
      </w:r>
      <w:r w:rsidRPr="00E70F0D">
        <w:rPr>
          <w:rFonts w:ascii="Times New Roman" w:hAnsi="Times New Roman" w:cs="Times New Roman"/>
        </w:rPr>
        <w:t xml:space="preserve">Because it treats a disproportionately large percentage of low-income patients who are covered by MassHealth, seniors or disabled on Medicare and patients who are uninsured, </w:t>
      </w:r>
      <w:r w:rsidR="00D34F15" w:rsidRPr="00E70F0D">
        <w:rPr>
          <w:rFonts w:ascii="Times New Roman" w:hAnsi="Times New Roman" w:cs="Times New Roman"/>
        </w:rPr>
        <w:t>Marlborough Hospital is labeled a “High Public Payer” hospital by the state and a “Disproportionate Share Hospital” by the federal government</w:t>
      </w:r>
      <w:r w:rsidR="00C5086D" w:rsidRPr="00E70F0D">
        <w:rPr>
          <w:rFonts w:ascii="Times New Roman" w:hAnsi="Times New Roman" w:cs="Times New Roman"/>
        </w:rPr>
        <w:t>.</w:t>
      </w:r>
    </w:p>
    <w:p w14:paraId="6BDBDECF" w14:textId="77777777" w:rsidR="00D34F15" w:rsidRPr="00E70F0D" w:rsidRDefault="00D34F15" w:rsidP="007C7D28">
      <w:pPr>
        <w:spacing w:after="0" w:line="240" w:lineRule="auto"/>
        <w:rPr>
          <w:rFonts w:ascii="Times New Roman" w:hAnsi="Times New Roman" w:cs="Times New Roman"/>
        </w:rPr>
      </w:pPr>
    </w:p>
    <w:p w14:paraId="17A783ED" w14:textId="748B5271" w:rsidR="00D34F15" w:rsidRPr="00E70F0D" w:rsidRDefault="00D34F15" w:rsidP="00FC1730">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Residents of Marlborough and surrounding towns are fortunate to have a local community hospital that so effectively combines cost</w:t>
      </w:r>
      <w:r w:rsidR="00FC1730" w:rsidRPr="00E70F0D">
        <w:rPr>
          <w:rFonts w:ascii="Times New Roman" w:hAnsi="Times New Roman" w:cs="Times New Roman"/>
        </w:rPr>
        <w:t>,</w:t>
      </w:r>
      <w:r w:rsidRPr="00E70F0D">
        <w:rPr>
          <w:rFonts w:ascii="Times New Roman" w:hAnsi="Times New Roman" w:cs="Times New Roman"/>
        </w:rPr>
        <w:t xml:space="preserve"> </w:t>
      </w:r>
      <w:r w:rsidR="001620BC" w:rsidRPr="00E70F0D">
        <w:rPr>
          <w:rFonts w:ascii="Times New Roman" w:hAnsi="Times New Roman" w:cs="Times New Roman"/>
        </w:rPr>
        <w:t>quality,</w:t>
      </w:r>
      <w:r w:rsidR="00FC1730" w:rsidRPr="00E70F0D">
        <w:rPr>
          <w:rFonts w:ascii="Times New Roman" w:hAnsi="Times New Roman" w:cs="Times New Roman"/>
        </w:rPr>
        <w:t xml:space="preserve"> and dedication to serving the less fortunate</w:t>
      </w:r>
      <w:r w:rsidRPr="00E70F0D">
        <w:rPr>
          <w:rFonts w:ascii="Times New Roman" w:hAnsi="Times New Roman" w:cs="Times New Roman"/>
        </w:rPr>
        <w:t>.  As</w:t>
      </w:r>
      <w:r w:rsidR="00B66292" w:rsidRPr="00E70F0D">
        <w:rPr>
          <w:rFonts w:ascii="Times New Roman" w:hAnsi="Times New Roman" w:cs="Times New Roman"/>
        </w:rPr>
        <w:t xml:space="preserve"> </w:t>
      </w:r>
      <w:r w:rsidR="00E34394">
        <w:rPr>
          <w:rFonts w:ascii="Times New Roman" w:hAnsi="Times New Roman" w:cs="Times New Roman"/>
        </w:rPr>
        <w:t xml:space="preserve">a </w:t>
      </w:r>
      <w:r w:rsidR="00B66292" w:rsidRPr="00E70F0D">
        <w:rPr>
          <w:rFonts w:ascii="Times New Roman" w:hAnsi="Times New Roman" w:cs="Times New Roman"/>
        </w:rPr>
        <w:t>municipal leader</w:t>
      </w:r>
      <w:r w:rsidRPr="00E70F0D">
        <w:rPr>
          <w:rFonts w:ascii="Times New Roman" w:hAnsi="Times New Roman" w:cs="Times New Roman"/>
        </w:rPr>
        <w:t xml:space="preserve">, </w:t>
      </w:r>
      <w:r w:rsidR="00BF6241">
        <w:rPr>
          <w:rFonts w:ascii="Times New Roman" w:hAnsi="Times New Roman" w:cs="Times New Roman"/>
        </w:rPr>
        <w:t>I</w:t>
      </w:r>
      <w:r w:rsidRPr="00E70F0D">
        <w:rPr>
          <w:rFonts w:ascii="Times New Roman" w:hAnsi="Times New Roman" w:cs="Times New Roman"/>
        </w:rPr>
        <w:t xml:space="preserve"> appreciate how valuable this </w:t>
      </w:r>
      <w:r w:rsidR="00FC1730" w:rsidRPr="00E70F0D">
        <w:rPr>
          <w:rFonts w:ascii="Times New Roman" w:hAnsi="Times New Roman" w:cs="Times New Roman"/>
        </w:rPr>
        <w:t xml:space="preserve">combination of qualities </w:t>
      </w:r>
      <w:r w:rsidRPr="00E70F0D">
        <w:rPr>
          <w:rFonts w:ascii="Times New Roman" w:hAnsi="Times New Roman" w:cs="Times New Roman"/>
        </w:rPr>
        <w:t>is to the quality of life of members of our community, so we feel compelled to speak out when we believe that such a vital institution is threatened.</w:t>
      </w:r>
    </w:p>
    <w:p w14:paraId="7B66085B" w14:textId="77777777" w:rsidR="00B66292" w:rsidRPr="00E70F0D" w:rsidRDefault="00B66292" w:rsidP="00B66292">
      <w:pPr>
        <w:pStyle w:val="ListParagraph"/>
        <w:rPr>
          <w:rFonts w:ascii="Times New Roman" w:hAnsi="Times New Roman" w:cs="Times New Roman"/>
        </w:rPr>
      </w:pPr>
    </w:p>
    <w:p w14:paraId="4804CE2A" w14:textId="31DF569A" w:rsidR="00B66292" w:rsidRPr="00E70F0D" w:rsidRDefault="00B66292" w:rsidP="00FC1730">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During this historic Covid pandemic, Marlborough Hospital has partnered with the City of Marlborough to provide over 150,000 free Covid tests through the DPH’s Stop the Spread testing initiative, administered over 25,000 Covid vaccines to residents, first responders, health care workers, school aged students at our local high school and middle school and treated thousands of our residents for Covid as well as other health issues.  </w:t>
      </w:r>
      <w:r w:rsidR="008B1454" w:rsidRPr="00E70F0D">
        <w:rPr>
          <w:rFonts w:ascii="Times New Roman" w:hAnsi="Times New Roman" w:cs="Times New Roman"/>
        </w:rPr>
        <w:t>For the past two years of Covid, t</w:t>
      </w:r>
      <w:r w:rsidRPr="00E70F0D">
        <w:rPr>
          <w:rFonts w:ascii="Times New Roman" w:hAnsi="Times New Roman" w:cs="Times New Roman"/>
        </w:rPr>
        <w:t>he hospital has provided leadership and guidance to not only the City of Marlborough, but to local business leaders, elected officials, community organizations and residents of the multiple communities the hospital serves</w:t>
      </w:r>
      <w:r w:rsidR="008B1454" w:rsidRPr="00E70F0D">
        <w:rPr>
          <w:rFonts w:ascii="Times New Roman" w:hAnsi="Times New Roman" w:cs="Times New Roman"/>
        </w:rPr>
        <w:t>.</w:t>
      </w:r>
    </w:p>
    <w:p w14:paraId="78CACB63" w14:textId="77777777" w:rsidR="00381C1B" w:rsidRPr="00E70F0D" w:rsidRDefault="00381C1B" w:rsidP="007C7D28">
      <w:pPr>
        <w:spacing w:after="0" w:line="240" w:lineRule="auto"/>
        <w:rPr>
          <w:rFonts w:ascii="Times New Roman" w:hAnsi="Times New Roman" w:cs="Times New Roman"/>
        </w:rPr>
      </w:pPr>
    </w:p>
    <w:p w14:paraId="00724A02" w14:textId="2789F848" w:rsidR="00835242" w:rsidRPr="00E70F0D" w:rsidRDefault="00D34F15" w:rsidP="00FC1730">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We believe that Mass General Brigham’s</w:t>
      </w:r>
      <w:r w:rsidR="0020235E" w:rsidRPr="00E70F0D">
        <w:rPr>
          <w:rFonts w:ascii="Times New Roman" w:hAnsi="Times New Roman" w:cs="Times New Roman"/>
        </w:rPr>
        <w:t xml:space="preserve"> </w:t>
      </w:r>
      <w:r w:rsidRPr="00E70F0D">
        <w:rPr>
          <w:rFonts w:ascii="Times New Roman" w:hAnsi="Times New Roman" w:cs="Times New Roman"/>
        </w:rPr>
        <w:t xml:space="preserve">proposed </w:t>
      </w:r>
      <w:r w:rsidR="00FC1730" w:rsidRPr="00E70F0D">
        <w:rPr>
          <w:rFonts w:ascii="Times New Roman" w:hAnsi="Times New Roman" w:cs="Times New Roman"/>
        </w:rPr>
        <w:t xml:space="preserve">large </w:t>
      </w:r>
      <w:r w:rsidRPr="00E70F0D">
        <w:rPr>
          <w:rFonts w:ascii="Times New Roman" w:hAnsi="Times New Roman" w:cs="Times New Roman"/>
        </w:rPr>
        <w:t xml:space="preserve">clinic directly threatens the fiscal viability of Marlborough Hospital and, therefore, its ability to </w:t>
      </w:r>
      <w:r w:rsidR="00FC1730" w:rsidRPr="00E70F0D">
        <w:rPr>
          <w:rFonts w:ascii="Times New Roman" w:hAnsi="Times New Roman" w:cs="Times New Roman"/>
        </w:rPr>
        <w:t xml:space="preserve">effectively carry </w:t>
      </w:r>
      <w:r w:rsidRPr="00E70F0D">
        <w:rPr>
          <w:rFonts w:ascii="Times New Roman" w:hAnsi="Times New Roman" w:cs="Times New Roman"/>
        </w:rPr>
        <w:t xml:space="preserve">forth its </w:t>
      </w:r>
      <w:r w:rsidR="00013DA1" w:rsidRPr="00E70F0D">
        <w:rPr>
          <w:rFonts w:ascii="Times New Roman" w:hAnsi="Times New Roman" w:cs="Times New Roman"/>
        </w:rPr>
        <w:t xml:space="preserve">130-year history of community service well into the future.  The MGB Westborough clinic would essentially be a mini hospital </w:t>
      </w:r>
      <w:r w:rsidR="00835242" w:rsidRPr="00E70F0D">
        <w:rPr>
          <w:rFonts w:ascii="Times New Roman" w:hAnsi="Times New Roman" w:cs="Times New Roman"/>
        </w:rPr>
        <w:t>and its own executives have described its purpose as being to a</w:t>
      </w:r>
      <w:r w:rsidR="00013DA1" w:rsidRPr="00E70F0D">
        <w:rPr>
          <w:rFonts w:ascii="Times New Roman" w:hAnsi="Times New Roman" w:cs="Times New Roman"/>
        </w:rPr>
        <w:t xml:space="preserve">ttract new commercially insured patients into the MGB system </w:t>
      </w:r>
      <w:r w:rsidR="00835242" w:rsidRPr="00E70F0D">
        <w:rPr>
          <w:rFonts w:ascii="Times New Roman" w:hAnsi="Times New Roman" w:cs="Times New Roman"/>
        </w:rPr>
        <w:t>to expand its volume of</w:t>
      </w:r>
      <w:r w:rsidR="0020235E" w:rsidRPr="00E70F0D">
        <w:rPr>
          <w:rFonts w:ascii="Times New Roman" w:hAnsi="Times New Roman" w:cs="Times New Roman"/>
        </w:rPr>
        <w:t xml:space="preserve"> highly profitable referrals into the two most expensive hospitals in the state, Mass General Hospital and Brigham &amp; Women’s.</w:t>
      </w:r>
    </w:p>
    <w:p w14:paraId="3B8DDB3C" w14:textId="77777777" w:rsidR="00835242" w:rsidRPr="00E70F0D" w:rsidRDefault="00835242" w:rsidP="00835242">
      <w:pPr>
        <w:pStyle w:val="ListParagraph"/>
        <w:rPr>
          <w:rFonts w:ascii="Times New Roman" w:hAnsi="Times New Roman" w:cs="Times New Roman"/>
        </w:rPr>
      </w:pPr>
    </w:p>
    <w:p w14:paraId="2D231CFA" w14:textId="694B08E4" w:rsidR="00D23526" w:rsidRPr="00E70F0D" w:rsidRDefault="0020235E" w:rsidP="00FC1730">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Taking commercial patients away from local providers may be great for MGB’s bottom line (which is </w:t>
      </w:r>
      <w:r w:rsidR="00835242" w:rsidRPr="00E70F0D">
        <w:rPr>
          <w:rFonts w:ascii="Times New Roman" w:hAnsi="Times New Roman" w:cs="Times New Roman"/>
        </w:rPr>
        <w:t xml:space="preserve">certainly why </w:t>
      </w:r>
      <w:r w:rsidRPr="00E70F0D">
        <w:rPr>
          <w:rFonts w:ascii="Times New Roman" w:hAnsi="Times New Roman" w:cs="Times New Roman"/>
        </w:rPr>
        <w:t xml:space="preserve">its executives touted the plan to </w:t>
      </w:r>
      <w:r w:rsidR="00835242" w:rsidRPr="00E70F0D">
        <w:rPr>
          <w:rFonts w:ascii="Times New Roman" w:hAnsi="Times New Roman" w:cs="Times New Roman"/>
        </w:rPr>
        <w:t>audiences of</w:t>
      </w:r>
      <w:r w:rsidR="000C5584" w:rsidRPr="00E70F0D">
        <w:rPr>
          <w:rFonts w:ascii="Times New Roman" w:hAnsi="Times New Roman" w:cs="Times New Roman"/>
        </w:rPr>
        <w:t xml:space="preserve"> national</w:t>
      </w:r>
      <w:r w:rsidR="00835242" w:rsidRPr="00E70F0D">
        <w:rPr>
          <w:rFonts w:ascii="Times New Roman" w:hAnsi="Times New Roman" w:cs="Times New Roman"/>
        </w:rPr>
        <w:t xml:space="preserve"> </w:t>
      </w:r>
      <w:r w:rsidRPr="00E70F0D">
        <w:rPr>
          <w:rFonts w:ascii="Times New Roman" w:hAnsi="Times New Roman" w:cs="Times New Roman"/>
        </w:rPr>
        <w:t xml:space="preserve">investors), but it would be terrible for Marlborough Hospital.  </w:t>
      </w:r>
      <w:r w:rsidR="00D23526" w:rsidRPr="00E70F0D">
        <w:rPr>
          <w:rFonts w:ascii="Times New Roman" w:hAnsi="Times New Roman" w:cs="Times New Roman"/>
        </w:rPr>
        <w:t xml:space="preserve">As you know, public payers, especially MassHealth pay hospitals far less than the actual cost of care.  To remain fiscally viable, safety net hospitals like Marlborough need to counterbalance those losses with revenue from caring for commercially insured patients.  </w:t>
      </w:r>
      <w:r w:rsidRPr="00E70F0D">
        <w:rPr>
          <w:rFonts w:ascii="Times New Roman" w:hAnsi="Times New Roman" w:cs="Times New Roman"/>
        </w:rPr>
        <w:t xml:space="preserve">Somehow, Marlborough has done this even with </w:t>
      </w:r>
      <w:r w:rsidR="00D23526" w:rsidRPr="00E70F0D">
        <w:rPr>
          <w:rFonts w:ascii="Times New Roman" w:hAnsi="Times New Roman" w:cs="Times New Roman"/>
        </w:rPr>
        <w:t xml:space="preserve">inpatient </w:t>
      </w:r>
      <w:r w:rsidRPr="00E70F0D">
        <w:rPr>
          <w:rFonts w:ascii="Times New Roman" w:hAnsi="Times New Roman" w:cs="Times New Roman"/>
        </w:rPr>
        <w:t>rates lower than all other hospitals and with</w:t>
      </w:r>
      <w:r w:rsidR="00D23526" w:rsidRPr="00E70F0D">
        <w:rPr>
          <w:rFonts w:ascii="Times New Roman" w:hAnsi="Times New Roman" w:cs="Times New Roman"/>
        </w:rPr>
        <w:t xml:space="preserve"> a percentage of safety net patients that is far higher than MGB’s.</w:t>
      </w:r>
    </w:p>
    <w:p w14:paraId="371B692E" w14:textId="77777777" w:rsidR="00D23526" w:rsidRPr="00E70F0D" w:rsidRDefault="00D23526" w:rsidP="00D23526">
      <w:pPr>
        <w:pStyle w:val="ListParagraph"/>
        <w:rPr>
          <w:rFonts w:ascii="Times New Roman" w:hAnsi="Times New Roman" w:cs="Times New Roman"/>
        </w:rPr>
      </w:pPr>
    </w:p>
    <w:p w14:paraId="739EC7B2" w14:textId="6F67BA53" w:rsidR="006D4C54" w:rsidRPr="00E70F0D" w:rsidRDefault="00D23526" w:rsidP="002B660D">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This concern is apparently what impelled the Massachusetts Attorney General to issue a </w:t>
      </w:r>
      <w:r w:rsidR="006D4C54" w:rsidRPr="00E70F0D">
        <w:rPr>
          <w:rFonts w:ascii="Times New Roman" w:hAnsi="Times New Roman" w:cs="Times New Roman"/>
        </w:rPr>
        <w:t xml:space="preserve">groundbreaking </w:t>
      </w:r>
      <w:r w:rsidRPr="00E70F0D">
        <w:rPr>
          <w:rFonts w:ascii="Times New Roman" w:hAnsi="Times New Roman" w:cs="Times New Roman"/>
        </w:rPr>
        <w:t xml:space="preserve">report in November that urged state regulators to very thoroughly review MGB’s application, especially the impact that high acuity referrals would have on statewide cost.  </w:t>
      </w:r>
      <w:r w:rsidR="00AD7FC1" w:rsidRPr="00E70F0D">
        <w:rPr>
          <w:rFonts w:ascii="Times New Roman" w:hAnsi="Times New Roman" w:cs="Times New Roman"/>
        </w:rPr>
        <w:t>While noting that MGB is</w:t>
      </w:r>
      <w:r w:rsidR="006D4C54" w:rsidRPr="00E70F0D">
        <w:rPr>
          <w:rFonts w:ascii="Times New Roman" w:hAnsi="Times New Roman" w:cs="Times New Roman"/>
        </w:rPr>
        <w:t xml:space="preserve"> “</w:t>
      </w:r>
      <w:r w:rsidR="00AD7FC1" w:rsidRPr="00E70F0D">
        <w:rPr>
          <w:rFonts w:ascii="Times New Roman" w:hAnsi="Times New Roman" w:cs="Times New Roman"/>
        </w:rPr>
        <w:t xml:space="preserve">the </w:t>
      </w:r>
      <w:r w:rsidR="006D4C54" w:rsidRPr="00E70F0D">
        <w:rPr>
          <w:rFonts w:ascii="Times New Roman" w:hAnsi="Times New Roman" w:cs="Times New Roman"/>
        </w:rPr>
        <w:t xml:space="preserve">biggest and highest priced health care system in Massachusetts,” the </w:t>
      </w:r>
      <w:r w:rsidRPr="00E70F0D">
        <w:rPr>
          <w:rFonts w:ascii="Times New Roman" w:hAnsi="Times New Roman" w:cs="Times New Roman"/>
        </w:rPr>
        <w:t>Attorney General stated</w:t>
      </w:r>
      <w:proofErr w:type="gramStart"/>
      <w:r w:rsidR="00AD7FC1" w:rsidRPr="00E70F0D">
        <w:rPr>
          <w:rFonts w:ascii="Times New Roman" w:hAnsi="Times New Roman" w:cs="Times New Roman"/>
        </w:rPr>
        <w:t xml:space="preserve">: </w:t>
      </w:r>
      <w:r w:rsidRPr="00E70F0D">
        <w:rPr>
          <w:rFonts w:ascii="Times New Roman" w:hAnsi="Times New Roman" w:cs="Times New Roman"/>
        </w:rPr>
        <w:t>”Low</w:t>
      </w:r>
      <w:proofErr w:type="gramEnd"/>
      <w:r w:rsidRPr="00E70F0D">
        <w:rPr>
          <w:rFonts w:ascii="Times New Roman" w:hAnsi="Times New Roman" w:cs="Times New Roman"/>
        </w:rPr>
        <w:t>-cost community hospitals rely on narrow commercial margins to stay in business, and a shift of commercial patients away from them threatens their continued viability as affordable and high-quality options in the market.</w:t>
      </w:r>
      <w:r w:rsidR="00AD7FC1" w:rsidRPr="00E70F0D">
        <w:rPr>
          <w:rFonts w:ascii="Times New Roman" w:hAnsi="Times New Roman" w:cs="Times New Roman"/>
        </w:rPr>
        <w:t>”</w:t>
      </w:r>
      <w:r w:rsidR="002B660D" w:rsidRPr="00E70F0D">
        <w:rPr>
          <w:rFonts w:ascii="Times New Roman" w:hAnsi="Times New Roman" w:cs="Times New Roman"/>
        </w:rPr>
        <w:t xml:space="preserve"> </w:t>
      </w:r>
    </w:p>
    <w:p w14:paraId="7DE10ABA" w14:textId="618A1914" w:rsidR="006D4C54" w:rsidRPr="00E70F0D" w:rsidRDefault="006D4C54" w:rsidP="00AD7FC1">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lastRenderedPageBreak/>
        <w:t xml:space="preserve">The Attorney General’s report was truly eye opening.  </w:t>
      </w:r>
      <w:r w:rsidRPr="00E70F0D">
        <w:rPr>
          <w:rFonts w:ascii="Times New Roman" w:hAnsi="Times New Roman" w:cs="Times New Roman"/>
          <w:b/>
          <w:bCs/>
        </w:rPr>
        <w:t xml:space="preserve">It </w:t>
      </w:r>
      <w:r w:rsidR="00AD7FC1" w:rsidRPr="00E70F0D">
        <w:rPr>
          <w:rFonts w:ascii="Times New Roman" w:hAnsi="Times New Roman" w:cs="Times New Roman"/>
          <w:b/>
          <w:bCs/>
        </w:rPr>
        <w:t>revealed that MGB projects its ambulatory expansion plan, which includes the Westborough clinic, will yield a</w:t>
      </w:r>
      <w:r w:rsidRPr="00E70F0D">
        <w:rPr>
          <w:rFonts w:ascii="Times New Roman" w:hAnsi="Times New Roman" w:cs="Times New Roman"/>
          <w:b/>
          <w:bCs/>
        </w:rPr>
        <w:t>n annual</w:t>
      </w:r>
      <w:r w:rsidR="00AD7FC1" w:rsidRPr="00E70F0D">
        <w:rPr>
          <w:rFonts w:ascii="Times New Roman" w:hAnsi="Times New Roman" w:cs="Times New Roman"/>
          <w:b/>
          <w:bCs/>
        </w:rPr>
        <w:t xml:space="preserve"> profit margin of $385 million</w:t>
      </w:r>
      <w:r w:rsidR="00AD7FC1" w:rsidRPr="00E70F0D">
        <w:rPr>
          <w:rFonts w:ascii="Times New Roman" w:hAnsi="Times New Roman" w:cs="Times New Roman"/>
        </w:rPr>
        <w:t>, while increasing its</w:t>
      </w:r>
      <w:r w:rsidRPr="00E70F0D">
        <w:rPr>
          <w:rFonts w:ascii="Times New Roman" w:hAnsi="Times New Roman" w:cs="Times New Roman"/>
        </w:rPr>
        <w:t xml:space="preserve"> market share substantially including gaining an additional 3-4% of all tertiary admissions.  The report </w:t>
      </w:r>
      <w:r w:rsidR="00AF212E" w:rsidRPr="00E70F0D">
        <w:rPr>
          <w:rFonts w:ascii="Times New Roman" w:hAnsi="Times New Roman" w:cs="Times New Roman"/>
        </w:rPr>
        <w:t>attributed MGB’s anticipated profit</w:t>
      </w:r>
      <w:r w:rsidR="008E79DF" w:rsidRPr="00E70F0D">
        <w:rPr>
          <w:rFonts w:ascii="Times New Roman" w:hAnsi="Times New Roman" w:cs="Times New Roman"/>
        </w:rPr>
        <w:t xml:space="preserve"> “patient referrals from the ambulatory sites to MGB hospitals.”</w:t>
      </w:r>
    </w:p>
    <w:p w14:paraId="3D65708A" w14:textId="77777777" w:rsidR="006D4C54" w:rsidRPr="00E70F0D" w:rsidRDefault="006D4C54" w:rsidP="006D4C54">
      <w:pPr>
        <w:pStyle w:val="ListParagraph"/>
        <w:rPr>
          <w:rFonts w:ascii="Times New Roman" w:hAnsi="Times New Roman" w:cs="Times New Roman"/>
        </w:rPr>
      </w:pPr>
    </w:p>
    <w:p w14:paraId="21488320" w14:textId="1D1194C9" w:rsidR="00EA7114" w:rsidRPr="00E70F0D" w:rsidRDefault="006D4C54" w:rsidP="00AD7FC1">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The Attorney General’s r</w:t>
      </w:r>
      <w:r w:rsidR="00EA7114" w:rsidRPr="00E70F0D">
        <w:rPr>
          <w:rFonts w:ascii="Times New Roman" w:hAnsi="Times New Roman" w:cs="Times New Roman"/>
        </w:rPr>
        <w:t>evelation</w:t>
      </w:r>
      <w:r w:rsidRPr="00E70F0D">
        <w:rPr>
          <w:rFonts w:ascii="Times New Roman" w:hAnsi="Times New Roman" w:cs="Times New Roman"/>
        </w:rPr>
        <w:t xml:space="preserve"> about MGB’s </w:t>
      </w:r>
      <w:r w:rsidR="008E79DF" w:rsidRPr="00E70F0D">
        <w:rPr>
          <w:rFonts w:ascii="Times New Roman" w:hAnsi="Times New Roman" w:cs="Times New Roman"/>
        </w:rPr>
        <w:t xml:space="preserve">strategy </w:t>
      </w:r>
      <w:r w:rsidRPr="00E70F0D">
        <w:rPr>
          <w:rFonts w:ascii="Times New Roman" w:hAnsi="Times New Roman" w:cs="Times New Roman"/>
        </w:rPr>
        <w:t xml:space="preserve">to </w:t>
      </w:r>
      <w:r w:rsidR="008E79DF" w:rsidRPr="00E70F0D">
        <w:rPr>
          <w:rFonts w:ascii="Times New Roman" w:hAnsi="Times New Roman" w:cs="Times New Roman"/>
        </w:rPr>
        <w:t xml:space="preserve">build the </w:t>
      </w:r>
      <w:r w:rsidRPr="00E70F0D">
        <w:rPr>
          <w:rFonts w:ascii="Times New Roman" w:hAnsi="Times New Roman" w:cs="Times New Roman"/>
        </w:rPr>
        <w:t xml:space="preserve">ambulatory clinics </w:t>
      </w:r>
      <w:r w:rsidR="00497ABF" w:rsidRPr="00E70F0D">
        <w:rPr>
          <w:rFonts w:ascii="Times New Roman" w:hAnsi="Times New Roman" w:cs="Times New Roman"/>
        </w:rPr>
        <w:t>to</w:t>
      </w:r>
      <w:r w:rsidRPr="00E70F0D">
        <w:rPr>
          <w:rFonts w:ascii="Times New Roman" w:hAnsi="Times New Roman" w:cs="Times New Roman"/>
        </w:rPr>
        <w:t xml:space="preserve"> expand referrals into its </w:t>
      </w:r>
      <w:r w:rsidR="00EA7114" w:rsidRPr="00E70F0D">
        <w:rPr>
          <w:rFonts w:ascii="Times New Roman" w:hAnsi="Times New Roman" w:cs="Times New Roman"/>
        </w:rPr>
        <w:t xml:space="preserve">expensive </w:t>
      </w:r>
      <w:r w:rsidRPr="00E70F0D">
        <w:rPr>
          <w:rFonts w:ascii="Times New Roman" w:hAnsi="Times New Roman" w:cs="Times New Roman"/>
        </w:rPr>
        <w:t xml:space="preserve">Boston hospitals </w:t>
      </w:r>
      <w:r w:rsidR="00EA7114" w:rsidRPr="00E70F0D">
        <w:rPr>
          <w:rFonts w:ascii="Times New Roman" w:hAnsi="Times New Roman" w:cs="Times New Roman"/>
        </w:rPr>
        <w:t>is</w:t>
      </w:r>
      <w:r w:rsidRPr="00E70F0D">
        <w:rPr>
          <w:rFonts w:ascii="Times New Roman" w:hAnsi="Times New Roman" w:cs="Times New Roman"/>
        </w:rPr>
        <w:t xml:space="preserve"> 100 percent consistent with how MGB </w:t>
      </w:r>
      <w:r w:rsidR="008E79DF" w:rsidRPr="00E70F0D">
        <w:rPr>
          <w:rFonts w:ascii="Times New Roman" w:hAnsi="Times New Roman" w:cs="Times New Roman"/>
        </w:rPr>
        <w:t>executives have</w:t>
      </w:r>
      <w:r w:rsidRPr="00E70F0D">
        <w:rPr>
          <w:rFonts w:ascii="Times New Roman" w:hAnsi="Times New Roman" w:cs="Times New Roman"/>
        </w:rPr>
        <w:t xml:space="preserve"> described </w:t>
      </w:r>
      <w:r w:rsidR="008E79DF" w:rsidRPr="00E70F0D">
        <w:rPr>
          <w:rFonts w:ascii="Times New Roman" w:hAnsi="Times New Roman" w:cs="Times New Roman"/>
        </w:rPr>
        <w:t>the</w:t>
      </w:r>
      <w:r w:rsidRPr="00E70F0D">
        <w:rPr>
          <w:rFonts w:ascii="Times New Roman" w:hAnsi="Times New Roman" w:cs="Times New Roman"/>
        </w:rPr>
        <w:t xml:space="preserve"> strategy to investors. </w:t>
      </w:r>
      <w:r w:rsidR="00EA7114" w:rsidRPr="00E70F0D">
        <w:rPr>
          <w:rFonts w:ascii="Times New Roman" w:hAnsi="Times New Roman" w:cs="Times New Roman"/>
        </w:rPr>
        <w:t xml:space="preserve"> In </w:t>
      </w:r>
      <w:r w:rsidRPr="00E70F0D">
        <w:rPr>
          <w:rFonts w:ascii="Times New Roman" w:hAnsi="Times New Roman" w:cs="Times New Roman"/>
        </w:rPr>
        <w:t>January 2020</w:t>
      </w:r>
      <w:r w:rsidR="00EA7114" w:rsidRPr="00E70F0D">
        <w:rPr>
          <w:rFonts w:ascii="Times New Roman" w:hAnsi="Times New Roman" w:cs="Times New Roman"/>
        </w:rPr>
        <w:t xml:space="preserve">, </w:t>
      </w:r>
      <w:r w:rsidRPr="00E70F0D">
        <w:rPr>
          <w:rFonts w:ascii="Times New Roman" w:hAnsi="Times New Roman" w:cs="Times New Roman"/>
        </w:rPr>
        <w:t xml:space="preserve">MGB’s chief executive officer and chief financial officer </w:t>
      </w:r>
      <w:r w:rsidR="00EA7114" w:rsidRPr="00E70F0D">
        <w:rPr>
          <w:rFonts w:ascii="Times New Roman" w:hAnsi="Times New Roman" w:cs="Times New Roman"/>
        </w:rPr>
        <w:t xml:space="preserve">delivered a slide presentation </w:t>
      </w:r>
      <w:r w:rsidRPr="00E70F0D">
        <w:rPr>
          <w:rFonts w:ascii="Times New Roman" w:hAnsi="Times New Roman" w:cs="Times New Roman"/>
        </w:rPr>
        <w:t xml:space="preserve">to the national JP Morgan Healthcare Conference </w:t>
      </w:r>
      <w:r w:rsidR="00EA7114" w:rsidRPr="00E70F0D">
        <w:rPr>
          <w:rFonts w:ascii="Times New Roman" w:hAnsi="Times New Roman" w:cs="Times New Roman"/>
        </w:rPr>
        <w:t xml:space="preserve">that </w:t>
      </w:r>
      <w:r w:rsidR="008E79DF" w:rsidRPr="00E70F0D">
        <w:rPr>
          <w:rFonts w:ascii="Times New Roman" w:hAnsi="Times New Roman" w:cs="Times New Roman"/>
        </w:rPr>
        <w:t>described an</w:t>
      </w:r>
      <w:r w:rsidR="00EA7114" w:rsidRPr="00E70F0D">
        <w:rPr>
          <w:rFonts w:ascii="Times New Roman" w:hAnsi="Times New Roman" w:cs="Times New Roman"/>
        </w:rPr>
        <w:t xml:space="preserve"> </w:t>
      </w:r>
      <w:r w:rsidRPr="00E70F0D">
        <w:rPr>
          <w:rFonts w:ascii="Times New Roman" w:hAnsi="Times New Roman" w:cs="Times New Roman"/>
        </w:rPr>
        <w:t xml:space="preserve">ambulatory expansion </w:t>
      </w:r>
      <w:r w:rsidR="008E79DF" w:rsidRPr="00E70F0D">
        <w:rPr>
          <w:rFonts w:ascii="Times New Roman" w:hAnsi="Times New Roman" w:cs="Times New Roman"/>
        </w:rPr>
        <w:t>goal to</w:t>
      </w:r>
      <w:r w:rsidR="00EA7114" w:rsidRPr="00E70F0D">
        <w:rPr>
          <w:rFonts w:ascii="Times New Roman" w:hAnsi="Times New Roman" w:cs="Times New Roman"/>
        </w:rPr>
        <w:t xml:space="preserve"> </w:t>
      </w:r>
      <w:r w:rsidRPr="00E70F0D">
        <w:rPr>
          <w:rFonts w:ascii="Times New Roman" w:hAnsi="Times New Roman" w:cs="Times New Roman"/>
        </w:rPr>
        <w:t>“</w:t>
      </w:r>
      <w:r w:rsidRPr="00E70F0D">
        <w:rPr>
          <w:rFonts w:ascii="Times New Roman" w:hAnsi="Times New Roman" w:cs="Times New Roman"/>
          <w:b/>
          <w:bCs/>
        </w:rPr>
        <w:t xml:space="preserve">increase network lives and secondary </w:t>
      </w:r>
      <w:r w:rsidR="00D464C8" w:rsidRPr="00E70F0D">
        <w:rPr>
          <w:rFonts w:ascii="Times New Roman" w:hAnsi="Times New Roman" w:cs="Times New Roman"/>
          <w:b/>
          <w:bCs/>
        </w:rPr>
        <w:t>&amp;</w:t>
      </w:r>
      <w:r w:rsidRPr="00E70F0D">
        <w:rPr>
          <w:rFonts w:ascii="Times New Roman" w:hAnsi="Times New Roman" w:cs="Times New Roman"/>
          <w:b/>
          <w:bCs/>
        </w:rPr>
        <w:t xml:space="preserve"> tertiary commercial referral volume</w:t>
      </w:r>
      <w:r w:rsidRPr="00E70F0D">
        <w:rPr>
          <w:rFonts w:ascii="Times New Roman" w:hAnsi="Times New Roman" w:cs="Times New Roman"/>
        </w:rPr>
        <w:t xml:space="preserve">” </w:t>
      </w:r>
      <w:r w:rsidR="008E79DF" w:rsidRPr="00E70F0D">
        <w:rPr>
          <w:rFonts w:ascii="Times New Roman" w:hAnsi="Times New Roman" w:cs="Times New Roman"/>
        </w:rPr>
        <w:t xml:space="preserve">– i.e., to lure </w:t>
      </w:r>
      <w:r w:rsidR="00EA7114" w:rsidRPr="00E70F0D">
        <w:rPr>
          <w:rFonts w:ascii="Times New Roman" w:hAnsi="Times New Roman" w:cs="Times New Roman"/>
        </w:rPr>
        <w:t xml:space="preserve">commercially insured patients </w:t>
      </w:r>
      <w:r w:rsidR="008E79DF" w:rsidRPr="00E70F0D">
        <w:rPr>
          <w:rFonts w:ascii="Times New Roman" w:hAnsi="Times New Roman" w:cs="Times New Roman"/>
        </w:rPr>
        <w:t xml:space="preserve">away </w:t>
      </w:r>
      <w:r w:rsidR="00EA7114" w:rsidRPr="00E70F0D">
        <w:rPr>
          <w:rFonts w:ascii="Times New Roman" w:hAnsi="Times New Roman" w:cs="Times New Roman"/>
        </w:rPr>
        <w:t xml:space="preserve">from lower cost, local healthcare providers to </w:t>
      </w:r>
      <w:r w:rsidR="008E79DF" w:rsidRPr="00E70F0D">
        <w:rPr>
          <w:rFonts w:ascii="Times New Roman" w:hAnsi="Times New Roman" w:cs="Times New Roman"/>
        </w:rPr>
        <w:t xml:space="preserve">increase referrals into </w:t>
      </w:r>
      <w:r w:rsidR="00EA7114" w:rsidRPr="00E70F0D">
        <w:rPr>
          <w:rFonts w:ascii="Times New Roman" w:hAnsi="Times New Roman" w:cs="Times New Roman"/>
        </w:rPr>
        <w:t>its Boston hospitals</w:t>
      </w:r>
      <w:r w:rsidR="008E79DF" w:rsidRPr="00E70F0D">
        <w:rPr>
          <w:rFonts w:ascii="Times New Roman" w:hAnsi="Times New Roman" w:cs="Times New Roman"/>
        </w:rPr>
        <w:t xml:space="preserve"> for</w:t>
      </w:r>
      <w:r w:rsidR="00EA7114" w:rsidRPr="00E70F0D">
        <w:rPr>
          <w:rFonts w:ascii="Times New Roman" w:hAnsi="Times New Roman" w:cs="Times New Roman"/>
        </w:rPr>
        <w:t xml:space="preserve"> </w:t>
      </w:r>
      <w:r w:rsidR="008E79DF" w:rsidRPr="00E70F0D">
        <w:rPr>
          <w:rFonts w:ascii="Times New Roman" w:hAnsi="Times New Roman" w:cs="Times New Roman"/>
        </w:rPr>
        <w:t xml:space="preserve">profitable </w:t>
      </w:r>
      <w:r w:rsidR="00EA7114" w:rsidRPr="00E70F0D">
        <w:rPr>
          <w:rFonts w:ascii="Times New Roman" w:hAnsi="Times New Roman" w:cs="Times New Roman"/>
        </w:rPr>
        <w:t xml:space="preserve">high acuity care.  (By contrast, when Marlborough Hospital patients need high acuity care, they normally go to UMass Memorial Medical Center, which is the lowest priced academic medical center in the state.) </w:t>
      </w:r>
    </w:p>
    <w:p w14:paraId="75DB26E2" w14:textId="77777777" w:rsidR="00EA7114" w:rsidRPr="00E70F0D" w:rsidRDefault="00EA7114" w:rsidP="00EA7114">
      <w:pPr>
        <w:pStyle w:val="ListParagraph"/>
        <w:rPr>
          <w:rFonts w:ascii="Times New Roman" w:hAnsi="Times New Roman" w:cs="Times New Roman"/>
        </w:rPr>
      </w:pPr>
    </w:p>
    <w:p w14:paraId="4BD21333" w14:textId="69665485" w:rsidR="00BB082C" w:rsidRPr="00E70F0D" w:rsidRDefault="00BB082C" w:rsidP="00BB082C">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With all this evidence pointing toward MGB’s true motives and the impact its scheme would have on the cost of healthcare, we understand </w:t>
      </w:r>
      <w:r w:rsidR="008E79DF" w:rsidRPr="00E70F0D">
        <w:rPr>
          <w:rFonts w:ascii="Times New Roman" w:hAnsi="Times New Roman" w:cs="Times New Roman"/>
        </w:rPr>
        <w:t xml:space="preserve">why </w:t>
      </w:r>
      <w:r w:rsidRPr="00E70F0D">
        <w:rPr>
          <w:rFonts w:ascii="Times New Roman" w:hAnsi="Times New Roman" w:cs="Times New Roman"/>
        </w:rPr>
        <w:t xml:space="preserve">the Attorney General strongly recommended that regulators </w:t>
      </w:r>
      <w:r w:rsidR="00AF212E" w:rsidRPr="00E70F0D">
        <w:rPr>
          <w:rFonts w:ascii="Times New Roman" w:hAnsi="Times New Roman" w:cs="Times New Roman"/>
        </w:rPr>
        <w:t>conduct “robust and transparent analyses of MGB’s proposed expansion</w:t>
      </w:r>
      <w:r w:rsidRPr="00E70F0D">
        <w:rPr>
          <w:rFonts w:ascii="Times New Roman" w:hAnsi="Times New Roman" w:cs="Times New Roman"/>
        </w:rPr>
        <w:t>.</w:t>
      </w:r>
      <w:r w:rsidR="00AF212E" w:rsidRPr="00E70F0D">
        <w:rPr>
          <w:rFonts w:ascii="Times New Roman" w:hAnsi="Times New Roman" w:cs="Times New Roman"/>
        </w:rPr>
        <w:t xml:space="preserve">”  </w:t>
      </w:r>
      <w:r w:rsidRPr="00E70F0D">
        <w:rPr>
          <w:rFonts w:ascii="Times New Roman" w:hAnsi="Times New Roman" w:cs="Times New Roman"/>
        </w:rPr>
        <w:t xml:space="preserve">We assumed the Independent Cost Analysis </w:t>
      </w:r>
      <w:r w:rsidR="00885D5F" w:rsidRPr="00E70F0D">
        <w:rPr>
          <w:rFonts w:ascii="Times New Roman" w:hAnsi="Times New Roman" w:cs="Times New Roman"/>
        </w:rPr>
        <w:t xml:space="preserve">(ICA) </w:t>
      </w:r>
      <w:r w:rsidRPr="00E70F0D">
        <w:rPr>
          <w:rFonts w:ascii="Times New Roman" w:hAnsi="Times New Roman" w:cs="Times New Roman"/>
        </w:rPr>
        <w:t xml:space="preserve">would do exactly that </w:t>
      </w:r>
      <w:r w:rsidR="00540650" w:rsidRPr="00E70F0D">
        <w:rPr>
          <w:rFonts w:ascii="Times New Roman" w:hAnsi="Times New Roman" w:cs="Times New Roman"/>
        </w:rPr>
        <w:t>to</w:t>
      </w:r>
      <w:r w:rsidRPr="00E70F0D">
        <w:rPr>
          <w:rFonts w:ascii="Times New Roman" w:hAnsi="Times New Roman" w:cs="Times New Roman"/>
        </w:rPr>
        <w:t xml:space="preserve"> inform your decision-making process.  We find it inexplicable that it did not do so.  It is especially mindboggling that the ICA did not examine the cost of referrals into the state’s two highest cost hospitals, nor the impact of that loss of commercially insured patients will have on local safety net hospitals like Marlborough Hospital.</w:t>
      </w:r>
    </w:p>
    <w:p w14:paraId="486EA3B3" w14:textId="77777777" w:rsidR="00885D5F" w:rsidRPr="00E70F0D" w:rsidRDefault="00885D5F" w:rsidP="00885D5F">
      <w:pPr>
        <w:pStyle w:val="ListParagraph"/>
        <w:rPr>
          <w:rFonts w:ascii="Times New Roman" w:hAnsi="Times New Roman" w:cs="Times New Roman"/>
        </w:rPr>
      </w:pPr>
    </w:p>
    <w:p w14:paraId="1E42E942" w14:textId="590CF608" w:rsidR="00885D5F" w:rsidRPr="00E70F0D" w:rsidRDefault="00885D5F" w:rsidP="00885D5F">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The state regulations which you are charged with upholding are intended to “ensure that resources will be made reasonably and equitably available to every person within the Commonwealth at the lowest reasonable aggregate cost.”</w:t>
      </w:r>
      <w:r w:rsidRPr="00E70F0D">
        <w:rPr>
          <w:rStyle w:val="FootnoteReference"/>
          <w:rFonts w:ascii="Times New Roman" w:hAnsi="Times New Roman" w:cs="Times New Roman"/>
        </w:rPr>
        <w:footnoteReference w:id="2"/>
      </w:r>
      <w:r w:rsidRPr="00E70F0D">
        <w:rPr>
          <w:rFonts w:ascii="Times New Roman" w:hAnsi="Times New Roman" w:cs="Times New Roman"/>
        </w:rPr>
        <w:t xml:space="preserve">  Amazingly, the ICA misses the mark twice in this one short sentence: first on reasonable and equitable availability and then on aggregate cost.</w:t>
      </w:r>
    </w:p>
    <w:p w14:paraId="510A8295" w14:textId="77777777" w:rsidR="00885D5F" w:rsidRPr="00E70F0D" w:rsidRDefault="00885D5F" w:rsidP="00885D5F">
      <w:pPr>
        <w:pStyle w:val="ListParagraph"/>
        <w:rPr>
          <w:rFonts w:ascii="Times New Roman" w:hAnsi="Times New Roman" w:cs="Times New Roman"/>
        </w:rPr>
      </w:pPr>
    </w:p>
    <w:p w14:paraId="4D8A29B3" w14:textId="53C59812" w:rsidR="00885D5F" w:rsidRPr="00E70F0D" w:rsidRDefault="00885D5F" w:rsidP="00D23526">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Without analyzing the cost of MGB increasing “network lives and secondary &amp; tertiary commercial referral volume” – the very strategy upon which MGB is relying to create its anticipated $385 million profit – it can be of no use to the Department of Public Health in helping you to assess the proposal’s impact on aggregate healthcare costs</w:t>
      </w:r>
      <w:r w:rsidR="00943297" w:rsidRPr="00E70F0D">
        <w:rPr>
          <w:rFonts w:ascii="Times New Roman" w:hAnsi="Times New Roman" w:cs="Times New Roman"/>
        </w:rPr>
        <w:t xml:space="preserve">.  Taken together readily available public documents – including MGB’s statements to investors about its growth strategy, the content of the Attorney General’s report, and the state’s data on inpatient costs – make it abundantly clear that this proposal will increase the cost of healthcare.  Yet, inexplicably, the ICA did not even examine the possibility that referrals would occur, </w:t>
      </w:r>
      <w:r w:rsidR="00540650" w:rsidRPr="00E70F0D">
        <w:rPr>
          <w:rFonts w:ascii="Times New Roman" w:hAnsi="Times New Roman" w:cs="Times New Roman"/>
        </w:rPr>
        <w:t>never</w:t>
      </w:r>
      <w:r w:rsidR="00943297" w:rsidRPr="00E70F0D">
        <w:rPr>
          <w:rFonts w:ascii="Times New Roman" w:hAnsi="Times New Roman" w:cs="Times New Roman"/>
        </w:rPr>
        <w:t xml:space="preserve"> mind at what price.</w:t>
      </w:r>
    </w:p>
    <w:p w14:paraId="58CCF1D5" w14:textId="77777777" w:rsidR="00D464C8" w:rsidRPr="00E70F0D" w:rsidRDefault="00D464C8" w:rsidP="00D464C8">
      <w:pPr>
        <w:pStyle w:val="ListParagraph"/>
        <w:rPr>
          <w:rFonts w:ascii="Times New Roman" w:hAnsi="Times New Roman" w:cs="Times New Roman"/>
        </w:rPr>
      </w:pPr>
    </w:p>
    <w:p w14:paraId="5B898BA0" w14:textId="5E232DD2" w:rsidR="00AD2768" w:rsidRPr="00E70F0D" w:rsidRDefault="00943297" w:rsidP="00D464C8">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Similarly, without analyzing the proposal’s likely impact </w:t>
      </w:r>
      <w:r w:rsidR="00D464C8" w:rsidRPr="00E70F0D">
        <w:rPr>
          <w:rFonts w:ascii="Times New Roman" w:hAnsi="Times New Roman" w:cs="Times New Roman"/>
        </w:rPr>
        <w:t xml:space="preserve">on local safety net hospitals, </w:t>
      </w:r>
      <w:r w:rsidRPr="00E70F0D">
        <w:rPr>
          <w:rFonts w:ascii="Times New Roman" w:hAnsi="Times New Roman" w:cs="Times New Roman"/>
        </w:rPr>
        <w:t>the ICA does nothing whatsoever to help you assess its impact upon whether health resources will be reasonably and equitably available to all residents.  As we described above, Marlborough Hospital somehow offset</w:t>
      </w:r>
      <w:r w:rsidR="00AD2768" w:rsidRPr="00E70F0D">
        <w:rPr>
          <w:rFonts w:ascii="Times New Roman" w:hAnsi="Times New Roman" w:cs="Times New Roman"/>
        </w:rPr>
        <w:t>s</w:t>
      </w:r>
      <w:r w:rsidRPr="00E70F0D">
        <w:rPr>
          <w:rFonts w:ascii="Times New Roman" w:hAnsi="Times New Roman" w:cs="Times New Roman"/>
        </w:rPr>
        <w:t xml:space="preserve"> its losses from caring for a disproportionate share of publicly insured or uninsured patients with </w:t>
      </w:r>
      <w:r w:rsidR="00AD2768" w:rsidRPr="00E70F0D">
        <w:rPr>
          <w:rFonts w:ascii="Times New Roman" w:hAnsi="Times New Roman" w:cs="Times New Roman"/>
        </w:rPr>
        <w:t xml:space="preserve">revenue from commercially insured patients while remaining the lowest cost inpatient hospital in the state.  That is an incredibly delicate balance.  But it is a balance that is certain to be disrupted when the “biggest and highest priced health care system in Massachusetts” implements its strategy to lure away commercial patients.  We fear that the </w:t>
      </w:r>
      <w:r w:rsidR="00AD2768" w:rsidRPr="00E70F0D">
        <w:rPr>
          <w:rFonts w:ascii="Times New Roman" w:hAnsi="Times New Roman" w:cs="Times New Roman"/>
        </w:rPr>
        <w:lastRenderedPageBreak/>
        <w:t>resulting fiscal instability could force Marlborough Hospital to substantially scale back its services simply to remain afloat.</w:t>
      </w:r>
    </w:p>
    <w:p w14:paraId="46BE6266" w14:textId="77777777" w:rsidR="00AD2768" w:rsidRPr="00E70F0D" w:rsidRDefault="00AD2768" w:rsidP="00AD2768">
      <w:pPr>
        <w:pStyle w:val="ListParagraph"/>
        <w:rPr>
          <w:rFonts w:ascii="Times New Roman" w:hAnsi="Times New Roman" w:cs="Times New Roman"/>
        </w:rPr>
      </w:pPr>
    </w:p>
    <w:p w14:paraId="151DA7F7" w14:textId="44CB7A51" w:rsidR="00AD2768" w:rsidRPr="00E70F0D" w:rsidRDefault="00AD2768" w:rsidP="00D464C8">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The specter of MGB luring commercial patients from Marlborough Hospital is not conjecture. MGB is proposing a clinic in Westborough that is </w:t>
      </w:r>
      <w:r w:rsidRPr="00E70F0D">
        <w:rPr>
          <w:rFonts w:ascii="Times New Roman" w:hAnsi="Times New Roman" w:cs="Times New Roman"/>
          <w:i/>
          <w:iCs/>
        </w:rPr>
        <w:t>at least</w:t>
      </w:r>
      <w:r w:rsidRPr="00E70F0D">
        <w:rPr>
          <w:rFonts w:ascii="Times New Roman" w:hAnsi="Times New Roman" w:cs="Times New Roman"/>
        </w:rPr>
        <w:t xml:space="preserve"> three times larger than it needs and it is advertising </w:t>
      </w:r>
      <w:r w:rsidR="00543FC1" w:rsidRPr="00E70F0D">
        <w:rPr>
          <w:rFonts w:ascii="Times New Roman" w:hAnsi="Times New Roman" w:cs="Times New Roman"/>
        </w:rPr>
        <w:t xml:space="preserve">aggressively </w:t>
      </w:r>
      <w:r w:rsidRPr="00E70F0D">
        <w:rPr>
          <w:rFonts w:ascii="Times New Roman" w:hAnsi="Times New Roman" w:cs="Times New Roman"/>
        </w:rPr>
        <w:t xml:space="preserve">to </w:t>
      </w:r>
      <w:proofErr w:type="gramStart"/>
      <w:r w:rsidRPr="00E70F0D">
        <w:rPr>
          <w:rFonts w:ascii="Times New Roman" w:hAnsi="Times New Roman" w:cs="Times New Roman"/>
        </w:rPr>
        <w:t xml:space="preserve">local </w:t>
      </w:r>
      <w:r w:rsidR="00543FC1" w:rsidRPr="00E70F0D">
        <w:rPr>
          <w:rFonts w:ascii="Times New Roman" w:hAnsi="Times New Roman" w:cs="Times New Roman"/>
        </w:rPr>
        <w:t>residents</w:t>
      </w:r>
      <w:proofErr w:type="gramEnd"/>
      <w:r w:rsidRPr="00E70F0D">
        <w:rPr>
          <w:rFonts w:ascii="Times New Roman" w:hAnsi="Times New Roman" w:cs="Times New Roman"/>
        </w:rPr>
        <w:t xml:space="preserve">.  MGB’s application and the ICA </w:t>
      </w:r>
      <w:r w:rsidR="00543FC1" w:rsidRPr="00E70F0D">
        <w:rPr>
          <w:rFonts w:ascii="Times New Roman" w:hAnsi="Times New Roman" w:cs="Times New Roman"/>
        </w:rPr>
        <w:t xml:space="preserve">both </w:t>
      </w:r>
      <w:r w:rsidRPr="00E70F0D">
        <w:rPr>
          <w:rFonts w:ascii="Times New Roman" w:hAnsi="Times New Roman" w:cs="Times New Roman"/>
        </w:rPr>
        <w:t xml:space="preserve">estimate that </w:t>
      </w:r>
      <w:r w:rsidR="00543FC1" w:rsidRPr="00E70F0D">
        <w:rPr>
          <w:rFonts w:ascii="Times New Roman" w:hAnsi="Times New Roman" w:cs="Times New Roman"/>
        </w:rPr>
        <w:t xml:space="preserve">patient visits from MGB’s existing patients will amount to </w:t>
      </w:r>
      <w:r w:rsidRPr="00E70F0D">
        <w:rPr>
          <w:rFonts w:ascii="Times New Roman" w:hAnsi="Times New Roman" w:cs="Times New Roman"/>
        </w:rPr>
        <w:t xml:space="preserve">42,267 </w:t>
      </w:r>
      <w:r w:rsidR="00543FC1" w:rsidRPr="00E70F0D">
        <w:rPr>
          <w:rFonts w:ascii="Times New Roman" w:hAnsi="Times New Roman" w:cs="Times New Roman"/>
        </w:rPr>
        <w:t xml:space="preserve">annually in </w:t>
      </w:r>
      <w:r w:rsidRPr="00E70F0D">
        <w:rPr>
          <w:rFonts w:ascii="Times New Roman" w:hAnsi="Times New Roman" w:cs="Times New Roman"/>
        </w:rPr>
        <w:t xml:space="preserve">Westborough </w:t>
      </w:r>
      <w:r w:rsidR="00543FC1" w:rsidRPr="00E70F0D">
        <w:rPr>
          <w:rFonts w:ascii="Times New Roman" w:hAnsi="Times New Roman" w:cs="Times New Roman"/>
        </w:rPr>
        <w:t>and</w:t>
      </w:r>
      <w:r w:rsidRPr="00E70F0D">
        <w:rPr>
          <w:rFonts w:ascii="Times New Roman" w:hAnsi="Times New Roman" w:cs="Times New Roman"/>
        </w:rPr>
        <w:t xml:space="preserve"> 138,594 </w:t>
      </w:r>
      <w:r w:rsidR="00543FC1" w:rsidRPr="00E70F0D">
        <w:rPr>
          <w:rFonts w:ascii="Times New Roman" w:hAnsi="Times New Roman" w:cs="Times New Roman"/>
        </w:rPr>
        <w:t xml:space="preserve">in </w:t>
      </w:r>
      <w:r w:rsidRPr="00E70F0D">
        <w:rPr>
          <w:rFonts w:ascii="Times New Roman" w:hAnsi="Times New Roman" w:cs="Times New Roman"/>
        </w:rPr>
        <w:t>Woburn.</w:t>
      </w:r>
      <w:r w:rsidR="00543FC1" w:rsidRPr="00E70F0D">
        <w:rPr>
          <w:rFonts w:ascii="Times New Roman" w:hAnsi="Times New Roman" w:cs="Times New Roman"/>
        </w:rPr>
        <w:t xml:space="preserve">   With 30.5 percent the volume of Woburn, common sense would dictate that the Westborough clinic would be a fraction its size.  But instead MGB plans identical 62,000 square foot clinics in both communities.  This, along with </w:t>
      </w:r>
      <w:r w:rsidR="0019798B" w:rsidRPr="00E70F0D">
        <w:rPr>
          <w:rFonts w:ascii="Times New Roman" w:hAnsi="Times New Roman" w:cs="Times New Roman"/>
        </w:rPr>
        <w:t xml:space="preserve">massive </w:t>
      </w:r>
      <w:r w:rsidR="00543FC1" w:rsidRPr="00E70F0D">
        <w:rPr>
          <w:rFonts w:ascii="Times New Roman" w:hAnsi="Times New Roman" w:cs="Times New Roman"/>
        </w:rPr>
        <w:t xml:space="preserve">advertising </w:t>
      </w:r>
      <w:r w:rsidR="0019798B" w:rsidRPr="00E70F0D">
        <w:rPr>
          <w:rFonts w:ascii="Times New Roman" w:hAnsi="Times New Roman" w:cs="Times New Roman"/>
        </w:rPr>
        <w:t>offensive, make clear that MGB sees extraordinary room for growth in Westborough – enough to build a clinic so oversized.</w:t>
      </w:r>
    </w:p>
    <w:p w14:paraId="6BC1730B" w14:textId="77777777" w:rsidR="0019798B" w:rsidRPr="00E70F0D" w:rsidRDefault="0019798B" w:rsidP="0019798B">
      <w:pPr>
        <w:pStyle w:val="ListParagraph"/>
        <w:rPr>
          <w:rFonts w:ascii="Times New Roman" w:hAnsi="Times New Roman" w:cs="Times New Roman"/>
        </w:rPr>
      </w:pPr>
    </w:p>
    <w:p w14:paraId="2DC160C9" w14:textId="4686F7A9" w:rsidR="00AD2768" w:rsidRPr="00E70F0D" w:rsidRDefault="0019798B" w:rsidP="00AD2768">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In closing,</w:t>
      </w:r>
      <w:r w:rsidR="004A4035" w:rsidRPr="00E70F0D">
        <w:rPr>
          <w:rFonts w:ascii="Times New Roman" w:hAnsi="Times New Roman" w:cs="Times New Roman"/>
        </w:rPr>
        <w:t xml:space="preserve"> a</w:t>
      </w:r>
      <w:r w:rsidRPr="00E70F0D">
        <w:rPr>
          <w:rFonts w:ascii="Times New Roman" w:hAnsi="Times New Roman" w:cs="Times New Roman"/>
        </w:rPr>
        <w:t>lthough we aren’t charged with implementing the Determination of Need regulations, we can see that they are written to uphold two i</w:t>
      </w:r>
      <w:r w:rsidR="004A4035" w:rsidRPr="00E70F0D">
        <w:rPr>
          <w:rFonts w:ascii="Times New Roman" w:hAnsi="Times New Roman" w:cs="Times New Roman"/>
        </w:rPr>
        <w:t xml:space="preserve">mportant public policy goals that we each care about.  The first is equitable access to health care for </w:t>
      </w:r>
      <w:r w:rsidR="004A4035" w:rsidRPr="00E70F0D">
        <w:rPr>
          <w:rFonts w:ascii="Times New Roman" w:hAnsi="Times New Roman" w:cs="Times New Roman"/>
          <w:i/>
          <w:iCs/>
        </w:rPr>
        <w:t xml:space="preserve">all </w:t>
      </w:r>
      <w:r w:rsidR="004A4035" w:rsidRPr="00E70F0D">
        <w:rPr>
          <w:rFonts w:ascii="Times New Roman" w:hAnsi="Times New Roman" w:cs="Times New Roman"/>
        </w:rPr>
        <w:t>residents.  Low-income members of our community deserve access to health care as much as every other person, and Marlborough Hospital has been instrumental in providing that care.  We deeply desire that it remain fiscally viable so it can continue to do so for another 130 years.  Second, is the issue of cost.  As</w:t>
      </w:r>
      <w:r w:rsidR="004033F1">
        <w:rPr>
          <w:rFonts w:ascii="Times New Roman" w:hAnsi="Times New Roman" w:cs="Times New Roman"/>
        </w:rPr>
        <w:t xml:space="preserve"> community and</w:t>
      </w:r>
      <w:r w:rsidR="004A4035" w:rsidRPr="00E70F0D">
        <w:rPr>
          <w:rFonts w:ascii="Times New Roman" w:hAnsi="Times New Roman" w:cs="Times New Roman"/>
        </w:rPr>
        <w:t xml:space="preserve"> business leaders, we see it as imperative that healthcare costs in Massachusetts be stabilized.  Increased costs inevitably cause increased health insurance premiums, which negatively impacts businesses and employees alike.  Marlborough Hospital and similar small community hospitals across the state are accessible institutions that provide high quality care at a much lower price than MGB.  To borrow a phrase from MGB, community hospitals like Marlborough provide the right care, in the right place, </w:t>
      </w:r>
      <w:r w:rsidR="004A4035" w:rsidRPr="00E70F0D">
        <w:rPr>
          <w:rFonts w:ascii="Times New Roman" w:hAnsi="Times New Roman" w:cs="Times New Roman"/>
          <w:i/>
          <w:iCs/>
        </w:rPr>
        <w:t>at the right price</w:t>
      </w:r>
      <w:r w:rsidR="004A4035" w:rsidRPr="00E70F0D">
        <w:rPr>
          <w:rFonts w:ascii="Times New Roman" w:hAnsi="Times New Roman" w:cs="Times New Roman"/>
        </w:rPr>
        <w:t>.</w:t>
      </w:r>
    </w:p>
    <w:p w14:paraId="671534F1" w14:textId="77777777" w:rsidR="004A4035" w:rsidRPr="00E70F0D" w:rsidRDefault="004A4035" w:rsidP="004A4035">
      <w:pPr>
        <w:pStyle w:val="ListParagraph"/>
        <w:rPr>
          <w:rFonts w:ascii="Times New Roman" w:hAnsi="Times New Roman" w:cs="Times New Roman"/>
        </w:rPr>
      </w:pPr>
    </w:p>
    <w:p w14:paraId="191A977A" w14:textId="2C61FF9A" w:rsidR="0024707D" w:rsidRPr="00E70F0D" w:rsidRDefault="004A4035" w:rsidP="00AD2768">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 xml:space="preserve">As the Department of Public Health </w:t>
      </w:r>
      <w:r w:rsidR="0024707D" w:rsidRPr="00E70F0D">
        <w:rPr>
          <w:rFonts w:ascii="Times New Roman" w:hAnsi="Times New Roman" w:cs="Times New Roman"/>
        </w:rPr>
        <w:t xml:space="preserve">assesses this proposal to prepare its recommendation, we ask you to recognize the enormous shortcomings of the ICA’s analysis.  We hope you will review the abundant evidence that was ignored in the ICA and see this proposal for what it is (and what MGB has described it as to investors): a major commercial growth strategy to increase volume at its expensive Boston hospitals.  If they </w:t>
      </w:r>
      <w:proofErr w:type="gramStart"/>
      <w:r w:rsidR="0024707D" w:rsidRPr="00E70F0D">
        <w:rPr>
          <w:rFonts w:ascii="Times New Roman" w:hAnsi="Times New Roman" w:cs="Times New Roman"/>
        </w:rPr>
        <w:t>are allowed to</w:t>
      </w:r>
      <w:proofErr w:type="gramEnd"/>
      <w:r w:rsidR="0024707D" w:rsidRPr="00E70F0D">
        <w:rPr>
          <w:rFonts w:ascii="Times New Roman" w:hAnsi="Times New Roman" w:cs="Times New Roman"/>
        </w:rPr>
        <w:t xml:space="preserve"> implement that strategy, please understand that the costs will be both financial and human – the financial cost of rising health insurance premiums for businesses and employees, and the human cost of lost access to health services for our state’s most vulnerable residents.</w:t>
      </w:r>
    </w:p>
    <w:p w14:paraId="2C31D41A" w14:textId="77777777" w:rsidR="0024707D" w:rsidRPr="00E70F0D" w:rsidRDefault="0024707D" w:rsidP="0024707D">
      <w:pPr>
        <w:pStyle w:val="ListParagraph"/>
        <w:rPr>
          <w:rFonts w:ascii="Times New Roman" w:hAnsi="Times New Roman" w:cs="Times New Roman"/>
        </w:rPr>
      </w:pPr>
    </w:p>
    <w:p w14:paraId="1955428A" w14:textId="77777777" w:rsidR="0024707D" w:rsidRPr="00E70F0D" w:rsidRDefault="0024707D" w:rsidP="00AD2768">
      <w:pPr>
        <w:pStyle w:val="ListParagraph"/>
        <w:numPr>
          <w:ilvl w:val="0"/>
          <w:numId w:val="1"/>
        </w:numPr>
        <w:spacing w:after="0" w:line="240" w:lineRule="auto"/>
        <w:rPr>
          <w:rFonts w:ascii="Times New Roman" w:hAnsi="Times New Roman" w:cs="Times New Roman"/>
        </w:rPr>
      </w:pPr>
      <w:r w:rsidRPr="00E70F0D">
        <w:rPr>
          <w:rFonts w:ascii="Times New Roman" w:hAnsi="Times New Roman" w:cs="Times New Roman"/>
        </w:rPr>
        <w:t>We believe these prices are too high to pay and we respectfully urge you to reject MGB’s application in its entirety.</w:t>
      </w:r>
    </w:p>
    <w:p w14:paraId="76E65E3A" w14:textId="77777777" w:rsidR="0024707D" w:rsidRPr="00E70F0D" w:rsidRDefault="0024707D" w:rsidP="0024707D">
      <w:pPr>
        <w:pStyle w:val="ListParagraph"/>
        <w:rPr>
          <w:rFonts w:ascii="Times New Roman" w:hAnsi="Times New Roman" w:cs="Times New Roman"/>
        </w:rPr>
      </w:pPr>
    </w:p>
    <w:p w14:paraId="41F1E621" w14:textId="77777777" w:rsidR="007C7D28" w:rsidRPr="00E70F0D" w:rsidRDefault="007C7D28" w:rsidP="007C7D28">
      <w:pPr>
        <w:spacing w:after="0" w:line="240" w:lineRule="auto"/>
        <w:rPr>
          <w:rFonts w:ascii="Times New Roman" w:hAnsi="Times New Roman" w:cs="Times New Roman"/>
        </w:rPr>
      </w:pPr>
    </w:p>
    <w:p w14:paraId="1ED33905" w14:textId="3E8C0CD9" w:rsidR="00C5086D" w:rsidRPr="00E70F0D" w:rsidRDefault="007C7D28" w:rsidP="007C7D28">
      <w:pPr>
        <w:spacing w:after="0" w:line="240" w:lineRule="auto"/>
        <w:rPr>
          <w:rFonts w:ascii="Times New Roman" w:hAnsi="Times New Roman" w:cs="Times New Roman"/>
        </w:rPr>
      </w:pPr>
      <w:r w:rsidRPr="00E70F0D">
        <w:rPr>
          <w:rFonts w:ascii="Times New Roman" w:hAnsi="Times New Roman" w:cs="Times New Roman"/>
        </w:rPr>
        <w:t>Sincerely,</w:t>
      </w:r>
      <w:r w:rsidR="002B660D" w:rsidRPr="00E70F0D">
        <w:rPr>
          <w:rFonts w:ascii="Times New Roman" w:hAnsi="Times New Roman" w:cs="Times New Roman"/>
        </w:rPr>
        <w:t xml:space="preserve"> </w:t>
      </w:r>
    </w:p>
    <w:p w14:paraId="32EF0C86" w14:textId="75286138" w:rsidR="002D38A8" w:rsidRPr="00E70F0D" w:rsidRDefault="00085E5D" w:rsidP="00B66292">
      <w:pPr>
        <w:spacing w:after="0" w:line="240" w:lineRule="auto"/>
        <w:rPr>
          <w:rFonts w:ascii="Times New Roman" w:hAnsi="Times New Roman" w:cs="Times New Roman"/>
          <w:b/>
          <w:bCs/>
        </w:rPr>
      </w:pPr>
      <w:r w:rsidRPr="00E70F0D">
        <w:rPr>
          <w:rFonts w:ascii="Times New Roman" w:hAnsi="Times New Roman" w:cs="Times New Roman"/>
          <w:b/>
          <w:bCs/>
        </w:rPr>
        <w:t>Arthur G. Vigeant</w:t>
      </w:r>
    </w:p>
    <w:p w14:paraId="1D972D47" w14:textId="56B17E5B" w:rsidR="00C5086D" w:rsidRPr="00E70F0D" w:rsidRDefault="00B66292" w:rsidP="00B66292">
      <w:pPr>
        <w:spacing w:after="0" w:line="240" w:lineRule="auto"/>
        <w:rPr>
          <w:rFonts w:ascii="Times New Roman" w:hAnsi="Times New Roman" w:cs="Times New Roman"/>
        </w:rPr>
      </w:pPr>
      <w:r w:rsidRPr="00E70F0D">
        <w:rPr>
          <w:rFonts w:ascii="Times New Roman" w:hAnsi="Times New Roman" w:cs="Times New Roman"/>
        </w:rPr>
        <w:t>Mayor</w:t>
      </w:r>
    </w:p>
    <w:p w14:paraId="2926A0B9" w14:textId="283F406C" w:rsidR="00B66292" w:rsidRPr="00E70F0D" w:rsidRDefault="00B66292" w:rsidP="00B66292">
      <w:pPr>
        <w:spacing w:after="0" w:line="240" w:lineRule="auto"/>
        <w:rPr>
          <w:rFonts w:ascii="Times New Roman" w:hAnsi="Times New Roman" w:cs="Times New Roman"/>
        </w:rPr>
      </w:pPr>
      <w:r w:rsidRPr="00E70F0D">
        <w:rPr>
          <w:rFonts w:ascii="Times New Roman" w:hAnsi="Times New Roman" w:cs="Times New Roman"/>
        </w:rPr>
        <w:t>City of Marlborough</w:t>
      </w:r>
    </w:p>
    <w:sectPr w:rsidR="00B66292" w:rsidRPr="00E70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273D" w14:textId="77777777" w:rsidR="00454794" w:rsidRDefault="00454794" w:rsidP="007C7D28">
      <w:pPr>
        <w:spacing w:after="0" w:line="240" w:lineRule="auto"/>
      </w:pPr>
      <w:r>
        <w:separator/>
      </w:r>
    </w:p>
  </w:endnote>
  <w:endnote w:type="continuationSeparator" w:id="0">
    <w:p w14:paraId="76A48D2C" w14:textId="77777777" w:rsidR="00454794" w:rsidRDefault="00454794" w:rsidP="007C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4AEA8" w14:textId="77777777" w:rsidR="00454794" w:rsidRDefault="00454794" w:rsidP="007C7D28">
      <w:pPr>
        <w:spacing w:after="0" w:line="240" w:lineRule="auto"/>
      </w:pPr>
      <w:r>
        <w:separator/>
      </w:r>
    </w:p>
  </w:footnote>
  <w:footnote w:type="continuationSeparator" w:id="0">
    <w:p w14:paraId="0519322F" w14:textId="77777777" w:rsidR="00454794" w:rsidRDefault="00454794" w:rsidP="007C7D28">
      <w:pPr>
        <w:spacing w:after="0" w:line="240" w:lineRule="auto"/>
      </w:pPr>
      <w:r>
        <w:continuationSeparator/>
      </w:r>
    </w:p>
  </w:footnote>
  <w:footnote w:id="1">
    <w:p w14:paraId="10D428AC" w14:textId="624EEA04" w:rsidR="00381C1B" w:rsidRDefault="00381C1B">
      <w:pPr>
        <w:pStyle w:val="FootnoteText"/>
      </w:pPr>
      <w:r>
        <w:rPr>
          <w:rStyle w:val="FootnoteReference"/>
        </w:rPr>
        <w:footnoteRef/>
      </w:r>
      <w:r>
        <w:t xml:space="preserve"> </w:t>
      </w:r>
      <w:r w:rsidRPr="00C904F0">
        <w:rPr>
          <w:rFonts w:asciiTheme="minorHAnsi" w:hAnsiTheme="minorHAnsi" w:cstheme="minorHAnsi"/>
          <w:i/>
          <w:iCs/>
        </w:rPr>
        <w:t>Massachusetts Hospital Profiles Report</w:t>
      </w:r>
      <w:r w:rsidRPr="00C904F0">
        <w:rPr>
          <w:rFonts w:asciiTheme="minorHAnsi" w:hAnsiTheme="minorHAnsi" w:cstheme="minorHAnsi"/>
        </w:rPr>
        <w:t>, Center for Health Information &amp; Analysis, (March 2021)</w:t>
      </w:r>
      <w:r>
        <w:rPr>
          <w:rFonts w:asciiTheme="minorHAnsi" w:hAnsiTheme="minorHAnsi" w:cstheme="minorHAnsi"/>
        </w:rPr>
        <w:t>.</w:t>
      </w:r>
      <w:r w:rsidRPr="00C904F0">
        <w:rPr>
          <w:rFonts w:asciiTheme="minorHAnsi" w:hAnsiTheme="minorHAnsi" w:cstheme="minorHAnsi"/>
        </w:rPr>
        <w:t xml:space="preserve">  </w:t>
      </w:r>
    </w:p>
  </w:footnote>
  <w:footnote w:id="2">
    <w:p w14:paraId="2F986A64" w14:textId="77777777" w:rsidR="00885D5F" w:rsidRDefault="00885D5F" w:rsidP="00885D5F">
      <w:pPr>
        <w:pStyle w:val="FootnoteText"/>
      </w:pPr>
      <w:r>
        <w:rPr>
          <w:rStyle w:val="FootnoteReference"/>
        </w:rPr>
        <w:footnoteRef/>
      </w:r>
      <w:r>
        <w:t xml:space="preserve"> 105 CMR 100.001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11C11"/>
    <w:multiLevelType w:val="hybridMultilevel"/>
    <w:tmpl w:val="FD3E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E6"/>
    <w:rsid w:val="00013DA1"/>
    <w:rsid w:val="00085E5D"/>
    <w:rsid w:val="000C5584"/>
    <w:rsid w:val="001620BC"/>
    <w:rsid w:val="0019798B"/>
    <w:rsid w:val="0020235E"/>
    <w:rsid w:val="0024707D"/>
    <w:rsid w:val="002B660D"/>
    <w:rsid w:val="002D38A8"/>
    <w:rsid w:val="00381C1B"/>
    <w:rsid w:val="004033F1"/>
    <w:rsid w:val="00454794"/>
    <w:rsid w:val="00497ABF"/>
    <w:rsid w:val="004A4035"/>
    <w:rsid w:val="004C78B9"/>
    <w:rsid w:val="005263AF"/>
    <w:rsid w:val="00540650"/>
    <w:rsid w:val="00543FC1"/>
    <w:rsid w:val="006909BF"/>
    <w:rsid w:val="006C4F4C"/>
    <w:rsid w:val="006D4C54"/>
    <w:rsid w:val="006D7511"/>
    <w:rsid w:val="007C7D28"/>
    <w:rsid w:val="00817868"/>
    <w:rsid w:val="00835242"/>
    <w:rsid w:val="00885D5F"/>
    <w:rsid w:val="008B1454"/>
    <w:rsid w:val="008E79DF"/>
    <w:rsid w:val="00943297"/>
    <w:rsid w:val="00AC6F7E"/>
    <w:rsid w:val="00AD2768"/>
    <w:rsid w:val="00AD7FC1"/>
    <w:rsid w:val="00AF212E"/>
    <w:rsid w:val="00B66292"/>
    <w:rsid w:val="00BB082C"/>
    <w:rsid w:val="00BF6241"/>
    <w:rsid w:val="00C043E6"/>
    <w:rsid w:val="00C5086D"/>
    <w:rsid w:val="00D23526"/>
    <w:rsid w:val="00D26757"/>
    <w:rsid w:val="00D34F15"/>
    <w:rsid w:val="00D464C8"/>
    <w:rsid w:val="00DB6931"/>
    <w:rsid w:val="00E34394"/>
    <w:rsid w:val="00E70F0D"/>
    <w:rsid w:val="00EA7114"/>
    <w:rsid w:val="00F72A63"/>
    <w:rsid w:val="00FC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2D8D"/>
  <w15:chartTrackingRefBased/>
  <w15:docId w15:val="{B33C754F-9BDF-48CC-AFF9-053F1D3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D28"/>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C7D28"/>
    <w:rPr>
      <w:rFonts w:ascii="Calibri" w:hAnsi="Calibri" w:cs="Calibri"/>
      <w:sz w:val="20"/>
      <w:szCs w:val="20"/>
    </w:rPr>
  </w:style>
  <w:style w:type="character" w:styleId="FootnoteReference">
    <w:name w:val="footnote reference"/>
    <w:basedOn w:val="DefaultParagraphFont"/>
    <w:uiPriority w:val="99"/>
    <w:semiHidden/>
    <w:unhideWhenUsed/>
    <w:rsid w:val="007C7D28"/>
    <w:rPr>
      <w:vertAlign w:val="superscript"/>
    </w:rPr>
  </w:style>
  <w:style w:type="paragraph" w:styleId="ListParagraph">
    <w:name w:val="List Paragraph"/>
    <w:basedOn w:val="Normal"/>
    <w:uiPriority w:val="34"/>
    <w:qFormat/>
    <w:rsid w:val="00202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F872-99A3-470E-BE13-1743F818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Cioffari-Macphee, Diana (DPH)</cp:lastModifiedBy>
  <cp:revision>6</cp:revision>
  <cp:lastPrinted>2022-01-26T21:47:00Z</cp:lastPrinted>
  <dcterms:created xsi:type="dcterms:W3CDTF">2022-01-28T15:16:00Z</dcterms:created>
  <dcterms:modified xsi:type="dcterms:W3CDTF">2022-01-28T15:33:00Z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