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E1" w:rsidRPr="00DD6D27" w:rsidRDefault="00790BE1" w:rsidP="00790BE1">
      <w:pPr>
        <w:jc w:val="center"/>
      </w:pPr>
      <w:bookmarkStart w:id="0" w:name="_GoBack"/>
      <w:bookmarkEnd w:id="0"/>
      <w:r w:rsidRPr="00DD6D27">
        <w:t>COMMONWEALTH OF MASSACHUSETTS</w:t>
      </w:r>
    </w:p>
    <w:p w:rsidR="00790BE1" w:rsidRPr="00DD6D27" w:rsidRDefault="00790BE1" w:rsidP="00790BE1">
      <w:pPr>
        <w:spacing w:line="240" w:lineRule="auto"/>
        <w:ind w:left="4680"/>
        <w:rPr>
          <w:b/>
        </w:rPr>
      </w:pPr>
      <w:r w:rsidRPr="00DD6D27">
        <w:rPr>
          <w:b/>
        </w:rPr>
        <w:t>Division of Administrative Law Appeals</w:t>
      </w:r>
    </w:p>
    <w:p w:rsidR="00790BE1" w:rsidRPr="00DD6D27" w:rsidRDefault="00790BE1" w:rsidP="00790BE1">
      <w:pPr>
        <w:spacing w:line="240" w:lineRule="auto"/>
        <w:ind w:left="4680"/>
        <w:rPr>
          <w:b/>
        </w:rPr>
      </w:pPr>
      <w:r w:rsidRPr="00DD6D27">
        <w:rPr>
          <w:b/>
        </w:rPr>
        <w:t>1 Congress Street, 11th Floor</w:t>
      </w:r>
    </w:p>
    <w:p w:rsidR="00790BE1" w:rsidRPr="00DD6D27" w:rsidRDefault="00790BE1" w:rsidP="00790BE1">
      <w:pPr>
        <w:spacing w:line="240" w:lineRule="auto"/>
        <w:ind w:left="4680"/>
        <w:rPr>
          <w:b/>
        </w:rPr>
      </w:pPr>
      <w:r w:rsidRPr="00DD6D27">
        <w:rPr>
          <w:b/>
        </w:rPr>
        <w:t>Boston, MA 02114</w:t>
      </w:r>
    </w:p>
    <w:p w:rsidR="00790BE1" w:rsidRPr="00DD6D27" w:rsidRDefault="00790BE1" w:rsidP="00790BE1">
      <w:pPr>
        <w:spacing w:line="240" w:lineRule="auto"/>
        <w:ind w:left="4680"/>
        <w:rPr>
          <w:b/>
        </w:rPr>
      </w:pPr>
      <w:r w:rsidRPr="00DD6D27">
        <w:rPr>
          <w:b/>
        </w:rPr>
        <w:t>www.mass.gov/dala</w:t>
      </w:r>
    </w:p>
    <w:p w:rsidR="00790BE1" w:rsidRPr="00DD6D27" w:rsidRDefault="00790BE1" w:rsidP="00790BE1">
      <w:pPr>
        <w:spacing w:line="240" w:lineRule="auto"/>
      </w:pPr>
    </w:p>
    <w:p w:rsidR="00790BE1" w:rsidRPr="00DD6D27" w:rsidRDefault="00D36F7A" w:rsidP="00790BE1">
      <w:pPr>
        <w:spacing w:line="240" w:lineRule="auto"/>
      </w:pPr>
      <w:r w:rsidRPr="00DD6D27">
        <w:rPr>
          <w:b/>
        </w:rPr>
        <w:t>Lynn Clark</w:t>
      </w:r>
      <w:r w:rsidR="00790BE1" w:rsidRPr="00DD6D27">
        <w:t>,</w:t>
      </w:r>
    </w:p>
    <w:p w:rsidR="00790BE1" w:rsidRPr="00DD6D27" w:rsidRDefault="00790BE1" w:rsidP="00790BE1">
      <w:pPr>
        <w:spacing w:line="240" w:lineRule="auto"/>
      </w:pPr>
      <w:r w:rsidRPr="00DD6D27">
        <w:t>Petitioner</w:t>
      </w:r>
    </w:p>
    <w:p w:rsidR="00790BE1" w:rsidRPr="00DD6D27" w:rsidRDefault="00790BE1" w:rsidP="00790BE1">
      <w:pPr>
        <w:spacing w:line="240" w:lineRule="auto"/>
      </w:pPr>
    </w:p>
    <w:p w:rsidR="00790BE1" w:rsidRPr="00DD6D27" w:rsidRDefault="00790BE1" w:rsidP="00790BE1">
      <w:pPr>
        <w:spacing w:line="240" w:lineRule="auto"/>
      </w:pPr>
      <w:r w:rsidRPr="00DD6D27">
        <w:t xml:space="preserve">v.                                                                           Docket No. </w:t>
      </w:r>
      <w:r w:rsidR="00D36F7A" w:rsidRPr="00DD6D27">
        <w:t>CR-13-437</w:t>
      </w:r>
    </w:p>
    <w:p w:rsidR="00790BE1" w:rsidRPr="00DD6D27" w:rsidRDefault="00790BE1" w:rsidP="00790BE1">
      <w:pPr>
        <w:spacing w:line="240" w:lineRule="auto"/>
      </w:pPr>
    </w:p>
    <w:p w:rsidR="00790BE1" w:rsidRPr="00DD6D27" w:rsidRDefault="00D36F7A" w:rsidP="00790BE1">
      <w:pPr>
        <w:spacing w:line="240" w:lineRule="auto"/>
      </w:pPr>
      <w:r w:rsidRPr="00DD6D27">
        <w:rPr>
          <w:b/>
        </w:rPr>
        <w:t>Massachusetts Teachers’ Retirement System</w:t>
      </w:r>
      <w:r w:rsidR="00790BE1" w:rsidRPr="00DD6D27">
        <w:t>,</w:t>
      </w:r>
    </w:p>
    <w:p w:rsidR="00790BE1" w:rsidRPr="00DD6D27" w:rsidRDefault="00790BE1" w:rsidP="00790BE1">
      <w:pPr>
        <w:spacing w:line="240" w:lineRule="auto"/>
      </w:pPr>
      <w:r w:rsidRPr="00DD6D27">
        <w:t xml:space="preserve">Respondent         </w:t>
      </w:r>
    </w:p>
    <w:p w:rsidR="00790BE1" w:rsidRPr="00DD6D27" w:rsidRDefault="00790BE1" w:rsidP="00790BE1">
      <w:pPr>
        <w:spacing w:line="240" w:lineRule="auto"/>
      </w:pPr>
    </w:p>
    <w:p w:rsidR="00790BE1" w:rsidRPr="00DD6D27" w:rsidRDefault="00790BE1" w:rsidP="00790BE1">
      <w:pPr>
        <w:spacing w:line="240" w:lineRule="auto"/>
      </w:pPr>
      <w:r w:rsidRPr="00DD6D27">
        <w:rPr>
          <w:b/>
        </w:rPr>
        <w:t>Appearance for Petitioner</w:t>
      </w:r>
      <w:r w:rsidRPr="00DD6D27">
        <w:t>:</w:t>
      </w:r>
      <w:r w:rsidRPr="00DD6D27">
        <w:tab/>
      </w:r>
      <w:r w:rsidRPr="00DD6D27">
        <w:tab/>
      </w:r>
      <w:r w:rsidRPr="00DD6D27">
        <w:tab/>
      </w:r>
    </w:p>
    <w:p w:rsidR="00790BE1" w:rsidRPr="00DD6D27" w:rsidRDefault="00790BE1" w:rsidP="00790BE1">
      <w:pPr>
        <w:spacing w:line="240" w:lineRule="auto"/>
        <w:rPr>
          <w:highlight w:val="lightGray"/>
        </w:rPr>
      </w:pPr>
    </w:p>
    <w:p w:rsidR="00790BE1" w:rsidRPr="00DD6D27" w:rsidRDefault="00BE6661" w:rsidP="00790BE1">
      <w:pPr>
        <w:spacing w:line="240" w:lineRule="auto"/>
        <w:ind w:left="720"/>
      </w:pPr>
      <w:r w:rsidRPr="00DD6D27">
        <w:t>Lynn Clark</w:t>
      </w:r>
    </w:p>
    <w:p w:rsidR="00BE6661" w:rsidRPr="00DD6D27" w:rsidRDefault="00BE6661" w:rsidP="00790BE1">
      <w:pPr>
        <w:spacing w:line="240" w:lineRule="auto"/>
        <w:ind w:left="720"/>
      </w:pPr>
      <w:r w:rsidRPr="00DD6D27">
        <w:t>3 Foster Street</w:t>
      </w:r>
    </w:p>
    <w:p w:rsidR="00BE6661" w:rsidRPr="00DD6D27" w:rsidRDefault="00BE6661" w:rsidP="00790BE1">
      <w:pPr>
        <w:spacing w:line="240" w:lineRule="auto"/>
        <w:ind w:left="720"/>
      </w:pPr>
      <w:r w:rsidRPr="00DD6D27">
        <w:t>Wenham, MA 01984</w:t>
      </w:r>
    </w:p>
    <w:p w:rsidR="00790BE1" w:rsidRPr="00DD6D27" w:rsidRDefault="00790BE1" w:rsidP="00790BE1">
      <w:pPr>
        <w:spacing w:line="240" w:lineRule="auto"/>
        <w:rPr>
          <w:highlight w:val="lightGray"/>
        </w:rPr>
      </w:pPr>
    </w:p>
    <w:p w:rsidR="00790BE1" w:rsidRPr="00DD6D27" w:rsidRDefault="00790BE1" w:rsidP="00790BE1">
      <w:pPr>
        <w:spacing w:line="240" w:lineRule="auto"/>
      </w:pPr>
      <w:r w:rsidRPr="00DD6D27">
        <w:rPr>
          <w:b/>
        </w:rPr>
        <w:t>Appearance for Respondent</w:t>
      </w:r>
      <w:r w:rsidRPr="00DD6D27">
        <w:t>:</w:t>
      </w:r>
      <w:r w:rsidRPr="00DD6D27">
        <w:tab/>
      </w:r>
      <w:r w:rsidRPr="00DD6D27">
        <w:tab/>
      </w:r>
      <w:r w:rsidRPr="00DD6D27">
        <w:tab/>
      </w:r>
    </w:p>
    <w:p w:rsidR="00790BE1" w:rsidRPr="00DD6D27" w:rsidRDefault="00790BE1" w:rsidP="00790BE1">
      <w:pPr>
        <w:spacing w:line="240" w:lineRule="auto"/>
      </w:pPr>
    </w:p>
    <w:p w:rsidR="00790BE1" w:rsidRPr="00DD6D27" w:rsidRDefault="00BE6661" w:rsidP="00790BE1">
      <w:pPr>
        <w:spacing w:line="240" w:lineRule="auto"/>
        <w:ind w:firstLine="720"/>
      </w:pPr>
      <w:r w:rsidRPr="00DD6D27">
        <w:t>Lauren E. Hatch, Esq.</w:t>
      </w:r>
    </w:p>
    <w:p w:rsidR="00BE6661" w:rsidRPr="00DD6D27" w:rsidRDefault="00BE6661" w:rsidP="00790BE1">
      <w:pPr>
        <w:spacing w:line="240" w:lineRule="auto"/>
        <w:ind w:firstLine="720"/>
      </w:pPr>
      <w:r w:rsidRPr="00DD6D27">
        <w:t>Associate General Counsel</w:t>
      </w:r>
    </w:p>
    <w:p w:rsidR="00BE6661" w:rsidRPr="00DD6D27" w:rsidRDefault="00BE6661" w:rsidP="00790BE1">
      <w:pPr>
        <w:spacing w:line="240" w:lineRule="auto"/>
        <w:ind w:firstLine="720"/>
      </w:pPr>
      <w:r w:rsidRPr="00DD6D27">
        <w:t>Massachusetts Teachers’ Retirement System</w:t>
      </w:r>
    </w:p>
    <w:p w:rsidR="00BE6661" w:rsidRPr="00DD6D27" w:rsidRDefault="00BE6661" w:rsidP="00790BE1">
      <w:pPr>
        <w:spacing w:line="240" w:lineRule="auto"/>
        <w:ind w:firstLine="720"/>
      </w:pPr>
      <w:r w:rsidRPr="00DD6D27">
        <w:t>500 Rutherford Avenue, Suite 210</w:t>
      </w:r>
    </w:p>
    <w:p w:rsidR="00BE6661" w:rsidRPr="00DD6D27" w:rsidRDefault="00BE6661" w:rsidP="00790BE1">
      <w:pPr>
        <w:spacing w:line="240" w:lineRule="auto"/>
        <w:ind w:firstLine="720"/>
      </w:pPr>
      <w:r w:rsidRPr="00DD6D27">
        <w:t>Charlestown, MA 02129-`628</w:t>
      </w:r>
    </w:p>
    <w:p w:rsidR="00790BE1" w:rsidRPr="00DD6D27" w:rsidRDefault="00790BE1" w:rsidP="00790BE1">
      <w:pPr>
        <w:spacing w:line="240" w:lineRule="auto"/>
      </w:pPr>
    </w:p>
    <w:p w:rsidR="00790BE1" w:rsidRPr="00DD6D27" w:rsidRDefault="00790BE1" w:rsidP="00790BE1">
      <w:pPr>
        <w:spacing w:line="240" w:lineRule="auto"/>
      </w:pPr>
      <w:r w:rsidRPr="00DD6D27">
        <w:rPr>
          <w:b/>
        </w:rPr>
        <w:t>Administrative Magistrate</w:t>
      </w:r>
      <w:r w:rsidRPr="00DD6D27">
        <w:t>:</w:t>
      </w:r>
      <w:r w:rsidRPr="00DD6D27">
        <w:tab/>
      </w:r>
      <w:r w:rsidRPr="00DD6D27">
        <w:tab/>
      </w:r>
      <w:r w:rsidRPr="00DD6D27">
        <w:tab/>
      </w:r>
    </w:p>
    <w:p w:rsidR="00790BE1" w:rsidRPr="00DD6D27" w:rsidRDefault="00790BE1" w:rsidP="00790BE1">
      <w:pPr>
        <w:spacing w:line="240" w:lineRule="auto"/>
      </w:pPr>
    </w:p>
    <w:p w:rsidR="00790BE1" w:rsidRPr="00DD6D27" w:rsidRDefault="00790BE1" w:rsidP="00790BE1">
      <w:pPr>
        <w:ind w:firstLine="720"/>
      </w:pPr>
      <w:r w:rsidRPr="00DD6D27">
        <w:t xml:space="preserve">Kenneth Bresler                                          </w:t>
      </w: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b/>
        </w:rPr>
      </w:pPr>
      <w:r w:rsidRPr="00DD6D27">
        <w:rPr>
          <w:b/>
        </w:rPr>
        <w:t>SUMMARY OF DECISION</w:t>
      </w: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b/>
        </w:rPr>
      </w:pPr>
    </w:p>
    <w:p w:rsidR="00790BE1" w:rsidRDefault="006C773A" w:rsidP="00A73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right="720"/>
      </w:pPr>
      <w:r>
        <w:t xml:space="preserve">Petitioner declined to submit </w:t>
      </w:r>
      <w:r w:rsidR="00AC1718">
        <w:t xml:space="preserve">a </w:t>
      </w:r>
      <w:r>
        <w:t>prehearing memorandum</w:t>
      </w:r>
      <w:r w:rsidR="00AC1718">
        <w:t xml:space="preserve"> and was deemed to have waived a hearing. She was therefore unavailable to answer questions about the </w:t>
      </w:r>
      <w:r w:rsidR="00A73BD0">
        <w:t xml:space="preserve">respondent’s </w:t>
      </w:r>
      <w:r w:rsidR="00AC1718">
        <w:t xml:space="preserve">contention that her stipend </w:t>
      </w:r>
      <w:r w:rsidR="00A73BD0">
        <w:t xml:space="preserve">was </w:t>
      </w:r>
      <w:r w:rsidR="00AC1718">
        <w:t xml:space="preserve">for a special project, which is not regular compensation. In addition, </w:t>
      </w:r>
      <w:r w:rsidR="00A73BD0">
        <w:t>her stipend did not appear in detail in the collective bargaining agreement. Exclusion of her stipend from regular compensation affirmed.</w:t>
      </w:r>
    </w:p>
    <w:p w:rsidR="00A73BD0" w:rsidRPr="006C773A" w:rsidRDefault="00A73BD0" w:rsidP="00A73BD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u w:val="single"/>
        </w:rPr>
      </w:pPr>
      <w:r w:rsidRPr="00DD6D27">
        <w:rPr>
          <w:b/>
        </w:rPr>
        <w:t>DECISION</w:t>
      </w:r>
    </w:p>
    <w:p w:rsidR="00790BE1" w:rsidRPr="00DD6D27" w:rsidRDefault="00790BE1" w:rsidP="00A73BD0">
      <w:pPr>
        <w:widowControl w:val="0"/>
      </w:pPr>
      <w:r w:rsidRPr="00DD6D27">
        <w:tab/>
        <w:t xml:space="preserve">The petitioner, </w:t>
      </w:r>
      <w:r w:rsidR="003A1F24">
        <w:t>Lynn Clark</w:t>
      </w:r>
      <w:r w:rsidRPr="00DD6D27">
        <w:t>,</w:t>
      </w:r>
      <w:r w:rsidR="003A1F24">
        <w:t xml:space="preserve"> appea</w:t>
      </w:r>
      <w:r w:rsidR="00B67100">
        <w:t>l</w:t>
      </w:r>
      <w:r w:rsidR="003A1F24">
        <w:t xml:space="preserve">s the </w:t>
      </w:r>
      <w:r w:rsidR="00D60466">
        <w:t xml:space="preserve">exclusion </w:t>
      </w:r>
      <w:r w:rsidR="003A1F24">
        <w:t xml:space="preserve">by the Massachusetts Teachers’ </w:t>
      </w:r>
      <w:r w:rsidR="003A1F24">
        <w:lastRenderedPageBreak/>
        <w:t xml:space="preserve">Retirement System (MTRS) of </w:t>
      </w:r>
      <w:r w:rsidR="00D60466">
        <w:t>a $300 stipend from her regular compensation.</w:t>
      </w:r>
    </w:p>
    <w:p w:rsidR="00D36F7A" w:rsidRPr="00DD6D27" w:rsidRDefault="00D36F7A" w:rsidP="00D36F7A">
      <w:pPr>
        <w:rPr>
          <w:rFonts w:cs="Times New Roman"/>
        </w:rPr>
      </w:pPr>
      <w:r w:rsidRPr="00DD6D27">
        <w:tab/>
      </w:r>
      <w:r w:rsidRPr="00DD6D27">
        <w:rPr>
          <w:rFonts w:cs="Times New Roman"/>
        </w:rPr>
        <w:t xml:space="preserve">On March 13, 2017, the Division of Administrative Law Appeals (DALA) instructed Ms. Clark to file a prehearing memorandum by April 19, 2017. On </w:t>
      </w:r>
      <w:r w:rsidRPr="00DD6D27">
        <w:t xml:space="preserve">November 30, 2017, </w:t>
      </w:r>
      <w:r w:rsidRPr="00DD6D27">
        <w:rPr>
          <w:rFonts w:cs="Times New Roman"/>
        </w:rPr>
        <w:t>seven-and-a-half months later, DALA had not received the memorandum. On that date, DALA ordered Ms. Clark to show cause why her appeal should not be dismissed</w:t>
      </w:r>
      <w:r w:rsidR="00245571" w:rsidRPr="00DD6D27">
        <w:rPr>
          <w:rFonts w:cs="Times New Roman"/>
        </w:rPr>
        <w:t xml:space="preserve"> for lack of prosecution.</w:t>
      </w:r>
    </w:p>
    <w:p w:rsidR="00D36F7A" w:rsidRPr="00DD6D27" w:rsidRDefault="00D36F7A" w:rsidP="00D36F7A">
      <w:pPr>
        <w:rPr>
          <w:rFonts w:cs="Times New Roman"/>
        </w:rPr>
      </w:pPr>
      <w:r w:rsidRPr="00DD6D27">
        <w:rPr>
          <w:rFonts w:cs="Times New Roman"/>
        </w:rPr>
        <w:tab/>
        <w:t xml:space="preserve">On January 25, 2018, I found that that Ms. Clark had </w:t>
      </w:r>
      <w:r w:rsidRPr="00DD6D27">
        <w:t>shown good cause why her appeal should proceed. I</w:t>
      </w:r>
      <w:r w:rsidRPr="00DD6D27">
        <w:rPr>
          <w:rFonts w:cs="Times New Roman"/>
        </w:rPr>
        <w:t xml:space="preserve"> </w:t>
      </w:r>
      <w:r w:rsidR="00245571" w:rsidRPr="00DD6D27">
        <w:rPr>
          <w:rFonts w:cs="Times New Roman"/>
        </w:rPr>
        <w:t>wrote</w:t>
      </w:r>
      <w:r w:rsidRPr="00DD6D27">
        <w:rPr>
          <w:rFonts w:cs="Times New Roman"/>
        </w:rPr>
        <w:t xml:space="preserve"> in part:</w:t>
      </w:r>
    </w:p>
    <w:p w:rsidR="00D36F7A" w:rsidRPr="00DD6D27" w:rsidRDefault="00D36F7A" w:rsidP="00D36F7A">
      <w:pPr>
        <w:autoSpaceDE w:val="0"/>
        <w:autoSpaceDN w:val="0"/>
        <w:adjustRightInd w:val="0"/>
        <w:spacing w:line="240" w:lineRule="auto"/>
        <w:ind w:left="720" w:right="720"/>
        <w:rPr>
          <w:rFonts w:cs="Times New Roman"/>
          <w:szCs w:val="24"/>
        </w:rPr>
      </w:pPr>
      <w:r w:rsidRPr="00DD6D27">
        <w:tab/>
      </w:r>
      <w:r w:rsidRPr="00DD6D27">
        <w:rPr>
          <w:szCs w:val="24"/>
        </w:rPr>
        <w:t xml:space="preserve">In her response, Ms. Clark stated that she does </w:t>
      </w:r>
      <w:r w:rsidR="002D6143">
        <w:rPr>
          <w:szCs w:val="24"/>
        </w:rPr>
        <w:t>“</w:t>
      </w:r>
      <w:r w:rsidRPr="00DD6D27">
        <w:rPr>
          <w:szCs w:val="24"/>
        </w:rPr>
        <w:t>not intend to file a prehearing memorandum</w:t>
      </w:r>
      <w:r w:rsidR="002D6143">
        <w:rPr>
          <w:szCs w:val="24"/>
        </w:rPr>
        <w:t>”</w:t>
      </w:r>
      <w:r w:rsidRPr="00DD6D27">
        <w:rPr>
          <w:szCs w:val="24"/>
        </w:rPr>
        <w:t xml:space="preserve"> and that because </w:t>
      </w:r>
      <w:r w:rsidR="002D6143">
        <w:rPr>
          <w:szCs w:val="24"/>
        </w:rPr>
        <w:t>“</w:t>
      </w:r>
      <w:r w:rsidRPr="00DD6D27">
        <w:rPr>
          <w:szCs w:val="24"/>
        </w:rPr>
        <w:t>it is a small issue,</w:t>
      </w:r>
      <w:r w:rsidR="002D6143">
        <w:rPr>
          <w:szCs w:val="24"/>
        </w:rPr>
        <w:t>”</w:t>
      </w:r>
      <w:r w:rsidRPr="00DD6D27">
        <w:rPr>
          <w:szCs w:val="24"/>
        </w:rPr>
        <w:t xml:space="preserve"> she does </w:t>
      </w:r>
      <w:r w:rsidR="002D6143">
        <w:rPr>
          <w:szCs w:val="24"/>
        </w:rPr>
        <w:t>“</w:t>
      </w:r>
      <w:r w:rsidRPr="00DD6D27">
        <w:rPr>
          <w:szCs w:val="24"/>
        </w:rPr>
        <w:t>not plan to file anything additional.</w:t>
      </w:r>
      <w:r w:rsidR="002D6143">
        <w:rPr>
          <w:szCs w:val="24"/>
        </w:rPr>
        <w:t>”</w:t>
      </w:r>
      <w:r w:rsidRPr="00DD6D27">
        <w:rPr>
          <w:szCs w:val="24"/>
        </w:rPr>
        <w:t xml:space="preserve"> I deem this as a motion under 801 CMR 1.01(10)(c) (</w:t>
      </w:r>
      <w:r w:rsidR="002D6143">
        <w:rPr>
          <w:szCs w:val="24"/>
        </w:rPr>
        <w:t>“</w:t>
      </w:r>
      <w:r w:rsidRPr="00DD6D27">
        <w:rPr>
          <w:rFonts w:cs="Times New Roman"/>
          <w:szCs w:val="24"/>
        </w:rPr>
        <w:t>Any Party may elect to waive a hearing and submit his case upon written submissions</w:t>
      </w:r>
      <w:r w:rsidR="002D6143">
        <w:rPr>
          <w:rFonts w:cs="Times New Roman"/>
          <w:szCs w:val="24"/>
        </w:rPr>
        <w:t>”</w:t>
      </w:r>
      <w:r w:rsidRPr="00DD6D27">
        <w:rPr>
          <w:rFonts w:cs="Times New Roman"/>
          <w:szCs w:val="24"/>
        </w:rPr>
        <w:t>) and grant it.</w:t>
      </w:r>
    </w:p>
    <w:p w:rsidR="00D36F7A" w:rsidRPr="00DD6D27" w:rsidRDefault="00D36F7A" w:rsidP="00D36F7A">
      <w:pPr>
        <w:autoSpaceDE w:val="0"/>
        <w:autoSpaceDN w:val="0"/>
        <w:adjustRightInd w:val="0"/>
        <w:spacing w:line="240" w:lineRule="auto"/>
        <w:ind w:left="720" w:right="720"/>
        <w:rPr>
          <w:rFonts w:cs="Times New Roman"/>
          <w:szCs w:val="24"/>
        </w:rPr>
      </w:pPr>
    </w:p>
    <w:p w:rsidR="00790BE1" w:rsidRPr="00DD6D27" w:rsidRDefault="00245571" w:rsidP="00790BE1">
      <w:r w:rsidRPr="00DD6D27">
        <w:tab/>
        <w:t>I accept</w:t>
      </w:r>
      <w:r w:rsidR="00790BE1" w:rsidRPr="00DD6D27">
        <w:t xml:space="preserve"> into evidence </w:t>
      </w:r>
      <w:r w:rsidR="00D60466">
        <w:t>six</w:t>
      </w:r>
      <w:r w:rsidR="003E115A" w:rsidRPr="00DD6D27">
        <w:t xml:space="preserve"> exhibits, as follows:</w:t>
      </w:r>
    </w:p>
    <w:p w:rsidR="003E115A" w:rsidRPr="00DD6D27" w:rsidRDefault="003E115A" w:rsidP="00790BE1">
      <w:r w:rsidRPr="00DD6D27">
        <w:tab/>
        <w:t xml:space="preserve">1. Retirement application, </w:t>
      </w:r>
      <w:r w:rsidR="00E51823" w:rsidRPr="00DD6D27">
        <w:t>P</w:t>
      </w:r>
      <w:r w:rsidRPr="00DD6D27">
        <w:t>art 2.</w:t>
      </w:r>
    </w:p>
    <w:p w:rsidR="003E115A" w:rsidRPr="00DD6D27" w:rsidRDefault="003E115A" w:rsidP="00790BE1">
      <w:r w:rsidRPr="00DD6D27">
        <w:tab/>
        <w:t>2. Collective bargaining agreement between the Topsfield School Committee and the Topsfield Teachers’</w:t>
      </w:r>
      <w:r w:rsidR="00397E90" w:rsidRPr="00DD6D27">
        <w:t xml:space="preserve"> Association, Sept. 1, 2010 through Aug. 31, 2013.</w:t>
      </w:r>
    </w:p>
    <w:p w:rsidR="003E115A" w:rsidRPr="00DD6D27" w:rsidRDefault="003E115A" w:rsidP="00790BE1">
      <w:r w:rsidRPr="00DD6D27">
        <w:tab/>
        <w:t xml:space="preserve">3. </w:t>
      </w:r>
      <w:r w:rsidR="00623914" w:rsidRPr="00DD6D27">
        <w:t>Special Assignment Posting.</w:t>
      </w:r>
    </w:p>
    <w:p w:rsidR="00623914" w:rsidRPr="00DD6D27" w:rsidRDefault="00623914" w:rsidP="00790BE1">
      <w:r w:rsidRPr="00DD6D27">
        <w:tab/>
        <w:t>4. Denial letter.</w:t>
      </w:r>
    </w:p>
    <w:p w:rsidR="00623914" w:rsidRPr="00DD6D27" w:rsidRDefault="00623914" w:rsidP="00790BE1">
      <w:r w:rsidRPr="00DD6D27">
        <w:tab/>
        <w:t xml:space="preserve">5. </w:t>
      </w:r>
      <w:r w:rsidR="004B3D0D" w:rsidRPr="00DD6D27">
        <w:t>Appeal.</w:t>
      </w:r>
    </w:p>
    <w:p w:rsidR="004B3D0D" w:rsidRDefault="004B3D0D" w:rsidP="00790BE1">
      <w:r w:rsidRPr="00DD6D27">
        <w:tab/>
        <w:t>6. Letter from Tri-Town School District Superintendent</w:t>
      </w:r>
      <w:r w:rsidR="00805886">
        <w:t>.</w:t>
      </w:r>
    </w:p>
    <w:p w:rsidR="00805886" w:rsidRPr="00DD6D27" w:rsidRDefault="00805886" w:rsidP="00790BE1">
      <w:r>
        <w:tab/>
        <w:t xml:space="preserve">The Massachusetts Teachers’ Retirement System submitted a prehearing memorandum. Ms. Clark submitted </w:t>
      </w:r>
      <w:r w:rsidR="00B55ED4">
        <w:t>her appeal letter, which argued her case.</w:t>
      </w:r>
    </w:p>
    <w:p w:rsidR="00790BE1" w:rsidRPr="00DD6D27" w:rsidRDefault="00790BE1" w:rsidP="00790BE1">
      <w:pPr>
        <w:jc w:val="center"/>
        <w:rPr>
          <w:b/>
        </w:rPr>
      </w:pPr>
      <w:r w:rsidRPr="00DD6D27">
        <w:rPr>
          <w:b/>
        </w:rPr>
        <w:t>Findings of Fact</w:t>
      </w:r>
    </w:p>
    <w:p w:rsidR="00790BE1" w:rsidRPr="00DD6D27" w:rsidRDefault="00790BE1" w:rsidP="003963B6">
      <w:pPr>
        <w:widowControl w:val="0"/>
      </w:pPr>
      <w:r w:rsidRPr="00DD6D27">
        <w:tab/>
      </w:r>
      <w:r w:rsidR="00D60466">
        <w:t>1</w:t>
      </w:r>
      <w:r w:rsidR="00277485" w:rsidRPr="00DD6D27">
        <w:t xml:space="preserve">. Ms. Clark was </w:t>
      </w:r>
      <w:r w:rsidR="00EC389F" w:rsidRPr="00DD6D27">
        <w:t>a teacher in the Topsfield Public Schools, which was part of the Tri-Town School Union. (Exs. 1, 6.)</w:t>
      </w:r>
    </w:p>
    <w:p w:rsidR="00956237" w:rsidRPr="00DD6D27" w:rsidRDefault="00956237" w:rsidP="00A73BD0">
      <w:pPr>
        <w:widowControl w:val="0"/>
      </w:pPr>
      <w:r w:rsidRPr="00DD6D27">
        <w:lastRenderedPageBreak/>
        <w:tab/>
      </w:r>
      <w:r w:rsidR="00D60466">
        <w:t>2</w:t>
      </w:r>
      <w:r w:rsidRPr="00DD6D27">
        <w:t xml:space="preserve">. The </w:t>
      </w:r>
      <w:r w:rsidR="00C7348D" w:rsidRPr="00DD6D27">
        <w:t>c</w:t>
      </w:r>
      <w:r w:rsidRPr="00DD6D27">
        <w:t xml:space="preserve">ollective bargaining agreement </w:t>
      </w:r>
      <w:r w:rsidR="00C7348D" w:rsidRPr="00DD6D27">
        <w:t xml:space="preserve">(CBA) </w:t>
      </w:r>
      <w:r w:rsidRPr="00DD6D27">
        <w:t xml:space="preserve">between the Topsfield School Committee and the Topsfield Teachers’ Association, </w:t>
      </w:r>
      <w:r w:rsidR="00B67100">
        <w:t>effective September 1, 2010 through August</w:t>
      </w:r>
      <w:r w:rsidRPr="00DD6D27">
        <w:t xml:space="preserve"> 31, 2013</w:t>
      </w:r>
      <w:r w:rsidR="00B67100">
        <w:t>,</w:t>
      </w:r>
      <w:r w:rsidRPr="00DD6D27">
        <w:t xml:space="preserve"> listed various </w:t>
      </w:r>
      <w:r w:rsidR="002D6143">
        <w:t>“</w:t>
      </w:r>
      <w:r w:rsidRPr="00DD6D27">
        <w:t>Professional Development, Co-Curricular and Extra-Curricular Positions</w:t>
      </w:r>
      <w:r w:rsidR="002D6143">
        <w:t>”</w:t>
      </w:r>
      <w:r w:rsidRPr="00DD6D27">
        <w:t xml:space="preserve"> for 2004, 2005-06, and 2007-10. </w:t>
      </w:r>
      <w:r w:rsidR="005A370C" w:rsidRPr="00DD6D27">
        <w:t>(Ex. 2, p. 11.)</w:t>
      </w:r>
      <w:r w:rsidR="00A90A03" w:rsidRPr="00DD6D27">
        <w:rPr>
          <w:rStyle w:val="FootnoteReference"/>
        </w:rPr>
        <w:footnoteReference w:id="1"/>
      </w:r>
    </w:p>
    <w:p w:rsidR="005A370C" w:rsidRPr="00DD6D27" w:rsidRDefault="005A370C" w:rsidP="00790BE1">
      <w:r w:rsidRPr="00DD6D27">
        <w:tab/>
      </w:r>
      <w:r w:rsidR="00D60466">
        <w:t>3</w:t>
      </w:r>
      <w:r w:rsidRPr="00DD6D27">
        <w:t xml:space="preserve">. The list of such positions included </w:t>
      </w:r>
      <w:r w:rsidR="002D6143">
        <w:t>“</w:t>
      </w:r>
      <w:r w:rsidRPr="00DD6D27">
        <w:t>Teacher to Teacher I</w:t>
      </w:r>
      <w:r w:rsidR="002D6143">
        <w:t>”</w:t>
      </w:r>
      <w:r w:rsidR="00546224" w:rsidRPr="00DD6D27">
        <w:t xml:space="preserve"> at Level 10 for $300 in 2007-10. (Ex. 2, p. </w:t>
      </w:r>
      <w:r w:rsidR="00490CEC" w:rsidRPr="00DD6D27">
        <w:t>12.)</w:t>
      </w:r>
      <w:r w:rsidR="00A90A03" w:rsidRPr="00DD6D27">
        <w:rPr>
          <w:rStyle w:val="FootnoteReference"/>
        </w:rPr>
        <w:footnoteReference w:id="2"/>
      </w:r>
      <w:r w:rsidR="00490CEC" w:rsidRPr="00DD6D27">
        <w:t xml:space="preserve"> </w:t>
      </w:r>
      <w:r w:rsidR="0053742E" w:rsidRPr="00DD6D27">
        <w:t>Level 10 meant that it was expected to take a total of 10 hours to perform. (Ex. 3</w:t>
      </w:r>
      <w:r w:rsidR="0019695D" w:rsidRPr="00DD6D27">
        <w:t>, p. 1</w:t>
      </w:r>
      <w:r w:rsidR="0053742E" w:rsidRPr="00DD6D27">
        <w:t>.)</w:t>
      </w:r>
    </w:p>
    <w:p w:rsidR="00D5542E" w:rsidRPr="00DD6D27" w:rsidRDefault="00D5542E" w:rsidP="00790BE1">
      <w:r w:rsidRPr="00DD6D27">
        <w:tab/>
      </w:r>
      <w:r w:rsidR="00D60466">
        <w:t>4</w:t>
      </w:r>
      <w:r w:rsidRPr="00DD6D27">
        <w:t xml:space="preserve">. On May 21, 2010, the school superintendent </w:t>
      </w:r>
      <w:r w:rsidR="0053742E" w:rsidRPr="00DD6D27">
        <w:t>i</w:t>
      </w:r>
      <w:r w:rsidRPr="00DD6D27">
        <w:t>ssued a Special Assignment Posting</w:t>
      </w:r>
      <w:r w:rsidR="005B25F8" w:rsidRPr="00DD6D27">
        <w:t xml:space="preserve">, inviting staff </w:t>
      </w:r>
      <w:r w:rsidR="0019695D" w:rsidRPr="00DD6D27">
        <w:t xml:space="preserve">members </w:t>
      </w:r>
      <w:r w:rsidR="005B25F8" w:rsidRPr="00DD6D27">
        <w:t xml:space="preserve">to apply for various positions and stipends, with the understanding that many of them were subject to the availability of funding from </w:t>
      </w:r>
      <w:r w:rsidR="00EF671F">
        <w:t xml:space="preserve">the </w:t>
      </w:r>
      <w:r w:rsidR="005B25F8" w:rsidRPr="00DD6D27">
        <w:t>local budget or state and federal grants. (Ex. 3, p. 1.)</w:t>
      </w:r>
    </w:p>
    <w:p w:rsidR="001D5321" w:rsidRPr="00DD6D27" w:rsidRDefault="001D5321" w:rsidP="00790BE1">
      <w:r w:rsidRPr="00DD6D27">
        <w:tab/>
      </w:r>
      <w:r w:rsidR="00D60466">
        <w:t>5</w:t>
      </w:r>
      <w:r w:rsidRPr="00DD6D27">
        <w:t>. The posting also stated that</w:t>
      </w:r>
    </w:p>
    <w:p w:rsidR="001D5321" w:rsidRPr="00DD6D27" w:rsidRDefault="001D5321" w:rsidP="00D250E7">
      <w:pPr>
        <w:spacing w:line="240" w:lineRule="auto"/>
        <w:ind w:left="810" w:right="720"/>
      </w:pPr>
      <w:r w:rsidRPr="00DD6D27">
        <w:t>the successful completion of committee work is predicated on consistent attendance and participation. Stipends will only be awarded based on regular participation in the completion of the committee’s assignment.</w:t>
      </w:r>
    </w:p>
    <w:p w:rsidR="00D250E7" w:rsidRPr="00DD6D27" w:rsidRDefault="00D250E7" w:rsidP="00D250E7">
      <w:pPr>
        <w:spacing w:line="240" w:lineRule="auto"/>
        <w:ind w:left="810" w:right="720"/>
      </w:pPr>
    </w:p>
    <w:p w:rsidR="001D5321" w:rsidRPr="00DD6D27" w:rsidRDefault="001D5321" w:rsidP="00790BE1">
      <w:r w:rsidRPr="00DD6D27">
        <w:t>(Ex. 3, p. 1.)</w:t>
      </w:r>
    </w:p>
    <w:p w:rsidR="00090CB3" w:rsidRPr="00DD6D27" w:rsidRDefault="00090CB3" w:rsidP="00790BE1">
      <w:r w:rsidRPr="00DD6D27">
        <w:tab/>
      </w:r>
      <w:r w:rsidR="00D60466">
        <w:t>6</w:t>
      </w:r>
      <w:r w:rsidRPr="00DD6D27">
        <w:t xml:space="preserve">. One position was the Code of Conduct Committee, whose stipend was to be determined based on contract negotiations. </w:t>
      </w:r>
      <w:r w:rsidR="00B51653" w:rsidRPr="00DD6D27">
        <w:t>Its stipend in the 20</w:t>
      </w:r>
      <w:r w:rsidRPr="00DD6D27">
        <w:t>09-10</w:t>
      </w:r>
      <w:r w:rsidR="00B51653" w:rsidRPr="00DD6D27">
        <w:t xml:space="preserve"> school year was $300. (Ex. 3, p. 6.)</w:t>
      </w:r>
    </w:p>
    <w:p w:rsidR="007D2217" w:rsidRPr="00DD6D27" w:rsidRDefault="00B51653" w:rsidP="00790BE1">
      <w:r w:rsidRPr="00DD6D27">
        <w:tab/>
      </w:r>
      <w:r w:rsidR="00B67100">
        <w:t>7</w:t>
      </w:r>
      <w:r w:rsidRPr="00DD6D27">
        <w:t xml:space="preserve">. The posting described the position as follows: </w:t>
      </w:r>
    </w:p>
    <w:p w:rsidR="007D2217" w:rsidRPr="00DD6D27" w:rsidRDefault="00B51653" w:rsidP="00A73BD0">
      <w:pPr>
        <w:widowControl w:val="0"/>
        <w:spacing w:line="240" w:lineRule="auto"/>
        <w:ind w:left="720" w:right="720"/>
      </w:pPr>
      <w:r w:rsidRPr="00DD6D27">
        <w:t>This committee will meet to help implement the new conduct documents which have been drafted.</w:t>
      </w:r>
      <w:r w:rsidR="007D2217" w:rsidRPr="00DD6D27">
        <w:t xml:space="preserve"> This could include planning professional development and student assemblies, communicating at JAM’s and staff meetings about impl</w:t>
      </w:r>
      <w:r w:rsidR="00E052B8" w:rsidRPr="00DD6D27">
        <w:t>emen</w:t>
      </w:r>
      <w:r w:rsidR="007D2217" w:rsidRPr="00DD6D27">
        <w:t>tation progress and evaluating the model and making suggestions about revisions to the model. Seeking 4 representatives</w:t>
      </w:r>
      <w:r w:rsidR="00F13322" w:rsidRPr="00DD6D27">
        <w:t xml:space="preserve"> from each school. Preference </w:t>
      </w:r>
      <w:r w:rsidR="00F13322" w:rsidRPr="00DD6D27">
        <w:lastRenderedPageBreak/>
        <w:t>will be given to those who volunteered their time to draft the code of conduct.</w:t>
      </w:r>
    </w:p>
    <w:p w:rsidR="00F13322" w:rsidRPr="00DD6D27" w:rsidRDefault="00F13322" w:rsidP="00F13322">
      <w:pPr>
        <w:spacing w:line="240" w:lineRule="auto"/>
        <w:ind w:left="720" w:right="720"/>
      </w:pPr>
    </w:p>
    <w:p w:rsidR="00B51653" w:rsidRPr="00DD6D27" w:rsidRDefault="009A0BCC" w:rsidP="00790BE1">
      <w:r w:rsidRPr="00DD6D27">
        <w:t>(Ex. 1, p. 6.)</w:t>
      </w:r>
      <w:r w:rsidR="00E052B8" w:rsidRPr="00DD6D27">
        <w:rPr>
          <w:rStyle w:val="FootnoteReference"/>
        </w:rPr>
        <w:footnoteReference w:id="3"/>
      </w:r>
    </w:p>
    <w:p w:rsidR="0019695D" w:rsidRPr="00DD6D27" w:rsidRDefault="0019695D" w:rsidP="0019695D">
      <w:r w:rsidRPr="00DD6D27">
        <w:tab/>
      </w:r>
      <w:r w:rsidR="00B67100">
        <w:t>8</w:t>
      </w:r>
      <w:r w:rsidRPr="00DD6D27">
        <w:t xml:space="preserve">. As part of Ms. Clark’s application for her intended retirement at the </w:t>
      </w:r>
      <w:r w:rsidR="000E02FC">
        <w:t xml:space="preserve">end </w:t>
      </w:r>
      <w:r w:rsidRPr="00DD6D27">
        <w:t>of the 2012-13 school year, the school district filled in Part 2 of her application on February 19, 2013. (Ex. 1.)</w:t>
      </w:r>
    </w:p>
    <w:p w:rsidR="0019695D" w:rsidRPr="00DD6D27" w:rsidRDefault="0019695D" w:rsidP="0019695D">
      <w:r w:rsidRPr="00DD6D27">
        <w:tab/>
      </w:r>
      <w:r w:rsidR="00B67100">
        <w:t>9</w:t>
      </w:r>
      <w:r w:rsidRPr="00DD6D27">
        <w:t xml:space="preserve">. In Part 2 of Ms. Clark’s application, the school district listed a $300 payment to her for the 2010-11 school </w:t>
      </w:r>
      <w:proofErr w:type="gramStart"/>
      <w:r w:rsidRPr="00DD6D27">
        <w:t>year</w:t>
      </w:r>
      <w:proofErr w:type="gramEnd"/>
      <w:r w:rsidRPr="00DD6D27">
        <w:t xml:space="preserve"> for </w:t>
      </w:r>
      <w:r w:rsidR="002D6143">
        <w:t>“</w:t>
      </w:r>
      <w:r w:rsidRPr="00DD6D27">
        <w:t>Teacher to Teacher I – Code of Conduct.</w:t>
      </w:r>
      <w:r w:rsidR="002D6143">
        <w:t>”</w:t>
      </w:r>
      <w:r w:rsidRPr="00DD6D27">
        <w:t xml:space="preserve"> (Ex. 1.)</w:t>
      </w:r>
    </w:p>
    <w:p w:rsidR="00DC5D34" w:rsidRPr="00DD6D27" w:rsidRDefault="00DC5D34" w:rsidP="0019695D">
      <w:r w:rsidRPr="00DD6D27">
        <w:tab/>
      </w:r>
      <w:r w:rsidR="00B67100">
        <w:t>10</w:t>
      </w:r>
      <w:r w:rsidRPr="00DD6D27">
        <w:t xml:space="preserve">. On August 22, 2013, MTRS excluded this $300 payment from her regular compensation. </w:t>
      </w:r>
      <w:r w:rsidR="005E4CF9" w:rsidRPr="00DD6D27">
        <w:t xml:space="preserve">It reasoned that per diem expenses are not regular compensation. </w:t>
      </w:r>
      <w:r w:rsidRPr="00DD6D27">
        <w:t>(Ex. 4.)</w:t>
      </w:r>
    </w:p>
    <w:p w:rsidR="0019695D" w:rsidRPr="00DD6D27" w:rsidRDefault="00DC5D34" w:rsidP="00790BE1">
      <w:r w:rsidRPr="00DD6D27">
        <w:tab/>
      </w:r>
      <w:r w:rsidR="00D60466">
        <w:t>1</w:t>
      </w:r>
      <w:r w:rsidR="00B67100">
        <w:t>1</w:t>
      </w:r>
      <w:r w:rsidRPr="00DD6D27">
        <w:t xml:space="preserve">. On August 30, 2013, the Division of Administrative Law Appeals received Ms. Clark’s undated </w:t>
      </w:r>
      <w:r w:rsidR="00B0049D" w:rsidRPr="00DD6D27">
        <w:t xml:space="preserve">timely </w:t>
      </w:r>
      <w:r w:rsidRPr="00DD6D27">
        <w:t>appeal. (Ex. 5.)</w:t>
      </w:r>
    </w:p>
    <w:p w:rsidR="00790BE1" w:rsidRPr="00DD6D27" w:rsidRDefault="00790BE1" w:rsidP="00790BE1">
      <w:pPr>
        <w:jc w:val="center"/>
        <w:rPr>
          <w:rFonts w:cs="Times New Roman"/>
          <w:b/>
          <w:szCs w:val="24"/>
        </w:rPr>
      </w:pPr>
      <w:r w:rsidRPr="00DD6D27">
        <w:rPr>
          <w:rFonts w:cs="Times New Roman"/>
          <w:b/>
          <w:szCs w:val="24"/>
        </w:rPr>
        <w:t>Discussion</w:t>
      </w:r>
    </w:p>
    <w:p w:rsidR="00790BE1" w:rsidRPr="00DD6D27" w:rsidRDefault="00790BE1" w:rsidP="00790BE1">
      <w:pPr>
        <w:rPr>
          <w:rFonts w:cs="Times New Roman"/>
          <w:szCs w:val="24"/>
        </w:rPr>
      </w:pPr>
      <w:r w:rsidRPr="00DD6D27">
        <w:rPr>
          <w:rFonts w:cs="Times New Roman"/>
          <w:szCs w:val="24"/>
        </w:rPr>
        <w:tab/>
      </w:r>
      <w:r w:rsidR="00285ED4" w:rsidRPr="00DD6D27">
        <w:rPr>
          <w:rFonts w:cs="Times New Roman"/>
          <w:szCs w:val="24"/>
        </w:rPr>
        <w:t>In its denial letter, MTRS reasoned that Ms. Clark’s $300 payment was a per diem payment. It was not.</w:t>
      </w:r>
    </w:p>
    <w:p w:rsidR="00A97360" w:rsidRPr="00DD6D27" w:rsidRDefault="00285ED4" w:rsidP="00A97360">
      <w:pPr>
        <w:pStyle w:val="Default"/>
        <w:widowControl w:val="0"/>
        <w:spacing w:line="480" w:lineRule="auto"/>
        <w:rPr>
          <w:color w:val="auto"/>
        </w:rPr>
      </w:pPr>
      <w:r w:rsidRPr="00DD6D27">
        <w:rPr>
          <w:color w:val="auto"/>
        </w:rPr>
        <w:tab/>
      </w:r>
      <w:r w:rsidR="00805886">
        <w:rPr>
          <w:color w:val="auto"/>
        </w:rPr>
        <w:t xml:space="preserve">In its </w:t>
      </w:r>
      <w:r w:rsidR="001B1569">
        <w:rPr>
          <w:color w:val="auto"/>
        </w:rPr>
        <w:t>prehearing memorandum</w:t>
      </w:r>
      <w:r w:rsidRPr="00DD6D27">
        <w:rPr>
          <w:color w:val="auto"/>
        </w:rPr>
        <w:t xml:space="preserve">, MTRS </w:t>
      </w:r>
      <w:r w:rsidR="00241F76" w:rsidRPr="00DD6D27">
        <w:rPr>
          <w:color w:val="auto"/>
        </w:rPr>
        <w:t>ignored</w:t>
      </w:r>
      <w:r w:rsidR="000F19B8" w:rsidRPr="00DD6D27">
        <w:rPr>
          <w:color w:val="auto"/>
        </w:rPr>
        <w:t xml:space="preserve"> the per-diem argument</w:t>
      </w:r>
      <w:r w:rsidR="000F19B8" w:rsidRPr="005A6E39">
        <w:rPr>
          <w:color w:val="auto"/>
        </w:rPr>
        <w:t xml:space="preserve"> and </w:t>
      </w:r>
      <w:r w:rsidR="00241F76" w:rsidRPr="005A6E39">
        <w:rPr>
          <w:color w:val="auto"/>
        </w:rPr>
        <w:t>presented</w:t>
      </w:r>
      <w:r w:rsidRPr="005A6E39">
        <w:rPr>
          <w:color w:val="auto"/>
        </w:rPr>
        <w:t xml:space="preserve"> two </w:t>
      </w:r>
      <w:r w:rsidR="000F19B8" w:rsidRPr="005A6E39">
        <w:rPr>
          <w:color w:val="auto"/>
        </w:rPr>
        <w:t>other</w:t>
      </w:r>
      <w:r w:rsidRPr="005A6E39">
        <w:rPr>
          <w:color w:val="auto"/>
        </w:rPr>
        <w:t xml:space="preserve"> </w:t>
      </w:r>
      <w:r w:rsidR="000F19B8" w:rsidRPr="005A6E39">
        <w:rPr>
          <w:color w:val="auto"/>
        </w:rPr>
        <w:t xml:space="preserve">ones. </w:t>
      </w:r>
      <w:r w:rsidRPr="005A6E39">
        <w:rPr>
          <w:color w:val="auto"/>
        </w:rPr>
        <w:t>(</w:t>
      </w:r>
      <w:r w:rsidR="005A6E39">
        <w:rPr>
          <w:color w:val="auto"/>
        </w:rPr>
        <w:t>It is permissible for MTRS to s</w:t>
      </w:r>
      <w:r w:rsidR="00B55ED4">
        <w:rPr>
          <w:color w:val="auto"/>
        </w:rPr>
        <w:t>hift</w:t>
      </w:r>
      <w:r w:rsidR="000F19B8" w:rsidRPr="005A6E39">
        <w:rPr>
          <w:color w:val="auto"/>
        </w:rPr>
        <w:t xml:space="preserve"> rationales</w:t>
      </w:r>
      <w:r w:rsidRPr="005A6E39">
        <w:rPr>
          <w:color w:val="auto"/>
        </w:rPr>
        <w:t xml:space="preserve">, because appeals are </w:t>
      </w:r>
      <w:r w:rsidRPr="005A6E39">
        <w:rPr>
          <w:i/>
          <w:color w:val="auto"/>
        </w:rPr>
        <w:t>de novo</w:t>
      </w:r>
      <w:r w:rsidRPr="005A6E39">
        <w:rPr>
          <w:color w:val="auto"/>
        </w:rPr>
        <w:t xml:space="preserve">. </w:t>
      </w:r>
      <w:r w:rsidR="005A6E39" w:rsidRPr="005A6E39">
        <w:rPr>
          <w:i/>
          <w:color w:val="auto"/>
          <w:lang w:val="en"/>
        </w:rPr>
        <w:t>Namay v. Contributory Retirement Appeal Board</w:t>
      </w:r>
      <w:r w:rsidR="005A6E39" w:rsidRPr="005A6E39">
        <w:rPr>
          <w:color w:val="auto"/>
          <w:lang w:val="en"/>
        </w:rPr>
        <w:t xml:space="preserve">, </w:t>
      </w:r>
      <w:hyperlink r:id="rId8" w:history="1">
        <w:r w:rsidR="005A6E39" w:rsidRPr="005A6E39">
          <w:rPr>
            <w:rStyle w:val="Hyperlink"/>
            <w:color w:val="auto"/>
            <w:lang w:val="en"/>
          </w:rPr>
          <w:t>19 Mass. App. Ct. 456</w:t>
        </w:r>
      </w:hyperlink>
      <w:r w:rsidR="005A6E39">
        <w:rPr>
          <w:color w:val="auto"/>
          <w:lang w:val="en"/>
        </w:rPr>
        <w:t>, 462 (1985).</w:t>
      </w:r>
      <w:r w:rsidRPr="005A6E39">
        <w:rPr>
          <w:color w:val="auto"/>
        </w:rPr>
        <w:t>)</w:t>
      </w:r>
      <w:r w:rsidR="00241F76" w:rsidRPr="005A6E39">
        <w:rPr>
          <w:color w:val="auto"/>
        </w:rPr>
        <w:t xml:space="preserve"> MTRS argued that the Code of Conduct Committee’s</w:t>
      </w:r>
      <w:r w:rsidR="00A97360" w:rsidRPr="005A6E39">
        <w:rPr>
          <w:color w:val="auto"/>
        </w:rPr>
        <w:t xml:space="preserve"> work was a </w:t>
      </w:r>
      <w:r w:rsidR="002D6143" w:rsidRPr="005A6E39">
        <w:rPr>
          <w:color w:val="auto"/>
        </w:rPr>
        <w:t>“</w:t>
      </w:r>
      <w:r w:rsidR="00A97360" w:rsidRPr="005A6E39">
        <w:rPr>
          <w:color w:val="auto"/>
        </w:rPr>
        <w:t>spe</w:t>
      </w:r>
      <w:r w:rsidR="00A97360" w:rsidRPr="00DD6D27">
        <w:rPr>
          <w:color w:val="auto"/>
        </w:rPr>
        <w:t>cial project[] involving tasks which are not performed on a year to year basis,</w:t>
      </w:r>
      <w:r w:rsidR="002D6143">
        <w:rPr>
          <w:color w:val="auto"/>
        </w:rPr>
        <w:t>”</w:t>
      </w:r>
      <w:r w:rsidR="00A97360" w:rsidRPr="00DD6D27">
        <w:rPr>
          <w:color w:val="auto"/>
        </w:rPr>
        <w:t xml:space="preserve"> and therefore not regular compensation. 807 CMR 6.02(2)(</w:t>
      </w:r>
      <w:r w:rsidR="0064174A" w:rsidRPr="00DD6D27">
        <w:rPr>
          <w:color w:val="auto"/>
        </w:rPr>
        <w:t xml:space="preserve">a). </w:t>
      </w:r>
      <w:r w:rsidR="004B0257" w:rsidRPr="00DD6D27">
        <w:rPr>
          <w:color w:val="auto"/>
        </w:rPr>
        <w:tab/>
      </w:r>
      <w:r w:rsidR="0064174A" w:rsidRPr="00DD6D27">
        <w:rPr>
          <w:color w:val="auto"/>
        </w:rPr>
        <w:t>It also argued</w:t>
      </w:r>
      <w:r w:rsidR="00BB48F9" w:rsidRPr="00DD6D27">
        <w:rPr>
          <w:color w:val="auto"/>
        </w:rPr>
        <w:t xml:space="preserve"> that because Ms. Clark was paid hourly, </w:t>
      </w:r>
      <w:r w:rsidR="002D6143">
        <w:rPr>
          <w:color w:val="auto"/>
        </w:rPr>
        <w:t>“</w:t>
      </w:r>
      <w:r w:rsidR="00BB48F9" w:rsidRPr="00DD6D27">
        <w:rPr>
          <w:color w:val="auto"/>
        </w:rPr>
        <w:t xml:space="preserve">it stands to reason that...these duties [were] outside </w:t>
      </w:r>
      <w:r w:rsidR="004B0257" w:rsidRPr="00DD6D27">
        <w:rPr>
          <w:color w:val="auto"/>
        </w:rPr>
        <w:t>of the normal school year or school hours.</w:t>
      </w:r>
      <w:r w:rsidR="002D6143">
        <w:rPr>
          <w:color w:val="auto"/>
        </w:rPr>
        <w:t>”</w:t>
      </w:r>
      <w:r w:rsidR="004B0257" w:rsidRPr="00DD6D27">
        <w:rPr>
          <w:color w:val="auto"/>
        </w:rPr>
        <w:t xml:space="preserve"> </w:t>
      </w:r>
      <w:r w:rsidR="002E38FB" w:rsidRPr="00DD6D27">
        <w:rPr>
          <w:color w:val="auto"/>
        </w:rPr>
        <w:t xml:space="preserve">Therefore, the </w:t>
      </w:r>
      <w:r w:rsidR="001C2E65">
        <w:rPr>
          <w:color w:val="auto"/>
        </w:rPr>
        <w:t xml:space="preserve">stipend for the </w:t>
      </w:r>
      <w:r w:rsidR="002E38FB" w:rsidRPr="00DD6D27">
        <w:rPr>
          <w:color w:val="auto"/>
        </w:rPr>
        <w:t>committee work was not regular compensation. 807 CMR 6.02(2)</w:t>
      </w:r>
      <w:r w:rsidR="00480024" w:rsidRPr="00DD6D27">
        <w:rPr>
          <w:color w:val="auto"/>
        </w:rPr>
        <w:t xml:space="preserve">(b). </w:t>
      </w:r>
      <w:r w:rsidR="004B0257" w:rsidRPr="00DD6D27">
        <w:rPr>
          <w:color w:val="auto"/>
        </w:rPr>
        <w:t>Two proble</w:t>
      </w:r>
      <w:r w:rsidR="007446AC" w:rsidRPr="00DD6D27">
        <w:rPr>
          <w:color w:val="auto"/>
        </w:rPr>
        <w:t xml:space="preserve">ms exist with this argument. Ms. Clark was not paid hourly. She </w:t>
      </w:r>
      <w:r w:rsidR="00BF4C43" w:rsidRPr="00DD6D27">
        <w:rPr>
          <w:color w:val="auto"/>
        </w:rPr>
        <w:t xml:space="preserve">was paid a $300 stipend for what was </w:t>
      </w:r>
      <w:r w:rsidR="00BF4C43" w:rsidRPr="00DD6D27">
        <w:rPr>
          <w:i/>
          <w:color w:val="auto"/>
        </w:rPr>
        <w:lastRenderedPageBreak/>
        <w:t>expected</w:t>
      </w:r>
      <w:r w:rsidR="00BF4C43" w:rsidRPr="00DD6D27">
        <w:rPr>
          <w:color w:val="auto"/>
        </w:rPr>
        <w:t xml:space="preserve"> to be 10 hours of work, but no evidence exists about how much time </w:t>
      </w:r>
      <w:r w:rsidR="00E000FE" w:rsidRPr="00DD6D27">
        <w:rPr>
          <w:color w:val="auto"/>
        </w:rPr>
        <w:t xml:space="preserve">Ms. Clark </w:t>
      </w:r>
      <w:r w:rsidR="002E38FB" w:rsidRPr="00DD6D27">
        <w:rPr>
          <w:color w:val="auto"/>
        </w:rPr>
        <w:t>worked.</w:t>
      </w:r>
      <w:r w:rsidR="00A9166E">
        <w:rPr>
          <w:color w:val="auto"/>
        </w:rPr>
        <w:t xml:space="preserve"> In addition, t</w:t>
      </w:r>
      <w:r w:rsidR="00BF4C43" w:rsidRPr="00DD6D27">
        <w:rPr>
          <w:color w:val="auto"/>
        </w:rPr>
        <w:t>he posting</w:t>
      </w:r>
      <w:r w:rsidR="00E000FE" w:rsidRPr="00DD6D27">
        <w:rPr>
          <w:color w:val="auto"/>
        </w:rPr>
        <w:t xml:space="preserve"> stated that stipends would be paid for </w:t>
      </w:r>
      <w:r w:rsidR="002D6143">
        <w:rPr>
          <w:color w:val="auto"/>
        </w:rPr>
        <w:t>“</w:t>
      </w:r>
      <w:r w:rsidR="00E000FE" w:rsidRPr="00DD6D27">
        <w:rPr>
          <w:color w:val="auto"/>
        </w:rPr>
        <w:t>regular participation,</w:t>
      </w:r>
      <w:r w:rsidR="002D6143">
        <w:rPr>
          <w:color w:val="auto"/>
        </w:rPr>
        <w:t>”</w:t>
      </w:r>
      <w:r w:rsidR="00E000FE" w:rsidRPr="00DD6D27">
        <w:rPr>
          <w:color w:val="auto"/>
        </w:rPr>
        <w:t xml:space="preserve"> but it is unclear whether a staff member who missed </w:t>
      </w:r>
      <w:r w:rsidR="002E38FB" w:rsidRPr="00DD6D27">
        <w:rPr>
          <w:color w:val="auto"/>
        </w:rPr>
        <w:t>some of the committee’s work could still receive the entire stipend.</w:t>
      </w:r>
    </w:p>
    <w:p w:rsidR="002E38FB" w:rsidRPr="00DD6D27" w:rsidRDefault="002E38FB" w:rsidP="00A97360">
      <w:pPr>
        <w:pStyle w:val="Default"/>
        <w:widowControl w:val="0"/>
        <w:spacing w:line="480" w:lineRule="auto"/>
        <w:rPr>
          <w:color w:val="auto"/>
        </w:rPr>
      </w:pPr>
      <w:r w:rsidRPr="00DD6D27">
        <w:rPr>
          <w:color w:val="auto"/>
        </w:rPr>
        <w:tab/>
        <w:t xml:space="preserve">The second problem is that it did </w:t>
      </w:r>
      <w:r w:rsidRPr="00DD6D27">
        <w:rPr>
          <w:i/>
          <w:color w:val="auto"/>
        </w:rPr>
        <w:t>not</w:t>
      </w:r>
      <w:r w:rsidRPr="00DD6D27">
        <w:rPr>
          <w:color w:val="auto"/>
        </w:rPr>
        <w:t xml:space="preserve"> stand to reason</w:t>
      </w:r>
      <w:r w:rsidR="00480024" w:rsidRPr="00DD6D27">
        <w:rPr>
          <w:color w:val="auto"/>
        </w:rPr>
        <w:t xml:space="preserve"> that Ms. Clark performed committee work during the summer. The reference </w:t>
      </w:r>
      <w:r w:rsidR="00D256DF" w:rsidRPr="00DD6D27">
        <w:rPr>
          <w:color w:val="auto"/>
        </w:rPr>
        <w:t xml:space="preserve">in the posting to </w:t>
      </w:r>
      <w:r w:rsidR="002D6143">
        <w:rPr>
          <w:color w:val="auto"/>
        </w:rPr>
        <w:t>“</w:t>
      </w:r>
      <w:r w:rsidR="00D256DF" w:rsidRPr="00DD6D27">
        <w:rPr>
          <w:color w:val="auto"/>
        </w:rPr>
        <w:t>student assemblies</w:t>
      </w:r>
      <w:r w:rsidR="002D6143">
        <w:rPr>
          <w:color w:val="auto"/>
        </w:rPr>
        <w:t>”</w:t>
      </w:r>
      <w:r w:rsidR="00D256DF" w:rsidRPr="00DD6D27">
        <w:rPr>
          <w:color w:val="auto"/>
        </w:rPr>
        <w:t xml:space="preserve"> indicates that at least some of the committee’s work was supposed to be during the </w:t>
      </w:r>
      <w:r w:rsidR="00B07338" w:rsidRPr="00DD6D27">
        <w:rPr>
          <w:color w:val="auto"/>
        </w:rPr>
        <w:t>school year</w:t>
      </w:r>
      <w:r w:rsidR="00D256DF" w:rsidRPr="00DD6D27">
        <w:rPr>
          <w:color w:val="auto"/>
        </w:rPr>
        <w:t xml:space="preserve">. As for the committee work being performed after </w:t>
      </w:r>
      <w:r w:rsidR="00027D4F" w:rsidRPr="00DD6D27">
        <w:rPr>
          <w:color w:val="auto"/>
        </w:rPr>
        <w:t xml:space="preserve">school hours, </w:t>
      </w:r>
      <w:r w:rsidR="00F2700C">
        <w:rPr>
          <w:color w:val="auto"/>
        </w:rPr>
        <w:t>it is unclear whether MTRS meant</w:t>
      </w:r>
      <w:r w:rsidR="00027D4F" w:rsidRPr="00DD6D27">
        <w:rPr>
          <w:color w:val="auto"/>
        </w:rPr>
        <w:t xml:space="preserve"> </w:t>
      </w:r>
      <w:r w:rsidR="009D6818" w:rsidRPr="00DD6D27">
        <w:rPr>
          <w:color w:val="auto"/>
        </w:rPr>
        <w:t>after class</w:t>
      </w:r>
      <w:r w:rsidR="00B07338" w:rsidRPr="00DD6D27">
        <w:rPr>
          <w:color w:val="auto"/>
        </w:rPr>
        <w:t>es</w:t>
      </w:r>
      <w:r w:rsidR="009D6818" w:rsidRPr="00DD6D27">
        <w:rPr>
          <w:color w:val="auto"/>
        </w:rPr>
        <w:t xml:space="preserve"> ha</w:t>
      </w:r>
      <w:r w:rsidR="00B07338" w:rsidRPr="00DD6D27">
        <w:rPr>
          <w:color w:val="auto"/>
        </w:rPr>
        <w:t>ve</w:t>
      </w:r>
      <w:r w:rsidR="009D6818" w:rsidRPr="00DD6D27">
        <w:rPr>
          <w:color w:val="auto"/>
        </w:rPr>
        <w:t xml:space="preserve"> ended or after </w:t>
      </w:r>
      <w:r w:rsidR="00B07338" w:rsidRPr="00DD6D27">
        <w:rPr>
          <w:color w:val="auto"/>
        </w:rPr>
        <w:t xml:space="preserve">a </w:t>
      </w:r>
      <w:r w:rsidR="009D6818" w:rsidRPr="00DD6D27">
        <w:rPr>
          <w:color w:val="auto"/>
        </w:rPr>
        <w:t>school</w:t>
      </w:r>
      <w:r w:rsidR="00B07338" w:rsidRPr="00DD6D27">
        <w:rPr>
          <w:color w:val="auto"/>
        </w:rPr>
        <w:t xml:space="preserve"> building</w:t>
      </w:r>
      <w:r w:rsidR="009D6818" w:rsidRPr="00DD6D27">
        <w:rPr>
          <w:color w:val="auto"/>
        </w:rPr>
        <w:t xml:space="preserve"> has closed</w:t>
      </w:r>
      <w:r w:rsidR="00B07338" w:rsidRPr="00DD6D27">
        <w:rPr>
          <w:color w:val="auto"/>
        </w:rPr>
        <w:t xml:space="preserve"> for the day</w:t>
      </w:r>
      <w:r w:rsidR="009D6818" w:rsidRPr="00DD6D27">
        <w:rPr>
          <w:color w:val="auto"/>
        </w:rPr>
        <w:t>. N</w:t>
      </w:r>
      <w:r w:rsidR="00027D4F" w:rsidRPr="00DD6D27">
        <w:rPr>
          <w:color w:val="auto"/>
        </w:rPr>
        <w:t xml:space="preserve">o regulation bars </w:t>
      </w:r>
      <w:r w:rsidR="00F2700C">
        <w:rPr>
          <w:color w:val="auto"/>
        </w:rPr>
        <w:t xml:space="preserve">regulation </w:t>
      </w:r>
      <w:r w:rsidR="00027D4F" w:rsidRPr="00DD6D27">
        <w:rPr>
          <w:color w:val="auto"/>
        </w:rPr>
        <w:t>compensation to teachers for th</w:t>
      </w:r>
      <w:r w:rsidR="009D6818" w:rsidRPr="00DD6D27">
        <w:rPr>
          <w:color w:val="auto"/>
        </w:rPr>
        <w:t>eir work after school hours and no evidence or even indication exists that committee members met</w:t>
      </w:r>
      <w:r w:rsidR="000D0C21" w:rsidRPr="00DD6D27">
        <w:rPr>
          <w:color w:val="auto"/>
        </w:rPr>
        <w:t xml:space="preserve"> after school buildings had</w:t>
      </w:r>
      <w:r w:rsidR="00B07338" w:rsidRPr="00DD6D27">
        <w:rPr>
          <w:color w:val="auto"/>
        </w:rPr>
        <w:t xml:space="preserve"> closed</w:t>
      </w:r>
      <w:r w:rsidR="000D0C21" w:rsidRPr="00DD6D27">
        <w:rPr>
          <w:color w:val="auto"/>
        </w:rPr>
        <w:t xml:space="preserve"> for the day</w:t>
      </w:r>
      <w:r w:rsidR="00B07338" w:rsidRPr="00DD6D27">
        <w:rPr>
          <w:color w:val="auto"/>
        </w:rPr>
        <w:t>.</w:t>
      </w:r>
    </w:p>
    <w:p w:rsidR="00B13C8E" w:rsidRPr="00DD6D27" w:rsidRDefault="00B13C8E" w:rsidP="00A97360">
      <w:pPr>
        <w:pStyle w:val="Default"/>
        <w:widowControl w:val="0"/>
        <w:spacing w:line="480" w:lineRule="auto"/>
        <w:rPr>
          <w:color w:val="auto"/>
        </w:rPr>
      </w:pPr>
      <w:r w:rsidRPr="00DD6D27">
        <w:rPr>
          <w:color w:val="auto"/>
        </w:rPr>
        <w:tab/>
        <w:t xml:space="preserve">What remains is MTRS’s first reason that the Code of Conduct Committee’s work was a special project that did not continue year to year. No evidence </w:t>
      </w:r>
      <w:r w:rsidR="007620B1" w:rsidRPr="00DD6D27">
        <w:rPr>
          <w:color w:val="auto"/>
        </w:rPr>
        <w:t xml:space="preserve">or even indication exists that this was the case. Nonetheless, Ms. Clark has, in effect, made herself unavailable </w:t>
      </w:r>
      <w:r w:rsidR="00530796" w:rsidRPr="00DD6D27">
        <w:rPr>
          <w:color w:val="auto"/>
        </w:rPr>
        <w:t>to present her case</w:t>
      </w:r>
      <w:r w:rsidR="00DD6D27">
        <w:rPr>
          <w:color w:val="auto"/>
        </w:rPr>
        <w:t xml:space="preserve"> or counter MTRS’s contention</w:t>
      </w:r>
      <w:r w:rsidR="00530796" w:rsidRPr="00DD6D27">
        <w:rPr>
          <w:color w:val="auto"/>
        </w:rPr>
        <w:t>. She did not present</w:t>
      </w:r>
      <w:r w:rsidR="00CE6796" w:rsidRPr="00DD6D27">
        <w:rPr>
          <w:color w:val="auto"/>
        </w:rPr>
        <w:t xml:space="preserve"> her case</w:t>
      </w:r>
      <w:r w:rsidR="00530796" w:rsidRPr="00DD6D27">
        <w:rPr>
          <w:color w:val="auto"/>
        </w:rPr>
        <w:t xml:space="preserve"> in a prehearing memorandum, as ordered, and, rather than dismiss her appeal</w:t>
      </w:r>
      <w:r w:rsidR="006C09EE" w:rsidRPr="00DD6D27">
        <w:rPr>
          <w:color w:val="auto"/>
        </w:rPr>
        <w:t>,</w:t>
      </w:r>
      <w:r w:rsidR="00530796" w:rsidRPr="00DD6D27">
        <w:rPr>
          <w:color w:val="auto"/>
        </w:rPr>
        <w:t xml:space="preserve"> as I could have under </w:t>
      </w:r>
      <w:r w:rsidR="00CE6796" w:rsidRPr="00DD6D27">
        <w:rPr>
          <w:color w:val="auto"/>
        </w:rPr>
        <w:t>801 CMR</w:t>
      </w:r>
      <w:r w:rsidR="006C09EE" w:rsidRPr="00DD6D27">
        <w:rPr>
          <w:color w:val="auto"/>
        </w:rPr>
        <w:t xml:space="preserve"> 1.01(7)(g)(2), I allowed it to proceed as if she had waived a hearing.</w:t>
      </w:r>
    </w:p>
    <w:p w:rsidR="00146DB6" w:rsidRDefault="00146DB6" w:rsidP="00A97360">
      <w:pPr>
        <w:pStyle w:val="Default"/>
        <w:widowControl w:val="0"/>
        <w:spacing w:line="480" w:lineRule="auto"/>
        <w:rPr>
          <w:color w:val="auto"/>
        </w:rPr>
      </w:pPr>
      <w:r w:rsidRPr="00DD6D27">
        <w:rPr>
          <w:color w:val="auto"/>
        </w:rPr>
        <w:tab/>
        <w:t>MTRS did not have the opportunity to question Ms. Clark about its contention. It could not ask her</w:t>
      </w:r>
      <w:r w:rsidR="007255B8" w:rsidRPr="00DD6D27">
        <w:rPr>
          <w:color w:val="auto"/>
        </w:rPr>
        <w:t>, for example,</w:t>
      </w:r>
      <w:r w:rsidRPr="00DD6D27">
        <w:rPr>
          <w:color w:val="auto"/>
        </w:rPr>
        <w:t xml:space="preserve"> how many years the Code of Conduct Committee operated</w:t>
      </w:r>
      <w:r w:rsidR="007255B8" w:rsidRPr="00DD6D27">
        <w:rPr>
          <w:color w:val="auto"/>
        </w:rPr>
        <w:t xml:space="preserve">. This was Ms. Clark’s case to make, </w:t>
      </w:r>
      <w:bookmarkStart w:id="1" w:name="hit2"/>
      <w:bookmarkEnd w:id="1"/>
      <w:r w:rsidR="00DD6D27" w:rsidRPr="00DD6D27">
        <w:rPr>
          <w:noProof/>
          <w:color w:val="auto"/>
        </w:rPr>
        <w:drawing>
          <wp:inline distT="0" distB="0" distL="0" distR="0" wp14:anchorId="5ACB47D0" wp14:editId="438ED605">
            <wp:extent cx="9525" cy="9525"/>
            <wp:effectExtent l="0" t="0" r="0" b="0"/>
            <wp:docPr id="1" name="Picture 1" descr="Previous Hi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ous Hi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D27" w:rsidRPr="00DD6D27">
        <w:rPr>
          <w:i/>
          <w:color w:val="auto"/>
        </w:rPr>
        <w:t>Lisbon</w:t>
      </w:r>
      <w:r w:rsidR="00DD6D27" w:rsidRPr="00DD6D27">
        <w:rPr>
          <w:i/>
          <w:color w:val="auto"/>
          <w:lang w:val="en"/>
        </w:rPr>
        <w:t xml:space="preserve"> v. Contributory Retirement Appeal Board</w:t>
      </w:r>
      <w:r w:rsidR="00DD6D27" w:rsidRPr="00DD6D27">
        <w:rPr>
          <w:color w:val="auto"/>
          <w:lang w:val="en"/>
        </w:rPr>
        <w:t xml:space="preserve">, </w:t>
      </w:r>
      <w:hyperlink r:id="rId11" w:history="1">
        <w:r w:rsidR="00DD6D27" w:rsidRPr="00DD6D27">
          <w:rPr>
            <w:rStyle w:val="Hyperlink"/>
            <w:color w:val="auto"/>
            <w:lang w:val="en"/>
          </w:rPr>
          <w:t>41 Mass. App. Ct. 246</w:t>
        </w:r>
      </w:hyperlink>
      <w:r w:rsidR="00DD6D27" w:rsidRPr="00DD6D27">
        <w:rPr>
          <w:color w:val="auto"/>
          <w:lang w:val="en"/>
        </w:rPr>
        <w:t xml:space="preserve">, 255 (1996), </w:t>
      </w:r>
      <w:r w:rsidR="007255B8" w:rsidRPr="00DD6D27">
        <w:rPr>
          <w:color w:val="auto"/>
        </w:rPr>
        <w:t xml:space="preserve">and she has </w:t>
      </w:r>
      <w:r w:rsidR="00306446">
        <w:rPr>
          <w:color w:val="auto"/>
        </w:rPr>
        <w:t>barely participated in trying to make it</w:t>
      </w:r>
      <w:r w:rsidR="007255B8" w:rsidRPr="00DD6D27">
        <w:rPr>
          <w:color w:val="auto"/>
        </w:rPr>
        <w:t>.</w:t>
      </w:r>
      <w:r w:rsidR="00306446">
        <w:rPr>
          <w:color w:val="auto"/>
        </w:rPr>
        <w:t xml:space="preserve"> </w:t>
      </w:r>
      <w:r w:rsidR="001B70DD">
        <w:rPr>
          <w:color w:val="auto"/>
        </w:rPr>
        <w:t>Ms. Clark’s unavailability</w:t>
      </w:r>
      <w:r w:rsidR="00D5647C">
        <w:rPr>
          <w:color w:val="auto"/>
        </w:rPr>
        <w:t xml:space="preserve"> is one reason that </w:t>
      </w:r>
      <w:r w:rsidR="001B70DD">
        <w:rPr>
          <w:color w:val="auto"/>
        </w:rPr>
        <w:t xml:space="preserve">she </w:t>
      </w:r>
      <w:r w:rsidR="00D5647C">
        <w:rPr>
          <w:color w:val="auto"/>
        </w:rPr>
        <w:t>does not prevail.</w:t>
      </w:r>
    </w:p>
    <w:p w:rsidR="00A9166E" w:rsidRPr="00A9166E" w:rsidRDefault="000E7AB8" w:rsidP="000E7AB8">
      <w:pPr>
        <w:pStyle w:val="Default"/>
        <w:widowControl w:val="0"/>
        <w:spacing w:line="480" w:lineRule="auto"/>
        <w:rPr>
          <w:rFonts w:eastAsia="Times New Roman"/>
          <w:color w:val="auto"/>
          <w:lang w:val="en"/>
        </w:rPr>
      </w:pPr>
      <w:r>
        <w:rPr>
          <w:color w:val="auto"/>
        </w:rPr>
        <w:tab/>
      </w:r>
      <w:r w:rsidR="00D5647C">
        <w:rPr>
          <w:color w:val="auto"/>
        </w:rPr>
        <w:t>Another reason is that f</w:t>
      </w:r>
      <w:r w:rsidR="00A9166E" w:rsidRPr="00A9166E">
        <w:rPr>
          <w:rFonts w:eastAsia="Times New Roman"/>
          <w:color w:val="auto"/>
          <w:lang w:val="en"/>
        </w:rPr>
        <w:t xml:space="preserve">or public school teachers, </w:t>
      </w:r>
      <w:r w:rsidR="002D6143">
        <w:rPr>
          <w:rFonts w:eastAsia="Times New Roman"/>
          <w:lang w:val="en"/>
        </w:rPr>
        <w:t>“</w:t>
      </w:r>
      <w:r w:rsidR="00A9166E" w:rsidRPr="00A9166E">
        <w:rPr>
          <w:rFonts w:eastAsia="Times New Roman"/>
          <w:color w:val="auto"/>
          <w:lang w:val="en"/>
        </w:rPr>
        <w:t>regular compensation</w:t>
      </w:r>
      <w:r w:rsidR="002D6143">
        <w:rPr>
          <w:rFonts w:eastAsia="Times New Roman"/>
          <w:lang w:val="en"/>
        </w:rPr>
        <w:t>”</w:t>
      </w:r>
      <w:r w:rsidR="00A9166E" w:rsidRPr="00A9166E">
        <w:rPr>
          <w:rFonts w:eastAsia="Times New Roman"/>
          <w:color w:val="auto"/>
          <w:lang w:val="en"/>
        </w:rPr>
        <w:t xml:space="preserve"> includes </w:t>
      </w:r>
      <w:r w:rsidR="002D6143">
        <w:rPr>
          <w:rFonts w:eastAsia="Times New Roman"/>
          <w:lang w:val="en"/>
        </w:rPr>
        <w:lastRenderedPageBreak/>
        <w:t>“salary payable under the t</w:t>
      </w:r>
      <w:r w:rsidR="006C773A">
        <w:rPr>
          <w:rFonts w:eastAsia="Times New Roman"/>
          <w:lang w:val="en"/>
        </w:rPr>
        <w:t>erm</w:t>
      </w:r>
      <w:r w:rsidR="00A9166E" w:rsidRPr="00A9166E">
        <w:rPr>
          <w:rFonts w:eastAsia="Times New Roman"/>
          <w:color w:val="auto"/>
          <w:lang w:val="en"/>
        </w:rPr>
        <w:t>s of an annual contract for additional services.</w:t>
      </w:r>
      <w:r w:rsidR="002D6143">
        <w:rPr>
          <w:rFonts w:eastAsia="Times New Roman"/>
          <w:lang w:val="en"/>
        </w:rPr>
        <w:t>”</w:t>
      </w:r>
      <w:r w:rsidR="00A9166E" w:rsidRPr="00A9166E">
        <w:rPr>
          <w:rFonts w:eastAsia="Times New Roman"/>
          <w:color w:val="auto"/>
          <w:lang w:val="en"/>
        </w:rPr>
        <w:t xml:space="preserve"> G.L. c. 32, § 1 (definition of </w:t>
      </w:r>
      <w:r w:rsidR="002D6143">
        <w:rPr>
          <w:rFonts w:eastAsia="Times New Roman"/>
          <w:lang w:val="en"/>
        </w:rPr>
        <w:t>“</w:t>
      </w:r>
      <w:r w:rsidR="00A9166E" w:rsidRPr="00A9166E">
        <w:rPr>
          <w:rFonts w:eastAsia="Times New Roman"/>
          <w:color w:val="auto"/>
          <w:lang w:val="en"/>
        </w:rPr>
        <w:t>regular compensation</w:t>
      </w:r>
      <w:r w:rsidR="002D6143">
        <w:rPr>
          <w:rFonts w:eastAsia="Times New Roman"/>
          <w:lang w:val="en"/>
        </w:rPr>
        <w:t>”</w:t>
      </w:r>
      <w:r w:rsidR="00A9166E" w:rsidRPr="00A9166E">
        <w:rPr>
          <w:rFonts w:eastAsia="Times New Roman"/>
          <w:color w:val="auto"/>
          <w:lang w:val="en"/>
        </w:rPr>
        <w:t>)</w:t>
      </w:r>
      <w:r w:rsidR="002D6143">
        <w:rPr>
          <w:rFonts w:eastAsia="Times New Roman"/>
          <w:lang w:val="en"/>
        </w:rPr>
        <w:t>.</w:t>
      </w:r>
    </w:p>
    <w:p w:rsidR="00A9166E" w:rsidRDefault="00A9166E" w:rsidP="002D6143">
      <w:pPr>
        <w:rPr>
          <w:rFonts w:eastAsia="Times New Roman" w:cs="Times New Roman"/>
          <w:szCs w:val="24"/>
          <w:lang w:val="en"/>
        </w:rPr>
      </w:pPr>
      <w:r w:rsidRPr="002D6143">
        <w:rPr>
          <w:rFonts w:eastAsia="Times New Roman" w:cs="Times New Roman"/>
          <w:noProof/>
          <w:szCs w:val="24"/>
        </w:rPr>
        <w:drawing>
          <wp:inline distT="0" distB="0" distL="0" distR="0" wp14:anchorId="5259E3A1" wp14:editId="5D7E8734">
            <wp:extent cx="342900" cy="9525"/>
            <wp:effectExtent l="0" t="0" r="0" b="0"/>
            <wp:docPr id="4" name="Picture 4" descr="http://sll.gvpi.net/images/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ll.gvpi.net/images/1x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66E">
        <w:rPr>
          <w:rFonts w:eastAsia="Times New Roman" w:cs="Times New Roman"/>
          <w:szCs w:val="24"/>
          <w:lang w:val="en"/>
        </w:rPr>
        <w:t xml:space="preserve">807 CMR 6.02 elaborates on the statute. Regular compensation includes </w:t>
      </w:r>
      <w:r w:rsidR="002D6143">
        <w:rPr>
          <w:rFonts w:eastAsia="Times New Roman" w:cs="Times New Roman"/>
          <w:szCs w:val="24"/>
          <w:lang w:val="en"/>
        </w:rPr>
        <w:t>“</w:t>
      </w:r>
      <w:r w:rsidRPr="00A9166E">
        <w:rPr>
          <w:rFonts w:eastAsia="Times New Roman" w:cs="Times New Roman"/>
          <w:szCs w:val="24"/>
          <w:lang w:val="en"/>
        </w:rPr>
        <w:t>salary payable under the terms of an annual contract for additional services so long as</w:t>
      </w:r>
      <w:proofErr w:type="gramStart"/>
      <w:r w:rsidRPr="00A9166E">
        <w:rPr>
          <w:rFonts w:eastAsia="Times New Roman" w:cs="Times New Roman"/>
          <w:szCs w:val="24"/>
          <w:lang w:val="en"/>
        </w:rPr>
        <w:t>...[</w:t>
      </w:r>
      <w:proofErr w:type="gramEnd"/>
      <w:r w:rsidRPr="00A9166E">
        <w:rPr>
          <w:rFonts w:eastAsia="Times New Roman" w:cs="Times New Roman"/>
          <w:szCs w:val="24"/>
          <w:lang w:val="en"/>
        </w:rPr>
        <w:t>t]he additional services are set forth in the annual contract</w:t>
      </w:r>
      <w:r w:rsidR="002D6143">
        <w:rPr>
          <w:rFonts w:eastAsia="Times New Roman" w:cs="Times New Roman"/>
          <w:szCs w:val="24"/>
          <w:lang w:val="en"/>
        </w:rPr>
        <w:t>”</w:t>
      </w:r>
      <w:r w:rsidRPr="00A9166E">
        <w:rPr>
          <w:rFonts w:eastAsia="Times New Roman" w:cs="Times New Roman"/>
          <w:szCs w:val="24"/>
          <w:lang w:val="en"/>
        </w:rPr>
        <w:t xml:space="preserve"> and </w:t>
      </w:r>
      <w:r w:rsidR="002D6143">
        <w:rPr>
          <w:rFonts w:eastAsia="Times New Roman" w:cs="Times New Roman"/>
          <w:szCs w:val="24"/>
          <w:lang w:val="en"/>
        </w:rPr>
        <w:t>“</w:t>
      </w:r>
      <w:r w:rsidRPr="00A9166E">
        <w:rPr>
          <w:rFonts w:eastAsia="Times New Roman" w:cs="Times New Roman"/>
          <w:szCs w:val="24"/>
          <w:lang w:val="en"/>
        </w:rPr>
        <w:t>[t]he remuneration for these services is provided in the annual contract.</w:t>
      </w:r>
      <w:r w:rsidR="002D6143">
        <w:rPr>
          <w:rFonts w:eastAsia="Times New Roman" w:cs="Times New Roman"/>
          <w:szCs w:val="24"/>
          <w:lang w:val="en"/>
        </w:rPr>
        <w:t>”</w:t>
      </w:r>
      <w:r w:rsidRPr="00A9166E">
        <w:rPr>
          <w:rFonts w:eastAsia="Times New Roman" w:cs="Times New Roman"/>
          <w:szCs w:val="24"/>
          <w:lang w:val="en"/>
        </w:rPr>
        <w:t xml:space="preserve"> 807 CMR 6.02(a) and (c). (An </w:t>
      </w:r>
      <w:r w:rsidR="002D6143">
        <w:rPr>
          <w:rFonts w:eastAsia="Times New Roman" w:cs="Times New Roman"/>
          <w:szCs w:val="24"/>
          <w:lang w:val="en"/>
        </w:rPr>
        <w:t>“</w:t>
      </w:r>
      <w:r w:rsidRPr="00A9166E">
        <w:rPr>
          <w:rFonts w:eastAsia="Times New Roman" w:cs="Times New Roman"/>
          <w:szCs w:val="24"/>
          <w:lang w:val="en"/>
        </w:rPr>
        <w:t>annual contract</w:t>
      </w:r>
      <w:r w:rsidR="002D6143">
        <w:rPr>
          <w:rFonts w:eastAsia="Times New Roman" w:cs="Times New Roman"/>
          <w:szCs w:val="24"/>
          <w:lang w:val="en"/>
        </w:rPr>
        <w:t>”</w:t>
      </w:r>
      <w:r w:rsidRPr="00A9166E">
        <w:rPr>
          <w:rFonts w:eastAsia="Times New Roman" w:cs="Times New Roman"/>
          <w:szCs w:val="24"/>
          <w:lang w:val="en"/>
        </w:rPr>
        <w:t xml:space="preserve"> under G.L. c. 32, § 1 and 807 CMR 6.02 is </w:t>
      </w:r>
      <w:r w:rsidR="000E7AB8">
        <w:rPr>
          <w:rFonts w:eastAsia="Times New Roman" w:cs="Times New Roman"/>
          <w:szCs w:val="24"/>
          <w:lang w:val="en"/>
        </w:rPr>
        <w:t xml:space="preserve">a collective </w:t>
      </w:r>
      <w:r w:rsidRPr="00A9166E">
        <w:rPr>
          <w:rFonts w:eastAsia="Times New Roman" w:cs="Times New Roman"/>
          <w:szCs w:val="24"/>
          <w:lang w:val="en"/>
        </w:rPr>
        <w:t>bargaining agreement. 807 CMR 6.01.)</w:t>
      </w:r>
    </w:p>
    <w:p w:rsidR="000E7AB8" w:rsidRPr="00A9166E" w:rsidRDefault="000E7AB8" w:rsidP="002D6143">
      <w:pPr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  <w:lang w:val="en"/>
        </w:rPr>
        <w:tab/>
        <w:t xml:space="preserve">Although “Teacher </w:t>
      </w:r>
      <w:r w:rsidR="007E5F8B">
        <w:rPr>
          <w:rFonts w:eastAsia="Times New Roman" w:cs="Times New Roman"/>
          <w:szCs w:val="24"/>
          <w:lang w:val="en"/>
        </w:rPr>
        <w:t>to Teacher I” appears in the CBA (Ex. 2, p. 12)</w:t>
      </w:r>
      <w:r w:rsidR="00D5647C">
        <w:rPr>
          <w:rFonts w:eastAsia="Times New Roman" w:cs="Times New Roman"/>
          <w:szCs w:val="24"/>
          <w:lang w:val="en"/>
        </w:rPr>
        <w:t xml:space="preserve">, the Code of Conduct Committee does not. Neither does the remuneration for </w:t>
      </w:r>
      <w:r w:rsidR="00A16F38">
        <w:rPr>
          <w:rFonts w:eastAsia="Times New Roman" w:cs="Times New Roman"/>
          <w:szCs w:val="24"/>
          <w:lang w:val="en"/>
        </w:rPr>
        <w:t>Teacher to Teacher I in the year that Ms. Clark received it.</w:t>
      </w:r>
      <w:r w:rsidR="003A1F24">
        <w:rPr>
          <w:rFonts w:eastAsia="Times New Roman" w:cs="Times New Roman"/>
          <w:szCs w:val="24"/>
          <w:lang w:val="en"/>
        </w:rPr>
        <w:t xml:space="preserve"> Therefore, the $300 stipend was not regular compensation.</w:t>
      </w:r>
    </w:p>
    <w:p w:rsidR="00790BE1" w:rsidRPr="00DD6D27" w:rsidRDefault="00790BE1" w:rsidP="00790BE1">
      <w:pPr>
        <w:pStyle w:val="Default"/>
        <w:spacing w:line="480" w:lineRule="auto"/>
        <w:jc w:val="center"/>
        <w:rPr>
          <w:b/>
          <w:color w:val="auto"/>
        </w:rPr>
      </w:pPr>
      <w:r w:rsidRPr="00DD6D27">
        <w:rPr>
          <w:b/>
          <w:color w:val="auto"/>
        </w:rPr>
        <w:t>Conclusion and Order</w:t>
      </w:r>
    </w:p>
    <w:p w:rsidR="00790BE1" w:rsidRPr="00DD6D27" w:rsidRDefault="00790BE1" w:rsidP="00192364">
      <w:pPr>
        <w:pStyle w:val="Default"/>
        <w:spacing w:line="480" w:lineRule="auto"/>
        <w:rPr>
          <w:color w:val="auto"/>
        </w:rPr>
      </w:pPr>
      <w:r w:rsidRPr="00DD6D27">
        <w:rPr>
          <w:color w:val="auto"/>
        </w:rPr>
        <w:tab/>
      </w:r>
      <w:r w:rsidR="000B1D34">
        <w:rPr>
          <w:color w:val="auto"/>
        </w:rPr>
        <w:t xml:space="preserve">Ms. Clark’s $300 stipend was not regular compensation and was properly excluded from her pension calculation. It was not regular compensation because </w:t>
      </w:r>
      <w:r w:rsidR="00037299">
        <w:rPr>
          <w:color w:val="auto"/>
        </w:rPr>
        <w:t xml:space="preserve">the stipend’s details did not appear in the CBA. In addition, Ms. Clark did not make her case </w:t>
      </w:r>
      <w:r w:rsidR="00ED64A1">
        <w:rPr>
          <w:color w:val="auto"/>
        </w:rPr>
        <w:t xml:space="preserve">that the stipend was regular compensation </w:t>
      </w:r>
      <w:r w:rsidR="00192364">
        <w:rPr>
          <w:color w:val="auto"/>
        </w:rPr>
        <w:t>and not excludable as payment for a special project that did not continue year to year.</w:t>
      </w:r>
      <w:r w:rsidRPr="00DD6D27">
        <w:rPr>
          <w:color w:val="auto"/>
        </w:rPr>
        <w:tab/>
        <w:t xml:space="preserve"> </w:t>
      </w: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DD6D27">
        <w:tab/>
      </w:r>
      <w:r w:rsidRPr="00DD6D27">
        <w:tab/>
      </w:r>
      <w:r w:rsidRPr="00DD6D27">
        <w:tab/>
      </w:r>
      <w:r w:rsidRPr="00DD6D27">
        <w:tab/>
      </w:r>
      <w:r w:rsidRPr="00DD6D27">
        <w:tab/>
        <w:t>DIVISION OF ADMINISTRATIVE LAW APPEALS</w:t>
      </w: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DD6D27">
        <w:tab/>
      </w:r>
      <w:r w:rsidRPr="00DD6D27">
        <w:tab/>
      </w:r>
      <w:r w:rsidRPr="00DD6D27">
        <w:tab/>
      </w:r>
      <w:r w:rsidRPr="00DD6D27">
        <w:tab/>
      </w:r>
      <w:r w:rsidRPr="00DD6D27">
        <w:tab/>
        <w:t>__________________________________</w:t>
      </w: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DD6D27">
        <w:tab/>
      </w:r>
      <w:r w:rsidRPr="00DD6D27">
        <w:tab/>
      </w:r>
      <w:r w:rsidRPr="00DD6D27">
        <w:tab/>
      </w:r>
      <w:r w:rsidRPr="00DD6D27">
        <w:tab/>
      </w:r>
      <w:r w:rsidRPr="00DD6D27">
        <w:tab/>
        <w:t>Kenneth Bresler</w:t>
      </w: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DD6D27">
        <w:tab/>
      </w:r>
      <w:r w:rsidRPr="00DD6D27">
        <w:tab/>
      </w:r>
      <w:r w:rsidRPr="00DD6D27">
        <w:tab/>
      </w:r>
      <w:r w:rsidRPr="00DD6D27">
        <w:tab/>
      </w:r>
      <w:r w:rsidRPr="00DD6D27">
        <w:tab/>
        <w:t>Administrative Magistrate</w:t>
      </w: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DD6D27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DD6D27" w:rsidRDefault="00790BE1" w:rsidP="00B671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DD6D27">
        <w:t xml:space="preserve">Dated: </w:t>
      </w:r>
      <w:r w:rsidR="00B67100">
        <w:t>June 22, 2018</w:t>
      </w:r>
    </w:p>
    <w:p w:rsidR="00343DEA" w:rsidRPr="00DD6D27" w:rsidRDefault="00343DEA" w:rsidP="00A61B7F">
      <w:pPr>
        <w:widowControl w:val="0"/>
      </w:pPr>
    </w:p>
    <w:p w:rsidR="00DD6D27" w:rsidRPr="00DD6D27" w:rsidRDefault="00DD6D27">
      <w:pPr>
        <w:widowControl w:val="0"/>
      </w:pPr>
    </w:p>
    <w:sectPr w:rsidR="00DD6D27" w:rsidRPr="00DD6D27" w:rsidSect="00FB0030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41" w:rsidRDefault="00186541">
      <w:pPr>
        <w:spacing w:line="240" w:lineRule="auto"/>
      </w:pPr>
      <w:r>
        <w:separator/>
      </w:r>
    </w:p>
  </w:endnote>
  <w:endnote w:type="continuationSeparator" w:id="0">
    <w:p w:rsidR="00186541" w:rsidRDefault="00186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586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1DB8" w:rsidRDefault="00790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1C1" w:rsidRDefault="00186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C1" w:rsidRDefault="00186541">
    <w:pPr>
      <w:pStyle w:val="Footer"/>
      <w:jc w:val="center"/>
    </w:pPr>
  </w:p>
  <w:p w:rsidR="004721C1" w:rsidRDefault="00186541" w:rsidP="00FB003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41" w:rsidRDefault="00186541">
      <w:pPr>
        <w:spacing w:line="240" w:lineRule="auto"/>
      </w:pPr>
      <w:r>
        <w:separator/>
      </w:r>
    </w:p>
  </w:footnote>
  <w:footnote w:type="continuationSeparator" w:id="0">
    <w:p w:rsidR="00186541" w:rsidRDefault="00186541">
      <w:pPr>
        <w:spacing w:line="240" w:lineRule="auto"/>
      </w:pPr>
      <w:r>
        <w:continuationSeparator/>
      </w:r>
    </w:p>
  </w:footnote>
  <w:footnote w:id="1">
    <w:p w:rsidR="00A90A03" w:rsidRPr="00A90A03" w:rsidRDefault="00A90A03" w:rsidP="00A90A03">
      <w:pPr>
        <w:pStyle w:val="FootnoteText"/>
        <w:spacing w:after="120"/>
        <w:rPr>
          <w:sz w:val="24"/>
          <w:szCs w:val="24"/>
        </w:rPr>
      </w:pPr>
      <w:r w:rsidRPr="00A90A03">
        <w:rPr>
          <w:rStyle w:val="FootnoteReference"/>
          <w:sz w:val="24"/>
          <w:szCs w:val="24"/>
        </w:rPr>
        <w:footnoteRef/>
      </w:r>
      <w:r w:rsidRPr="00A90A03">
        <w:rPr>
          <w:sz w:val="24"/>
          <w:szCs w:val="24"/>
        </w:rPr>
        <w:t xml:space="preserve"> It is unclear why the CBA, which began in September 2010, discussed previous school years.</w:t>
      </w:r>
    </w:p>
  </w:footnote>
  <w:footnote w:id="2">
    <w:p w:rsidR="00A90A03" w:rsidRPr="00A90A03" w:rsidRDefault="00A90A03" w:rsidP="00A90A03">
      <w:pPr>
        <w:pStyle w:val="FootnoteText"/>
        <w:spacing w:after="120"/>
        <w:rPr>
          <w:sz w:val="24"/>
          <w:szCs w:val="24"/>
        </w:rPr>
      </w:pPr>
      <w:r w:rsidRPr="00A90A03">
        <w:rPr>
          <w:rStyle w:val="FootnoteReference"/>
          <w:sz w:val="24"/>
          <w:szCs w:val="24"/>
        </w:rPr>
        <w:footnoteRef/>
      </w:r>
      <w:r w:rsidRPr="00A90A03">
        <w:rPr>
          <w:sz w:val="24"/>
          <w:szCs w:val="24"/>
        </w:rPr>
        <w:t xml:space="preserve"> The evidence did not explain what “Teacher to Teacher I” means.</w:t>
      </w:r>
    </w:p>
  </w:footnote>
  <w:footnote w:id="3">
    <w:p w:rsidR="00E052B8" w:rsidRPr="00A90A03" w:rsidRDefault="00E052B8" w:rsidP="00A90A03">
      <w:pPr>
        <w:pStyle w:val="FootnoteText"/>
        <w:spacing w:after="120"/>
        <w:rPr>
          <w:sz w:val="24"/>
          <w:szCs w:val="24"/>
        </w:rPr>
      </w:pPr>
      <w:r w:rsidRPr="00A90A03">
        <w:rPr>
          <w:rStyle w:val="FootnoteReference"/>
          <w:sz w:val="24"/>
          <w:szCs w:val="24"/>
        </w:rPr>
        <w:footnoteRef/>
      </w:r>
      <w:r w:rsidRPr="00A90A03">
        <w:rPr>
          <w:sz w:val="24"/>
          <w:szCs w:val="24"/>
        </w:rPr>
        <w:t xml:space="preserve"> The evidence did not explain what “JAM” means.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E1"/>
    <w:rsid w:val="00027D4F"/>
    <w:rsid w:val="00037299"/>
    <w:rsid w:val="000540CA"/>
    <w:rsid w:val="00090CB3"/>
    <w:rsid w:val="000B1D34"/>
    <w:rsid w:val="000D0C21"/>
    <w:rsid w:val="000E02FC"/>
    <w:rsid w:val="000E7AB8"/>
    <w:rsid w:val="000F19B8"/>
    <w:rsid w:val="00112DCC"/>
    <w:rsid w:val="00146DB6"/>
    <w:rsid w:val="00186541"/>
    <w:rsid w:val="00192364"/>
    <w:rsid w:val="0019695D"/>
    <w:rsid w:val="001B1569"/>
    <w:rsid w:val="001B70DD"/>
    <w:rsid w:val="001C2E65"/>
    <w:rsid w:val="001D5321"/>
    <w:rsid w:val="00241F76"/>
    <w:rsid w:val="00245571"/>
    <w:rsid w:val="00277485"/>
    <w:rsid w:val="00285ED4"/>
    <w:rsid w:val="002D6143"/>
    <w:rsid w:val="002E38FB"/>
    <w:rsid w:val="00306446"/>
    <w:rsid w:val="00343DEA"/>
    <w:rsid w:val="00375669"/>
    <w:rsid w:val="003963B6"/>
    <w:rsid w:val="00397E90"/>
    <w:rsid w:val="003A1F24"/>
    <w:rsid w:val="003B706C"/>
    <w:rsid w:val="003E115A"/>
    <w:rsid w:val="00434B15"/>
    <w:rsid w:val="00452047"/>
    <w:rsid w:val="00480024"/>
    <w:rsid w:val="00490CEC"/>
    <w:rsid w:val="004B0257"/>
    <w:rsid w:val="004B3D0D"/>
    <w:rsid w:val="004B7E32"/>
    <w:rsid w:val="00530796"/>
    <w:rsid w:val="00534924"/>
    <w:rsid w:val="0053742E"/>
    <w:rsid w:val="00546224"/>
    <w:rsid w:val="005A370C"/>
    <w:rsid w:val="005A6E39"/>
    <w:rsid w:val="005B25F8"/>
    <w:rsid w:val="005E4CF9"/>
    <w:rsid w:val="00623914"/>
    <w:rsid w:val="0064174A"/>
    <w:rsid w:val="006C09EE"/>
    <w:rsid w:val="006C773A"/>
    <w:rsid w:val="007255B8"/>
    <w:rsid w:val="00740F7C"/>
    <w:rsid w:val="007446AC"/>
    <w:rsid w:val="007620B1"/>
    <w:rsid w:val="00790BE1"/>
    <w:rsid w:val="007D2217"/>
    <w:rsid w:val="007E5F8B"/>
    <w:rsid w:val="00805886"/>
    <w:rsid w:val="00842959"/>
    <w:rsid w:val="008720A1"/>
    <w:rsid w:val="00893314"/>
    <w:rsid w:val="008B32DF"/>
    <w:rsid w:val="008D4EFB"/>
    <w:rsid w:val="008F021F"/>
    <w:rsid w:val="0093635B"/>
    <w:rsid w:val="00956237"/>
    <w:rsid w:val="0098799F"/>
    <w:rsid w:val="009A0BCC"/>
    <w:rsid w:val="009D6818"/>
    <w:rsid w:val="00A16F38"/>
    <w:rsid w:val="00A53DA1"/>
    <w:rsid w:val="00A61B7F"/>
    <w:rsid w:val="00A73BD0"/>
    <w:rsid w:val="00A90A03"/>
    <w:rsid w:val="00A9166E"/>
    <w:rsid w:val="00A97360"/>
    <w:rsid w:val="00AC1718"/>
    <w:rsid w:val="00B0049D"/>
    <w:rsid w:val="00B07338"/>
    <w:rsid w:val="00B13C8E"/>
    <w:rsid w:val="00B51653"/>
    <w:rsid w:val="00B55ED4"/>
    <w:rsid w:val="00B67100"/>
    <w:rsid w:val="00BB48F9"/>
    <w:rsid w:val="00BE6661"/>
    <w:rsid w:val="00BF4C43"/>
    <w:rsid w:val="00C6221D"/>
    <w:rsid w:val="00C7348D"/>
    <w:rsid w:val="00CB118B"/>
    <w:rsid w:val="00CE6796"/>
    <w:rsid w:val="00D250E7"/>
    <w:rsid w:val="00D256DF"/>
    <w:rsid w:val="00D36F7A"/>
    <w:rsid w:val="00D5542E"/>
    <w:rsid w:val="00D5647C"/>
    <w:rsid w:val="00D60466"/>
    <w:rsid w:val="00DC5D34"/>
    <w:rsid w:val="00DD6D27"/>
    <w:rsid w:val="00E000FE"/>
    <w:rsid w:val="00E052B8"/>
    <w:rsid w:val="00E51823"/>
    <w:rsid w:val="00EC389F"/>
    <w:rsid w:val="00ED64A1"/>
    <w:rsid w:val="00EF671F"/>
    <w:rsid w:val="00F13322"/>
    <w:rsid w:val="00F16BA3"/>
    <w:rsid w:val="00F2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52B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2B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2B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D6D27"/>
    <w:rPr>
      <w:strike w:val="0"/>
      <w:dstrike w:val="0"/>
      <w:color w:val="1D1D1D"/>
      <w:u w:val="none"/>
      <w:effect w:val="none"/>
    </w:rPr>
  </w:style>
  <w:style w:type="character" w:customStyle="1" w:styleId="searchhit1">
    <w:name w:val="searchhit1"/>
    <w:basedOn w:val="DefaultParagraphFont"/>
    <w:rsid w:val="00DD6D27"/>
    <w:rPr>
      <w:shd w:val="clear" w:color="auto" w:fill="FFFF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B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D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52B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2B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2B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D6D27"/>
    <w:rPr>
      <w:strike w:val="0"/>
      <w:dstrike w:val="0"/>
      <w:color w:val="1D1D1D"/>
      <w:u w:val="none"/>
      <w:effect w:val="none"/>
    </w:rPr>
  </w:style>
  <w:style w:type="character" w:customStyle="1" w:styleId="searchhit1">
    <w:name w:val="searchhit1"/>
    <w:basedOn w:val="DefaultParagraphFont"/>
    <w:rsid w:val="00DD6D27"/>
    <w:rPr>
      <w:shd w:val="clear" w:color="auto" w:fill="FFFF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B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6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3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44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l.gvpi.net/document.php?id=sjcapp:19_mass_app_ct_456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ll.gvpi.net/document.php?id=sjcapp:41_mass_app_ct_2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sll.gvpi.net/document.php?id=crab:crab16f-65&amp;type=hitlist&amp;num=2#hit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EBAE-0B50-45DC-B706-04C037F0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2018-06-18T19:41:00Z</cp:lastPrinted>
  <dcterms:created xsi:type="dcterms:W3CDTF">2018-08-08T20:43:00Z</dcterms:created>
  <dcterms:modified xsi:type="dcterms:W3CDTF">2018-08-08T20:43:00Z</dcterms:modified>
</cp:coreProperties>
</file>