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3E" w:rsidRPr="00011D64" w:rsidRDefault="005A553E" w:rsidP="005A553E">
      <w:pPr>
        <w:jc w:val="center"/>
        <w:rPr>
          <w:rFonts w:ascii="Cambria" w:hAnsi="Cambria"/>
          <w:lang w:val="es-ES_tradnl"/>
        </w:rPr>
      </w:pPr>
      <w:bookmarkStart w:id="0" w:name="_GoBack"/>
      <w:bookmarkEnd w:id="0"/>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r w:rsidRPr="00011D64">
        <w:rPr>
          <w:rFonts w:ascii="Cambria" w:hAnsi="Cambria"/>
        </w:rPr>
        <w:t>Massachusetts Department of Public Health</w:t>
      </w: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b/>
          <w:sz w:val="40"/>
        </w:rPr>
      </w:pPr>
    </w:p>
    <w:p w:rsidR="005A553E" w:rsidRPr="00011D64" w:rsidRDefault="005A553E" w:rsidP="005A553E">
      <w:pPr>
        <w:jc w:val="center"/>
        <w:rPr>
          <w:rFonts w:ascii="Cambria" w:hAnsi="Cambria"/>
          <w:b/>
          <w:sz w:val="40"/>
        </w:rPr>
      </w:pPr>
      <w:r w:rsidRPr="00011D64">
        <w:rPr>
          <w:rFonts w:ascii="Cambria" w:hAnsi="Cambria"/>
          <w:b/>
          <w:sz w:val="40"/>
        </w:rPr>
        <w:t xml:space="preserve">Literature Review </w:t>
      </w:r>
    </w:p>
    <w:p w:rsidR="005A553E" w:rsidRPr="00011D64" w:rsidRDefault="005A553E" w:rsidP="005A553E">
      <w:pPr>
        <w:jc w:val="center"/>
        <w:rPr>
          <w:rFonts w:ascii="Cambria" w:hAnsi="Cambria"/>
        </w:rPr>
      </w:pPr>
      <w:proofErr w:type="gramStart"/>
      <w:r w:rsidRPr="00011D64">
        <w:rPr>
          <w:rFonts w:ascii="Cambria" w:hAnsi="Cambria"/>
        </w:rPr>
        <w:t>to</w:t>
      </w:r>
      <w:proofErr w:type="gramEnd"/>
      <w:r w:rsidRPr="00011D64">
        <w:rPr>
          <w:rFonts w:ascii="Cambria" w:hAnsi="Cambria"/>
        </w:rPr>
        <w:t xml:space="preserve"> inform </w:t>
      </w:r>
      <w:r w:rsidRPr="00011D64">
        <w:rPr>
          <w:rFonts w:ascii="Cambria" w:hAnsi="Cambria"/>
          <w:i/>
        </w:rPr>
        <w:t>Making CLAS Happen</w:t>
      </w:r>
      <w:r w:rsidRPr="00011D64">
        <w:rPr>
          <w:rFonts w:ascii="Cambria" w:hAnsi="Cambria"/>
        </w:rPr>
        <w:t xml:space="preserve"> updates</w:t>
      </w:r>
    </w:p>
    <w:p w:rsidR="005A553E" w:rsidRPr="00011D64" w:rsidRDefault="005A553E" w:rsidP="005A553E">
      <w:pPr>
        <w:rPr>
          <w:rFonts w:ascii="Cambria" w:hAnsi="Cambria"/>
        </w:rPr>
      </w:pPr>
    </w:p>
    <w:p w:rsidR="005A553E" w:rsidRPr="00011D64" w:rsidRDefault="00062E00" w:rsidP="005A553E">
      <w:pPr>
        <w:jc w:val="center"/>
        <w:rPr>
          <w:rFonts w:ascii="Cambria" w:hAnsi="Cambria"/>
        </w:rPr>
      </w:pPr>
      <w:r>
        <w:rPr>
          <w:rFonts w:ascii="Cambria" w:hAnsi="Cambria"/>
        </w:rPr>
        <w:t>July 2</w:t>
      </w:r>
      <w:r w:rsidR="005A553E" w:rsidRPr="00011D64">
        <w:rPr>
          <w:rFonts w:ascii="Cambria" w:hAnsi="Cambria"/>
        </w:rPr>
        <w:t>, 2013</w:t>
      </w: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5A553E" w:rsidRPr="00011D64" w:rsidRDefault="005A553E" w:rsidP="005A553E">
      <w:pPr>
        <w:jc w:val="center"/>
        <w:rPr>
          <w:rFonts w:ascii="Cambria" w:hAnsi="Cambria"/>
        </w:rPr>
      </w:pPr>
    </w:p>
    <w:p w:rsidR="004211A4" w:rsidRPr="00011D64" w:rsidRDefault="005A553E" w:rsidP="005A553E">
      <w:pPr>
        <w:jc w:val="center"/>
        <w:rPr>
          <w:rFonts w:ascii="Cambria" w:hAnsi="Cambria"/>
        </w:rPr>
      </w:pPr>
      <w:r w:rsidRPr="00011D64">
        <w:rPr>
          <w:rFonts w:ascii="Cambria" w:hAnsi="Cambria"/>
        </w:rPr>
        <w:t>Prepared by Emma Hernández Iverson</w:t>
      </w:r>
    </w:p>
    <w:p w:rsidR="004211A4" w:rsidRPr="00011D64" w:rsidRDefault="004211A4" w:rsidP="007C598D">
      <w:pPr>
        <w:spacing w:after="120"/>
        <w:rPr>
          <w:rFonts w:ascii="Cambria" w:hAnsi="Cambria"/>
        </w:rPr>
      </w:pPr>
      <w:r w:rsidRPr="00011D64">
        <w:rPr>
          <w:rFonts w:ascii="Cambria" w:hAnsi="Cambria"/>
        </w:rPr>
        <w:br w:type="page"/>
      </w:r>
      <w:r w:rsidRPr="00011D64">
        <w:rPr>
          <w:rFonts w:ascii="Cambria" w:hAnsi="Cambria"/>
          <w:b/>
        </w:rPr>
        <w:lastRenderedPageBreak/>
        <w:t>BACKGROUND</w:t>
      </w:r>
    </w:p>
    <w:p w:rsidR="004211A4" w:rsidRPr="00011D64" w:rsidRDefault="00CB417C" w:rsidP="007C598D">
      <w:pPr>
        <w:spacing w:after="120"/>
        <w:rPr>
          <w:rFonts w:ascii="Cambria" w:hAnsi="Cambria"/>
        </w:rPr>
      </w:pPr>
      <w:r w:rsidRPr="00011D64">
        <w:rPr>
          <w:rFonts w:ascii="Cambria" w:hAnsi="Cambria"/>
        </w:rPr>
        <w:t>In light of new (2013) guidelines from the U.S. Department of Health and Human Services (</w:t>
      </w:r>
      <w:hyperlink r:id="rId8" w:history="1">
        <w:r w:rsidR="008F60D9" w:rsidRPr="000D573C">
          <w:rPr>
            <w:rStyle w:val="Hyperlink"/>
            <w:rFonts w:ascii="Cambria" w:hAnsi="Cambria"/>
          </w:rPr>
          <w:t>http://thinkculturalhealth.hhs.gov</w:t>
        </w:r>
      </w:hyperlink>
      <w:r w:rsidR="008F60D9">
        <w:rPr>
          <w:rFonts w:ascii="Cambria" w:hAnsi="Cambria"/>
        </w:rPr>
        <w:t>) for the provision of culturally and linguistically appropriate services,</w:t>
      </w:r>
      <w:r w:rsidRPr="00011D64">
        <w:rPr>
          <w:rFonts w:ascii="Cambria" w:hAnsi="Cambria"/>
        </w:rPr>
        <w:t xml:space="preserve"> the Office of Health Equity at the Massachusetts D</w:t>
      </w:r>
      <w:r w:rsidR="008F60D9">
        <w:rPr>
          <w:rFonts w:ascii="Cambria" w:hAnsi="Cambria"/>
        </w:rPr>
        <w:t xml:space="preserve">epartment of Public Health </w:t>
      </w:r>
      <w:r w:rsidRPr="00011D64">
        <w:rPr>
          <w:rFonts w:ascii="Cambria" w:hAnsi="Cambria"/>
        </w:rPr>
        <w:t>update</w:t>
      </w:r>
      <w:r w:rsidR="008F60D9">
        <w:rPr>
          <w:rFonts w:ascii="Cambria" w:hAnsi="Cambria"/>
        </w:rPr>
        <w:t>d</w:t>
      </w:r>
      <w:r w:rsidRPr="00011D64">
        <w:rPr>
          <w:rFonts w:ascii="Cambria" w:hAnsi="Cambria"/>
        </w:rPr>
        <w:t xml:space="preserve"> </w:t>
      </w:r>
      <w:r w:rsidR="004211A4" w:rsidRPr="00011D64">
        <w:rPr>
          <w:rFonts w:ascii="Cambria" w:hAnsi="Cambria"/>
          <w:i/>
        </w:rPr>
        <w:t>Making CLAS Happen: A Guide to Culturally and Linguistically Appropriate Services</w:t>
      </w:r>
      <w:r w:rsidRPr="00011D64">
        <w:rPr>
          <w:rFonts w:ascii="Cambria" w:hAnsi="Cambria"/>
        </w:rPr>
        <w:t xml:space="preserve">. </w:t>
      </w:r>
      <w:r w:rsidR="00554699" w:rsidRPr="00011D64">
        <w:rPr>
          <w:rFonts w:ascii="Cambria" w:hAnsi="Cambria"/>
        </w:rPr>
        <w:t xml:space="preserve">A </w:t>
      </w:r>
      <w:r w:rsidR="004211A4" w:rsidRPr="00011D64">
        <w:rPr>
          <w:rFonts w:ascii="Cambria" w:hAnsi="Cambria"/>
        </w:rPr>
        <w:t xml:space="preserve">review of current literature </w:t>
      </w:r>
      <w:r w:rsidRPr="00011D64">
        <w:rPr>
          <w:rFonts w:ascii="Cambria" w:hAnsi="Cambria"/>
        </w:rPr>
        <w:t xml:space="preserve">was conducted </w:t>
      </w:r>
      <w:r w:rsidR="004211A4" w:rsidRPr="00011D64">
        <w:rPr>
          <w:rFonts w:ascii="Cambria" w:hAnsi="Cambria"/>
        </w:rPr>
        <w:t xml:space="preserve">to inform and enhance current content of the guide and broaden usability for diverse populations beyond ethnic and linguistic needs. </w:t>
      </w:r>
    </w:p>
    <w:p w:rsidR="004211A4" w:rsidRPr="00011D64" w:rsidRDefault="004211A4" w:rsidP="007C598D">
      <w:pPr>
        <w:spacing w:after="120"/>
        <w:rPr>
          <w:rFonts w:ascii="Cambria" w:hAnsi="Cambria"/>
        </w:rPr>
      </w:pPr>
    </w:p>
    <w:p w:rsidR="004211A4" w:rsidRPr="00011D64" w:rsidRDefault="004211A4" w:rsidP="007C598D">
      <w:pPr>
        <w:spacing w:after="120"/>
        <w:rPr>
          <w:rFonts w:ascii="Cambria" w:hAnsi="Cambria"/>
          <w:b/>
        </w:rPr>
      </w:pPr>
      <w:r w:rsidRPr="00011D64">
        <w:rPr>
          <w:rFonts w:ascii="Cambria" w:hAnsi="Cambria"/>
          <w:b/>
        </w:rPr>
        <w:t>RESEARCH</w:t>
      </w:r>
    </w:p>
    <w:p w:rsidR="007130FB" w:rsidRPr="00011D64" w:rsidRDefault="00CB417C" w:rsidP="007C598D">
      <w:pPr>
        <w:spacing w:after="120"/>
        <w:rPr>
          <w:rFonts w:ascii="Cambria" w:hAnsi="Cambria"/>
        </w:rPr>
      </w:pPr>
      <w:r w:rsidRPr="00011D64">
        <w:rPr>
          <w:rFonts w:ascii="Cambria" w:hAnsi="Cambria"/>
        </w:rPr>
        <w:t xml:space="preserve">The purpose of the literature review was to identify </w:t>
      </w:r>
      <w:r w:rsidR="004211A4" w:rsidRPr="00011D64">
        <w:rPr>
          <w:rFonts w:ascii="Cambria" w:hAnsi="Cambria"/>
        </w:rPr>
        <w:t>best practices, applicable laws and r</w:t>
      </w:r>
      <w:r w:rsidR="008F60D9">
        <w:rPr>
          <w:rFonts w:ascii="Cambria" w:hAnsi="Cambria"/>
        </w:rPr>
        <w:t>esearch-based recommendations for</w:t>
      </w:r>
      <w:r w:rsidR="004211A4" w:rsidRPr="00011D64">
        <w:rPr>
          <w:rFonts w:ascii="Cambria" w:hAnsi="Cambria"/>
        </w:rPr>
        <w:t xml:space="preserve"> providing culturally competent </w:t>
      </w:r>
      <w:r w:rsidR="00062E00">
        <w:rPr>
          <w:rFonts w:ascii="Cambria" w:hAnsi="Cambria"/>
        </w:rPr>
        <w:t>care</w:t>
      </w:r>
      <w:r w:rsidR="004211A4" w:rsidRPr="00011D64">
        <w:rPr>
          <w:rFonts w:ascii="Cambria" w:hAnsi="Cambria"/>
        </w:rPr>
        <w:t xml:space="preserve"> to individuals</w:t>
      </w:r>
      <w:r w:rsidRPr="00011D64">
        <w:rPr>
          <w:rFonts w:ascii="Cambria" w:hAnsi="Cambria"/>
        </w:rPr>
        <w:t xml:space="preserve"> from a variety of backgrounds. Articles reviewed focused</w:t>
      </w:r>
      <w:r w:rsidR="004211A4" w:rsidRPr="00011D64">
        <w:rPr>
          <w:rFonts w:ascii="Cambria" w:hAnsi="Cambria"/>
        </w:rPr>
        <w:t xml:space="preserve"> on </w:t>
      </w:r>
      <w:r w:rsidRPr="00011D64">
        <w:rPr>
          <w:rFonts w:ascii="Cambria" w:hAnsi="Cambria"/>
        </w:rPr>
        <w:t xml:space="preserve">the unique health needs of </w:t>
      </w:r>
      <w:r w:rsidR="004211A4" w:rsidRPr="00011D64">
        <w:rPr>
          <w:rFonts w:ascii="Cambria" w:hAnsi="Cambria"/>
        </w:rPr>
        <w:t>indi</w:t>
      </w:r>
      <w:r w:rsidRPr="00011D64">
        <w:rPr>
          <w:rFonts w:ascii="Cambria" w:hAnsi="Cambria"/>
        </w:rPr>
        <w:t xml:space="preserve">viduals with low health literacy, </w:t>
      </w:r>
      <w:r w:rsidR="00E70CF6" w:rsidRPr="00011D64">
        <w:rPr>
          <w:rFonts w:ascii="Cambria" w:hAnsi="Cambria"/>
        </w:rPr>
        <w:t>disabilities,</w:t>
      </w:r>
      <w:r w:rsidRPr="00011D64">
        <w:rPr>
          <w:rFonts w:ascii="Cambria" w:hAnsi="Cambria"/>
        </w:rPr>
        <w:t xml:space="preserve"> the gay, lesbian, bisexual and transgender </w:t>
      </w:r>
      <w:r w:rsidR="007130FB" w:rsidRPr="00011D64">
        <w:rPr>
          <w:rFonts w:ascii="Cambria" w:hAnsi="Cambria"/>
        </w:rPr>
        <w:t>(</w:t>
      </w:r>
      <w:r w:rsidR="00E70CF6" w:rsidRPr="00011D64">
        <w:rPr>
          <w:rFonts w:ascii="Cambria" w:hAnsi="Cambria"/>
        </w:rPr>
        <w:t>LGBT</w:t>
      </w:r>
      <w:r w:rsidR="007130FB" w:rsidRPr="00011D64">
        <w:rPr>
          <w:rFonts w:ascii="Cambria" w:hAnsi="Cambria"/>
        </w:rPr>
        <w:t xml:space="preserve">) </w:t>
      </w:r>
      <w:r w:rsidRPr="00011D64">
        <w:rPr>
          <w:rFonts w:ascii="Cambria" w:hAnsi="Cambria"/>
        </w:rPr>
        <w:t>community</w:t>
      </w:r>
      <w:r w:rsidR="00E70CF6" w:rsidRPr="00011D64">
        <w:rPr>
          <w:rFonts w:ascii="Cambria" w:hAnsi="Cambria"/>
        </w:rPr>
        <w:t xml:space="preserve">, and military veterans and their families. Special attention was paid to </w:t>
      </w:r>
      <w:r w:rsidRPr="00011D64">
        <w:rPr>
          <w:rFonts w:ascii="Cambria" w:hAnsi="Cambria"/>
        </w:rPr>
        <w:t>recommendations and best practices</w:t>
      </w:r>
      <w:r w:rsidR="007130FB" w:rsidRPr="00011D64">
        <w:rPr>
          <w:rFonts w:ascii="Cambria" w:hAnsi="Cambria"/>
        </w:rPr>
        <w:t xml:space="preserve"> for</w:t>
      </w:r>
      <w:r w:rsidRPr="00011D64">
        <w:rPr>
          <w:rFonts w:ascii="Cambria" w:hAnsi="Cambria"/>
        </w:rPr>
        <w:t xml:space="preserve"> serving these communities. </w:t>
      </w:r>
      <w:r w:rsidR="00062E00">
        <w:rPr>
          <w:rFonts w:ascii="Cambria" w:hAnsi="Cambria"/>
        </w:rPr>
        <w:t xml:space="preserve">Twenty-six (26) articles, 53 publications (including books toolkits, reports, manuals and guidance materials) and 7 online training modules and fact sheets </w:t>
      </w:r>
      <w:r w:rsidR="007130FB" w:rsidRPr="00011D64">
        <w:rPr>
          <w:rFonts w:ascii="Cambria" w:hAnsi="Cambria"/>
        </w:rPr>
        <w:t>were reviewed. Relevant findings are summarized in this report.</w:t>
      </w:r>
    </w:p>
    <w:p w:rsidR="007130FB" w:rsidRPr="00011D64" w:rsidRDefault="007130FB" w:rsidP="007C598D">
      <w:pPr>
        <w:spacing w:after="120"/>
        <w:rPr>
          <w:rFonts w:ascii="Cambria" w:hAnsi="Cambria"/>
        </w:rPr>
      </w:pPr>
    </w:p>
    <w:p w:rsidR="007130FB" w:rsidRPr="00011D64" w:rsidRDefault="007130FB" w:rsidP="007C598D">
      <w:pPr>
        <w:spacing w:after="120"/>
        <w:rPr>
          <w:rFonts w:ascii="Cambria" w:hAnsi="Cambria"/>
          <w:b/>
        </w:rPr>
      </w:pPr>
      <w:r w:rsidRPr="00011D64">
        <w:rPr>
          <w:rFonts w:ascii="Cambria" w:hAnsi="Cambria"/>
          <w:b/>
        </w:rPr>
        <w:t>RESEARCH OBJECTIVES</w:t>
      </w:r>
    </w:p>
    <w:p w:rsidR="007130FB" w:rsidRPr="00011D64" w:rsidRDefault="007C598D" w:rsidP="007C598D">
      <w:pPr>
        <w:pStyle w:val="ListParagraph"/>
        <w:numPr>
          <w:ilvl w:val="0"/>
          <w:numId w:val="1"/>
        </w:numPr>
        <w:spacing w:after="120"/>
        <w:contextualSpacing w:val="0"/>
        <w:rPr>
          <w:rFonts w:ascii="Cambria" w:hAnsi="Cambria"/>
        </w:rPr>
      </w:pPr>
      <w:r w:rsidRPr="00011D64">
        <w:rPr>
          <w:rFonts w:ascii="Cambria" w:hAnsi="Cambria"/>
        </w:rPr>
        <w:t>Id</w:t>
      </w:r>
      <w:r w:rsidR="00062E00">
        <w:rPr>
          <w:rFonts w:ascii="Cambria" w:hAnsi="Cambria"/>
        </w:rPr>
        <w:t xml:space="preserve">entify best practices in offering health care to </w:t>
      </w:r>
      <w:r w:rsidR="007130FB" w:rsidRPr="00011D64">
        <w:rPr>
          <w:rFonts w:ascii="Cambria" w:hAnsi="Cambria"/>
        </w:rPr>
        <w:t>individuals with low health lit</w:t>
      </w:r>
      <w:r w:rsidR="00E70CF6" w:rsidRPr="00011D64">
        <w:rPr>
          <w:rFonts w:ascii="Cambria" w:hAnsi="Cambria"/>
        </w:rPr>
        <w:t xml:space="preserve">eracy, </w:t>
      </w:r>
      <w:r w:rsidR="00062E00">
        <w:rPr>
          <w:rFonts w:ascii="Cambria" w:hAnsi="Cambria"/>
        </w:rPr>
        <w:t>disabilities</w:t>
      </w:r>
      <w:r w:rsidR="00E70CF6" w:rsidRPr="00011D64">
        <w:rPr>
          <w:rFonts w:ascii="Cambria" w:hAnsi="Cambria"/>
        </w:rPr>
        <w:t xml:space="preserve">, </w:t>
      </w:r>
      <w:r w:rsidR="007130FB" w:rsidRPr="00011D64">
        <w:rPr>
          <w:rFonts w:ascii="Cambria" w:hAnsi="Cambria"/>
        </w:rPr>
        <w:t>diverse sexual orientation and gender identity</w:t>
      </w:r>
      <w:r w:rsidR="00E70CF6" w:rsidRPr="00011D64">
        <w:rPr>
          <w:rFonts w:ascii="Cambria" w:hAnsi="Cambria"/>
        </w:rPr>
        <w:t>, military veterans and their families</w:t>
      </w:r>
    </w:p>
    <w:p w:rsidR="007130FB" w:rsidRPr="00011D64" w:rsidRDefault="007130FB" w:rsidP="007C598D">
      <w:pPr>
        <w:pStyle w:val="ListParagraph"/>
        <w:numPr>
          <w:ilvl w:val="0"/>
          <w:numId w:val="1"/>
        </w:numPr>
        <w:spacing w:after="120"/>
        <w:contextualSpacing w:val="0"/>
        <w:rPr>
          <w:rFonts w:ascii="Cambria" w:hAnsi="Cambria"/>
        </w:rPr>
      </w:pPr>
      <w:r w:rsidRPr="00011D64">
        <w:rPr>
          <w:rFonts w:ascii="Cambria" w:hAnsi="Cambria"/>
        </w:rPr>
        <w:t>Identify existing health disparities for individuals with low health lit</w:t>
      </w:r>
      <w:r w:rsidR="00E70CF6" w:rsidRPr="00011D64">
        <w:rPr>
          <w:rFonts w:ascii="Cambria" w:hAnsi="Cambria"/>
        </w:rPr>
        <w:t xml:space="preserve">eracy, </w:t>
      </w:r>
      <w:r w:rsidR="00062E00">
        <w:rPr>
          <w:rFonts w:ascii="Cambria" w:hAnsi="Cambria"/>
        </w:rPr>
        <w:t>disabilities</w:t>
      </w:r>
      <w:r w:rsidR="00E70CF6" w:rsidRPr="00011D64">
        <w:rPr>
          <w:rFonts w:ascii="Cambria" w:hAnsi="Cambria"/>
        </w:rPr>
        <w:t xml:space="preserve">, </w:t>
      </w:r>
      <w:r w:rsidRPr="00011D64">
        <w:rPr>
          <w:rFonts w:ascii="Cambria" w:hAnsi="Cambria"/>
        </w:rPr>
        <w:t>diverse sexual orientation and gender identity</w:t>
      </w:r>
      <w:r w:rsidR="00E70CF6" w:rsidRPr="00011D64">
        <w:rPr>
          <w:rFonts w:ascii="Cambria" w:hAnsi="Cambria"/>
        </w:rPr>
        <w:t>, and military veterans and their families</w:t>
      </w:r>
    </w:p>
    <w:p w:rsidR="007C598D" w:rsidRPr="00011D64" w:rsidRDefault="007C598D" w:rsidP="007C598D">
      <w:pPr>
        <w:pStyle w:val="ListParagraph"/>
        <w:numPr>
          <w:ilvl w:val="0"/>
          <w:numId w:val="1"/>
        </w:numPr>
        <w:spacing w:after="120"/>
        <w:contextualSpacing w:val="0"/>
        <w:rPr>
          <w:rFonts w:ascii="Cambria" w:hAnsi="Cambria"/>
        </w:rPr>
      </w:pPr>
      <w:r w:rsidRPr="00011D64">
        <w:rPr>
          <w:rFonts w:ascii="Cambria" w:hAnsi="Cambria"/>
        </w:rPr>
        <w:t>Detail best practices i</w:t>
      </w:r>
      <w:r w:rsidR="007130FB" w:rsidRPr="00011D64">
        <w:rPr>
          <w:rFonts w:ascii="Cambria" w:hAnsi="Cambria"/>
        </w:rPr>
        <w:t>n</w:t>
      </w:r>
      <w:r w:rsidRPr="00011D64">
        <w:rPr>
          <w:rFonts w:ascii="Cambria" w:hAnsi="Cambria"/>
        </w:rPr>
        <w:t>:</w:t>
      </w:r>
    </w:p>
    <w:p w:rsidR="007C598D" w:rsidRPr="00011D64" w:rsidRDefault="007C598D" w:rsidP="007C598D">
      <w:pPr>
        <w:pStyle w:val="ListParagraph"/>
        <w:numPr>
          <w:ilvl w:val="1"/>
          <w:numId w:val="1"/>
        </w:numPr>
        <w:spacing w:after="120"/>
        <w:contextualSpacing w:val="0"/>
        <w:rPr>
          <w:rFonts w:ascii="Cambria" w:hAnsi="Cambria"/>
        </w:rPr>
      </w:pPr>
      <w:r w:rsidRPr="00011D64">
        <w:rPr>
          <w:rFonts w:ascii="Cambria" w:hAnsi="Cambria"/>
        </w:rPr>
        <w:t xml:space="preserve">Improving communication with individuals with low health literacy or other communication barriers </w:t>
      </w:r>
    </w:p>
    <w:p w:rsidR="007C598D" w:rsidRPr="00011D64" w:rsidRDefault="007C598D" w:rsidP="007C598D">
      <w:pPr>
        <w:pStyle w:val="ListParagraph"/>
        <w:numPr>
          <w:ilvl w:val="1"/>
          <w:numId w:val="1"/>
        </w:numPr>
        <w:spacing w:after="120"/>
        <w:contextualSpacing w:val="0"/>
        <w:rPr>
          <w:rFonts w:ascii="Cambria" w:hAnsi="Cambria"/>
        </w:rPr>
      </w:pPr>
      <w:r w:rsidRPr="00011D64">
        <w:rPr>
          <w:rFonts w:ascii="Cambria" w:hAnsi="Cambria"/>
        </w:rPr>
        <w:t>C</w:t>
      </w:r>
      <w:r w:rsidR="007130FB" w:rsidRPr="00011D64">
        <w:rPr>
          <w:rFonts w:ascii="Cambria" w:hAnsi="Cambria"/>
        </w:rPr>
        <w:t xml:space="preserve">ollecting </w:t>
      </w:r>
      <w:r w:rsidRPr="00011D64">
        <w:rPr>
          <w:rFonts w:ascii="Cambria" w:hAnsi="Cambria"/>
        </w:rPr>
        <w:t xml:space="preserve">sensitive </w:t>
      </w:r>
      <w:r w:rsidR="00E70CF6" w:rsidRPr="00011D64">
        <w:rPr>
          <w:rFonts w:ascii="Cambria" w:hAnsi="Cambria"/>
        </w:rPr>
        <w:t>data (sexual orientation and gender identity, disability status)</w:t>
      </w:r>
      <w:r w:rsidR="007130FB" w:rsidRPr="00011D64">
        <w:rPr>
          <w:rFonts w:ascii="Cambria" w:hAnsi="Cambria"/>
        </w:rPr>
        <w:t xml:space="preserve"> in health care settings</w:t>
      </w:r>
    </w:p>
    <w:p w:rsidR="007C598D" w:rsidRPr="00011D64" w:rsidRDefault="007C598D" w:rsidP="007C598D">
      <w:pPr>
        <w:pStyle w:val="ListParagraph"/>
        <w:numPr>
          <w:ilvl w:val="1"/>
          <w:numId w:val="1"/>
        </w:numPr>
        <w:spacing w:after="120"/>
        <w:contextualSpacing w:val="0"/>
        <w:rPr>
          <w:rFonts w:ascii="Cambria" w:hAnsi="Cambria"/>
        </w:rPr>
      </w:pPr>
      <w:r w:rsidRPr="00011D64">
        <w:rPr>
          <w:rFonts w:ascii="Cambria" w:hAnsi="Cambria"/>
        </w:rPr>
        <w:t>Meeting new data collection requirements from the Affordable Care Act, Office of Minority Health regulations and others</w:t>
      </w:r>
    </w:p>
    <w:p w:rsidR="007C598D" w:rsidRPr="00011D64" w:rsidRDefault="007C598D" w:rsidP="007C598D">
      <w:pPr>
        <w:pStyle w:val="ListParagraph"/>
        <w:numPr>
          <w:ilvl w:val="1"/>
          <w:numId w:val="1"/>
        </w:numPr>
        <w:spacing w:after="120"/>
        <w:contextualSpacing w:val="0"/>
        <w:rPr>
          <w:rFonts w:ascii="Cambria" w:hAnsi="Cambria"/>
        </w:rPr>
      </w:pPr>
      <w:r w:rsidRPr="00011D64">
        <w:rPr>
          <w:rFonts w:ascii="Cambria" w:hAnsi="Cambria"/>
        </w:rPr>
        <w:t>Improving access for individ</w:t>
      </w:r>
      <w:r w:rsidR="00E70CF6" w:rsidRPr="00011D64">
        <w:rPr>
          <w:rFonts w:ascii="Cambria" w:hAnsi="Cambria"/>
        </w:rPr>
        <w:t xml:space="preserve">uals with low health literacy, </w:t>
      </w:r>
      <w:r w:rsidRPr="00011D64">
        <w:rPr>
          <w:rFonts w:ascii="Cambria" w:hAnsi="Cambria"/>
        </w:rPr>
        <w:t>L</w:t>
      </w:r>
      <w:r w:rsidR="00E70CF6" w:rsidRPr="00011D64">
        <w:rPr>
          <w:rFonts w:ascii="Cambria" w:hAnsi="Cambria"/>
        </w:rPr>
        <w:t>G</w:t>
      </w:r>
      <w:r w:rsidRPr="00011D64">
        <w:rPr>
          <w:rFonts w:ascii="Cambria" w:hAnsi="Cambria"/>
        </w:rPr>
        <w:t>BT patients and patients with disabilities</w:t>
      </w:r>
    </w:p>
    <w:p w:rsidR="007130FB" w:rsidRPr="00011D64" w:rsidRDefault="007C598D" w:rsidP="007C598D">
      <w:pPr>
        <w:pStyle w:val="ListParagraph"/>
        <w:numPr>
          <w:ilvl w:val="1"/>
          <w:numId w:val="1"/>
        </w:numPr>
        <w:spacing w:after="120"/>
        <w:contextualSpacing w:val="0"/>
        <w:rPr>
          <w:rFonts w:ascii="Cambria" w:hAnsi="Cambria"/>
        </w:rPr>
      </w:pPr>
      <w:r w:rsidRPr="00011D64">
        <w:rPr>
          <w:rFonts w:ascii="Cambria" w:hAnsi="Cambria"/>
        </w:rPr>
        <w:lastRenderedPageBreak/>
        <w:t>Training staff to increase awareness and cultural competency in serving individuals with</w:t>
      </w:r>
      <w:r w:rsidR="00E70CF6" w:rsidRPr="00011D64">
        <w:rPr>
          <w:rFonts w:ascii="Cambria" w:hAnsi="Cambria"/>
        </w:rPr>
        <w:t xml:space="preserve"> low literacy, disabilities, </w:t>
      </w:r>
      <w:r w:rsidRPr="00011D64">
        <w:rPr>
          <w:rFonts w:ascii="Cambria" w:hAnsi="Cambria"/>
        </w:rPr>
        <w:t>diverse sexual orientation or gender identity</w:t>
      </w:r>
    </w:p>
    <w:p w:rsidR="007C598D" w:rsidRPr="00011D64" w:rsidRDefault="007C598D" w:rsidP="007C598D">
      <w:pPr>
        <w:pStyle w:val="ListParagraph"/>
        <w:numPr>
          <w:ilvl w:val="0"/>
          <w:numId w:val="1"/>
        </w:numPr>
        <w:spacing w:after="120"/>
        <w:contextualSpacing w:val="0"/>
        <w:rPr>
          <w:rFonts w:ascii="Cambria" w:hAnsi="Cambria"/>
        </w:rPr>
      </w:pPr>
      <w:r w:rsidRPr="00011D64">
        <w:rPr>
          <w:rFonts w:ascii="Cambria" w:hAnsi="Cambria"/>
        </w:rPr>
        <w:t xml:space="preserve">Identify laws that mandate or apply to </w:t>
      </w:r>
      <w:r w:rsidR="005D71DD" w:rsidRPr="00011D64">
        <w:rPr>
          <w:rFonts w:ascii="Cambria" w:hAnsi="Cambria"/>
        </w:rPr>
        <w:t>culturally competent care and services</w:t>
      </w:r>
      <w:r w:rsidRPr="00011D64">
        <w:rPr>
          <w:rFonts w:ascii="Cambria" w:hAnsi="Cambria"/>
        </w:rPr>
        <w:t xml:space="preserve"> for diverse individuals (including </w:t>
      </w:r>
      <w:r w:rsidR="00E70CF6" w:rsidRPr="00011D64">
        <w:rPr>
          <w:rFonts w:ascii="Cambria" w:hAnsi="Cambria"/>
        </w:rPr>
        <w:t>LGBT</w:t>
      </w:r>
      <w:r w:rsidRPr="00011D64">
        <w:rPr>
          <w:rFonts w:ascii="Cambria" w:hAnsi="Cambria"/>
        </w:rPr>
        <w:t xml:space="preserve"> communit</w:t>
      </w:r>
      <w:r w:rsidR="00E70CF6" w:rsidRPr="00011D64">
        <w:rPr>
          <w:rFonts w:ascii="Cambria" w:hAnsi="Cambria"/>
        </w:rPr>
        <w:t xml:space="preserve">y, clients with disabilities and </w:t>
      </w:r>
      <w:r w:rsidRPr="00011D64">
        <w:rPr>
          <w:rFonts w:ascii="Cambria" w:hAnsi="Cambria"/>
        </w:rPr>
        <w:t>limited health literacy)</w:t>
      </w:r>
    </w:p>
    <w:p w:rsidR="005D71DD" w:rsidRPr="00011D64" w:rsidRDefault="00E70CF6" w:rsidP="005D71DD">
      <w:pPr>
        <w:pStyle w:val="ListParagraph"/>
        <w:numPr>
          <w:ilvl w:val="0"/>
          <w:numId w:val="1"/>
        </w:numPr>
        <w:spacing w:after="120"/>
        <w:contextualSpacing w:val="0"/>
        <w:rPr>
          <w:rFonts w:ascii="Cambria" w:hAnsi="Cambria"/>
        </w:rPr>
      </w:pPr>
      <w:r w:rsidRPr="00011D64">
        <w:rPr>
          <w:rFonts w:ascii="Cambria" w:hAnsi="Cambria"/>
        </w:rPr>
        <w:t>Examine existing tools, articles, links and resources to</w:t>
      </w:r>
      <w:r w:rsidR="007C598D" w:rsidRPr="00011D64">
        <w:rPr>
          <w:rFonts w:ascii="Cambria" w:hAnsi="Cambria"/>
        </w:rPr>
        <w:t xml:space="preserve"> be included in the </w:t>
      </w:r>
      <w:r w:rsidR="007C598D" w:rsidRPr="00011D64">
        <w:rPr>
          <w:rFonts w:ascii="Cambria" w:hAnsi="Cambria"/>
          <w:i/>
        </w:rPr>
        <w:t xml:space="preserve">Making CLAS Happen </w:t>
      </w:r>
      <w:r w:rsidR="005D71DD" w:rsidRPr="00011D64">
        <w:rPr>
          <w:rFonts w:ascii="Cambria" w:hAnsi="Cambria"/>
        </w:rPr>
        <w:t>tools section</w:t>
      </w:r>
    </w:p>
    <w:p w:rsidR="005D71DD" w:rsidRPr="00011D64" w:rsidRDefault="005D71DD" w:rsidP="005D71DD">
      <w:pPr>
        <w:spacing w:after="120"/>
        <w:rPr>
          <w:rFonts w:ascii="Cambria" w:hAnsi="Cambria"/>
        </w:rPr>
      </w:pPr>
    </w:p>
    <w:p w:rsidR="005D71DD" w:rsidRPr="008F60D9" w:rsidRDefault="005D71DD" w:rsidP="005D71DD">
      <w:pPr>
        <w:spacing w:after="120"/>
        <w:rPr>
          <w:rFonts w:ascii="Cambria" w:hAnsi="Cambria"/>
          <w:b/>
        </w:rPr>
      </w:pPr>
      <w:r w:rsidRPr="008F60D9">
        <w:rPr>
          <w:rFonts w:ascii="Cambria" w:hAnsi="Cambria"/>
          <w:b/>
        </w:rPr>
        <w:t>METHODOLOGY</w:t>
      </w:r>
    </w:p>
    <w:p w:rsidR="005D71DD" w:rsidRPr="00011D64" w:rsidRDefault="005D71DD" w:rsidP="005D71DD">
      <w:pPr>
        <w:spacing w:after="120"/>
        <w:rPr>
          <w:rFonts w:ascii="Cambria" w:hAnsi="Cambria"/>
        </w:rPr>
      </w:pPr>
      <w:r w:rsidRPr="00011D64">
        <w:rPr>
          <w:rFonts w:ascii="Cambria" w:hAnsi="Cambria"/>
        </w:rPr>
        <w:t>The literature review was conducted through searches on the following</w:t>
      </w:r>
      <w:r w:rsidR="00CC1497" w:rsidRPr="00011D64">
        <w:rPr>
          <w:rFonts w:ascii="Cambria" w:hAnsi="Cambria"/>
        </w:rPr>
        <w:t xml:space="preserve"> research databases</w:t>
      </w:r>
      <w:r w:rsidRPr="00011D64">
        <w:rPr>
          <w:rFonts w:ascii="Cambria" w:hAnsi="Cambria"/>
        </w:rPr>
        <w:t>:</w:t>
      </w:r>
    </w:p>
    <w:p w:rsidR="005D71DD" w:rsidRPr="00011D64" w:rsidRDefault="005D71DD" w:rsidP="005D71DD">
      <w:pPr>
        <w:pStyle w:val="ListParagraph"/>
        <w:numPr>
          <w:ilvl w:val="0"/>
          <w:numId w:val="2"/>
        </w:numPr>
        <w:spacing w:after="120"/>
        <w:rPr>
          <w:rFonts w:ascii="Cambria" w:hAnsi="Cambria"/>
        </w:rPr>
      </w:pPr>
      <w:r w:rsidRPr="00011D64">
        <w:rPr>
          <w:rFonts w:ascii="Cambria" w:hAnsi="Cambria"/>
        </w:rPr>
        <w:t>Google Scholar</w:t>
      </w:r>
    </w:p>
    <w:p w:rsidR="005D71DD" w:rsidRPr="00011D64" w:rsidRDefault="005D71DD" w:rsidP="005D71DD">
      <w:pPr>
        <w:pStyle w:val="ListParagraph"/>
        <w:numPr>
          <w:ilvl w:val="0"/>
          <w:numId w:val="2"/>
        </w:numPr>
        <w:spacing w:after="120"/>
        <w:rPr>
          <w:rFonts w:ascii="Cambria" w:hAnsi="Cambria"/>
        </w:rPr>
      </w:pPr>
      <w:r w:rsidRPr="00011D64">
        <w:rPr>
          <w:rFonts w:ascii="Cambria" w:hAnsi="Cambria"/>
        </w:rPr>
        <w:t>PubMed</w:t>
      </w:r>
    </w:p>
    <w:p w:rsidR="00CC1497" w:rsidRPr="00011D64" w:rsidRDefault="00062E00" w:rsidP="00CC1497">
      <w:pPr>
        <w:spacing w:after="120"/>
        <w:rPr>
          <w:rFonts w:ascii="Cambria" w:hAnsi="Cambria"/>
        </w:rPr>
      </w:pPr>
      <w:r>
        <w:rPr>
          <w:rFonts w:ascii="Cambria" w:hAnsi="Cambria"/>
        </w:rPr>
        <w:t xml:space="preserve">Additionally, </w:t>
      </w:r>
      <w:r w:rsidR="00CC1497" w:rsidRPr="00011D64">
        <w:rPr>
          <w:rFonts w:ascii="Cambria" w:hAnsi="Cambria"/>
        </w:rPr>
        <w:t>articles and publications were identified through re</w:t>
      </w:r>
      <w:r>
        <w:rPr>
          <w:rFonts w:ascii="Cambria" w:hAnsi="Cambria"/>
        </w:rPr>
        <w:t xml:space="preserve">views of the bibliographies of relevant guidance materials, </w:t>
      </w:r>
      <w:r w:rsidR="00CC1497" w:rsidRPr="00011D64">
        <w:rPr>
          <w:rFonts w:ascii="Cambria" w:hAnsi="Cambria"/>
        </w:rPr>
        <w:t>articles and publications.</w:t>
      </w:r>
    </w:p>
    <w:p w:rsidR="00CC1497" w:rsidRPr="00011D64" w:rsidRDefault="00CC1497" w:rsidP="00CC1497">
      <w:pPr>
        <w:spacing w:after="120"/>
        <w:rPr>
          <w:rFonts w:ascii="Cambria" w:hAnsi="Cambria"/>
        </w:rPr>
      </w:pPr>
      <w:r w:rsidRPr="00011D64">
        <w:rPr>
          <w:rFonts w:ascii="Cambria" w:hAnsi="Cambria"/>
        </w:rPr>
        <w:t>The following web sites were also used as starting points to identify relevant articles, tools and publications:</w:t>
      </w:r>
    </w:p>
    <w:p w:rsidR="00CC1497" w:rsidRPr="00011D64" w:rsidRDefault="00CC1497" w:rsidP="00CC1497">
      <w:pPr>
        <w:pStyle w:val="ListParagraph"/>
        <w:numPr>
          <w:ilvl w:val="0"/>
          <w:numId w:val="2"/>
        </w:numPr>
        <w:spacing w:after="120"/>
        <w:rPr>
          <w:rFonts w:ascii="Cambria" w:hAnsi="Cambria"/>
        </w:rPr>
      </w:pPr>
      <w:r w:rsidRPr="00011D64">
        <w:rPr>
          <w:rFonts w:ascii="Cambria" w:hAnsi="Cambria"/>
        </w:rPr>
        <w:t>CLAS Clearinghouse, Office of Minority Health, U.S. Department of Health and Human Services (</w:t>
      </w:r>
      <w:hyperlink r:id="rId9" w:history="1">
        <w:r w:rsidRPr="00011D64">
          <w:rPr>
            <w:rStyle w:val="Hyperlink"/>
            <w:rFonts w:ascii="Cambria" w:hAnsi="Cambria"/>
          </w:rPr>
          <w:t>www.thinkculturalhealth.hhs.gov</w:t>
        </w:r>
      </w:hyperlink>
      <w:r w:rsidRPr="00011D64">
        <w:rPr>
          <w:rFonts w:ascii="Cambria" w:hAnsi="Cambria"/>
        </w:rPr>
        <w:t>)</w:t>
      </w:r>
    </w:p>
    <w:p w:rsidR="00C37CAF" w:rsidRDefault="00CC1497" w:rsidP="00CC1497">
      <w:pPr>
        <w:pStyle w:val="ListParagraph"/>
        <w:numPr>
          <w:ilvl w:val="0"/>
          <w:numId w:val="2"/>
        </w:numPr>
        <w:spacing w:after="120"/>
        <w:rPr>
          <w:rFonts w:ascii="Cambria" w:hAnsi="Cambria"/>
        </w:rPr>
      </w:pPr>
      <w:r w:rsidRPr="00011D64">
        <w:rPr>
          <w:rFonts w:ascii="Cambria" w:hAnsi="Cambria"/>
        </w:rPr>
        <w:t>The Gay and Lesbian Medical Association (</w:t>
      </w:r>
      <w:hyperlink r:id="rId10" w:history="1">
        <w:r w:rsidRPr="00011D64">
          <w:rPr>
            <w:rStyle w:val="Hyperlink"/>
            <w:rFonts w:ascii="Cambria" w:hAnsi="Cambria"/>
          </w:rPr>
          <w:t>http://www.glma.org</w:t>
        </w:r>
      </w:hyperlink>
      <w:r w:rsidRPr="00011D64">
        <w:rPr>
          <w:rFonts w:ascii="Cambria" w:hAnsi="Cambria"/>
        </w:rPr>
        <w:t>)</w:t>
      </w:r>
    </w:p>
    <w:p w:rsidR="00C37CAF" w:rsidRDefault="00C37CAF" w:rsidP="00CC1497">
      <w:pPr>
        <w:pStyle w:val="ListParagraph"/>
        <w:numPr>
          <w:ilvl w:val="0"/>
          <w:numId w:val="2"/>
        </w:numPr>
        <w:spacing w:after="120"/>
        <w:rPr>
          <w:rFonts w:ascii="Cambria" w:hAnsi="Cambria"/>
        </w:rPr>
      </w:pPr>
      <w:r>
        <w:rPr>
          <w:rFonts w:ascii="Cambria" w:hAnsi="Cambria"/>
        </w:rPr>
        <w:t>The Joint Commission (</w:t>
      </w:r>
      <w:hyperlink r:id="rId11" w:history="1">
        <w:r w:rsidRPr="004C51D2">
          <w:rPr>
            <w:rStyle w:val="Hyperlink"/>
            <w:rFonts w:ascii="Cambria" w:hAnsi="Cambria"/>
          </w:rPr>
          <w:t>http://www.jointcommission.org</w:t>
        </w:r>
      </w:hyperlink>
      <w:r>
        <w:rPr>
          <w:rFonts w:ascii="Cambria" w:hAnsi="Cambria"/>
        </w:rPr>
        <w:t xml:space="preserve">) </w:t>
      </w:r>
    </w:p>
    <w:p w:rsidR="00C37CAF" w:rsidRDefault="002D7EF0" w:rsidP="00CC1497">
      <w:pPr>
        <w:pStyle w:val="ListParagraph"/>
        <w:numPr>
          <w:ilvl w:val="0"/>
          <w:numId w:val="2"/>
        </w:numPr>
        <w:spacing w:after="120"/>
        <w:rPr>
          <w:rFonts w:ascii="Cambria" w:hAnsi="Cambria"/>
        </w:rPr>
      </w:pPr>
      <w:r w:rsidRPr="00011D64">
        <w:rPr>
          <w:rFonts w:ascii="Cambria" w:hAnsi="Cambria"/>
        </w:rPr>
        <w:t>National Association of the Deaf (</w:t>
      </w:r>
      <w:hyperlink r:id="rId12" w:history="1">
        <w:r w:rsidRPr="00011D64">
          <w:rPr>
            <w:rStyle w:val="Hyperlink"/>
            <w:rFonts w:ascii="Cambria" w:hAnsi="Cambria"/>
          </w:rPr>
          <w:t>http://www.nad.org</w:t>
        </w:r>
      </w:hyperlink>
      <w:r w:rsidRPr="00011D64">
        <w:rPr>
          <w:rFonts w:ascii="Cambria" w:hAnsi="Cambria"/>
        </w:rPr>
        <w:t>)</w:t>
      </w:r>
    </w:p>
    <w:p w:rsidR="002D7EF0" w:rsidRPr="00011D64" w:rsidRDefault="00C37CAF" w:rsidP="00CC1497">
      <w:pPr>
        <w:pStyle w:val="ListParagraph"/>
        <w:numPr>
          <w:ilvl w:val="0"/>
          <w:numId w:val="2"/>
        </w:numPr>
        <w:spacing w:after="120"/>
        <w:rPr>
          <w:rFonts w:ascii="Cambria" w:hAnsi="Cambria"/>
        </w:rPr>
      </w:pPr>
      <w:r>
        <w:rPr>
          <w:rFonts w:ascii="Cambria" w:hAnsi="Cambria"/>
        </w:rPr>
        <w:t>National Council on Disability (</w:t>
      </w:r>
      <w:hyperlink r:id="rId13" w:history="1">
        <w:r w:rsidRPr="004C51D2">
          <w:rPr>
            <w:rStyle w:val="Hyperlink"/>
            <w:rFonts w:ascii="Cambria" w:hAnsi="Cambria"/>
          </w:rPr>
          <w:t>http://www.ncd.gov</w:t>
        </w:r>
      </w:hyperlink>
      <w:r>
        <w:rPr>
          <w:rFonts w:ascii="Cambria" w:hAnsi="Cambria"/>
        </w:rPr>
        <w:t xml:space="preserve">) </w:t>
      </w:r>
    </w:p>
    <w:p w:rsidR="00C37CAF" w:rsidRPr="00C37CAF" w:rsidRDefault="00C37CAF" w:rsidP="00C37CAF">
      <w:pPr>
        <w:pStyle w:val="ListParagraph"/>
        <w:numPr>
          <w:ilvl w:val="0"/>
          <w:numId w:val="2"/>
        </w:numPr>
        <w:spacing w:after="120"/>
        <w:rPr>
          <w:rFonts w:ascii="Cambria" w:hAnsi="Cambria"/>
        </w:rPr>
      </w:pPr>
      <w:r>
        <w:t>U.S. Defense Centers of Excellence, (</w:t>
      </w:r>
      <w:hyperlink r:id="rId14" w:history="1">
        <w:r w:rsidRPr="00011D64">
          <w:rPr>
            <w:rStyle w:val="Hyperlink"/>
            <w:rFonts w:ascii="Cambria" w:hAnsi="Cambria"/>
          </w:rPr>
          <w:t>http://www.dcoe.health.mil</w:t>
        </w:r>
      </w:hyperlink>
      <w:r>
        <w:t>)</w:t>
      </w:r>
    </w:p>
    <w:p w:rsidR="00C37CAF" w:rsidRDefault="002D7EF0" w:rsidP="00CC1497">
      <w:pPr>
        <w:pStyle w:val="ListParagraph"/>
        <w:numPr>
          <w:ilvl w:val="0"/>
          <w:numId w:val="2"/>
        </w:numPr>
        <w:spacing w:after="120"/>
        <w:rPr>
          <w:rFonts w:ascii="Cambria" w:hAnsi="Cambria"/>
        </w:rPr>
      </w:pPr>
      <w:r w:rsidRPr="00011D64">
        <w:rPr>
          <w:rFonts w:ascii="Cambria" w:hAnsi="Cambria"/>
        </w:rPr>
        <w:t>U.S. Department of Health and Human Services, Agency for Healthcare Research and Quality, (</w:t>
      </w:r>
      <w:hyperlink r:id="rId15" w:history="1">
        <w:r w:rsidRPr="00011D64">
          <w:rPr>
            <w:rStyle w:val="Hyperlink"/>
            <w:rFonts w:ascii="Cambria" w:hAnsi="Cambria"/>
          </w:rPr>
          <w:t>http://www.ahrq.gov</w:t>
        </w:r>
      </w:hyperlink>
      <w:r w:rsidRPr="00011D64">
        <w:rPr>
          <w:rFonts w:ascii="Cambria" w:hAnsi="Cambria"/>
        </w:rPr>
        <w:t xml:space="preserve">) </w:t>
      </w:r>
    </w:p>
    <w:p w:rsidR="00554699" w:rsidRPr="00C37CAF" w:rsidRDefault="00C37CAF" w:rsidP="00C37CAF">
      <w:pPr>
        <w:pStyle w:val="ListParagraph"/>
        <w:numPr>
          <w:ilvl w:val="0"/>
          <w:numId w:val="2"/>
        </w:numPr>
        <w:spacing w:after="120"/>
        <w:rPr>
          <w:rFonts w:ascii="Cambria" w:hAnsi="Cambria"/>
        </w:rPr>
      </w:pPr>
      <w:r>
        <w:rPr>
          <w:rFonts w:ascii="Cambria" w:hAnsi="Cambria"/>
        </w:rPr>
        <w:t>U.S. Department of Justice, Civil Rights Division, American with Disabilities Act (</w:t>
      </w:r>
      <w:hyperlink r:id="rId16" w:history="1">
        <w:r w:rsidRPr="004C51D2">
          <w:rPr>
            <w:rStyle w:val="Hyperlink"/>
            <w:rFonts w:ascii="Cambria" w:hAnsi="Cambria"/>
          </w:rPr>
          <w:t>http://www.ada.gov</w:t>
        </w:r>
      </w:hyperlink>
      <w:r>
        <w:rPr>
          <w:rFonts w:ascii="Cambria" w:hAnsi="Cambria"/>
        </w:rPr>
        <w:t xml:space="preserve">) </w:t>
      </w:r>
    </w:p>
    <w:p w:rsidR="00CC1497" w:rsidRPr="00011D64" w:rsidRDefault="00C37CAF" w:rsidP="00E70CF6">
      <w:pPr>
        <w:pStyle w:val="ListParagraph"/>
        <w:numPr>
          <w:ilvl w:val="0"/>
          <w:numId w:val="2"/>
        </w:numPr>
        <w:spacing w:after="120"/>
        <w:rPr>
          <w:rFonts w:ascii="Cambria" w:hAnsi="Cambria"/>
        </w:rPr>
      </w:pPr>
      <w:r>
        <w:rPr>
          <w:rFonts w:ascii="Cambria" w:hAnsi="Cambria"/>
        </w:rPr>
        <w:t>U.S. Department of Veterans Affairs, Veterans Health Administration (</w:t>
      </w:r>
      <w:hyperlink r:id="rId17" w:history="1">
        <w:r w:rsidRPr="004C51D2">
          <w:rPr>
            <w:rStyle w:val="Hyperlink"/>
            <w:rFonts w:ascii="Cambria" w:hAnsi="Cambria"/>
          </w:rPr>
          <w:t>http://www.va.gov/health</w:t>
        </w:r>
      </w:hyperlink>
      <w:r>
        <w:rPr>
          <w:rFonts w:ascii="Cambria" w:hAnsi="Cambria"/>
        </w:rPr>
        <w:t xml:space="preserve">) </w:t>
      </w:r>
    </w:p>
    <w:p w:rsidR="00CC1497" w:rsidRPr="00011D64" w:rsidRDefault="00CC1497" w:rsidP="00CC1497">
      <w:pPr>
        <w:spacing w:after="120"/>
        <w:rPr>
          <w:rFonts w:ascii="Cambria" w:hAnsi="Cambria"/>
        </w:rPr>
      </w:pPr>
    </w:p>
    <w:p w:rsidR="00CC1497" w:rsidRPr="008F60D9" w:rsidRDefault="00CC1497" w:rsidP="00CC1497">
      <w:pPr>
        <w:spacing w:after="120"/>
        <w:rPr>
          <w:rFonts w:ascii="Cambria" w:hAnsi="Cambria"/>
          <w:b/>
        </w:rPr>
      </w:pPr>
      <w:r w:rsidRPr="008F60D9">
        <w:rPr>
          <w:rFonts w:ascii="Cambria" w:hAnsi="Cambria"/>
          <w:b/>
        </w:rPr>
        <w:t>RESEARCH FINDINGS</w:t>
      </w:r>
    </w:p>
    <w:p w:rsidR="00CC1497" w:rsidRPr="00011D64" w:rsidRDefault="00CC1497" w:rsidP="00CC1497">
      <w:pPr>
        <w:spacing w:after="120"/>
        <w:rPr>
          <w:rFonts w:ascii="Cambria" w:hAnsi="Cambria"/>
        </w:rPr>
      </w:pPr>
      <w:r w:rsidRPr="00011D64">
        <w:rPr>
          <w:rFonts w:ascii="Cambria" w:hAnsi="Cambria"/>
        </w:rPr>
        <w:t xml:space="preserve">Relevant themes emerging from the literature reviewed are noted below, </w:t>
      </w:r>
      <w:r w:rsidR="00E70CF6" w:rsidRPr="00011D64">
        <w:rPr>
          <w:rFonts w:ascii="Cambria" w:hAnsi="Cambria"/>
          <w:b/>
          <w:i/>
        </w:rPr>
        <w:t>in bold italics</w:t>
      </w:r>
      <w:r w:rsidRPr="00011D64">
        <w:rPr>
          <w:rFonts w:ascii="Cambria" w:hAnsi="Cambria"/>
        </w:rPr>
        <w:t>, with supporting research detailed below each theme.</w:t>
      </w:r>
    </w:p>
    <w:p w:rsidR="00EC7EC7" w:rsidRPr="00011D64" w:rsidRDefault="00E70CF6" w:rsidP="00CC1497">
      <w:pPr>
        <w:spacing w:after="120"/>
        <w:rPr>
          <w:rFonts w:ascii="Cambria" w:hAnsi="Cambria"/>
          <w:b/>
          <w:i/>
        </w:rPr>
      </w:pPr>
      <w:r w:rsidRPr="00011D64">
        <w:rPr>
          <w:rFonts w:ascii="Cambria" w:hAnsi="Cambria"/>
          <w:b/>
          <w:i/>
        </w:rPr>
        <w:t>Health equity</w:t>
      </w:r>
      <w:r w:rsidR="004917F4" w:rsidRPr="00011D64">
        <w:rPr>
          <w:rFonts w:ascii="Cambria" w:hAnsi="Cambria"/>
          <w:b/>
          <w:i/>
        </w:rPr>
        <w:t xml:space="preserve"> and cultural competence go</w:t>
      </w:r>
      <w:r w:rsidRPr="00011D64">
        <w:rPr>
          <w:rFonts w:ascii="Cambria" w:hAnsi="Cambria"/>
          <w:b/>
          <w:i/>
        </w:rPr>
        <w:t xml:space="preserve"> beyond racial, ethnic and linguistic diversity</w:t>
      </w:r>
    </w:p>
    <w:p w:rsidR="00E70CF6" w:rsidRPr="00011D64" w:rsidRDefault="00E70CF6" w:rsidP="00CC1497">
      <w:pPr>
        <w:spacing w:after="120"/>
        <w:rPr>
          <w:rFonts w:ascii="Cambria" w:hAnsi="Cambria"/>
        </w:rPr>
      </w:pPr>
      <w:r w:rsidRPr="00011D64">
        <w:rPr>
          <w:rFonts w:ascii="Cambria" w:hAnsi="Cambria"/>
        </w:rPr>
        <w:t xml:space="preserve">In May of 2013, the Office of Health and Human Services issued revised Culturally and Linguistically Appropriate Services (CLAS) </w:t>
      </w:r>
      <w:r w:rsidR="00EC7EC7" w:rsidRPr="00011D64">
        <w:rPr>
          <w:rFonts w:ascii="Cambria" w:hAnsi="Cambria"/>
        </w:rPr>
        <w:t xml:space="preserve">Standards </w:t>
      </w:r>
      <w:r w:rsidRPr="00011D64">
        <w:rPr>
          <w:rFonts w:ascii="Cambria" w:hAnsi="Cambria"/>
        </w:rPr>
        <w:t xml:space="preserve">broadening the definition </w:t>
      </w:r>
      <w:r w:rsidRPr="00011D64">
        <w:rPr>
          <w:rFonts w:ascii="Cambria" w:hAnsi="Cambria"/>
        </w:rPr>
        <w:lastRenderedPageBreak/>
        <w:t xml:space="preserve">of cultural competence to include the ability to serve </w:t>
      </w:r>
      <w:r w:rsidR="008F60D9">
        <w:rPr>
          <w:rFonts w:ascii="Cambria" w:hAnsi="Cambria"/>
        </w:rPr>
        <w:t xml:space="preserve">diverse populations </w:t>
      </w:r>
      <w:r w:rsidRPr="00011D64">
        <w:rPr>
          <w:rFonts w:ascii="Cambria" w:hAnsi="Cambria"/>
        </w:rPr>
        <w:t>beyond their racial, ethnic and linguistic characteristics</w:t>
      </w:r>
      <w:r w:rsidR="008F60D9">
        <w:rPr>
          <w:rFonts w:ascii="Cambria" w:hAnsi="Cambria"/>
        </w:rPr>
        <w:t xml:space="preserve"> </w:t>
      </w:r>
      <w:r w:rsidR="008F60D9" w:rsidRPr="00011D64">
        <w:rPr>
          <w:rFonts w:ascii="Cambria" w:hAnsi="Cambria"/>
        </w:rPr>
        <w:t>(</w:t>
      </w:r>
      <w:hyperlink r:id="rId18" w:history="1">
        <w:r w:rsidR="008F60D9" w:rsidRPr="000D573C">
          <w:rPr>
            <w:rStyle w:val="Hyperlink"/>
            <w:rFonts w:ascii="Cambria" w:hAnsi="Cambria"/>
          </w:rPr>
          <w:t>http://www.thinkculturalhealth.hhs.gov/content/CLAS</w:t>
        </w:r>
      </w:hyperlink>
      <w:r w:rsidR="008F60D9">
        <w:rPr>
          <w:rFonts w:ascii="Cambria" w:hAnsi="Cambria"/>
        </w:rPr>
        <w:t>).</w:t>
      </w:r>
      <w:r w:rsidR="00EC7EC7" w:rsidRPr="00011D64">
        <w:rPr>
          <w:rFonts w:ascii="Cambria" w:hAnsi="Cambria"/>
        </w:rPr>
        <w:t xml:space="preserve"> </w:t>
      </w:r>
    </w:p>
    <w:p w:rsidR="00E70CF6" w:rsidRPr="00011D64" w:rsidRDefault="00E70CF6" w:rsidP="00CC1497">
      <w:pPr>
        <w:spacing w:after="120"/>
        <w:rPr>
          <w:rFonts w:ascii="Cambria" w:hAnsi="Cambria"/>
        </w:rPr>
      </w:pPr>
      <w:r w:rsidRPr="00011D64">
        <w:rPr>
          <w:rFonts w:ascii="Cambria" w:hAnsi="Cambria"/>
        </w:rPr>
        <w:t xml:space="preserve">The </w:t>
      </w:r>
      <w:r w:rsidR="008F60D9">
        <w:rPr>
          <w:rFonts w:ascii="Cambria" w:hAnsi="Cambria"/>
        </w:rPr>
        <w:t>“enhanced”</w:t>
      </w:r>
      <w:r w:rsidRPr="00011D64">
        <w:rPr>
          <w:rFonts w:ascii="Cambria" w:hAnsi="Cambria"/>
        </w:rPr>
        <w:t xml:space="preserve"> CLAS standards underscore </w:t>
      </w:r>
      <w:r w:rsidRPr="008F60D9">
        <w:rPr>
          <w:rFonts w:ascii="Cambria" w:hAnsi="Cambria"/>
          <w:i/>
        </w:rPr>
        <w:t>cultural identity</w:t>
      </w:r>
      <w:r w:rsidRPr="00011D64">
        <w:rPr>
          <w:rFonts w:ascii="Cambria" w:hAnsi="Cambria"/>
        </w:rPr>
        <w:t xml:space="preserve"> as a key characteristic of diversity that certainly includes but goes beyond race, ethnicity or languages spoken.  The </w:t>
      </w:r>
      <w:r w:rsidR="008F60D9">
        <w:rPr>
          <w:rFonts w:ascii="Cambria" w:hAnsi="Cambria"/>
        </w:rPr>
        <w:t xml:space="preserve">enhanced </w:t>
      </w:r>
      <w:r w:rsidRPr="00011D64">
        <w:rPr>
          <w:rFonts w:ascii="Cambria" w:hAnsi="Cambria"/>
        </w:rPr>
        <w:t xml:space="preserve">CLAS </w:t>
      </w:r>
      <w:r w:rsidR="008F60D9">
        <w:rPr>
          <w:rFonts w:ascii="Cambria" w:hAnsi="Cambria"/>
        </w:rPr>
        <w:t xml:space="preserve">Standards </w:t>
      </w:r>
      <w:r w:rsidRPr="00011D64">
        <w:rPr>
          <w:rFonts w:ascii="Cambria" w:hAnsi="Cambria"/>
        </w:rPr>
        <w:t xml:space="preserve">Blueprint document goes on to </w:t>
      </w:r>
      <w:r w:rsidR="00032E99">
        <w:rPr>
          <w:rFonts w:ascii="Cambria" w:hAnsi="Cambria"/>
        </w:rPr>
        <w:t xml:space="preserve">indicate: </w:t>
      </w:r>
      <w:r w:rsidRPr="00011D64">
        <w:rPr>
          <w:rFonts w:ascii="Cambria" w:hAnsi="Cambria"/>
        </w:rPr>
        <w:t xml:space="preserve">“equitable care and services apply to all individuals regardless of cultural identity.” </w:t>
      </w:r>
      <w:r w:rsidRPr="00011D64">
        <w:rPr>
          <w:rStyle w:val="EndnoteReference"/>
          <w:rFonts w:ascii="Cambria" w:hAnsi="Cambria"/>
        </w:rPr>
        <w:endnoteReference w:id="1"/>
      </w:r>
    </w:p>
    <w:p w:rsidR="00E70CF6" w:rsidRPr="00011D64" w:rsidRDefault="00E70CF6" w:rsidP="00E70CF6">
      <w:pPr>
        <w:spacing w:after="120"/>
        <w:rPr>
          <w:rFonts w:ascii="Cambria" w:hAnsi="Cambria"/>
        </w:rPr>
      </w:pPr>
      <w:r w:rsidRPr="00011D64">
        <w:rPr>
          <w:rFonts w:ascii="Cambria" w:hAnsi="Cambria"/>
        </w:rPr>
        <w:t xml:space="preserve">Health equity is influenced by many factors, including race, education, health literacy, age, sexual orientation, ethnicity, religion, physical or mental disability, language, gender, gender expression, identity, income, class and access to care </w:t>
      </w:r>
      <w:r w:rsidR="0086772A">
        <w:rPr>
          <w:rFonts w:ascii="Cambria" w:hAnsi="Cambria"/>
        </w:rPr>
        <w:t>(</w:t>
      </w:r>
      <w:r w:rsidRPr="00011D64">
        <w:rPr>
          <w:rFonts w:ascii="Cambria" w:hAnsi="Cambria"/>
        </w:rPr>
        <w:t xml:space="preserve">National Partnership </w:t>
      </w:r>
      <w:r w:rsidR="0086772A">
        <w:rPr>
          <w:rFonts w:ascii="Cambria" w:hAnsi="Cambria"/>
        </w:rPr>
        <w:t xml:space="preserve">for Action </w:t>
      </w:r>
      <w:r w:rsidRPr="00011D64">
        <w:rPr>
          <w:rFonts w:ascii="Cambria" w:hAnsi="Cambria"/>
        </w:rPr>
        <w:t>to End Health Disparities, 2011).</w:t>
      </w:r>
      <w:r w:rsidRPr="00011D64">
        <w:rPr>
          <w:rStyle w:val="EndnoteReference"/>
          <w:rFonts w:ascii="Cambria" w:hAnsi="Cambria"/>
        </w:rPr>
        <w:endnoteReference w:id="2"/>
      </w:r>
      <w:r w:rsidR="004917F4" w:rsidRPr="00011D64">
        <w:rPr>
          <w:rFonts w:ascii="Cambria" w:hAnsi="Cambria"/>
        </w:rPr>
        <w:t xml:space="preserve"> </w:t>
      </w:r>
      <w:r w:rsidR="008E1EB3">
        <w:rPr>
          <w:rFonts w:ascii="Cambria" w:hAnsi="Cambria"/>
        </w:rPr>
        <w:t xml:space="preserve"> A</w:t>
      </w:r>
      <w:r w:rsidR="004917F4" w:rsidRPr="00011D64">
        <w:rPr>
          <w:rFonts w:ascii="Cambria" w:hAnsi="Cambria"/>
        </w:rPr>
        <w:t>ll individuals have the right to be free of discrimination while accessing care or services, whether that is included in specific state laws and regulations or not (Joint Commission, 2010).</w:t>
      </w:r>
      <w:r w:rsidR="0086772A">
        <w:rPr>
          <w:rStyle w:val="EndnoteReference"/>
          <w:rFonts w:ascii="Cambria" w:hAnsi="Cambria"/>
        </w:rPr>
        <w:endnoteReference w:id="3"/>
      </w:r>
    </w:p>
    <w:p w:rsidR="004917F4" w:rsidRPr="00011D64" w:rsidRDefault="004917F4" w:rsidP="00CC1497">
      <w:pPr>
        <w:spacing w:after="120"/>
        <w:rPr>
          <w:rFonts w:ascii="Cambria" w:hAnsi="Cambria"/>
          <w:b/>
        </w:rPr>
      </w:pPr>
      <w:r w:rsidRPr="00011D64">
        <w:rPr>
          <w:rFonts w:ascii="Cambria" w:hAnsi="Cambria"/>
          <w:b/>
          <w:i/>
        </w:rPr>
        <w:t>Respectful care and services are require a welcoming environment, non-discrimination and proper communication</w:t>
      </w:r>
    </w:p>
    <w:p w:rsidR="009F2869" w:rsidRPr="00011D64" w:rsidRDefault="004917F4" w:rsidP="00CC1497">
      <w:pPr>
        <w:spacing w:after="120"/>
        <w:rPr>
          <w:rFonts w:ascii="Cambria" w:hAnsi="Cambria"/>
        </w:rPr>
      </w:pPr>
      <w:r w:rsidRPr="00011D64">
        <w:rPr>
          <w:rFonts w:ascii="Cambria" w:hAnsi="Cambria"/>
        </w:rPr>
        <w:t xml:space="preserve">The </w:t>
      </w:r>
      <w:r w:rsidR="008F60D9">
        <w:rPr>
          <w:rFonts w:ascii="Cambria" w:hAnsi="Cambria"/>
        </w:rPr>
        <w:t>enhanced</w:t>
      </w:r>
      <w:r w:rsidRPr="00011D64">
        <w:rPr>
          <w:rFonts w:ascii="Cambria" w:hAnsi="Cambria"/>
        </w:rPr>
        <w:t xml:space="preserve"> CLAS standards (HHS, 2013) indicate that respectful care and services are offered when providers foster an environment where diverse individuals feel comfortable discussing</w:t>
      </w:r>
      <w:r w:rsidR="008F60D9">
        <w:rPr>
          <w:rFonts w:ascii="Cambria" w:hAnsi="Cambria"/>
        </w:rPr>
        <w:t xml:space="preserve"> their</w:t>
      </w:r>
      <w:r w:rsidRPr="00011D64">
        <w:rPr>
          <w:rFonts w:ascii="Cambria" w:hAnsi="Cambria"/>
        </w:rPr>
        <w:t xml:space="preserve"> needs with any member of an organization’s staff; offer assurances that disrespect and discrimination are intolerable; and offer clients reasonable assistance to overcome communication, language, physical and cultural barriers.</w:t>
      </w:r>
    </w:p>
    <w:p w:rsidR="004917F4" w:rsidRPr="00011D64" w:rsidRDefault="004917F4" w:rsidP="00CC1497">
      <w:pPr>
        <w:spacing w:after="120"/>
        <w:rPr>
          <w:rFonts w:ascii="Cambria" w:hAnsi="Cambria"/>
        </w:rPr>
      </w:pPr>
      <w:r w:rsidRPr="00011D64">
        <w:rPr>
          <w:rFonts w:ascii="Cambria" w:hAnsi="Cambria"/>
          <w:b/>
          <w:i/>
        </w:rPr>
        <w:t>Health disparities still pervade the U.S. health care system</w:t>
      </w:r>
    </w:p>
    <w:p w:rsidR="004917F4" w:rsidRPr="00011D64" w:rsidRDefault="004917F4" w:rsidP="00CC1497">
      <w:pPr>
        <w:spacing w:after="120"/>
        <w:rPr>
          <w:rFonts w:ascii="Cambria" w:hAnsi="Cambria"/>
        </w:rPr>
      </w:pPr>
      <w:r w:rsidRPr="00011D64">
        <w:rPr>
          <w:rFonts w:ascii="Cambria" w:hAnsi="Cambria"/>
        </w:rPr>
        <w:t>The 2009 National Healthcare Disparities Report revealed that disparities related to race, ethnicity and socioeconomic status still pervade the U.S. health care system and can be observed in all aspects of health care including quality, access to care, types of care, clinical conditions, settings and subpopulations.</w:t>
      </w:r>
      <w:r w:rsidRPr="00011D64">
        <w:rPr>
          <w:rStyle w:val="EndnoteReference"/>
          <w:rFonts w:ascii="Cambria" w:hAnsi="Cambria"/>
        </w:rPr>
        <w:endnoteReference w:id="4"/>
      </w:r>
    </w:p>
    <w:p w:rsidR="00D53256" w:rsidRPr="00011D64" w:rsidRDefault="00D714D9" w:rsidP="00D53256">
      <w:pPr>
        <w:spacing w:after="120"/>
        <w:rPr>
          <w:rFonts w:ascii="Cambria" w:hAnsi="Cambria"/>
        </w:rPr>
      </w:pPr>
      <w:r>
        <w:rPr>
          <w:rFonts w:ascii="Cambria" w:hAnsi="Cambria"/>
        </w:rPr>
        <w:t>Much</w:t>
      </w:r>
      <w:r w:rsidR="004917F4" w:rsidRPr="00011D64">
        <w:rPr>
          <w:rFonts w:ascii="Cambria" w:hAnsi="Cambria"/>
        </w:rPr>
        <w:t xml:space="preserve"> has been done to address health disparities in the p</w:t>
      </w:r>
      <w:r>
        <w:rPr>
          <w:rFonts w:ascii="Cambria" w:hAnsi="Cambria"/>
        </w:rPr>
        <w:t xml:space="preserve">ast ten years. Still, </w:t>
      </w:r>
      <w:r w:rsidR="002B1F83">
        <w:rPr>
          <w:rFonts w:ascii="Cambria" w:hAnsi="Cambria"/>
        </w:rPr>
        <w:t>many disparities</w:t>
      </w:r>
      <w:r w:rsidR="004917F4" w:rsidRPr="00011D64">
        <w:rPr>
          <w:rFonts w:ascii="Cambria" w:hAnsi="Cambria"/>
        </w:rPr>
        <w:t xml:space="preserve"> </w:t>
      </w:r>
      <w:r w:rsidR="00CE17D2" w:rsidRPr="00011D64">
        <w:rPr>
          <w:rFonts w:ascii="Cambria" w:hAnsi="Cambria"/>
        </w:rPr>
        <w:t xml:space="preserve">are not decreasing. Areas where disparities </w:t>
      </w:r>
      <w:r w:rsidR="002B1F83">
        <w:rPr>
          <w:rFonts w:ascii="Cambria" w:hAnsi="Cambria"/>
        </w:rPr>
        <w:t>continue</w:t>
      </w:r>
      <w:r w:rsidR="00CE17D2" w:rsidRPr="00011D64">
        <w:rPr>
          <w:rFonts w:ascii="Cambria" w:hAnsi="Cambria"/>
        </w:rPr>
        <w:t xml:space="preserve"> include </w:t>
      </w:r>
      <w:r w:rsidR="004917F4" w:rsidRPr="00011D64">
        <w:rPr>
          <w:rFonts w:ascii="Cambria" w:hAnsi="Cambria"/>
        </w:rPr>
        <w:t>care for cance</w:t>
      </w:r>
      <w:r w:rsidR="00CE17D2" w:rsidRPr="00011D64">
        <w:rPr>
          <w:rFonts w:ascii="Cambria" w:hAnsi="Cambria"/>
        </w:rPr>
        <w:t>r, h</w:t>
      </w:r>
      <w:r>
        <w:rPr>
          <w:rFonts w:ascii="Cambria" w:hAnsi="Cambria"/>
        </w:rPr>
        <w:t>eart disease and pneumonia for b</w:t>
      </w:r>
      <w:r w:rsidR="00CE17D2" w:rsidRPr="00011D64">
        <w:rPr>
          <w:rFonts w:ascii="Cambria" w:hAnsi="Cambria"/>
        </w:rPr>
        <w:t>lack, Asian and Hispanic persons.</w:t>
      </w:r>
      <w:r w:rsidR="004917F4" w:rsidRPr="00011D64">
        <w:rPr>
          <w:rFonts w:ascii="Cambria" w:hAnsi="Cambria"/>
        </w:rPr>
        <w:t xml:space="preserve"> </w:t>
      </w:r>
    </w:p>
    <w:p w:rsidR="00D53256" w:rsidRPr="00011D64" w:rsidRDefault="00D53256" w:rsidP="00D53256">
      <w:pPr>
        <w:spacing w:after="120"/>
        <w:rPr>
          <w:rFonts w:ascii="Cambria" w:hAnsi="Cambria"/>
        </w:rPr>
      </w:pPr>
      <w:r w:rsidRPr="00011D64">
        <w:rPr>
          <w:rFonts w:ascii="Cambria" w:hAnsi="Cambria"/>
        </w:rPr>
        <w:t xml:space="preserve">While the causes of health disparities are varied, the American College of Physicians (ACP, 2010) identified </w:t>
      </w:r>
      <w:r w:rsidRPr="008F60D9">
        <w:rPr>
          <w:rFonts w:ascii="Cambria" w:hAnsi="Cambria"/>
          <w:i/>
        </w:rPr>
        <w:t>social determinants of health</w:t>
      </w:r>
      <w:r w:rsidRPr="00011D64">
        <w:rPr>
          <w:rFonts w:ascii="Cambria" w:hAnsi="Cambria"/>
        </w:rPr>
        <w:t xml:space="preserve"> as a significant source of health disparities among racial and ethnic minorities. ACP recommends that inequities in education, housing, job security and environmental health be erased to effectively address health disparities.</w:t>
      </w:r>
    </w:p>
    <w:p w:rsidR="004917F4" w:rsidRPr="00011D64" w:rsidRDefault="00D53256" w:rsidP="002B1F83">
      <w:pPr>
        <w:spacing w:after="240"/>
        <w:rPr>
          <w:rFonts w:ascii="Cambria" w:hAnsi="Cambria"/>
        </w:rPr>
      </w:pPr>
      <w:r w:rsidRPr="00011D64">
        <w:rPr>
          <w:rFonts w:ascii="Cambria" w:hAnsi="Cambria"/>
        </w:rPr>
        <w:t>“All patients, regardless of race, ethnic origin, gender, nationality, primary language, socioeconomic status, sexual orientation, cultural background, age, disability, or religion, deserve high-quality health care.”</w:t>
      </w:r>
      <w:r w:rsidR="002B1F83" w:rsidRPr="00011D64">
        <w:rPr>
          <w:rStyle w:val="EndnoteReference"/>
          <w:rFonts w:ascii="Cambria" w:hAnsi="Cambria"/>
        </w:rPr>
        <w:endnoteReference w:id="5"/>
      </w:r>
    </w:p>
    <w:p w:rsidR="00DB116C" w:rsidRPr="00011D64" w:rsidRDefault="00DB116C" w:rsidP="00CE17D2">
      <w:pPr>
        <w:spacing w:after="120"/>
        <w:rPr>
          <w:rFonts w:ascii="Cambria" w:hAnsi="Cambria"/>
          <w:b/>
          <w:i/>
        </w:rPr>
      </w:pPr>
      <w:r w:rsidRPr="00011D64">
        <w:rPr>
          <w:rFonts w:ascii="Cambria" w:hAnsi="Cambria"/>
          <w:b/>
          <w:i/>
        </w:rPr>
        <w:t>Significant health disparities were observed for Hispanics in Massachusetts</w:t>
      </w:r>
    </w:p>
    <w:p w:rsidR="00CE17D2" w:rsidRPr="00011D64" w:rsidRDefault="00CE17D2" w:rsidP="00CE17D2">
      <w:pPr>
        <w:spacing w:after="120"/>
        <w:rPr>
          <w:rFonts w:ascii="Cambria" w:hAnsi="Cambria"/>
        </w:rPr>
      </w:pPr>
      <w:r w:rsidRPr="00011D64">
        <w:rPr>
          <w:rFonts w:ascii="Cambria" w:hAnsi="Cambria"/>
        </w:rPr>
        <w:lastRenderedPageBreak/>
        <w:t xml:space="preserve">In its National Healthcare Quality and Disparities Report, the Agency for Healthcare Research and Quality offers an annual report detailing health disparities </w:t>
      </w:r>
      <w:r w:rsidR="00D53256" w:rsidRPr="00011D64">
        <w:rPr>
          <w:rFonts w:ascii="Cambria" w:hAnsi="Cambria"/>
        </w:rPr>
        <w:t>in the United States</w:t>
      </w:r>
      <w:r w:rsidRPr="00011D64">
        <w:rPr>
          <w:rFonts w:ascii="Cambria" w:hAnsi="Cambria"/>
        </w:rPr>
        <w:t>. In the health disparities “report card” section, information is broken down by state</w:t>
      </w:r>
      <w:r w:rsidR="00D53256" w:rsidRPr="00011D64">
        <w:rPr>
          <w:rFonts w:ascii="Cambria" w:hAnsi="Cambria"/>
        </w:rPr>
        <w:t>, race, ethnicity and income.</w:t>
      </w:r>
    </w:p>
    <w:p w:rsidR="00DB116C" w:rsidRPr="00011D64" w:rsidRDefault="00DB116C" w:rsidP="00CE17D2">
      <w:pPr>
        <w:spacing w:after="120"/>
        <w:rPr>
          <w:rFonts w:ascii="Cambria" w:hAnsi="Cambria"/>
        </w:rPr>
      </w:pPr>
      <w:r w:rsidRPr="00011D64">
        <w:rPr>
          <w:rFonts w:ascii="Cambria" w:hAnsi="Cambria"/>
        </w:rPr>
        <w:t>In 2010, c</w:t>
      </w:r>
      <w:r w:rsidR="00CE17D2" w:rsidRPr="00011D64">
        <w:rPr>
          <w:rFonts w:ascii="Cambria" w:hAnsi="Cambria"/>
        </w:rPr>
        <w:t>ompared to the United States, the performance for Massachusetts in quality of care compared to Whites (Non</w:t>
      </w:r>
      <w:r w:rsidRPr="00011D64">
        <w:rPr>
          <w:rFonts w:ascii="Cambria" w:hAnsi="Cambria"/>
        </w:rPr>
        <w:t>-Hispanic) was</w:t>
      </w:r>
      <w:r w:rsidR="00CE17D2" w:rsidRPr="00011D64">
        <w:rPr>
          <w:rFonts w:ascii="Cambria" w:hAnsi="Cambria"/>
        </w:rPr>
        <w:t xml:space="preserve"> in the very weak range for Hispanics (All Races), in the strong range for Blacks (Non-Hispanic), and in the very strong range for Asians and Pacific Islanders (Non-Hispanic).</w:t>
      </w:r>
    </w:p>
    <w:p w:rsidR="00DB116C" w:rsidRPr="00011D64" w:rsidRDefault="00DB116C" w:rsidP="00CE17D2">
      <w:pPr>
        <w:spacing w:after="120"/>
        <w:rPr>
          <w:rFonts w:ascii="Cambria" w:hAnsi="Cambria"/>
        </w:rPr>
      </w:pPr>
      <w:r w:rsidRPr="00011D64">
        <w:rPr>
          <w:rFonts w:ascii="Cambria" w:hAnsi="Cambria"/>
        </w:rPr>
        <w:t>Measures with the greatest disparities observed included asthma admissions for persons aged 65 and over, admissions for diabetes with long-term complications, and admissions for hypertension for adults 18 and over.</w:t>
      </w:r>
      <w:r w:rsidR="00760E14">
        <w:rPr>
          <w:rStyle w:val="EndnoteReference"/>
          <w:rFonts w:ascii="Cambria" w:hAnsi="Cambria"/>
        </w:rPr>
        <w:endnoteReference w:id="6"/>
      </w:r>
    </w:p>
    <w:p w:rsidR="00D53256" w:rsidRPr="00011D64" w:rsidRDefault="00D53256" w:rsidP="009C4ED2">
      <w:pPr>
        <w:spacing w:after="120"/>
        <w:rPr>
          <w:rFonts w:ascii="Cambria" w:hAnsi="Cambria"/>
        </w:rPr>
      </w:pPr>
      <w:r w:rsidRPr="00011D64">
        <w:rPr>
          <w:rFonts w:ascii="Cambria" w:hAnsi="Cambria"/>
          <w:b/>
          <w:i/>
        </w:rPr>
        <w:t xml:space="preserve">While disparities have been tracked by race and ethnicity and income level, more data is needed to identify disparities for LGBT individuals and those with disabilities </w:t>
      </w:r>
    </w:p>
    <w:p w:rsidR="00E628FA" w:rsidRPr="00E628FA" w:rsidRDefault="00E628FA" w:rsidP="00E628FA">
      <w:pPr>
        <w:spacing w:after="240"/>
        <w:rPr>
          <w:rFonts w:ascii="Cambria" w:hAnsi="Cambria"/>
        </w:rPr>
      </w:pPr>
      <w:r>
        <w:rPr>
          <w:rFonts w:ascii="Cambria" w:hAnsi="Cambria"/>
        </w:rPr>
        <w:t>The National Council on Disabilities (</w:t>
      </w:r>
      <w:r w:rsidRPr="00011D64">
        <w:rPr>
          <w:rFonts w:ascii="Cambria" w:hAnsi="Cambria"/>
        </w:rPr>
        <w:t xml:space="preserve">2009) </w:t>
      </w:r>
      <w:r>
        <w:rPr>
          <w:rFonts w:ascii="Cambria" w:hAnsi="Cambria"/>
        </w:rPr>
        <w:t>rates past</w:t>
      </w:r>
      <w:r w:rsidRPr="00011D64">
        <w:rPr>
          <w:rFonts w:ascii="Cambria" w:hAnsi="Cambria"/>
        </w:rPr>
        <w:t xml:space="preserve"> health disparities research around disabilities </w:t>
      </w:r>
      <w:r>
        <w:rPr>
          <w:rFonts w:ascii="Cambria" w:hAnsi="Cambria"/>
        </w:rPr>
        <w:t>as inconsistent</w:t>
      </w:r>
      <w:r w:rsidRPr="00011D64">
        <w:rPr>
          <w:rFonts w:ascii="Cambria" w:hAnsi="Cambria"/>
        </w:rPr>
        <w:t xml:space="preserve"> </w:t>
      </w:r>
      <w:r>
        <w:rPr>
          <w:rFonts w:ascii="Cambria" w:hAnsi="Cambria"/>
        </w:rPr>
        <w:t>and lacking</w:t>
      </w:r>
      <w:r w:rsidRPr="00011D64">
        <w:rPr>
          <w:rFonts w:ascii="Cambria" w:hAnsi="Cambria"/>
        </w:rPr>
        <w:t xml:space="preserve"> focus on disability as a demographic characteristic</w:t>
      </w:r>
      <w:r w:rsidR="00760E14">
        <w:rPr>
          <w:rFonts w:ascii="Cambria" w:hAnsi="Cambria"/>
        </w:rPr>
        <w:t>.</w:t>
      </w:r>
      <w:r>
        <w:rPr>
          <w:rStyle w:val="EndnoteReference"/>
          <w:rFonts w:ascii="Cambria" w:hAnsi="Cambria"/>
        </w:rPr>
        <w:endnoteReference w:id="7"/>
      </w:r>
    </w:p>
    <w:p w:rsidR="009F2869" w:rsidRPr="00011D64" w:rsidRDefault="00BD79E4" w:rsidP="009F2869">
      <w:pPr>
        <w:spacing w:after="120"/>
        <w:rPr>
          <w:rFonts w:ascii="Cambria" w:hAnsi="Cambria"/>
        </w:rPr>
      </w:pPr>
      <w:r w:rsidRPr="00011D64">
        <w:rPr>
          <w:rFonts w:ascii="Cambria" w:hAnsi="Cambria"/>
        </w:rPr>
        <w:t>In light of the limited health information available about the LGBT population</w:t>
      </w:r>
      <w:r>
        <w:rPr>
          <w:rFonts w:ascii="Cambria" w:hAnsi="Cambria"/>
        </w:rPr>
        <w:t>,</w:t>
      </w:r>
      <w:r w:rsidRPr="00011D64">
        <w:rPr>
          <w:rFonts w:ascii="Cambria" w:hAnsi="Cambria"/>
        </w:rPr>
        <w:t xml:space="preserve"> and recognizing the need for more data to identify and address health disparities in the community, the Institute of Medicine recommends that sexual orienta</w:t>
      </w:r>
      <w:r w:rsidR="00760E14">
        <w:rPr>
          <w:rFonts w:ascii="Cambria" w:hAnsi="Cambria"/>
        </w:rPr>
        <w:t>tion and gender identity data be</w:t>
      </w:r>
      <w:r w:rsidRPr="00011D64">
        <w:rPr>
          <w:rFonts w:ascii="Cambria" w:hAnsi="Cambria"/>
        </w:rPr>
        <w:t xml:space="preserve"> collected in national and state health demographic surveys. In 2011, the U.S. Department of Health and Human Services began to incorporate sexual orientation and gender identity in the National Health Interview Survey, the primary source of health information on the U.S. population.</w:t>
      </w:r>
      <w:r w:rsidRPr="00011D64">
        <w:rPr>
          <w:rStyle w:val="EndnoteReference"/>
          <w:rFonts w:ascii="Cambria" w:hAnsi="Cambria"/>
        </w:rPr>
        <w:endnoteReference w:id="8"/>
      </w:r>
    </w:p>
    <w:p w:rsidR="00DB116C" w:rsidRPr="00011D64" w:rsidRDefault="00DB116C" w:rsidP="009F2869">
      <w:pPr>
        <w:spacing w:after="120"/>
        <w:rPr>
          <w:rFonts w:ascii="Cambria" w:hAnsi="Cambria"/>
          <w:b/>
          <w:i/>
        </w:rPr>
      </w:pPr>
      <w:r w:rsidRPr="00011D64">
        <w:rPr>
          <w:rFonts w:ascii="Cambria" w:hAnsi="Cambria"/>
          <w:b/>
          <w:i/>
        </w:rPr>
        <w:t>General principles of cultural competence can be applied to meet the needs of individuals from diverse cultural, REL backgrounds</w:t>
      </w:r>
    </w:p>
    <w:p w:rsidR="008B5CF7" w:rsidRPr="00011D64" w:rsidRDefault="00DB116C" w:rsidP="009F2869">
      <w:pPr>
        <w:spacing w:after="120"/>
        <w:rPr>
          <w:rFonts w:ascii="Cambria" w:hAnsi="Cambria"/>
        </w:rPr>
      </w:pPr>
      <w:r w:rsidRPr="00011D64">
        <w:rPr>
          <w:rFonts w:ascii="Cambria" w:hAnsi="Cambria"/>
        </w:rPr>
        <w:t>The Joint Commission (2010) offers the following g</w:t>
      </w:r>
      <w:r w:rsidR="008B5CF7" w:rsidRPr="00011D64">
        <w:rPr>
          <w:rFonts w:ascii="Cambria" w:hAnsi="Cambria"/>
        </w:rPr>
        <w:t>eneral principles of cultural sensitivity for staff</w:t>
      </w:r>
      <w:r w:rsidRPr="00011D64">
        <w:rPr>
          <w:rFonts w:ascii="Cambria" w:hAnsi="Cambria"/>
        </w:rPr>
        <w:t>:</w:t>
      </w:r>
      <w:r w:rsidR="008B5CF7" w:rsidRPr="00011D64">
        <w:rPr>
          <w:rStyle w:val="EndnoteReference"/>
          <w:rFonts w:ascii="Cambria" w:hAnsi="Cambria"/>
        </w:rPr>
        <w:endnoteReference w:id="9"/>
      </w:r>
      <w:r w:rsidR="008B5CF7" w:rsidRPr="00011D64">
        <w:rPr>
          <w:rFonts w:ascii="Cambria" w:hAnsi="Cambria"/>
        </w:rPr>
        <w:t>:</w:t>
      </w:r>
    </w:p>
    <w:p w:rsidR="008B5CF7" w:rsidRPr="00011D64" w:rsidRDefault="008F60D9" w:rsidP="008B5CF7">
      <w:pPr>
        <w:pStyle w:val="ListParagraph"/>
        <w:numPr>
          <w:ilvl w:val="0"/>
          <w:numId w:val="2"/>
        </w:numPr>
        <w:spacing w:after="120"/>
        <w:rPr>
          <w:rFonts w:ascii="Cambria" w:hAnsi="Cambria"/>
        </w:rPr>
      </w:pPr>
      <w:r>
        <w:rPr>
          <w:rFonts w:ascii="Cambria" w:hAnsi="Cambria"/>
        </w:rPr>
        <w:t>Ask open-</w:t>
      </w:r>
      <w:r w:rsidR="008B5CF7" w:rsidRPr="00011D64">
        <w:rPr>
          <w:rFonts w:ascii="Cambria" w:hAnsi="Cambria"/>
        </w:rPr>
        <w:t>ended questions, create a respectful partnership</w:t>
      </w:r>
    </w:p>
    <w:p w:rsidR="008B5CF7" w:rsidRPr="00011D64" w:rsidRDefault="008B5CF7" w:rsidP="008B5CF7">
      <w:pPr>
        <w:pStyle w:val="ListParagraph"/>
        <w:numPr>
          <w:ilvl w:val="0"/>
          <w:numId w:val="2"/>
        </w:numPr>
        <w:spacing w:after="120"/>
        <w:rPr>
          <w:rFonts w:ascii="Cambria" w:hAnsi="Cambria"/>
        </w:rPr>
      </w:pPr>
      <w:r w:rsidRPr="00011D64">
        <w:rPr>
          <w:rFonts w:ascii="Cambria" w:hAnsi="Cambria"/>
        </w:rPr>
        <w:t>Use inclusive language to collect patient information</w:t>
      </w:r>
    </w:p>
    <w:p w:rsidR="008B5CF7" w:rsidRPr="00011D64" w:rsidRDefault="008B5CF7" w:rsidP="008B5CF7">
      <w:pPr>
        <w:pStyle w:val="ListParagraph"/>
        <w:numPr>
          <w:ilvl w:val="0"/>
          <w:numId w:val="2"/>
        </w:numPr>
        <w:spacing w:after="120"/>
        <w:rPr>
          <w:rFonts w:ascii="Cambria" w:hAnsi="Cambria"/>
        </w:rPr>
      </w:pPr>
      <w:r w:rsidRPr="00011D64">
        <w:rPr>
          <w:rFonts w:ascii="Cambria" w:hAnsi="Cambria"/>
        </w:rPr>
        <w:t>Train staff in the concept of cultural humility to develop self-awareness and a respectful attitude</w:t>
      </w:r>
    </w:p>
    <w:p w:rsidR="008B5CF7" w:rsidRPr="00011D64" w:rsidRDefault="008B5CF7" w:rsidP="008B5CF7">
      <w:pPr>
        <w:pStyle w:val="ListParagraph"/>
        <w:numPr>
          <w:ilvl w:val="0"/>
          <w:numId w:val="2"/>
        </w:numPr>
        <w:spacing w:after="120"/>
        <w:rPr>
          <w:rFonts w:ascii="Cambria" w:hAnsi="Cambria"/>
        </w:rPr>
      </w:pPr>
      <w:r w:rsidRPr="00011D64">
        <w:rPr>
          <w:rFonts w:ascii="Cambria" w:hAnsi="Cambria"/>
        </w:rPr>
        <w:t>Use resources and tools to meet the cultural and religious needs of the most frequently encountered populations</w:t>
      </w:r>
    </w:p>
    <w:p w:rsidR="003E6D53" w:rsidRPr="00011D64" w:rsidRDefault="003E6D53" w:rsidP="008B5CF7">
      <w:pPr>
        <w:pStyle w:val="ListParagraph"/>
        <w:numPr>
          <w:ilvl w:val="0"/>
          <w:numId w:val="2"/>
        </w:numPr>
        <w:spacing w:after="120"/>
        <w:rPr>
          <w:rFonts w:ascii="Cambria" w:hAnsi="Cambria"/>
        </w:rPr>
      </w:pPr>
      <w:r w:rsidRPr="00011D64">
        <w:rPr>
          <w:rFonts w:ascii="Cambria" w:hAnsi="Cambria"/>
        </w:rPr>
        <w:t>Have information materials in the most frequently encountered languages, to meet diverse health literacy needs</w:t>
      </w:r>
    </w:p>
    <w:p w:rsidR="003E6D53" w:rsidRPr="00011D64" w:rsidRDefault="003E6D53" w:rsidP="008B5CF7">
      <w:pPr>
        <w:pStyle w:val="ListParagraph"/>
        <w:numPr>
          <w:ilvl w:val="0"/>
          <w:numId w:val="2"/>
        </w:numPr>
        <w:spacing w:after="120"/>
        <w:rPr>
          <w:rFonts w:ascii="Cambria" w:hAnsi="Cambria"/>
        </w:rPr>
      </w:pPr>
      <w:r w:rsidRPr="00011D64">
        <w:rPr>
          <w:rFonts w:ascii="Cambria" w:hAnsi="Cambria"/>
        </w:rPr>
        <w:t>Offer mobility assistance and specialized equipment</w:t>
      </w:r>
    </w:p>
    <w:p w:rsidR="00D53256" w:rsidRPr="00011D64" w:rsidRDefault="003E6D53" w:rsidP="009F2869">
      <w:pPr>
        <w:pStyle w:val="ListParagraph"/>
        <w:numPr>
          <w:ilvl w:val="0"/>
          <w:numId w:val="2"/>
        </w:numPr>
        <w:spacing w:after="120"/>
        <w:rPr>
          <w:rFonts w:ascii="Cambria" w:hAnsi="Cambria"/>
        </w:rPr>
      </w:pPr>
      <w:r w:rsidRPr="00011D64">
        <w:rPr>
          <w:rFonts w:ascii="Cambria" w:hAnsi="Cambria"/>
        </w:rPr>
        <w:t>Enlist professional chaplains in care</w:t>
      </w:r>
    </w:p>
    <w:p w:rsidR="009F2869" w:rsidRPr="00011D64" w:rsidRDefault="009F2869" w:rsidP="002B1F83">
      <w:pPr>
        <w:pStyle w:val="ListParagraph"/>
        <w:spacing w:after="120"/>
        <w:rPr>
          <w:rFonts w:ascii="Cambria" w:hAnsi="Cambria"/>
        </w:rPr>
      </w:pPr>
    </w:p>
    <w:p w:rsidR="009F2869" w:rsidRPr="00011D64" w:rsidRDefault="002B1F83" w:rsidP="009F2869">
      <w:pPr>
        <w:spacing w:after="120"/>
        <w:rPr>
          <w:rFonts w:ascii="Cambria" w:hAnsi="Cambria"/>
        </w:rPr>
      </w:pPr>
      <w:r>
        <w:rPr>
          <w:rFonts w:ascii="Cambria" w:hAnsi="Cambria"/>
        </w:rPr>
        <w:t>To gain support of leadership, the Joint Commission recommends using</w:t>
      </w:r>
      <w:r w:rsidR="009F2869" w:rsidRPr="00011D64">
        <w:rPr>
          <w:rFonts w:ascii="Cambria" w:hAnsi="Cambria"/>
        </w:rPr>
        <w:t xml:space="preserve"> data </w:t>
      </w:r>
      <w:r>
        <w:rPr>
          <w:rFonts w:ascii="Cambria" w:hAnsi="Cambria"/>
        </w:rPr>
        <w:t>as a way to galvanize</w:t>
      </w:r>
      <w:r w:rsidR="009F2869" w:rsidRPr="00011D64">
        <w:rPr>
          <w:rFonts w:ascii="Cambria" w:hAnsi="Cambria"/>
        </w:rPr>
        <w:t xml:space="preserve"> action within a hospital. </w:t>
      </w:r>
      <w:r>
        <w:rPr>
          <w:rFonts w:ascii="Cambria" w:hAnsi="Cambria"/>
        </w:rPr>
        <w:t xml:space="preserve">In </w:t>
      </w:r>
      <w:r>
        <w:rPr>
          <w:rFonts w:ascii="Cambria" w:hAnsi="Cambria"/>
          <w:i/>
        </w:rPr>
        <w:t>Leading Change</w:t>
      </w:r>
      <w:r w:rsidR="008F60D9">
        <w:rPr>
          <w:rFonts w:ascii="Cambria" w:hAnsi="Cambria"/>
          <w:i/>
        </w:rPr>
        <w:t>,</w:t>
      </w:r>
      <w:r>
        <w:rPr>
          <w:rFonts w:ascii="Cambria" w:hAnsi="Cambria"/>
        </w:rPr>
        <w:t xml:space="preserve"> </w:t>
      </w:r>
      <w:r w:rsidR="008F60D9">
        <w:rPr>
          <w:rFonts w:ascii="Cambria" w:hAnsi="Cambria"/>
        </w:rPr>
        <w:t xml:space="preserve">John P. </w:t>
      </w:r>
      <w:proofErr w:type="spellStart"/>
      <w:r>
        <w:rPr>
          <w:rFonts w:ascii="Cambria" w:hAnsi="Cambria"/>
        </w:rPr>
        <w:t>Kotter</w:t>
      </w:r>
      <w:proofErr w:type="spellEnd"/>
      <w:r>
        <w:rPr>
          <w:rFonts w:ascii="Cambria" w:hAnsi="Cambria"/>
        </w:rPr>
        <w:t xml:space="preserve"> states, </w:t>
      </w:r>
      <w:r>
        <w:rPr>
          <w:rFonts w:ascii="Cambria" w:hAnsi="Cambria"/>
        </w:rPr>
        <w:lastRenderedPageBreak/>
        <w:t>“s</w:t>
      </w:r>
      <w:r w:rsidR="009F2869" w:rsidRPr="00011D64">
        <w:rPr>
          <w:rFonts w:ascii="Cambria" w:hAnsi="Cambria"/>
        </w:rPr>
        <w:t>eeing even a small amount of data showing an area for concern can incline hospital leadership to take action.”</w:t>
      </w:r>
      <w:r w:rsidR="009F2869" w:rsidRPr="00011D64">
        <w:rPr>
          <w:rStyle w:val="EndnoteReference"/>
          <w:rFonts w:ascii="Cambria" w:hAnsi="Cambria"/>
        </w:rPr>
        <w:endnoteReference w:id="10"/>
      </w:r>
    </w:p>
    <w:p w:rsidR="003F7E07" w:rsidRPr="00011D64" w:rsidRDefault="003F7E07" w:rsidP="003F7E07">
      <w:pPr>
        <w:spacing w:after="120"/>
        <w:rPr>
          <w:rFonts w:ascii="Cambria" w:hAnsi="Cambria"/>
          <w:b/>
          <w:i/>
        </w:rPr>
      </w:pPr>
      <w:r w:rsidRPr="00011D64">
        <w:rPr>
          <w:rFonts w:ascii="Cambria" w:hAnsi="Cambria"/>
          <w:b/>
          <w:i/>
        </w:rPr>
        <w:t>Communication and language assistance are essential for patients with limited English Proficiency (LEP) as well as for those with physical and learning disabilities and low health literacy</w:t>
      </w:r>
    </w:p>
    <w:p w:rsidR="003F7E07" w:rsidRPr="00011D64" w:rsidRDefault="003F7E07" w:rsidP="003F7E07">
      <w:pPr>
        <w:spacing w:after="120"/>
        <w:rPr>
          <w:rFonts w:ascii="Cambria" w:hAnsi="Cambria"/>
        </w:rPr>
      </w:pPr>
      <w:r w:rsidRPr="00011D64">
        <w:rPr>
          <w:rFonts w:ascii="Cambria" w:hAnsi="Cambria"/>
        </w:rPr>
        <w:t xml:space="preserve">The 2013 CLAS standards extend the need for communication and language assistance to those with physical and learning disabilities, “individuals may have communication not related to a </w:t>
      </w:r>
      <w:r w:rsidR="008F60D9">
        <w:rPr>
          <w:rFonts w:ascii="Cambria" w:hAnsi="Cambria"/>
        </w:rPr>
        <w:t xml:space="preserve">[spoken] </w:t>
      </w:r>
      <w:r w:rsidRPr="00011D64">
        <w:rPr>
          <w:rFonts w:ascii="Cambria" w:hAnsi="Cambria"/>
        </w:rPr>
        <w:t>language barrier, such as those who are deaf or hard of hearing, visually impaired, or disabled, or those with low health literacy.”</w:t>
      </w:r>
      <w:r w:rsidRPr="00011D64">
        <w:rPr>
          <w:rStyle w:val="EndnoteReference"/>
          <w:rFonts w:ascii="Cambria" w:hAnsi="Cambria"/>
        </w:rPr>
        <w:endnoteReference w:id="11"/>
      </w:r>
    </w:p>
    <w:p w:rsidR="009F2869" w:rsidRPr="00011D64" w:rsidRDefault="009F2869" w:rsidP="009F2869">
      <w:pPr>
        <w:spacing w:after="120"/>
        <w:rPr>
          <w:rFonts w:ascii="Cambria" w:hAnsi="Cambria"/>
        </w:rPr>
      </w:pPr>
    </w:p>
    <w:p w:rsidR="009F2869" w:rsidRPr="00011D64" w:rsidRDefault="009F2869" w:rsidP="009F2869">
      <w:pPr>
        <w:spacing w:after="120"/>
        <w:rPr>
          <w:rFonts w:ascii="Cambria" w:hAnsi="Cambria"/>
          <w:b/>
        </w:rPr>
      </w:pPr>
      <w:r w:rsidRPr="00011D64">
        <w:rPr>
          <w:rFonts w:ascii="Cambria" w:hAnsi="Cambria"/>
          <w:b/>
        </w:rPr>
        <w:t>Health Literacy</w:t>
      </w:r>
    </w:p>
    <w:p w:rsidR="002271B5" w:rsidRPr="00011D64" w:rsidRDefault="002271B5" w:rsidP="002271B5">
      <w:pPr>
        <w:spacing w:after="120"/>
        <w:rPr>
          <w:rFonts w:ascii="Cambria" w:hAnsi="Cambria"/>
          <w:i/>
        </w:rPr>
      </w:pPr>
      <w:r w:rsidRPr="00011D64">
        <w:rPr>
          <w:rFonts w:ascii="Cambria" w:hAnsi="Cambria"/>
          <w:i/>
        </w:rPr>
        <w:t>Definition of health literacy:</w:t>
      </w:r>
    </w:p>
    <w:p w:rsidR="00E21E25" w:rsidRPr="00011D64" w:rsidRDefault="00554699" w:rsidP="00C11C03">
      <w:pPr>
        <w:spacing w:after="240"/>
        <w:rPr>
          <w:rFonts w:ascii="Cambria" w:hAnsi="Cambria"/>
        </w:rPr>
      </w:pPr>
      <w:r w:rsidRPr="00011D64">
        <w:rPr>
          <w:rFonts w:ascii="Cambria" w:hAnsi="Cambria"/>
        </w:rPr>
        <w:t>According to the Institute of Medicine, 90 million U.S. adults (47 percent) have limited health literacy</w:t>
      </w:r>
      <w:r w:rsidR="003F7E07" w:rsidRPr="00011D64">
        <w:rPr>
          <w:rFonts w:ascii="Cambria" w:hAnsi="Cambria"/>
        </w:rPr>
        <w:t xml:space="preserve">, </w:t>
      </w:r>
      <w:r w:rsidRPr="00011D64">
        <w:rPr>
          <w:rStyle w:val="EndnoteReference"/>
          <w:rFonts w:ascii="Cambria" w:hAnsi="Cambria"/>
        </w:rPr>
        <w:endnoteReference w:id="12"/>
      </w:r>
      <w:r w:rsidR="003F7E07" w:rsidRPr="00011D64">
        <w:rPr>
          <w:rFonts w:ascii="Cambria" w:hAnsi="Cambria"/>
        </w:rPr>
        <w:t xml:space="preserve"> which is defined as “the degree to which individuals have the capacity to obtain, process, and understand basic health information and services needed to make appropriate health decisions.</w:t>
      </w:r>
      <w:r w:rsidR="003F7E07" w:rsidRPr="00011D64">
        <w:rPr>
          <w:rStyle w:val="EndnoteReference"/>
          <w:rFonts w:ascii="Cambria" w:hAnsi="Cambria"/>
        </w:rPr>
        <w:endnoteReference w:id="13"/>
      </w:r>
      <w:r w:rsidR="003F7E07" w:rsidRPr="00011D64">
        <w:rPr>
          <w:rFonts w:ascii="Cambria" w:hAnsi="Cambria"/>
        </w:rPr>
        <w:t>“</w:t>
      </w:r>
    </w:p>
    <w:p w:rsidR="00E21E25" w:rsidRPr="00011D64" w:rsidRDefault="00E21E25" w:rsidP="003F7E07">
      <w:pPr>
        <w:spacing w:after="120"/>
        <w:rPr>
          <w:rFonts w:ascii="Cambria" w:hAnsi="Cambria"/>
        </w:rPr>
      </w:pPr>
      <w:r w:rsidRPr="00011D64">
        <w:rPr>
          <w:rFonts w:ascii="Cambria" w:hAnsi="Cambria"/>
          <w:i/>
        </w:rPr>
        <w:t>Low health lite</w:t>
      </w:r>
      <w:r w:rsidR="00C11C03" w:rsidRPr="00011D64">
        <w:rPr>
          <w:rFonts w:ascii="Cambria" w:hAnsi="Cambria"/>
          <w:i/>
        </w:rPr>
        <w:t>racy disproportionately affects</w:t>
      </w:r>
      <w:r w:rsidRPr="00011D64">
        <w:rPr>
          <w:rFonts w:ascii="Cambria" w:hAnsi="Cambria"/>
          <w:i/>
        </w:rPr>
        <w:t xml:space="preserve"> racial and ethnic minori</w:t>
      </w:r>
      <w:r w:rsidR="00C11C03" w:rsidRPr="00011D64">
        <w:rPr>
          <w:rFonts w:ascii="Cambria" w:hAnsi="Cambria"/>
          <w:i/>
        </w:rPr>
        <w:t xml:space="preserve">ties, </w:t>
      </w:r>
      <w:r w:rsidR="00EE670D">
        <w:rPr>
          <w:rFonts w:ascii="Cambria" w:hAnsi="Cambria"/>
          <w:i/>
        </w:rPr>
        <w:t>low-income persons</w:t>
      </w:r>
      <w:r w:rsidR="00C11C03" w:rsidRPr="00011D64">
        <w:rPr>
          <w:rFonts w:ascii="Cambria" w:hAnsi="Cambria"/>
          <w:i/>
        </w:rPr>
        <w:t>,</w:t>
      </w:r>
      <w:r w:rsidRPr="00011D64">
        <w:rPr>
          <w:rFonts w:ascii="Cambria" w:hAnsi="Cambria"/>
          <w:i/>
        </w:rPr>
        <w:t xml:space="preserve"> individuals with learning disabilities</w:t>
      </w:r>
      <w:r w:rsidR="00C11C03" w:rsidRPr="00011D64">
        <w:rPr>
          <w:rFonts w:ascii="Cambria" w:hAnsi="Cambria"/>
          <w:i/>
        </w:rPr>
        <w:t>, and the elderly</w:t>
      </w:r>
      <w:r w:rsidR="00EE670D">
        <w:rPr>
          <w:rFonts w:ascii="Cambria" w:hAnsi="Cambria"/>
          <w:i/>
        </w:rPr>
        <w:t>.</w:t>
      </w:r>
    </w:p>
    <w:p w:rsidR="00E21E25" w:rsidRPr="00011D64" w:rsidRDefault="00E21E25" w:rsidP="003F7E07">
      <w:pPr>
        <w:spacing w:after="120"/>
        <w:rPr>
          <w:rFonts w:ascii="Cambria" w:hAnsi="Cambria"/>
        </w:rPr>
      </w:pPr>
      <w:r w:rsidRPr="00011D64">
        <w:rPr>
          <w:rFonts w:ascii="Cambria" w:hAnsi="Cambria"/>
        </w:rPr>
        <w:t>While health literacy can affect individuals from all backgrounds and income levels, low health literacy disproportionately affects racial and ethnic minorities, with 50 percent of Hispanics, 40 percent of Blacks and 33 percent of Asians estimated to have lower literacy skills.</w:t>
      </w:r>
      <w:r w:rsidRPr="00011D64">
        <w:rPr>
          <w:rStyle w:val="EndnoteReference"/>
          <w:rFonts w:ascii="Cambria" w:hAnsi="Cambria"/>
        </w:rPr>
        <w:endnoteReference w:id="14"/>
      </w:r>
    </w:p>
    <w:p w:rsidR="00E21E25" w:rsidRPr="00011D64" w:rsidRDefault="00E21E25" w:rsidP="003F7E07">
      <w:pPr>
        <w:spacing w:after="120"/>
        <w:rPr>
          <w:rFonts w:ascii="Cambria" w:hAnsi="Cambria"/>
        </w:rPr>
      </w:pPr>
      <w:r w:rsidRPr="00011D64">
        <w:rPr>
          <w:rFonts w:ascii="Cambria" w:hAnsi="Cambria"/>
        </w:rPr>
        <w:t>Health literacy tends to be lower for those with limited English proficiency (LEP), cognitive impairments, learning disabilities, low educational attainment, and among the poor, elderly, and minorities.</w:t>
      </w:r>
      <w:r w:rsidRPr="00011D64">
        <w:rPr>
          <w:rStyle w:val="EndnoteReference"/>
          <w:rFonts w:ascii="Cambria" w:hAnsi="Cambria"/>
        </w:rPr>
        <w:endnoteReference w:id="15"/>
      </w:r>
    </w:p>
    <w:p w:rsidR="00E21E25" w:rsidRPr="00011D64" w:rsidRDefault="00E21E25" w:rsidP="00C11C03">
      <w:pPr>
        <w:spacing w:after="240"/>
        <w:rPr>
          <w:rFonts w:ascii="Cambria" w:hAnsi="Cambria"/>
        </w:rPr>
      </w:pPr>
      <w:r w:rsidRPr="00011D64">
        <w:rPr>
          <w:rFonts w:ascii="Cambria" w:hAnsi="Cambria"/>
        </w:rPr>
        <w:t xml:space="preserve">Elderly persons also tend to have lower literacy skills. In </w:t>
      </w:r>
      <w:r w:rsidRPr="00011D64">
        <w:rPr>
          <w:rFonts w:ascii="Cambria" w:hAnsi="Cambria"/>
          <w:i/>
        </w:rPr>
        <w:t>The Literacy Problem</w:t>
      </w:r>
      <w:r w:rsidRPr="00011D64">
        <w:rPr>
          <w:rFonts w:ascii="Cambria" w:hAnsi="Cambria"/>
        </w:rPr>
        <w:t xml:space="preserve">, </w:t>
      </w:r>
      <w:proofErr w:type="spellStart"/>
      <w:r w:rsidRPr="00011D64">
        <w:rPr>
          <w:rFonts w:ascii="Cambria" w:hAnsi="Cambria"/>
        </w:rPr>
        <w:t>Doak</w:t>
      </w:r>
      <w:proofErr w:type="spellEnd"/>
      <w:r w:rsidRPr="00011D64">
        <w:rPr>
          <w:rFonts w:ascii="Cambria" w:hAnsi="Cambria"/>
        </w:rPr>
        <w:t xml:space="preserve"> et al (1996) report that more than 66 percent of U.S. adults aged 60 and over have either inadequate or marginal literacy skills.</w:t>
      </w:r>
      <w:r w:rsidRPr="00011D64">
        <w:rPr>
          <w:rStyle w:val="EndnoteReference"/>
          <w:rFonts w:ascii="Cambria" w:hAnsi="Cambria"/>
        </w:rPr>
        <w:endnoteReference w:id="16"/>
      </w:r>
    </w:p>
    <w:p w:rsidR="00E21E25" w:rsidRPr="00011D64" w:rsidRDefault="00E21E25" w:rsidP="00E21E25">
      <w:pPr>
        <w:spacing w:after="120"/>
        <w:rPr>
          <w:rFonts w:ascii="Cambria" w:hAnsi="Cambria"/>
        </w:rPr>
      </w:pPr>
      <w:r w:rsidRPr="00011D64">
        <w:rPr>
          <w:rFonts w:ascii="Cambria" w:hAnsi="Cambria"/>
          <w:i/>
        </w:rPr>
        <w:t>Literacy skills significantly affect health outcomes, costs</w:t>
      </w:r>
      <w:r w:rsidR="00EE670D">
        <w:rPr>
          <w:rFonts w:ascii="Cambria" w:hAnsi="Cambria"/>
          <w:i/>
        </w:rPr>
        <w:t>.</w:t>
      </w:r>
    </w:p>
    <w:p w:rsidR="00E21E25" w:rsidRPr="00011D64" w:rsidRDefault="00E21E25" w:rsidP="00E21E25">
      <w:pPr>
        <w:spacing w:after="120"/>
        <w:rPr>
          <w:rFonts w:ascii="Cambria" w:hAnsi="Cambria"/>
        </w:rPr>
      </w:pPr>
      <w:r w:rsidRPr="00011D64">
        <w:rPr>
          <w:rFonts w:ascii="Cambria" w:hAnsi="Cambria"/>
        </w:rPr>
        <w:t>Weiss (2003) found that literacy skills are a stronger predictor of an individual’s health status than age, income, employment status, education level, or their racial, ethnic group.</w:t>
      </w:r>
      <w:r w:rsidRPr="00011D64">
        <w:rPr>
          <w:rStyle w:val="EndnoteReference"/>
          <w:rFonts w:ascii="Cambria" w:hAnsi="Cambria"/>
        </w:rPr>
        <w:endnoteReference w:id="17"/>
      </w:r>
      <w:r w:rsidRPr="00011D64">
        <w:rPr>
          <w:rFonts w:ascii="Cambria" w:hAnsi="Cambria"/>
        </w:rPr>
        <w:t xml:space="preserve"> </w:t>
      </w:r>
    </w:p>
    <w:p w:rsidR="00B9737F" w:rsidRPr="00011D64" w:rsidRDefault="00C11C03" w:rsidP="00C11C03">
      <w:pPr>
        <w:spacing w:after="240"/>
        <w:rPr>
          <w:rFonts w:ascii="Cambria" w:hAnsi="Cambria"/>
        </w:rPr>
      </w:pPr>
      <w:r w:rsidRPr="00011D64">
        <w:rPr>
          <w:rFonts w:ascii="Cambria" w:hAnsi="Cambria"/>
        </w:rPr>
        <w:t>More than five articles included in this review indicate that p</w:t>
      </w:r>
      <w:r w:rsidR="00E21E25" w:rsidRPr="00011D64">
        <w:rPr>
          <w:rFonts w:ascii="Cambria" w:hAnsi="Cambria"/>
        </w:rPr>
        <w:t xml:space="preserve">atients with low literacy skills are at higher risk for hospitalization than people with adequate literacy </w:t>
      </w:r>
      <w:proofErr w:type="gramStart"/>
      <w:r w:rsidR="00E21E25" w:rsidRPr="00011D64">
        <w:rPr>
          <w:rFonts w:ascii="Cambria" w:hAnsi="Cambria"/>
        </w:rPr>
        <w:t>skills</w:t>
      </w:r>
      <w:r w:rsidRPr="00011D64">
        <w:rPr>
          <w:rFonts w:ascii="Cambria" w:hAnsi="Cambria"/>
        </w:rPr>
        <w:t>,</w:t>
      </w:r>
      <w:proofErr w:type="gramEnd"/>
      <w:r w:rsidRPr="00011D64">
        <w:rPr>
          <w:rFonts w:ascii="Cambria" w:hAnsi="Cambria"/>
        </w:rPr>
        <w:t xml:space="preserve"> </w:t>
      </w:r>
      <w:r w:rsidR="00E21E25" w:rsidRPr="00011D64">
        <w:rPr>
          <w:rStyle w:val="EndnoteReference"/>
          <w:rFonts w:ascii="Cambria" w:hAnsi="Cambria"/>
        </w:rPr>
        <w:endnoteReference w:id="18"/>
      </w:r>
      <w:r w:rsidRPr="00011D64">
        <w:rPr>
          <w:rFonts w:ascii="Cambria" w:hAnsi="Cambria"/>
        </w:rPr>
        <w:t xml:space="preserve"> m</w:t>
      </w:r>
      <w:r w:rsidR="00E21E25" w:rsidRPr="00011D64">
        <w:rPr>
          <w:rFonts w:ascii="Cambria" w:hAnsi="Cambria"/>
        </w:rPr>
        <w:t>ake more medication or treatment errors and are less able to comply with treatments</w:t>
      </w:r>
      <w:r w:rsidR="00E21E25" w:rsidRPr="00011D64">
        <w:rPr>
          <w:rStyle w:val="EndnoteReference"/>
          <w:rFonts w:ascii="Cambria" w:hAnsi="Cambria"/>
        </w:rPr>
        <w:endnoteReference w:id="19"/>
      </w:r>
      <w:r w:rsidRPr="00011D64">
        <w:rPr>
          <w:rFonts w:ascii="Cambria" w:hAnsi="Cambria"/>
        </w:rPr>
        <w:t>; l</w:t>
      </w:r>
      <w:r w:rsidR="00E21E25" w:rsidRPr="00011D64">
        <w:rPr>
          <w:rFonts w:ascii="Cambria" w:hAnsi="Cambria"/>
        </w:rPr>
        <w:t>ack the skills needed to successfully negotiate the health care system.</w:t>
      </w:r>
      <w:r w:rsidR="00E21E25" w:rsidRPr="00011D64">
        <w:rPr>
          <w:rStyle w:val="EndnoteReference"/>
          <w:rFonts w:ascii="Cambria" w:hAnsi="Cambria"/>
        </w:rPr>
        <w:endnoteReference w:id="20"/>
      </w:r>
      <w:r w:rsidR="00E21E25" w:rsidRPr="00011D64">
        <w:rPr>
          <w:rFonts w:ascii="Cambria" w:hAnsi="Cambria"/>
        </w:rPr>
        <w:t xml:space="preserve"> </w:t>
      </w:r>
      <w:r w:rsidRPr="00011D64">
        <w:rPr>
          <w:rFonts w:ascii="Cambria" w:hAnsi="Cambria"/>
        </w:rPr>
        <w:t xml:space="preserve">; </w:t>
      </w:r>
      <w:proofErr w:type="gramStart"/>
      <w:r w:rsidRPr="00011D64">
        <w:rPr>
          <w:rFonts w:ascii="Cambria" w:hAnsi="Cambria"/>
        </w:rPr>
        <w:t>and</w:t>
      </w:r>
      <w:proofErr w:type="gramEnd"/>
      <w:r w:rsidRPr="00011D64">
        <w:rPr>
          <w:rFonts w:ascii="Cambria" w:hAnsi="Cambria"/>
        </w:rPr>
        <w:t xml:space="preserve"> are more likely to use emergency services and incur higher Emergency Department costs.</w:t>
      </w:r>
      <w:r w:rsidR="00E21E25" w:rsidRPr="00011D64">
        <w:rPr>
          <w:rStyle w:val="EndnoteReference"/>
          <w:rFonts w:ascii="Cambria" w:hAnsi="Cambria"/>
        </w:rPr>
        <w:endnoteReference w:id="21"/>
      </w:r>
    </w:p>
    <w:p w:rsidR="00B9737F" w:rsidRPr="00011D64" w:rsidRDefault="00B9737F" w:rsidP="00B9737F">
      <w:pPr>
        <w:spacing w:after="120"/>
        <w:rPr>
          <w:rFonts w:ascii="Cambria" w:hAnsi="Cambria"/>
        </w:rPr>
      </w:pPr>
      <w:r w:rsidRPr="00011D64">
        <w:rPr>
          <w:rFonts w:ascii="Cambria" w:hAnsi="Cambria"/>
          <w:i/>
        </w:rPr>
        <w:lastRenderedPageBreak/>
        <w:t>Low levels of health literacy negatively affect patients’ ability to become drivers of their health</w:t>
      </w:r>
      <w:r w:rsidR="00EE670D">
        <w:rPr>
          <w:rFonts w:ascii="Cambria" w:hAnsi="Cambria"/>
          <w:i/>
        </w:rPr>
        <w:t>.</w:t>
      </w:r>
    </w:p>
    <w:p w:rsidR="00C11C03" w:rsidRPr="00011D64" w:rsidRDefault="00EE670D" w:rsidP="00032E99">
      <w:pPr>
        <w:spacing w:after="120"/>
        <w:rPr>
          <w:rFonts w:ascii="Cambria" w:hAnsi="Cambria"/>
        </w:rPr>
      </w:pPr>
      <w:r>
        <w:rPr>
          <w:rFonts w:ascii="Cambria" w:hAnsi="Cambria"/>
        </w:rPr>
        <w:t>Parker (2000) and Lavelle-Jones et al (1993) found that most patients do not understand or read the information contained in informed consent forms, despite signing them</w:t>
      </w:r>
      <w:r w:rsidR="006E10C8">
        <w:rPr>
          <w:rFonts w:ascii="Cambria" w:hAnsi="Cambria"/>
        </w:rPr>
        <w:t>.</w:t>
      </w:r>
      <w:r w:rsidRPr="00011D64">
        <w:rPr>
          <w:rStyle w:val="EndnoteReference"/>
          <w:rFonts w:ascii="Cambria" w:hAnsi="Cambria"/>
        </w:rPr>
        <w:endnoteReference w:id="22"/>
      </w:r>
      <w:r w:rsidRPr="00011D64">
        <w:rPr>
          <w:rFonts w:ascii="Cambria" w:hAnsi="Cambria"/>
        </w:rPr>
        <w:t xml:space="preserve"> </w:t>
      </w:r>
      <w:r w:rsidRPr="00011D64">
        <w:rPr>
          <w:rStyle w:val="EndnoteReference"/>
          <w:rFonts w:ascii="Cambria" w:hAnsi="Cambria"/>
        </w:rPr>
        <w:endnoteReference w:id="23"/>
      </w:r>
      <w:r>
        <w:rPr>
          <w:rFonts w:ascii="Cambria" w:hAnsi="Cambria"/>
        </w:rPr>
        <w:t xml:space="preserve"> </w:t>
      </w:r>
    </w:p>
    <w:p w:rsidR="00C11C03" w:rsidRPr="00011D64" w:rsidRDefault="00C11C03" w:rsidP="00C11C03">
      <w:pPr>
        <w:spacing w:after="120"/>
        <w:rPr>
          <w:rFonts w:ascii="Cambria" w:hAnsi="Cambria"/>
        </w:rPr>
      </w:pPr>
      <w:r w:rsidRPr="00011D64">
        <w:rPr>
          <w:rFonts w:ascii="Cambria" w:hAnsi="Cambria"/>
          <w:i/>
        </w:rPr>
        <w:t xml:space="preserve">There is a discrepancy between patient literacy levels and the level of </w:t>
      </w:r>
      <w:r w:rsidR="004038B0" w:rsidRPr="00011D64">
        <w:rPr>
          <w:rFonts w:ascii="Cambria" w:hAnsi="Cambria"/>
          <w:i/>
        </w:rPr>
        <w:t xml:space="preserve">available </w:t>
      </w:r>
      <w:r w:rsidRPr="00011D64">
        <w:rPr>
          <w:rFonts w:ascii="Cambria" w:hAnsi="Cambria"/>
          <w:i/>
        </w:rPr>
        <w:t>health information</w:t>
      </w:r>
    </w:p>
    <w:p w:rsidR="00C11C03" w:rsidRPr="00011D64" w:rsidRDefault="004038B0" w:rsidP="00C11C03">
      <w:pPr>
        <w:spacing w:after="120"/>
        <w:rPr>
          <w:rFonts w:ascii="Cambria" w:hAnsi="Cambria"/>
        </w:rPr>
      </w:pPr>
      <w:r w:rsidRPr="00011D64">
        <w:rPr>
          <w:rFonts w:ascii="Cambria" w:hAnsi="Cambria"/>
        </w:rPr>
        <w:t xml:space="preserve">Articles reviewed underscored the discrepancy between patient reading levels </w:t>
      </w:r>
      <w:r w:rsidR="00575148" w:rsidRPr="00011D64">
        <w:rPr>
          <w:rFonts w:ascii="Cambria" w:hAnsi="Cambria"/>
        </w:rPr>
        <w:t>and reading</w:t>
      </w:r>
      <w:r w:rsidRPr="00011D64">
        <w:rPr>
          <w:rFonts w:ascii="Cambria" w:hAnsi="Cambria"/>
        </w:rPr>
        <w:t xml:space="preserve"> levels of health information they receive</w:t>
      </w:r>
      <w:r w:rsidR="00C11C03" w:rsidRPr="00011D64">
        <w:rPr>
          <w:rFonts w:ascii="Cambria" w:hAnsi="Cambria"/>
        </w:rPr>
        <w:t>.</w:t>
      </w:r>
    </w:p>
    <w:p w:rsidR="00C11C03" w:rsidRPr="00011D64" w:rsidRDefault="00C11C03" w:rsidP="00C11C03">
      <w:pPr>
        <w:spacing w:after="120"/>
        <w:rPr>
          <w:rFonts w:ascii="Cambria" w:hAnsi="Cambria"/>
        </w:rPr>
      </w:pPr>
      <w:proofErr w:type="spellStart"/>
      <w:r w:rsidRPr="00011D64">
        <w:rPr>
          <w:rFonts w:ascii="Cambria" w:hAnsi="Cambria"/>
        </w:rPr>
        <w:t>Doak</w:t>
      </w:r>
      <w:proofErr w:type="spellEnd"/>
      <w:r w:rsidRPr="00011D64">
        <w:rPr>
          <w:rFonts w:ascii="Cambria" w:hAnsi="Cambria"/>
        </w:rPr>
        <w:t xml:space="preserve"> (1996) found that </w:t>
      </w:r>
      <w:r w:rsidR="008F60D9">
        <w:rPr>
          <w:rFonts w:ascii="Cambria" w:hAnsi="Cambria"/>
        </w:rPr>
        <w:t>one in</w:t>
      </w:r>
      <w:r w:rsidRPr="00011D64">
        <w:rPr>
          <w:rFonts w:ascii="Cambria" w:hAnsi="Cambria"/>
        </w:rPr>
        <w:t xml:space="preserve"> five American adults reads at the 5</w:t>
      </w:r>
      <w:r w:rsidRPr="00011D64">
        <w:rPr>
          <w:rFonts w:ascii="Cambria" w:hAnsi="Cambria"/>
          <w:vertAlign w:val="superscript"/>
        </w:rPr>
        <w:t>th</w:t>
      </w:r>
      <w:r w:rsidRPr="00011D64">
        <w:rPr>
          <w:rFonts w:ascii="Cambria" w:hAnsi="Cambria"/>
        </w:rPr>
        <w:t xml:space="preserve"> grade level or below, and the average American reads at the 8</w:t>
      </w:r>
      <w:r w:rsidRPr="00011D64">
        <w:rPr>
          <w:rFonts w:ascii="Cambria" w:hAnsi="Cambria"/>
          <w:vertAlign w:val="superscript"/>
        </w:rPr>
        <w:t>th</w:t>
      </w:r>
      <w:r w:rsidRPr="00011D64">
        <w:rPr>
          <w:rFonts w:ascii="Cambria" w:hAnsi="Cambria"/>
        </w:rPr>
        <w:t xml:space="preserve"> to 9</w:t>
      </w:r>
      <w:r w:rsidRPr="00011D64">
        <w:rPr>
          <w:rFonts w:ascii="Cambria" w:hAnsi="Cambria"/>
          <w:vertAlign w:val="superscript"/>
        </w:rPr>
        <w:t>th</w:t>
      </w:r>
      <w:r w:rsidRPr="00011D64">
        <w:rPr>
          <w:rFonts w:ascii="Cambria" w:hAnsi="Cambria"/>
        </w:rPr>
        <w:t xml:space="preserve"> grade level, yet most health care materials are written above the 10</w:t>
      </w:r>
      <w:r w:rsidRPr="00011D64">
        <w:rPr>
          <w:rFonts w:ascii="Cambria" w:hAnsi="Cambria"/>
          <w:vertAlign w:val="superscript"/>
        </w:rPr>
        <w:t>th</w:t>
      </w:r>
      <w:r w:rsidRPr="00011D64">
        <w:rPr>
          <w:rFonts w:ascii="Cambria" w:hAnsi="Cambria"/>
        </w:rPr>
        <w:t xml:space="preserve"> grade level.</w:t>
      </w:r>
      <w:r w:rsidRPr="00011D64">
        <w:rPr>
          <w:rStyle w:val="EndnoteReference"/>
          <w:rFonts w:ascii="Cambria" w:hAnsi="Cambria"/>
        </w:rPr>
        <w:endnoteReference w:id="24"/>
      </w:r>
    </w:p>
    <w:p w:rsidR="00C11C03" w:rsidRPr="00011D64" w:rsidRDefault="00C11C03" w:rsidP="00C11C03">
      <w:pPr>
        <w:spacing w:after="120"/>
        <w:rPr>
          <w:rFonts w:ascii="Cambria" w:hAnsi="Cambria"/>
        </w:rPr>
      </w:pPr>
      <w:r w:rsidRPr="00011D64">
        <w:rPr>
          <w:rFonts w:ascii="Cambria" w:hAnsi="Cambria"/>
        </w:rPr>
        <w:t>A 2011 review of health literacy and emergency department outcomes (Herndon et al, 2011) found that 40 percent of emergency department patients had literacy levels at or below the eighth-grade level while emergency department patient materials were typically assessed at or above the 9</w:t>
      </w:r>
      <w:r w:rsidRPr="00011D64">
        <w:rPr>
          <w:rFonts w:ascii="Cambria" w:hAnsi="Cambria"/>
          <w:vertAlign w:val="superscript"/>
        </w:rPr>
        <w:t>th</w:t>
      </w:r>
      <w:r w:rsidRPr="00011D64">
        <w:rPr>
          <w:rFonts w:ascii="Cambria" w:hAnsi="Cambria"/>
        </w:rPr>
        <w:t xml:space="preserve"> grade reading level.</w:t>
      </w:r>
      <w:r w:rsidRPr="00011D64">
        <w:rPr>
          <w:rStyle w:val="EndnoteReference"/>
          <w:rFonts w:ascii="Cambria" w:hAnsi="Cambria"/>
        </w:rPr>
        <w:endnoteReference w:id="25"/>
      </w:r>
    </w:p>
    <w:p w:rsidR="00554699" w:rsidRPr="00011D64" w:rsidRDefault="004038B0" w:rsidP="004038B0">
      <w:pPr>
        <w:spacing w:after="120"/>
        <w:rPr>
          <w:rFonts w:ascii="Cambria" w:hAnsi="Cambria"/>
        </w:rPr>
      </w:pPr>
      <w:r w:rsidRPr="00011D64">
        <w:rPr>
          <w:rFonts w:ascii="Cambria" w:hAnsi="Cambria"/>
        </w:rPr>
        <w:t xml:space="preserve">Further, </w:t>
      </w:r>
      <w:r w:rsidR="00C11C03" w:rsidRPr="00011D64">
        <w:rPr>
          <w:rFonts w:ascii="Cambria" w:hAnsi="Cambria"/>
        </w:rPr>
        <w:t>Bass et al (2002) found that clinicians tend to overestimate their patients’ reading abilities</w:t>
      </w:r>
      <w:r w:rsidRPr="00011D64">
        <w:rPr>
          <w:rFonts w:ascii="Cambria" w:hAnsi="Cambria"/>
        </w:rPr>
        <w:t>.</w:t>
      </w:r>
      <w:r w:rsidR="00C11C03" w:rsidRPr="00011D64">
        <w:rPr>
          <w:rStyle w:val="EndnoteReference"/>
          <w:rFonts w:ascii="Cambria" w:hAnsi="Cambria"/>
        </w:rPr>
        <w:endnoteReference w:id="26"/>
      </w:r>
    </w:p>
    <w:p w:rsidR="002271B5" w:rsidRPr="00011D64" w:rsidRDefault="00B9737F" w:rsidP="009F2869">
      <w:pPr>
        <w:spacing w:after="120"/>
        <w:rPr>
          <w:rFonts w:ascii="Cambria" w:hAnsi="Cambria"/>
        </w:rPr>
      </w:pPr>
      <w:r w:rsidRPr="00011D64">
        <w:rPr>
          <w:rFonts w:ascii="Cambria" w:hAnsi="Cambria"/>
          <w:i/>
        </w:rPr>
        <w:t xml:space="preserve">Policies to improve health literacy include Healthy People 2010, IOM Priority Areas for National Action, </w:t>
      </w:r>
      <w:r w:rsidR="00575148" w:rsidRPr="00011D64">
        <w:rPr>
          <w:rFonts w:ascii="Cambria" w:hAnsi="Cambria"/>
          <w:i/>
        </w:rPr>
        <w:t>and National</w:t>
      </w:r>
      <w:r w:rsidRPr="00011D64">
        <w:rPr>
          <w:rFonts w:ascii="Cambria" w:hAnsi="Cambria"/>
          <w:i/>
        </w:rPr>
        <w:t xml:space="preserve"> Action Plan to Improve Health Literacy</w:t>
      </w:r>
    </w:p>
    <w:p w:rsidR="007D4305" w:rsidRPr="00011D64" w:rsidRDefault="00021D6A" w:rsidP="003F7E07">
      <w:pPr>
        <w:spacing w:after="120"/>
        <w:rPr>
          <w:rFonts w:ascii="Cambria" w:hAnsi="Cambria"/>
        </w:rPr>
      </w:pPr>
      <w:r>
        <w:rPr>
          <w:rFonts w:ascii="Cambria" w:hAnsi="Cambria"/>
        </w:rPr>
        <w:t>Addressing l</w:t>
      </w:r>
      <w:r w:rsidR="00923CB6" w:rsidRPr="00011D64">
        <w:rPr>
          <w:rFonts w:ascii="Cambria" w:hAnsi="Cambria"/>
        </w:rPr>
        <w:t>ow health literacy has</w:t>
      </w:r>
      <w:r w:rsidR="004038B0" w:rsidRPr="00011D64">
        <w:rPr>
          <w:rFonts w:ascii="Cambria" w:hAnsi="Cambria"/>
        </w:rPr>
        <w:t xml:space="preserve"> been identified as a top priority at the federal level.  </w:t>
      </w:r>
    </w:p>
    <w:p w:rsidR="007D4305" w:rsidRPr="00011D64" w:rsidRDefault="007D4305" w:rsidP="003F7E07">
      <w:pPr>
        <w:spacing w:after="120"/>
        <w:rPr>
          <w:rFonts w:ascii="Cambria" w:hAnsi="Cambria"/>
        </w:rPr>
      </w:pPr>
      <w:r w:rsidRPr="00011D64">
        <w:rPr>
          <w:rFonts w:ascii="Cambria" w:hAnsi="Cambria"/>
        </w:rPr>
        <w:t>The Affordable Care Act of 2010 includes several provisions that address the need for greater attention to health literacy. Among these, there are provisions to clearly communicate health information, promote prevention, be patient-centered, assure equity and cultural competencies and deliver high quality care.</w:t>
      </w:r>
      <w:r w:rsidRPr="00011D64">
        <w:rPr>
          <w:rStyle w:val="EndnoteReference"/>
          <w:rFonts w:ascii="Cambria" w:hAnsi="Cambria"/>
        </w:rPr>
        <w:endnoteReference w:id="27"/>
      </w:r>
    </w:p>
    <w:p w:rsidR="002271B5" w:rsidRPr="00011D64" w:rsidRDefault="003F7E07" w:rsidP="003F7E07">
      <w:pPr>
        <w:spacing w:after="120"/>
        <w:rPr>
          <w:rFonts w:ascii="Cambria" w:hAnsi="Cambria"/>
        </w:rPr>
      </w:pPr>
      <w:r w:rsidRPr="00011D64">
        <w:rPr>
          <w:rFonts w:ascii="Cambria" w:hAnsi="Cambria"/>
        </w:rPr>
        <w:t>The U.S. Department of Health and Human</w:t>
      </w:r>
      <w:r w:rsidR="00E21E25" w:rsidRPr="00011D64">
        <w:rPr>
          <w:rFonts w:ascii="Cambria" w:hAnsi="Cambria"/>
        </w:rPr>
        <w:t xml:space="preserve"> Services, in Healthy People 201</w:t>
      </w:r>
      <w:r w:rsidRPr="00011D64">
        <w:rPr>
          <w:rFonts w:ascii="Cambria" w:hAnsi="Cambria"/>
        </w:rPr>
        <w:t>0, d</w:t>
      </w:r>
      <w:r w:rsidR="002271B5" w:rsidRPr="00011D64">
        <w:rPr>
          <w:rFonts w:ascii="Cambria" w:hAnsi="Cambria"/>
        </w:rPr>
        <w:t>esignated health l</w:t>
      </w:r>
      <w:r w:rsidRPr="00011D64">
        <w:rPr>
          <w:rFonts w:ascii="Cambria" w:hAnsi="Cambria"/>
        </w:rPr>
        <w:t>iteracy as one of its primary</w:t>
      </w:r>
      <w:r w:rsidR="00E21E25" w:rsidRPr="00011D64">
        <w:rPr>
          <w:rFonts w:ascii="Cambria" w:hAnsi="Cambria"/>
        </w:rPr>
        <w:t xml:space="preserve"> goals. Health literacy is also </w:t>
      </w:r>
      <w:r w:rsidRPr="00011D64">
        <w:rPr>
          <w:rFonts w:ascii="Cambria" w:hAnsi="Cambria"/>
        </w:rPr>
        <w:t>one of the Institute of Medicine’s top 20 priority areas for national action.</w:t>
      </w:r>
      <w:r w:rsidRPr="00011D64">
        <w:rPr>
          <w:rStyle w:val="EndnoteReference"/>
          <w:rFonts w:ascii="Cambria" w:hAnsi="Cambria"/>
        </w:rPr>
        <w:endnoteReference w:id="28"/>
      </w:r>
      <w:r w:rsidR="00E21E25" w:rsidRPr="00011D64">
        <w:rPr>
          <w:rFonts w:ascii="Cambria" w:hAnsi="Cambria"/>
        </w:rPr>
        <w:t xml:space="preserve"> </w:t>
      </w:r>
      <w:r w:rsidR="00E21E25" w:rsidRPr="00011D64">
        <w:rPr>
          <w:rStyle w:val="EndnoteReference"/>
          <w:rFonts w:ascii="Cambria" w:hAnsi="Cambria"/>
        </w:rPr>
        <w:endnoteReference w:id="29"/>
      </w:r>
      <w:r w:rsidR="007D4305" w:rsidRPr="00011D64">
        <w:rPr>
          <w:rFonts w:ascii="Cambria" w:hAnsi="Cambria"/>
        </w:rPr>
        <w:t xml:space="preserve"> </w:t>
      </w:r>
    </w:p>
    <w:p w:rsidR="00B9737F" w:rsidRPr="00011D64" w:rsidRDefault="00B9737F" w:rsidP="00B9737F">
      <w:pPr>
        <w:rPr>
          <w:rFonts w:ascii="Cambria" w:hAnsi="Cambria" w:cs="Arial"/>
        </w:rPr>
      </w:pPr>
      <w:r w:rsidRPr="00011D64">
        <w:rPr>
          <w:rFonts w:ascii="Cambria" w:hAnsi="Cambria" w:cs="Arial"/>
        </w:rPr>
        <w:t>The National Action Plan to Improve Health Literacy (</w:t>
      </w:r>
      <w:r w:rsidR="00DF2EB6">
        <w:rPr>
          <w:rFonts w:ascii="Cambria" w:hAnsi="Cambria" w:cs="Arial"/>
        </w:rPr>
        <w:t>HHS</w:t>
      </w:r>
      <w:r w:rsidRPr="00011D64">
        <w:rPr>
          <w:rFonts w:ascii="Cambria" w:hAnsi="Cambria" w:cs="Arial"/>
        </w:rPr>
        <w:t>, 2010)</w:t>
      </w:r>
      <w:r w:rsidRPr="00011D64">
        <w:rPr>
          <w:rStyle w:val="EndnoteReference"/>
          <w:rFonts w:ascii="Cambria" w:hAnsi="Cambria" w:cs="Arial"/>
        </w:rPr>
        <w:endnoteReference w:id="30"/>
      </w:r>
      <w:r w:rsidRPr="00011D64">
        <w:rPr>
          <w:rFonts w:ascii="Cambria" w:hAnsi="Cambria" w:cs="Arial"/>
        </w:rPr>
        <w:t xml:space="preserve"> is a multi-sector effort that seeks to engage organizations, professionals, policymakers, communities, families and individuals in improving health literacy. The plan is based on the principles that (1) everyone has the right to health information that allows them to make informed decisions and (2) health services should be delivered in ways that are understandable to health, longevity and quality of life.</w:t>
      </w:r>
    </w:p>
    <w:p w:rsidR="00B9737F" w:rsidRPr="00011D64" w:rsidRDefault="00B9737F" w:rsidP="00B9737F">
      <w:pPr>
        <w:rPr>
          <w:rFonts w:ascii="Cambria" w:hAnsi="Cambria" w:cs="Arial"/>
        </w:rPr>
      </w:pPr>
    </w:p>
    <w:p w:rsidR="00B9737F" w:rsidRPr="00011D64" w:rsidRDefault="00B9737F" w:rsidP="00B9737F">
      <w:pPr>
        <w:spacing w:after="120"/>
        <w:rPr>
          <w:rFonts w:ascii="Cambria" w:hAnsi="Cambria"/>
        </w:rPr>
      </w:pPr>
      <w:r w:rsidRPr="00011D64">
        <w:rPr>
          <w:rFonts w:ascii="Cambria" w:hAnsi="Cambria"/>
        </w:rPr>
        <w:t>Based on these principles, the National Action P</w:t>
      </w:r>
      <w:r w:rsidR="007D4305" w:rsidRPr="00011D64">
        <w:rPr>
          <w:rFonts w:ascii="Cambria" w:hAnsi="Cambria"/>
        </w:rPr>
        <w:t xml:space="preserve">lan to Improve Health Literacy </w:t>
      </w:r>
      <w:r w:rsidR="00DF2EB6">
        <w:rPr>
          <w:rFonts w:ascii="Cambria" w:hAnsi="Cambria"/>
        </w:rPr>
        <w:t xml:space="preserve">(HHS, 2010) </w:t>
      </w:r>
      <w:r w:rsidR="007D4305" w:rsidRPr="00011D64">
        <w:rPr>
          <w:rFonts w:ascii="Cambria" w:hAnsi="Cambria"/>
        </w:rPr>
        <w:t>issued</w:t>
      </w:r>
      <w:r w:rsidRPr="00011D64">
        <w:rPr>
          <w:rFonts w:ascii="Cambria" w:hAnsi="Cambria"/>
        </w:rPr>
        <w:t xml:space="preserve"> the following seven go</w:t>
      </w:r>
      <w:r w:rsidR="00DF2EB6">
        <w:rPr>
          <w:rFonts w:ascii="Cambria" w:hAnsi="Cambria"/>
        </w:rPr>
        <w:t>als to improve health literacy, based on recommendations from Nielsen-</w:t>
      </w:r>
      <w:proofErr w:type="spellStart"/>
      <w:r w:rsidR="00DF2EB6">
        <w:rPr>
          <w:rFonts w:ascii="Cambria" w:hAnsi="Cambria"/>
        </w:rPr>
        <w:t>Bohlman</w:t>
      </w:r>
      <w:proofErr w:type="spellEnd"/>
      <w:r w:rsidR="00DF2EB6">
        <w:rPr>
          <w:rFonts w:ascii="Cambria" w:hAnsi="Cambria"/>
        </w:rPr>
        <w:t xml:space="preserve"> (</w:t>
      </w:r>
      <w:r w:rsidRPr="00011D64">
        <w:rPr>
          <w:rFonts w:ascii="Cambria" w:hAnsi="Cambria"/>
        </w:rPr>
        <w:t>2004).</w:t>
      </w:r>
      <w:r w:rsidRPr="00011D64">
        <w:rPr>
          <w:rStyle w:val="EndnoteReference"/>
          <w:rFonts w:ascii="Cambria" w:hAnsi="Cambria"/>
        </w:rPr>
        <w:endnoteReference w:id="31"/>
      </w:r>
      <w:r w:rsidRPr="00011D64">
        <w:rPr>
          <w:rFonts w:ascii="Cambria" w:hAnsi="Cambria"/>
        </w:rPr>
        <w:t xml:space="preserve"> </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lastRenderedPageBreak/>
        <w:t>Develop and disseminate health and safety information that is accurate, accessible and actionable.</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t xml:space="preserve">Promote changes in the health care </w:t>
      </w:r>
      <w:proofErr w:type="gramStart"/>
      <w:r w:rsidRPr="00011D64">
        <w:rPr>
          <w:rFonts w:ascii="Cambria" w:hAnsi="Cambria" w:cs="Arial"/>
        </w:rPr>
        <w:t>system that improve</w:t>
      </w:r>
      <w:proofErr w:type="gramEnd"/>
      <w:r w:rsidRPr="00011D64">
        <w:rPr>
          <w:rFonts w:ascii="Cambria" w:hAnsi="Cambria" w:cs="Arial"/>
        </w:rPr>
        <w:t xml:space="preserve"> health information, communication, informed decision making and access to health services</w:t>
      </w:r>
      <w:r w:rsidR="007425E7" w:rsidRPr="00011D64">
        <w:rPr>
          <w:rFonts w:ascii="Cambria" w:hAnsi="Cambria" w:cs="Arial"/>
        </w:rPr>
        <w:t>.</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t xml:space="preserve">Accurate, standards-based, health and science information and curricula in </w:t>
      </w:r>
      <w:r w:rsidR="00575148" w:rsidRPr="00011D64">
        <w:rPr>
          <w:rFonts w:ascii="Cambria" w:hAnsi="Cambria" w:cs="Arial"/>
        </w:rPr>
        <w:t>childcare</w:t>
      </w:r>
      <w:r w:rsidRPr="00011D64">
        <w:rPr>
          <w:rFonts w:ascii="Cambria" w:hAnsi="Cambria" w:cs="Arial"/>
        </w:rPr>
        <w:t xml:space="preserve"> and education through the university level</w:t>
      </w:r>
      <w:r w:rsidR="007425E7" w:rsidRPr="00011D64">
        <w:rPr>
          <w:rFonts w:ascii="Cambria" w:hAnsi="Cambria" w:cs="Arial"/>
        </w:rPr>
        <w:t>.</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t>Support and expand local efforts to provide adult education, English language instruction, and culturally and linguistically appropriate health info services in the community</w:t>
      </w:r>
      <w:r w:rsidR="007425E7" w:rsidRPr="00011D64">
        <w:rPr>
          <w:rFonts w:ascii="Cambria" w:hAnsi="Cambria" w:cs="Arial"/>
        </w:rPr>
        <w:t>.</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t>Build partnerships, develop guidance, and change policies</w:t>
      </w:r>
      <w:r w:rsidR="007425E7" w:rsidRPr="00011D64">
        <w:rPr>
          <w:rFonts w:ascii="Cambria" w:hAnsi="Cambria" w:cs="Arial"/>
        </w:rPr>
        <w:t>.</w:t>
      </w:r>
    </w:p>
    <w:p w:rsidR="00B9737F" w:rsidRPr="00011D64" w:rsidRDefault="00B9737F" w:rsidP="00B9737F">
      <w:pPr>
        <w:pStyle w:val="ListParagraph"/>
        <w:numPr>
          <w:ilvl w:val="0"/>
          <w:numId w:val="9"/>
        </w:numPr>
        <w:rPr>
          <w:rFonts w:ascii="Cambria" w:hAnsi="Cambria" w:cs="Arial"/>
        </w:rPr>
      </w:pPr>
      <w:r w:rsidRPr="00011D64">
        <w:rPr>
          <w:rFonts w:ascii="Cambria" w:hAnsi="Cambria" w:cs="Arial"/>
        </w:rPr>
        <w:t>Increase basic research and development, implementation, evaluation of practices and interventions to improve health literacy</w:t>
      </w:r>
      <w:r w:rsidR="007425E7" w:rsidRPr="00011D64">
        <w:rPr>
          <w:rFonts w:ascii="Cambria" w:hAnsi="Cambria" w:cs="Arial"/>
        </w:rPr>
        <w:t>.</w:t>
      </w:r>
    </w:p>
    <w:p w:rsidR="007D4305" w:rsidRPr="00011D64" w:rsidRDefault="00B9737F" w:rsidP="007425E7">
      <w:pPr>
        <w:pStyle w:val="ListParagraph"/>
        <w:numPr>
          <w:ilvl w:val="0"/>
          <w:numId w:val="9"/>
        </w:numPr>
        <w:spacing w:after="240"/>
        <w:rPr>
          <w:rFonts w:ascii="Cambria" w:hAnsi="Cambria" w:cs="Arial"/>
        </w:rPr>
      </w:pPr>
      <w:r w:rsidRPr="00011D64">
        <w:rPr>
          <w:rFonts w:ascii="Cambria" w:hAnsi="Cambria" w:cs="Arial"/>
        </w:rPr>
        <w:t>Increase dissemination and use of evidence-based health literacy practices/interventions</w:t>
      </w:r>
      <w:r w:rsidR="007425E7" w:rsidRPr="00011D64">
        <w:rPr>
          <w:rFonts w:ascii="Cambria" w:hAnsi="Cambria" w:cs="Arial"/>
        </w:rPr>
        <w:t>.</w:t>
      </w:r>
    </w:p>
    <w:p w:rsidR="00AF17E2" w:rsidRPr="00011D64" w:rsidRDefault="007D4305" w:rsidP="007D4305">
      <w:pPr>
        <w:spacing w:after="240"/>
        <w:rPr>
          <w:rFonts w:ascii="Cambria" w:hAnsi="Cambria" w:cs="Arial"/>
        </w:rPr>
      </w:pPr>
      <w:r w:rsidRPr="00011D64">
        <w:rPr>
          <w:rFonts w:ascii="Cambria" w:hAnsi="Cambria" w:cs="Arial"/>
        </w:rPr>
        <w:t>The Plain Writing Act of 2010 requires all new publications, forms and publicly distributed documents from the federal government to be written in a “clear, concise, well-organized” manner.</w:t>
      </w:r>
      <w:r w:rsidRPr="00011D64">
        <w:rPr>
          <w:rStyle w:val="EndnoteReference"/>
          <w:rFonts w:ascii="Cambria" w:hAnsi="Cambria" w:cs="Arial"/>
        </w:rPr>
        <w:endnoteReference w:id="32"/>
      </w:r>
    </w:p>
    <w:p w:rsidR="00B9737F" w:rsidRPr="00011D64" w:rsidRDefault="00B9737F" w:rsidP="009F2869">
      <w:pPr>
        <w:spacing w:after="120"/>
        <w:rPr>
          <w:rFonts w:ascii="Cambria" w:hAnsi="Cambria"/>
          <w:i/>
        </w:rPr>
      </w:pPr>
      <w:r w:rsidRPr="00011D64">
        <w:rPr>
          <w:rFonts w:ascii="Cambria" w:hAnsi="Cambria"/>
          <w:i/>
        </w:rPr>
        <w:t>Assessments for identifying health literacy should go hand-in-hand with assessments of language and culture</w:t>
      </w:r>
    </w:p>
    <w:p w:rsidR="00B9737F" w:rsidRPr="00011D64" w:rsidRDefault="00B9737F" w:rsidP="009F2869">
      <w:pPr>
        <w:spacing w:after="120"/>
        <w:rPr>
          <w:rFonts w:ascii="Cambria" w:hAnsi="Cambria"/>
        </w:rPr>
      </w:pPr>
      <w:r w:rsidRPr="00011D64">
        <w:rPr>
          <w:rFonts w:ascii="Cambria" w:hAnsi="Cambria"/>
        </w:rPr>
        <w:t xml:space="preserve">Two </w:t>
      </w:r>
      <w:r w:rsidR="008F60D9">
        <w:rPr>
          <w:rFonts w:ascii="Cambria" w:hAnsi="Cambria"/>
        </w:rPr>
        <w:t xml:space="preserve">brief, </w:t>
      </w:r>
      <w:r w:rsidRPr="00011D64">
        <w:rPr>
          <w:rFonts w:ascii="Cambria" w:hAnsi="Cambria"/>
        </w:rPr>
        <w:t>valid assessments of hea</w:t>
      </w:r>
      <w:r w:rsidR="008F60D9">
        <w:rPr>
          <w:rFonts w:ascii="Cambria" w:hAnsi="Cambria"/>
        </w:rPr>
        <w:t>lth literacy identified in this review include</w:t>
      </w:r>
      <w:r w:rsidRPr="00011D64">
        <w:rPr>
          <w:rFonts w:ascii="Cambria" w:hAnsi="Cambria"/>
        </w:rPr>
        <w:t xml:space="preserve"> the Rapid Estimate of Adult Literacy in Medicine</w:t>
      </w:r>
      <w:r w:rsidR="008F60D9">
        <w:rPr>
          <w:rFonts w:ascii="Cambria" w:hAnsi="Cambria"/>
        </w:rPr>
        <w:t>, Revised</w:t>
      </w:r>
      <w:r w:rsidRPr="00011D64">
        <w:rPr>
          <w:rFonts w:ascii="Cambria" w:hAnsi="Cambria"/>
        </w:rPr>
        <w:t xml:space="preserve"> (REALM</w:t>
      </w:r>
      <w:r w:rsidR="008F60D9">
        <w:rPr>
          <w:rFonts w:ascii="Cambria" w:hAnsi="Cambria"/>
        </w:rPr>
        <w:t>-R</w:t>
      </w:r>
      <w:r w:rsidRPr="00011D64">
        <w:rPr>
          <w:rFonts w:ascii="Cambria" w:hAnsi="Cambria"/>
        </w:rPr>
        <w:t>), and the Short Test of Functional Healt</w:t>
      </w:r>
      <w:r w:rsidR="008F60D9">
        <w:rPr>
          <w:rFonts w:ascii="Cambria" w:hAnsi="Cambria"/>
        </w:rPr>
        <w:t>h Literacy in Adults (S-TOFHLA)</w:t>
      </w:r>
      <w:r w:rsidRPr="00011D64">
        <w:rPr>
          <w:rFonts w:ascii="Cambria" w:hAnsi="Cambria"/>
        </w:rPr>
        <w:t>.</w:t>
      </w:r>
    </w:p>
    <w:p w:rsidR="002271B5" w:rsidRPr="00011D64" w:rsidRDefault="00B9737F" w:rsidP="00B9737F">
      <w:pPr>
        <w:spacing w:after="120"/>
        <w:ind w:left="360"/>
        <w:rPr>
          <w:rFonts w:ascii="Cambria" w:hAnsi="Cambria"/>
        </w:rPr>
      </w:pPr>
      <w:r w:rsidRPr="00011D64">
        <w:rPr>
          <w:rFonts w:ascii="Cambria" w:hAnsi="Cambria"/>
        </w:rPr>
        <w:t xml:space="preserve">The </w:t>
      </w:r>
      <w:r w:rsidR="002271B5" w:rsidRPr="00011D64">
        <w:rPr>
          <w:rFonts w:ascii="Cambria" w:hAnsi="Cambria"/>
          <w:b/>
        </w:rPr>
        <w:t>Rapid Estimate of Adult Literacy in Medicine (REALM)</w:t>
      </w:r>
      <w:r w:rsidRPr="00011D64">
        <w:rPr>
          <w:rFonts w:ascii="Cambria" w:hAnsi="Cambria"/>
        </w:rPr>
        <w:t xml:space="preserve"> is a </w:t>
      </w:r>
      <w:r w:rsidR="002271B5" w:rsidRPr="00011D64">
        <w:rPr>
          <w:rFonts w:ascii="Cambria" w:hAnsi="Cambria"/>
        </w:rPr>
        <w:t>brief screening instrument used to assess an adult patient’s ability to read common medical w</w:t>
      </w:r>
      <w:r w:rsidRPr="00011D64">
        <w:rPr>
          <w:rFonts w:ascii="Cambria" w:hAnsi="Cambria"/>
        </w:rPr>
        <w:t>ords. It is a</w:t>
      </w:r>
      <w:r w:rsidR="002271B5" w:rsidRPr="00011D64">
        <w:rPr>
          <w:rFonts w:ascii="Cambria" w:hAnsi="Cambria"/>
        </w:rPr>
        <w:t xml:space="preserve"> word recognition test--not a rea</w:t>
      </w:r>
      <w:r w:rsidRPr="00011D64">
        <w:rPr>
          <w:rFonts w:ascii="Cambria" w:hAnsi="Cambria"/>
        </w:rPr>
        <w:t>ding comprehension instrument and t</w:t>
      </w:r>
      <w:r w:rsidR="002271B5" w:rsidRPr="00011D64">
        <w:rPr>
          <w:rFonts w:ascii="Cambria" w:hAnsi="Cambria"/>
        </w:rPr>
        <w:t xml:space="preserve">akes less than 2 minutes to administer and score. </w:t>
      </w:r>
      <w:r w:rsidR="002271B5" w:rsidRPr="00011D64">
        <w:rPr>
          <w:rStyle w:val="EndnoteReference"/>
          <w:rFonts w:ascii="Cambria" w:hAnsi="Cambria"/>
        </w:rPr>
        <w:endnoteReference w:id="33"/>
      </w:r>
      <w:r w:rsidRPr="00011D64">
        <w:rPr>
          <w:rFonts w:ascii="Cambria" w:hAnsi="Cambria"/>
        </w:rPr>
        <w:t xml:space="preserve"> A study conducted by the Journal of the American Medical Association </w:t>
      </w:r>
      <w:r w:rsidR="002271B5" w:rsidRPr="00011D64">
        <w:rPr>
          <w:rFonts w:ascii="Cambria" w:hAnsi="Cambria"/>
        </w:rPr>
        <w:t xml:space="preserve">found that the REALM-R </w:t>
      </w:r>
      <w:r w:rsidR="00575148" w:rsidRPr="00011D64">
        <w:rPr>
          <w:rFonts w:ascii="Cambria" w:hAnsi="Cambria"/>
        </w:rPr>
        <w:t>might</w:t>
      </w:r>
      <w:r w:rsidR="002271B5" w:rsidRPr="00011D64">
        <w:rPr>
          <w:rFonts w:ascii="Cambria" w:hAnsi="Cambria"/>
        </w:rPr>
        <w:t xml:space="preserve"> offer a practical approach to identify patients at risk for health literacy problems in a clinical setting.</w:t>
      </w:r>
      <w:r w:rsidR="004D619D" w:rsidRPr="00011D64">
        <w:rPr>
          <w:rStyle w:val="EndnoteReference"/>
          <w:rFonts w:ascii="Cambria" w:hAnsi="Cambria"/>
        </w:rPr>
        <w:endnoteReference w:id="34"/>
      </w:r>
    </w:p>
    <w:p w:rsidR="00543079" w:rsidRPr="00011D64" w:rsidRDefault="00B9737F" w:rsidP="00B9737F">
      <w:pPr>
        <w:spacing w:after="120"/>
        <w:ind w:left="360"/>
        <w:rPr>
          <w:rFonts w:ascii="Cambria" w:hAnsi="Cambria"/>
        </w:rPr>
      </w:pPr>
      <w:r w:rsidRPr="00011D64">
        <w:rPr>
          <w:rFonts w:ascii="Cambria" w:hAnsi="Cambria"/>
        </w:rPr>
        <w:t xml:space="preserve">The </w:t>
      </w:r>
      <w:r w:rsidR="002271B5" w:rsidRPr="00011D64">
        <w:rPr>
          <w:rFonts w:ascii="Cambria" w:hAnsi="Cambria"/>
          <w:b/>
        </w:rPr>
        <w:t>Short Test of Functional Health Literacy in Adults (S-TOFHLA)</w:t>
      </w:r>
      <w:r w:rsidRPr="00011D64">
        <w:rPr>
          <w:rFonts w:ascii="Cambria" w:hAnsi="Cambria"/>
          <w:b/>
        </w:rPr>
        <w:t xml:space="preserve"> </w:t>
      </w:r>
      <w:r w:rsidR="004D619D" w:rsidRPr="00011D64">
        <w:rPr>
          <w:rFonts w:ascii="Cambria" w:hAnsi="Cambria"/>
        </w:rPr>
        <w:t>is a practical measure of functional health literacy with good reliability and validity that can be used by health educators to identify individuals who require special assistance to achieve learning goals.</w:t>
      </w:r>
      <w:r w:rsidR="004D619D" w:rsidRPr="00011D64">
        <w:rPr>
          <w:rStyle w:val="EndnoteReference"/>
          <w:rFonts w:ascii="Cambria" w:hAnsi="Cambria"/>
        </w:rPr>
        <w:endnoteReference w:id="35"/>
      </w:r>
    </w:p>
    <w:p w:rsidR="008F60D9" w:rsidRDefault="008F60D9" w:rsidP="00B9737F">
      <w:pPr>
        <w:spacing w:after="120"/>
        <w:rPr>
          <w:rFonts w:ascii="Cambria" w:hAnsi="Cambria"/>
        </w:rPr>
      </w:pPr>
      <w:r>
        <w:rPr>
          <w:rFonts w:ascii="Cambria" w:hAnsi="Cambria"/>
        </w:rPr>
        <w:t xml:space="preserve">Additional health literacy assessments include the Adult Basic Literacy Examination (ABLE), Literacy Assessment for Diabetes (LAD), Newest Vital Sign (NVS), Nutritional Literacy Scale (NLS), Rapid Assessment of Adult Literacy in Dentistry (REALD), Short Assessment of Health Literacy for Spanish-speaking Adults (SAHLSA), Single Item Literacy Screener (SILS), </w:t>
      </w:r>
      <w:proofErr w:type="spellStart"/>
      <w:r>
        <w:rPr>
          <w:rFonts w:ascii="Cambria" w:hAnsi="Cambria"/>
        </w:rPr>
        <w:t>Slosson</w:t>
      </w:r>
      <w:proofErr w:type="spellEnd"/>
      <w:r>
        <w:rPr>
          <w:rFonts w:ascii="Cambria" w:hAnsi="Cambria"/>
        </w:rPr>
        <w:t xml:space="preserve"> Oral Reading Test, Test of Adult Basic Education (TABE), and the Wide Range Achievement Test (WRAT).</w:t>
      </w:r>
      <w:r>
        <w:rPr>
          <w:rStyle w:val="EndnoteReference"/>
          <w:rFonts w:ascii="Cambria" w:hAnsi="Cambria"/>
        </w:rPr>
        <w:endnoteReference w:id="36"/>
      </w:r>
    </w:p>
    <w:p w:rsidR="002271B5" w:rsidRPr="00011D64" w:rsidRDefault="00B9737F" w:rsidP="00B9737F">
      <w:pPr>
        <w:spacing w:after="120"/>
        <w:rPr>
          <w:rFonts w:ascii="Cambria" w:hAnsi="Cambria"/>
        </w:rPr>
      </w:pPr>
      <w:proofErr w:type="spellStart"/>
      <w:r w:rsidRPr="00011D64">
        <w:rPr>
          <w:rFonts w:ascii="Cambria" w:hAnsi="Cambria"/>
        </w:rPr>
        <w:t>Andrulis</w:t>
      </w:r>
      <w:proofErr w:type="spellEnd"/>
      <w:r w:rsidRPr="00011D64">
        <w:rPr>
          <w:rFonts w:ascii="Cambria" w:hAnsi="Cambria"/>
        </w:rPr>
        <w:t xml:space="preserve"> et al (2007) indicate that t</w:t>
      </w:r>
      <w:r w:rsidR="00543079" w:rsidRPr="00011D64">
        <w:rPr>
          <w:rFonts w:ascii="Cambria" w:hAnsi="Cambria"/>
        </w:rPr>
        <w:t xml:space="preserve">hough these tests offer a baseline for identifying patients at risk for health literacy problems, low scores on assessments don’t </w:t>
      </w:r>
      <w:r w:rsidR="00543079" w:rsidRPr="00011D64">
        <w:rPr>
          <w:rFonts w:ascii="Cambria" w:hAnsi="Cambria"/>
        </w:rPr>
        <w:lastRenderedPageBreak/>
        <w:t>pinpoint the nature of health literacy problems, and should therefore go hand-in-hand with assessments of culture and language.</w:t>
      </w:r>
      <w:r w:rsidR="00543079" w:rsidRPr="00011D64">
        <w:rPr>
          <w:rStyle w:val="EndnoteReference"/>
          <w:rFonts w:ascii="Cambria" w:hAnsi="Cambria"/>
        </w:rPr>
        <w:endnoteReference w:id="37"/>
      </w:r>
    </w:p>
    <w:p w:rsidR="007425E7" w:rsidRPr="00011D64" w:rsidRDefault="00906F6B" w:rsidP="009F2869">
      <w:pPr>
        <w:spacing w:after="120"/>
        <w:rPr>
          <w:rFonts w:ascii="Cambria" w:hAnsi="Cambria"/>
          <w:i/>
        </w:rPr>
      </w:pPr>
      <w:r>
        <w:rPr>
          <w:rFonts w:ascii="Cambria" w:hAnsi="Cambria"/>
          <w:b/>
          <w:i/>
        </w:rPr>
        <w:br w:type="page"/>
      </w:r>
      <w:r w:rsidR="009F2869" w:rsidRPr="001160B5">
        <w:rPr>
          <w:rFonts w:ascii="Cambria" w:hAnsi="Cambria"/>
          <w:b/>
          <w:i/>
        </w:rPr>
        <w:lastRenderedPageBreak/>
        <w:t>Strategies for addressing the needs of patients with limited health literacy (LHL</w:t>
      </w:r>
      <w:r w:rsidR="009F2869" w:rsidRPr="00011D64">
        <w:rPr>
          <w:rFonts w:ascii="Cambria" w:hAnsi="Cambria"/>
          <w:i/>
        </w:rPr>
        <w:t>)</w:t>
      </w:r>
    </w:p>
    <w:p w:rsidR="005C0B20" w:rsidRPr="00011D64" w:rsidRDefault="004D693C" w:rsidP="005C0B20">
      <w:pPr>
        <w:spacing w:after="120"/>
        <w:rPr>
          <w:rFonts w:ascii="Cambria" w:hAnsi="Cambria"/>
        </w:rPr>
      </w:pPr>
      <w:r w:rsidRPr="00011D64">
        <w:rPr>
          <w:rFonts w:ascii="Cambria" w:hAnsi="Cambria"/>
          <w:i/>
        </w:rPr>
        <w:t>Create a welcoming environment through i</w:t>
      </w:r>
      <w:r w:rsidR="005C0B20" w:rsidRPr="00011D64">
        <w:rPr>
          <w:rFonts w:ascii="Cambria" w:hAnsi="Cambria"/>
          <w:i/>
        </w:rPr>
        <w:t>mprove</w:t>
      </w:r>
      <w:r w:rsidRPr="00011D64">
        <w:rPr>
          <w:rFonts w:ascii="Cambria" w:hAnsi="Cambria"/>
          <w:i/>
        </w:rPr>
        <w:t>d</w:t>
      </w:r>
      <w:r w:rsidR="005C0B20" w:rsidRPr="00011D64">
        <w:rPr>
          <w:rFonts w:ascii="Cambria" w:hAnsi="Cambria"/>
          <w:i/>
        </w:rPr>
        <w:t xml:space="preserve"> facility navigation</w:t>
      </w:r>
    </w:p>
    <w:p w:rsidR="005C0B20" w:rsidRPr="00011D64" w:rsidRDefault="004D693C" w:rsidP="004D693C">
      <w:pPr>
        <w:spacing w:after="120"/>
        <w:rPr>
          <w:rFonts w:ascii="Cambria" w:hAnsi="Cambria"/>
        </w:rPr>
      </w:pPr>
      <w:r w:rsidRPr="00011D64">
        <w:rPr>
          <w:rFonts w:ascii="Cambria" w:hAnsi="Cambria"/>
        </w:rPr>
        <w:t xml:space="preserve">For limited literacy, LEP and culturally diverse </w:t>
      </w:r>
      <w:r w:rsidR="004B0F24" w:rsidRPr="00011D64">
        <w:rPr>
          <w:rFonts w:ascii="Cambria" w:hAnsi="Cambria"/>
        </w:rPr>
        <w:t>person</w:t>
      </w:r>
      <w:r w:rsidRPr="00011D64">
        <w:rPr>
          <w:rFonts w:ascii="Cambria" w:hAnsi="Cambria"/>
        </w:rPr>
        <w:t>s, facility navigation can pose difficulties. Rudd (2004) found that c</w:t>
      </w:r>
      <w:r w:rsidR="005C0B20" w:rsidRPr="00011D64">
        <w:rPr>
          <w:rFonts w:ascii="Cambria" w:hAnsi="Cambria"/>
        </w:rPr>
        <w:t>ulturally diverse, limited literacy and/or LEP individuals can face significant challenges in finding their way to and around health care facilities.</w:t>
      </w:r>
      <w:r w:rsidR="005C0B20" w:rsidRPr="00011D64">
        <w:rPr>
          <w:rStyle w:val="EndnoteReference"/>
          <w:rFonts w:ascii="Cambria" w:hAnsi="Cambria"/>
        </w:rPr>
        <w:endnoteReference w:id="38"/>
      </w:r>
    </w:p>
    <w:p w:rsidR="005C0B20" w:rsidRPr="00011D64" w:rsidRDefault="004B0F24" w:rsidP="004D693C">
      <w:pPr>
        <w:spacing w:after="120"/>
        <w:rPr>
          <w:rFonts w:ascii="Cambria" w:hAnsi="Cambria"/>
        </w:rPr>
      </w:pPr>
      <w:r w:rsidRPr="00011D64">
        <w:rPr>
          <w:rFonts w:ascii="Cambria" w:hAnsi="Cambria"/>
        </w:rPr>
        <w:t xml:space="preserve">To address this challenge </w:t>
      </w:r>
      <w:proofErr w:type="spellStart"/>
      <w:r w:rsidRPr="00011D64">
        <w:rPr>
          <w:rFonts w:ascii="Cambria" w:hAnsi="Cambria"/>
        </w:rPr>
        <w:t>Andrulis</w:t>
      </w:r>
      <w:proofErr w:type="spellEnd"/>
      <w:r w:rsidRPr="00011D64">
        <w:rPr>
          <w:rFonts w:ascii="Cambria" w:hAnsi="Cambria"/>
        </w:rPr>
        <w:t xml:space="preserve"> et al (2007) recommend</w:t>
      </w:r>
      <w:r w:rsidR="004D693C" w:rsidRPr="00011D64">
        <w:rPr>
          <w:rFonts w:ascii="Cambria" w:hAnsi="Cambria"/>
        </w:rPr>
        <w:t xml:space="preserve"> </w:t>
      </w:r>
      <w:r w:rsidRPr="00011D64">
        <w:rPr>
          <w:rFonts w:ascii="Cambria" w:hAnsi="Cambria"/>
        </w:rPr>
        <w:t xml:space="preserve">hiring </w:t>
      </w:r>
      <w:r w:rsidR="005C0B20" w:rsidRPr="00011D64">
        <w:rPr>
          <w:rFonts w:ascii="Cambria" w:hAnsi="Cambria"/>
        </w:rPr>
        <w:t>patient navigators</w:t>
      </w:r>
      <w:r w:rsidRPr="00011D64">
        <w:rPr>
          <w:rFonts w:ascii="Cambria" w:hAnsi="Cambria"/>
        </w:rPr>
        <w:t xml:space="preserve"> or health educators</w:t>
      </w:r>
      <w:r w:rsidR="004D693C" w:rsidRPr="00011D64">
        <w:rPr>
          <w:rFonts w:ascii="Cambria" w:hAnsi="Cambria"/>
        </w:rPr>
        <w:t>,</w:t>
      </w:r>
      <w:r w:rsidR="005C0B20" w:rsidRPr="00011D64">
        <w:rPr>
          <w:rFonts w:ascii="Cambria" w:hAnsi="Cambria"/>
        </w:rPr>
        <w:t xml:space="preserve"> </w:t>
      </w:r>
      <w:r w:rsidRPr="00011D64">
        <w:rPr>
          <w:rFonts w:ascii="Cambria" w:hAnsi="Cambria"/>
        </w:rPr>
        <w:t>ensuring signs are easily understandable by using translated signage, graphics, color-coding and</w:t>
      </w:r>
      <w:r w:rsidR="005C0B20" w:rsidRPr="00011D64">
        <w:rPr>
          <w:rFonts w:ascii="Cambria" w:hAnsi="Cambria"/>
        </w:rPr>
        <w:t xml:space="preserve"> pictograms</w:t>
      </w:r>
      <w:r w:rsidRPr="00011D64">
        <w:rPr>
          <w:rFonts w:ascii="Cambria" w:hAnsi="Cambria"/>
        </w:rPr>
        <w:t xml:space="preserve">. </w:t>
      </w:r>
      <w:r w:rsidRPr="00011D64">
        <w:rPr>
          <w:rStyle w:val="EndnoteReference"/>
          <w:rFonts w:ascii="Cambria" w:hAnsi="Cambria"/>
        </w:rPr>
        <w:endnoteReference w:id="39"/>
      </w:r>
    </w:p>
    <w:p w:rsidR="004B0F24" w:rsidRPr="00011D64" w:rsidRDefault="004B0F24" w:rsidP="009F2869">
      <w:pPr>
        <w:spacing w:after="120"/>
        <w:rPr>
          <w:rFonts w:ascii="Cambria" w:hAnsi="Cambria"/>
          <w:i/>
        </w:rPr>
      </w:pPr>
    </w:p>
    <w:p w:rsidR="004B0F24" w:rsidRPr="00011D64" w:rsidRDefault="004B0F24" w:rsidP="009F2869">
      <w:pPr>
        <w:spacing w:after="120"/>
        <w:rPr>
          <w:rFonts w:ascii="Cambria" w:hAnsi="Cambria"/>
          <w:i/>
        </w:rPr>
      </w:pPr>
      <w:r w:rsidRPr="00011D64">
        <w:rPr>
          <w:rFonts w:ascii="Cambria" w:hAnsi="Cambria"/>
          <w:i/>
        </w:rPr>
        <w:t>Improve communication by keeping messages concise, jargon-free and using proven methods to assess patient understanding.</w:t>
      </w:r>
    </w:p>
    <w:p w:rsidR="004B0F24" w:rsidRPr="00011D64" w:rsidRDefault="004B0F24" w:rsidP="004B0F24">
      <w:pPr>
        <w:spacing w:after="120"/>
        <w:rPr>
          <w:rFonts w:ascii="Cambria" w:hAnsi="Cambria"/>
        </w:rPr>
      </w:pPr>
      <w:r w:rsidRPr="00011D64">
        <w:rPr>
          <w:rFonts w:ascii="Cambria" w:hAnsi="Cambria"/>
        </w:rPr>
        <w:t xml:space="preserve">To improve communication, </w:t>
      </w:r>
      <w:proofErr w:type="spellStart"/>
      <w:r w:rsidRPr="00011D64">
        <w:rPr>
          <w:rFonts w:ascii="Cambria" w:hAnsi="Cambria"/>
        </w:rPr>
        <w:t>Andrulis</w:t>
      </w:r>
      <w:proofErr w:type="spellEnd"/>
      <w:r w:rsidRPr="00011D64">
        <w:rPr>
          <w:rFonts w:ascii="Cambria" w:hAnsi="Cambria"/>
        </w:rPr>
        <w:t xml:space="preserve"> et al (2007) propose the following strategies:</w:t>
      </w:r>
    </w:p>
    <w:p w:rsidR="007425E7" w:rsidRPr="00011D64" w:rsidRDefault="004B0F24" w:rsidP="004B0F24">
      <w:pPr>
        <w:pStyle w:val="ListParagraph"/>
        <w:numPr>
          <w:ilvl w:val="0"/>
          <w:numId w:val="15"/>
        </w:numPr>
        <w:spacing w:after="120"/>
        <w:rPr>
          <w:rFonts w:ascii="Cambria" w:hAnsi="Cambria"/>
        </w:rPr>
      </w:pPr>
      <w:r w:rsidRPr="00011D64">
        <w:rPr>
          <w:rFonts w:ascii="Cambria" w:hAnsi="Cambria"/>
        </w:rPr>
        <w:t>L</w:t>
      </w:r>
      <w:r w:rsidR="007425E7" w:rsidRPr="00011D64">
        <w:rPr>
          <w:rFonts w:ascii="Cambria" w:hAnsi="Cambria"/>
        </w:rPr>
        <w:t>imit the number of messages delivered at one time</w:t>
      </w:r>
      <w:r w:rsidRPr="00011D64">
        <w:rPr>
          <w:rFonts w:ascii="Cambria" w:hAnsi="Cambria"/>
        </w:rPr>
        <w:t>.</w:t>
      </w:r>
    </w:p>
    <w:p w:rsidR="007425E7" w:rsidRPr="00011D64" w:rsidRDefault="007425E7" w:rsidP="007425E7">
      <w:pPr>
        <w:pStyle w:val="ListParagraph"/>
        <w:numPr>
          <w:ilvl w:val="0"/>
          <w:numId w:val="2"/>
        </w:numPr>
        <w:spacing w:after="120"/>
        <w:rPr>
          <w:rFonts w:ascii="Cambria" w:hAnsi="Cambria"/>
        </w:rPr>
      </w:pPr>
      <w:r w:rsidRPr="00011D64">
        <w:rPr>
          <w:rFonts w:ascii="Cambria" w:hAnsi="Cambria"/>
        </w:rPr>
        <w:t>Use simplified, jargon-free language</w:t>
      </w:r>
      <w:r w:rsidR="004B0F24" w:rsidRPr="00011D64">
        <w:rPr>
          <w:rFonts w:ascii="Cambria" w:hAnsi="Cambria"/>
        </w:rPr>
        <w:t>.</w:t>
      </w:r>
    </w:p>
    <w:p w:rsidR="004B0F24" w:rsidRPr="00906F6B" w:rsidRDefault="007425E7" w:rsidP="00906F6B">
      <w:pPr>
        <w:pStyle w:val="ListParagraph"/>
        <w:numPr>
          <w:ilvl w:val="0"/>
          <w:numId w:val="2"/>
        </w:numPr>
        <w:spacing w:after="120"/>
        <w:rPr>
          <w:rFonts w:ascii="Cambria" w:hAnsi="Cambria"/>
        </w:rPr>
      </w:pPr>
      <w:r w:rsidRPr="00011D64">
        <w:rPr>
          <w:rFonts w:ascii="Cambria" w:hAnsi="Cambria"/>
        </w:rPr>
        <w:t>Use teach-back or teach-to-goal methods</w:t>
      </w:r>
      <w:r w:rsidR="004B0F24" w:rsidRPr="00011D64">
        <w:rPr>
          <w:rFonts w:ascii="Cambria" w:hAnsi="Cambria"/>
        </w:rPr>
        <w:t>.</w:t>
      </w:r>
    </w:p>
    <w:p w:rsidR="006835C8" w:rsidRPr="00011D64" w:rsidRDefault="006835C8" w:rsidP="004B0F24">
      <w:pPr>
        <w:spacing w:after="120"/>
        <w:ind w:left="360"/>
        <w:rPr>
          <w:rFonts w:ascii="Cambria" w:hAnsi="Cambria"/>
        </w:rPr>
      </w:pPr>
      <w:r w:rsidRPr="00011D64">
        <w:rPr>
          <w:rFonts w:ascii="Cambria" w:hAnsi="Cambria"/>
          <w:i/>
        </w:rPr>
        <w:t>Teach back</w:t>
      </w:r>
    </w:p>
    <w:p w:rsidR="006835C8" w:rsidRPr="00011D64" w:rsidRDefault="006835C8" w:rsidP="004B0F24">
      <w:pPr>
        <w:spacing w:after="120"/>
        <w:ind w:left="360"/>
        <w:rPr>
          <w:rFonts w:ascii="Cambria" w:hAnsi="Cambria"/>
        </w:rPr>
      </w:pPr>
      <w:proofErr w:type="spellStart"/>
      <w:r w:rsidRPr="00011D64">
        <w:rPr>
          <w:rFonts w:ascii="Cambria" w:hAnsi="Cambria"/>
        </w:rPr>
        <w:t>Doak</w:t>
      </w:r>
      <w:proofErr w:type="spellEnd"/>
      <w:r w:rsidRPr="00011D64">
        <w:rPr>
          <w:rFonts w:ascii="Cambria" w:hAnsi="Cambria"/>
        </w:rPr>
        <w:t xml:space="preserve"> et al (1996), </w:t>
      </w:r>
      <w:proofErr w:type="spellStart"/>
      <w:r w:rsidRPr="00011D64">
        <w:rPr>
          <w:rFonts w:ascii="Cambria" w:hAnsi="Cambria"/>
        </w:rPr>
        <w:t>Andrulis</w:t>
      </w:r>
      <w:proofErr w:type="spellEnd"/>
      <w:r w:rsidRPr="00011D64">
        <w:rPr>
          <w:rFonts w:ascii="Cambria" w:hAnsi="Cambria"/>
        </w:rPr>
        <w:t>, and the National Quality Forum identify teach back as a widely recommended practice for effectively communicating with patients with low health literacy levels. Asking patients to “teach back” information increases patient retention, gives providers a gauge of how well patients understand information, and actively involves patients in their own healthcare.</w:t>
      </w:r>
      <w:r w:rsidRPr="00011D64">
        <w:rPr>
          <w:rStyle w:val="EndnoteReference"/>
          <w:rFonts w:ascii="Cambria" w:hAnsi="Cambria"/>
        </w:rPr>
        <w:endnoteReference w:id="40"/>
      </w:r>
      <w:r w:rsidRPr="00011D64">
        <w:rPr>
          <w:rFonts w:ascii="Cambria" w:hAnsi="Cambria"/>
        </w:rPr>
        <w:t xml:space="preserve"> </w:t>
      </w:r>
    </w:p>
    <w:p w:rsidR="006835C8" w:rsidRPr="00011D64" w:rsidRDefault="006835C8" w:rsidP="004B0F24">
      <w:pPr>
        <w:spacing w:after="120"/>
        <w:ind w:left="360"/>
        <w:rPr>
          <w:rFonts w:ascii="Cambria" w:hAnsi="Cambria"/>
        </w:rPr>
      </w:pPr>
      <w:r w:rsidRPr="00011D64">
        <w:rPr>
          <w:rFonts w:ascii="Cambria" w:hAnsi="Cambria"/>
        </w:rPr>
        <w:t>Beyond safety and outcome improvements, teach back has been shown to benefit health care organizations’ bottom line. A hospital participating in the National Quality Forum (</w:t>
      </w:r>
      <w:r w:rsidR="009F035E" w:rsidRPr="00011D64">
        <w:rPr>
          <w:rFonts w:ascii="Cambria" w:hAnsi="Cambria"/>
        </w:rPr>
        <w:t xml:space="preserve">NQF, </w:t>
      </w:r>
      <w:r w:rsidRPr="00011D64">
        <w:rPr>
          <w:rFonts w:ascii="Cambria" w:hAnsi="Cambria"/>
        </w:rPr>
        <w:t>2005) informed consent study</w:t>
      </w:r>
      <w:r w:rsidRPr="00011D64">
        <w:rPr>
          <w:rStyle w:val="EndnoteReference"/>
          <w:rFonts w:ascii="Cambria" w:hAnsi="Cambria"/>
        </w:rPr>
        <w:endnoteReference w:id="41"/>
      </w:r>
      <w:r w:rsidRPr="00011D64">
        <w:rPr>
          <w:rFonts w:ascii="Cambria" w:hAnsi="Cambria"/>
        </w:rPr>
        <w:t xml:space="preserve"> found that </w:t>
      </w:r>
      <w:r w:rsidRPr="00906F6B">
        <w:rPr>
          <w:rFonts w:ascii="Cambria" w:hAnsi="Cambria"/>
          <w:b/>
        </w:rPr>
        <w:t>more than 95 percent</w:t>
      </w:r>
      <w:r w:rsidRPr="00011D64">
        <w:rPr>
          <w:rFonts w:ascii="Cambria" w:hAnsi="Cambria"/>
        </w:rPr>
        <w:t xml:space="preserve"> of surgery appointments that were canceled or delayed were attributed to patient misunderstanding of pre-surgical preparation instructions. The cost of surgical delay</w:t>
      </w:r>
      <w:r w:rsidR="009F035E" w:rsidRPr="00011D64">
        <w:rPr>
          <w:rFonts w:ascii="Cambria" w:hAnsi="Cambria"/>
        </w:rPr>
        <w:t>s</w:t>
      </w:r>
      <w:r w:rsidRPr="00011D64">
        <w:rPr>
          <w:rFonts w:ascii="Cambria" w:hAnsi="Cambria"/>
        </w:rPr>
        <w:t xml:space="preserve"> was estimated at $70 per minute. With 8 percent of surgical visits resulting in delays or cancellations, the costs multiplied. Four months after adopting “teach back” in pre-surgical instructions, the surgery cancellation and delay rate dropped </w:t>
      </w:r>
      <w:r w:rsidR="009F035E" w:rsidRPr="00011D64">
        <w:rPr>
          <w:rFonts w:ascii="Cambria" w:hAnsi="Cambria"/>
        </w:rPr>
        <w:t xml:space="preserve">from 8 percent </w:t>
      </w:r>
      <w:r w:rsidRPr="00011D64">
        <w:rPr>
          <w:rFonts w:ascii="Cambria" w:hAnsi="Cambria"/>
        </w:rPr>
        <w:t>to 0.8 percent.</w:t>
      </w:r>
    </w:p>
    <w:p w:rsidR="006835C8" w:rsidRPr="00011D64" w:rsidRDefault="009F035E" w:rsidP="004B0F24">
      <w:pPr>
        <w:spacing w:after="120"/>
        <w:ind w:left="360"/>
        <w:rPr>
          <w:rFonts w:ascii="Cambria" w:hAnsi="Cambria"/>
        </w:rPr>
      </w:pPr>
      <w:r w:rsidRPr="00011D64">
        <w:rPr>
          <w:rFonts w:ascii="Cambria" w:hAnsi="Cambria"/>
        </w:rPr>
        <w:t>B</w:t>
      </w:r>
      <w:r w:rsidR="006835C8" w:rsidRPr="00011D64">
        <w:rPr>
          <w:rFonts w:ascii="Cambria" w:hAnsi="Cambria"/>
        </w:rPr>
        <w:t xml:space="preserve">arriers to implementation of teach back </w:t>
      </w:r>
      <w:r w:rsidRPr="00011D64">
        <w:rPr>
          <w:rFonts w:ascii="Cambria" w:hAnsi="Cambria"/>
        </w:rPr>
        <w:t>included</w:t>
      </w:r>
      <w:r w:rsidR="006835C8" w:rsidRPr="00011D64">
        <w:rPr>
          <w:rFonts w:ascii="Cambria" w:hAnsi="Cambria"/>
        </w:rPr>
        <w:t xml:space="preserve"> provider time in using a script, physician buy-in, perception that all patients understand, discomfort in asking for teach back based on </w:t>
      </w:r>
      <w:r w:rsidRPr="00011D64">
        <w:rPr>
          <w:rFonts w:ascii="Cambria" w:hAnsi="Cambria"/>
        </w:rPr>
        <w:t>a fear of being condescending and p</w:t>
      </w:r>
      <w:r w:rsidR="006835C8" w:rsidRPr="00011D64">
        <w:rPr>
          <w:rFonts w:ascii="Cambria" w:hAnsi="Cambria"/>
        </w:rPr>
        <w:t>atient attitudes (</w:t>
      </w:r>
      <w:r w:rsidRPr="00011D64">
        <w:rPr>
          <w:rFonts w:ascii="Cambria" w:hAnsi="Cambria"/>
        </w:rPr>
        <w:t xml:space="preserve">reluctance to ask questions out of </w:t>
      </w:r>
      <w:r w:rsidR="006835C8" w:rsidRPr="00011D64">
        <w:rPr>
          <w:rFonts w:ascii="Cambria" w:hAnsi="Cambria"/>
        </w:rPr>
        <w:t>d</w:t>
      </w:r>
      <w:r w:rsidRPr="00011D64">
        <w:rPr>
          <w:rFonts w:ascii="Cambria" w:hAnsi="Cambria"/>
        </w:rPr>
        <w:t>eference to physician authority or as a result of feeling</w:t>
      </w:r>
      <w:r w:rsidR="006835C8" w:rsidRPr="00011D64">
        <w:rPr>
          <w:rFonts w:ascii="Cambria" w:hAnsi="Cambria"/>
        </w:rPr>
        <w:t xml:space="preserve"> intimidated by physicians)</w:t>
      </w:r>
      <w:r w:rsidRPr="00011D64">
        <w:rPr>
          <w:rFonts w:ascii="Cambria" w:hAnsi="Cambria"/>
        </w:rPr>
        <w:t>.</w:t>
      </w:r>
    </w:p>
    <w:p w:rsidR="00392633" w:rsidRPr="00011D64" w:rsidRDefault="006835C8" w:rsidP="004B0F24">
      <w:pPr>
        <w:spacing w:after="120"/>
        <w:ind w:left="360"/>
        <w:rPr>
          <w:rFonts w:ascii="Cambria" w:hAnsi="Cambria"/>
        </w:rPr>
      </w:pPr>
      <w:r w:rsidRPr="00011D64">
        <w:rPr>
          <w:rFonts w:ascii="Cambria" w:hAnsi="Cambria"/>
        </w:rPr>
        <w:t>To address barriers</w:t>
      </w:r>
      <w:r w:rsidR="00392633" w:rsidRPr="00011D64">
        <w:rPr>
          <w:rFonts w:ascii="Cambria" w:hAnsi="Cambria"/>
        </w:rPr>
        <w:t xml:space="preserve"> to adoption of teach back, the National Quality Forum</w:t>
      </w:r>
      <w:r w:rsidR="009F035E" w:rsidRPr="00011D64">
        <w:rPr>
          <w:rFonts w:ascii="Cambria" w:hAnsi="Cambria"/>
        </w:rPr>
        <w:t xml:space="preserve"> (NQF, 2005)</w:t>
      </w:r>
      <w:r w:rsidR="00392633" w:rsidRPr="00011D64">
        <w:rPr>
          <w:rFonts w:ascii="Cambria" w:hAnsi="Cambria"/>
        </w:rPr>
        <w:t xml:space="preserve"> recommends:</w:t>
      </w:r>
    </w:p>
    <w:p w:rsidR="006835C8" w:rsidRPr="00011D64" w:rsidRDefault="009F035E" w:rsidP="004B0F24">
      <w:pPr>
        <w:pStyle w:val="ListParagraph"/>
        <w:numPr>
          <w:ilvl w:val="0"/>
          <w:numId w:val="14"/>
        </w:numPr>
        <w:spacing w:after="120"/>
        <w:ind w:left="1128"/>
        <w:rPr>
          <w:rFonts w:ascii="Cambria" w:hAnsi="Cambria"/>
        </w:rPr>
      </w:pPr>
      <w:r w:rsidRPr="00011D64">
        <w:rPr>
          <w:rFonts w:ascii="Cambria" w:hAnsi="Cambria"/>
        </w:rPr>
        <w:t>U</w:t>
      </w:r>
      <w:r w:rsidR="006835C8" w:rsidRPr="00011D64">
        <w:rPr>
          <w:rFonts w:ascii="Cambria" w:hAnsi="Cambria"/>
        </w:rPr>
        <w:t xml:space="preserve">nderscoring the potential improvements in efficiency that can result after adopting </w:t>
      </w:r>
      <w:proofErr w:type="gramStart"/>
      <w:r w:rsidR="006835C8" w:rsidRPr="00011D64">
        <w:rPr>
          <w:rFonts w:ascii="Cambria" w:hAnsi="Cambria"/>
        </w:rPr>
        <w:t>teach</w:t>
      </w:r>
      <w:proofErr w:type="gramEnd"/>
      <w:r w:rsidR="006835C8" w:rsidRPr="00011D64">
        <w:rPr>
          <w:rFonts w:ascii="Cambria" w:hAnsi="Cambria"/>
        </w:rPr>
        <w:t xml:space="preserve"> back</w:t>
      </w:r>
      <w:r w:rsidRPr="00011D64">
        <w:rPr>
          <w:rFonts w:ascii="Cambria" w:hAnsi="Cambria"/>
        </w:rPr>
        <w:t>.</w:t>
      </w:r>
    </w:p>
    <w:p w:rsidR="006835C8" w:rsidRPr="00011D64" w:rsidRDefault="009F035E" w:rsidP="004B0F24">
      <w:pPr>
        <w:pStyle w:val="ListParagraph"/>
        <w:numPr>
          <w:ilvl w:val="0"/>
          <w:numId w:val="13"/>
        </w:numPr>
        <w:ind w:left="1080"/>
        <w:rPr>
          <w:rFonts w:ascii="Cambria" w:hAnsi="Cambria"/>
        </w:rPr>
      </w:pPr>
      <w:r w:rsidRPr="00011D64">
        <w:rPr>
          <w:rFonts w:ascii="Cambria" w:hAnsi="Cambria"/>
        </w:rPr>
        <w:lastRenderedPageBreak/>
        <w:t>E</w:t>
      </w:r>
      <w:r w:rsidR="006835C8" w:rsidRPr="00011D64">
        <w:rPr>
          <w:rFonts w:ascii="Cambria" w:hAnsi="Cambria"/>
        </w:rPr>
        <w:t xml:space="preserve">ducating all staff about the extent of </w:t>
      </w:r>
      <w:r w:rsidR="00923CB6" w:rsidRPr="00011D64">
        <w:rPr>
          <w:rFonts w:ascii="Cambria" w:hAnsi="Cambria"/>
        </w:rPr>
        <w:t xml:space="preserve">low </w:t>
      </w:r>
      <w:r w:rsidR="006835C8" w:rsidRPr="00011D64">
        <w:rPr>
          <w:rFonts w:ascii="Cambria" w:hAnsi="Cambria"/>
        </w:rPr>
        <w:t>health literacy</w:t>
      </w:r>
      <w:r w:rsidRPr="00011D64">
        <w:rPr>
          <w:rFonts w:ascii="Cambria" w:hAnsi="Cambria"/>
        </w:rPr>
        <w:t>.</w:t>
      </w:r>
    </w:p>
    <w:p w:rsidR="006835C8" w:rsidRPr="00011D64" w:rsidRDefault="006835C8" w:rsidP="004B0F24">
      <w:pPr>
        <w:pStyle w:val="ListParagraph"/>
        <w:numPr>
          <w:ilvl w:val="0"/>
          <w:numId w:val="13"/>
        </w:numPr>
        <w:ind w:left="1080"/>
        <w:rPr>
          <w:rFonts w:ascii="Cambria" w:hAnsi="Cambria"/>
        </w:rPr>
      </w:pPr>
      <w:r w:rsidRPr="00011D64">
        <w:rPr>
          <w:rFonts w:ascii="Cambria" w:hAnsi="Cambria"/>
        </w:rPr>
        <w:t>Countering negative physician attitudes toward patient involvement with education</w:t>
      </w:r>
      <w:r w:rsidR="009F035E" w:rsidRPr="00011D64">
        <w:rPr>
          <w:rFonts w:ascii="Cambria" w:hAnsi="Cambria"/>
        </w:rPr>
        <w:t>.</w:t>
      </w:r>
    </w:p>
    <w:p w:rsidR="006835C8" w:rsidRPr="00011D64" w:rsidRDefault="006835C8" w:rsidP="004B0F24">
      <w:pPr>
        <w:pStyle w:val="ListParagraph"/>
        <w:numPr>
          <w:ilvl w:val="0"/>
          <w:numId w:val="13"/>
        </w:numPr>
        <w:ind w:left="1080"/>
        <w:rPr>
          <w:rFonts w:ascii="Cambria" w:hAnsi="Cambria"/>
        </w:rPr>
      </w:pPr>
      <w:r w:rsidRPr="00011D64">
        <w:rPr>
          <w:rFonts w:ascii="Cambria" w:hAnsi="Cambria"/>
        </w:rPr>
        <w:t>Enlisting leadership support and involving a clinical champion for teach back</w:t>
      </w:r>
      <w:r w:rsidR="009F035E" w:rsidRPr="00011D64">
        <w:rPr>
          <w:rFonts w:ascii="Cambria" w:hAnsi="Cambria"/>
        </w:rPr>
        <w:t>.</w:t>
      </w:r>
    </w:p>
    <w:p w:rsidR="006835C8" w:rsidRPr="00011D64" w:rsidRDefault="006835C8" w:rsidP="004B0F24">
      <w:pPr>
        <w:pStyle w:val="ListParagraph"/>
        <w:numPr>
          <w:ilvl w:val="0"/>
          <w:numId w:val="13"/>
        </w:numPr>
        <w:ind w:left="1080"/>
        <w:rPr>
          <w:rFonts w:ascii="Cambria" w:hAnsi="Cambria"/>
        </w:rPr>
      </w:pPr>
      <w:r w:rsidRPr="00011D64">
        <w:rPr>
          <w:rFonts w:ascii="Cambria" w:hAnsi="Cambria"/>
        </w:rPr>
        <w:t>Training staff and physicians on how to ask for teach back</w:t>
      </w:r>
      <w:r w:rsidR="009F035E" w:rsidRPr="00011D64">
        <w:rPr>
          <w:rFonts w:ascii="Cambria" w:hAnsi="Cambria"/>
        </w:rPr>
        <w:t>.</w:t>
      </w:r>
    </w:p>
    <w:p w:rsidR="006835C8" w:rsidRPr="00011D64" w:rsidRDefault="006835C8" w:rsidP="004B0F24">
      <w:pPr>
        <w:pStyle w:val="ListParagraph"/>
        <w:numPr>
          <w:ilvl w:val="0"/>
          <w:numId w:val="13"/>
        </w:numPr>
        <w:spacing w:after="240"/>
        <w:ind w:left="1080"/>
        <w:rPr>
          <w:rFonts w:ascii="Cambria" w:hAnsi="Cambria"/>
        </w:rPr>
      </w:pPr>
      <w:r w:rsidRPr="00011D64">
        <w:rPr>
          <w:rFonts w:ascii="Cambria" w:hAnsi="Cambria"/>
        </w:rPr>
        <w:t>Defining who is respon</w:t>
      </w:r>
      <w:r w:rsidR="00923CB6" w:rsidRPr="00011D64">
        <w:rPr>
          <w:rFonts w:ascii="Cambria" w:hAnsi="Cambria"/>
        </w:rPr>
        <w:t>sible for asking for teach back</w:t>
      </w:r>
      <w:r w:rsidR="009F035E" w:rsidRPr="00011D64">
        <w:rPr>
          <w:rFonts w:ascii="Cambria" w:hAnsi="Cambria"/>
        </w:rPr>
        <w:t>.</w:t>
      </w:r>
    </w:p>
    <w:p w:rsidR="004B0F24" w:rsidRPr="00011D64" w:rsidRDefault="006835C8" w:rsidP="00906F6B">
      <w:pPr>
        <w:spacing w:after="120"/>
        <w:ind w:left="360"/>
        <w:rPr>
          <w:rFonts w:ascii="Cambria" w:hAnsi="Cambria"/>
        </w:rPr>
      </w:pPr>
      <w:r w:rsidRPr="00011D64">
        <w:rPr>
          <w:rFonts w:ascii="Cambria" w:hAnsi="Cambria"/>
        </w:rPr>
        <w:t xml:space="preserve">Benefits of teach back identified in the </w:t>
      </w:r>
      <w:r w:rsidR="009F035E" w:rsidRPr="00011D64">
        <w:rPr>
          <w:rFonts w:ascii="Cambria" w:hAnsi="Cambria"/>
        </w:rPr>
        <w:t>NQF study (</w:t>
      </w:r>
      <w:r w:rsidRPr="00011D64">
        <w:rPr>
          <w:rFonts w:ascii="Cambria" w:hAnsi="Cambria"/>
        </w:rPr>
        <w:t xml:space="preserve">2005) included ensuring medication safety, correcting misperceptions </w:t>
      </w:r>
      <w:r w:rsidR="00906F6B">
        <w:rPr>
          <w:rFonts w:ascii="Cambria" w:hAnsi="Cambria"/>
        </w:rPr>
        <w:t>and promoting informed decision-</w:t>
      </w:r>
      <w:r w:rsidRPr="00011D64">
        <w:rPr>
          <w:rFonts w:ascii="Cambria" w:hAnsi="Cambria"/>
        </w:rPr>
        <w:t xml:space="preserve">making, avoiding surgical errors, promoting a culture of quality, safety and patient-centeredness, and cost savings. </w:t>
      </w:r>
    </w:p>
    <w:p w:rsidR="004B0F24" w:rsidRPr="00011D64" w:rsidRDefault="004B0F24" w:rsidP="004B0F24">
      <w:pPr>
        <w:spacing w:after="120"/>
        <w:rPr>
          <w:rFonts w:ascii="Cambria" w:hAnsi="Cambria"/>
        </w:rPr>
      </w:pPr>
      <w:r w:rsidRPr="00011D64">
        <w:rPr>
          <w:rFonts w:ascii="Cambria" w:hAnsi="Cambria"/>
          <w:i/>
        </w:rPr>
        <w:t>Empower patients to be drivers of their own care through an improved informed consent</w:t>
      </w:r>
      <w:r w:rsidR="009F035E" w:rsidRPr="00011D64">
        <w:rPr>
          <w:rFonts w:ascii="Cambria" w:hAnsi="Cambria"/>
          <w:i/>
        </w:rPr>
        <w:t xml:space="preserve"> process.</w:t>
      </w:r>
    </w:p>
    <w:p w:rsidR="009F035E" w:rsidRPr="00011D64" w:rsidRDefault="009F035E" w:rsidP="004B0F24">
      <w:pPr>
        <w:spacing w:after="120"/>
        <w:rPr>
          <w:rFonts w:ascii="Cambria" w:hAnsi="Cambria"/>
        </w:rPr>
      </w:pPr>
      <w:r w:rsidRPr="00011D64">
        <w:rPr>
          <w:rFonts w:ascii="Cambria" w:hAnsi="Cambria"/>
        </w:rPr>
        <w:t>Informed consent, the process in which a patient consents to undergo a medical or surgical treatment or to participate in an experiment after understanding the risks involved,</w:t>
      </w:r>
      <w:r w:rsidRPr="00011D64">
        <w:rPr>
          <w:rStyle w:val="EndnoteReference"/>
          <w:rFonts w:ascii="Cambria" w:hAnsi="Cambria"/>
        </w:rPr>
        <w:endnoteReference w:id="42"/>
      </w:r>
      <w:r w:rsidRPr="00011D64">
        <w:rPr>
          <w:rFonts w:ascii="Cambria" w:hAnsi="Cambria"/>
        </w:rPr>
        <w:t xml:space="preserve"> was identified as a key area for intervention in improving safety and patient communication. </w:t>
      </w:r>
    </w:p>
    <w:p w:rsidR="004B0F24" w:rsidRPr="00011D64" w:rsidRDefault="004B0F24" w:rsidP="004B0F24">
      <w:pPr>
        <w:spacing w:after="120"/>
        <w:rPr>
          <w:rFonts w:ascii="Cambria" w:hAnsi="Cambria"/>
        </w:rPr>
      </w:pPr>
      <w:r w:rsidRPr="00011D64">
        <w:rPr>
          <w:rFonts w:ascii="Cambria" w:hAnsi="Cambria"/>
        </w:rPr>
        <w:t xml:space="preserve">In its </w:t>
      </w:r>
      <w:r w:rsidRPr="00011D64">
        <w:rPr>
          <w:rFonts w:ascii="Cambria" w:hAnsi="Cambria"/>
          <w:i/>
        </w:rPr>
        <w:t>Safe Practices for Better Healthcare</w:t>
      </w:r>
      <w:r w:rsidR="002F6382" w:rsidRPr="00011D64">
        <w:rPr>
          <w:rFonts w:ascii="Cambria" w:hAnsi="Cambria"/>
        </w:rPr>
        <w:t xml:space="preserve"> (2010)</w:t>
      </w:r>
      <w:r w:rsidRPr="00011D64">
        <w:rPr>
          <w:rFonts w:ascii="Cambria" w:hAnsi="Cambria"/>
        </w:rPr>
        <w:t xml:space="preserve"> the National Quality Forum proposes </w:t>
      </w:r>
      <w:r w:rsidR="009F035E" w:rsidRPr="00011D64">
        <w:rPr>
          <w:rFonts w:ascii="Cambria" w:hAnsi="Cambria"/>
        </w:rPr>
        <w:t xml:space="preserve">targeting the informed consent process as a </w:t>
      </w:r>
      <w:r w:rsidR="002F6382" w:rsidRPr="00011D64">
        <w:rPr>
          <w:rFonts w:ascii="Cambria" w:hAnsi="Cambria"/>
        </w:rPr>
        <w:t>means of</w:t>
      </w:r>
      <w:r w:rsidR="009F035E" w:rsidRPr="00011D64">
        <w:rPr>
          <w:rFonts w:ascii="Cambria" w:hAnsi="Cambria"/>
        </w:rPr>
        <w:t xml:space="preserve"> improving </w:t>
      </w:r>
      <w:r w:rsidR="002F6382" w:rsidRPr="00011D64">
        <w:rPr>
          <w:rFonts w:ascii="Cambria" w:hAnsi="Cambria"/>
        </w:rPr>
        <w:t xml:space="preserve">patient </w:t>
      </w:r>
      <w:r w:rsidR="009F035E" w:rsidRPr="00011D64">
        <w:rPr>
          <w:rFonts w:ascii="Cambria" w:hAnsi="Cambria"/>
        </w:rPr>
        <w:t xml:space="preserve">safety and </w:t>
      </w:r>
      <w:r w:rsidR="002F6382" w:rsidRPr="00011D64">
        <w:rPr>
          <w:rFonts w:ascii="Cambria" w:hAnsi="Cambria"/>
        </w:rPr>
        <w:t>empowerment</w:t>
      </w:r>
      <w:r w:rsidRPr="00011D64">
        <w:rPr>
          <w:rFonts w:ascii="Cambria" w:hAnsi="Cambria"/>
        </w:rPr>
        <w:t>.</w:t>
      </w:r>
      <w:r w:rsidRPr="00011D64">
        <w:rPr>
          <w:rStyle w:val="EndnoteReference"/>
          <w:rFonts w:ascii="Cambria" w:hAnsi="Cambria"/>
        </w:rPr>
        <w:endnoteReference w:id="43"/>
      </w:r>
      <w:r w:rsidRPr="00011D64">
        <w:rPr>
          <w:rFonts w:ascii="Cambria" w:hAnsi="Cambria"/>
        </w:rPr>
        <w:t xml:space="preserve"> </w:t>
      </w:r>
    </w:p>
    <w:p w:rsidR="004B0F24" w:rsidRPr="00011D64" w:rsidRDefault="004B0F24" w:rsidP="004B0F24">
      <w:pPr>
        <w:spacing w:after="120"/>
        <w:rPr>
          <w:rFonts w:ascii="Cambria" w:hAnsi="Cambria"/>
        </w:rPr>
      </w:pPr>
      <w:r w:rsidRPr="00011D64">
        <w:rPr>
          <w:rFonts w:ascii="Cambria" w:hAnsi="Cambria"/>
        </w:rPr>
        <w:t>The U.S. Agency for Healthcare Research and Quality (AHRQ, 2001) found that strategies that involve active engagement of patients in the process of informed consent can improve patients’ recall and understanding of what they consented to receive.</w:t>
      </w:r>
      <w:r w:rsidRPr="00011D64">
        <w:rPr>
          <w:rStyle w:val="EndnoteReference"/>
          <w:rFonts w:ascii="Cambria" w:hAnsi="Cambria"/>
        </w:rPr>
        <w:endnoteReference w:id="44"/>
      </w:r>
    </w:p>
    <w:p w:rsidR="004B0F24" w:rsidRPr="00011D64" w:rsidRDefault="002F6382" w:rsidP="004B0F24">
      <w:pPr>
        <w:spacing w:after="120"/>
        <w:rPr>
          <w:rFonts w:ascii="Cambria" w:hAnsi="Cambria"/>
        </w:rPr>
      </w:pPr>
      <w:r w:rsidRPr="00011D64">
        <w:rPr>
          <w:rFonts w:ascii="Cambria" w:hAnsi="Cambria"/>
        </w:rPr>
        <w:t xml:space="preserve">The National Quality Forum’s </w:t>
      </w:r>
      <w:r w:rsidR="004B0F24" w:rsidRPr="00011D64">
        <w:rPr>
          <w:rFonts w:ascii="Cambria" w:hAnsi="Cambria"/>
        </w:rPr>
        <w:t>Safe Practice 10 calls for health care practitioners to</w:t>
      </w:r>
      <w:r w:rsidRPr="00011D64">
        <w:rPr>
          <w:rFonts w:ascii="Cambria" w:hAnsi="Cambria"/>
        </w:rPr>
        <w:t xml:space="preserve"> use a form of teach back in the informed consent process, or to “a</w:t>
      </w:r>
      <w:r w:rsidR="004B0F24" w:rsidRPr="00011D64">
        <w:rPr>
          <w:rFonts w:ascii="Cambria" w:hAnsi="Cambria"/>
        </w:rPr>
        <w:t>sk each patient or legal surrogate to recount what he or she has been told during the informed consent discussion.”</w:t>
      </w:r>
      <w:r w:rsidRPr="00011D64">
        <w:rPr>
          <w:rStyle w:val="EndnoteReference"/>
          <w:rFonts w:ascii="Cambria" w:hAnsi="Cambria"/>
        </w:rPr>
        <w:endnoteReference w:id="45"/>
      </w:r>
    </w:p>
    <w:p w:rsidR="004B0F24" w:rsidRPr="00011D64" w:rsidRDefault="002F6382" w:rsidP="004B0F24">
      <w:pPr>
        <w:spacing w:after="120"/>
        <w:rPr>
          <w:rFonts w:ascii="Cambria" w:hAnsi="Cambria"/>
        </w:rPr>
      </w:pPr>
      <w:r w:rsidRPr="00011D64">
        <w:rPr>
          <w:rFonts w:ascii="Cambria" w:hAnsi="Cambria"/>
        </w:rPr>
        <w:t>Safe Practice 10 entails</w:t>
      </w:r>
      <w:r w:rsidR="004B0F24" w:rsidRPr="00011D64">
        <w:rPr>
          <w:rFonts w:ascii="Cambria" w:hAnsi="Cambria"/>
        </w:rPr>
        <w:t>:</w:t>
      </w:r>
    </w:p>
    <w:p w:rsidR="004B0F24" w:rsidRPr="00011D64" w:rsidRDefault="004B0F24" w:rsidP="004B0F24">
      <w:pPr>
        <w:pStyle w:val="ListParagraph"/>
        <w:numPr>
          <w:ilvl w:val="0"/>
          <w:numId w:val="2"/>
        </w:numPr>
        <w:spacing w:after="120"/>
        <w:rPr>
          <w:rFonts w:ascii="Cambria" w:hAnsi="Cambria"/>
        </w:rPr>
      </w:pPr>
      <w:r w:rsidRPr="00011D64">
        <w:rPr>
          <w:rFonts w:ascii="Cambria" w:hAnsi="Cambria"/>
        </w:rPr>
        <w:t>Using informed consent forms written in simple sentences and in the patient’s primary language</w:t>
      </w:r>
      <w:r w:rsidR="002F6382" w:rsidRPr="00011D64">
        <w:rPr>
          <w:rFonts w:ascii="Cambria" w:hAnsi="Cambria"/>
        </w:rPr>
        <w:t>.</w:t>
      </w:r>
    </w:p>
    <w:p w:rsidR="004B0F24" w:rsidRPr="00011D64" w:rsidRDefault="004B0F24" w:rsidP="004B0F24">
      <w:pPr>
        <w:pStyle w:val="ListParagraph"/>
        <w:numPr>
          <w:ilvl w:val="0"/>
          <w:numId w:val="2"/>
        </w:numPr>
        <w:spacing w:after="120"/>
        <w:rPr>
          <w:rFonts w:ascii="Cambria" w:hAnsi="Cambria"/>
        </w:rPr>
      </w:pPr>
      <w:r w:rsidRPr="00011D64">
        <w:rPr>
          <w:rFonts w:ascii="Cambria" w:hAnsi="Cambria"/>
        </w:rPr>
        <w:t>Engaging the patient in a dialogue about the nature and scope of the procedure covered by the consent form</w:t>
      </w:r>
      <w:r w:rsidR="002F6382" w:rsidRPr="00011D64">
        <w:rPr>
          <w:rFonts w:ascii="Cambria" w:hAnsi="Cambria"/>
        </w:rPr>
        <w:t>.</w:t>
      </w:r>
    </w:p>
    <w:p w:rsidR="004B0F24" w:rsidRPr="00011D64" w:rsidRDefault="004B0F24" w:rsidP="004B0F24">
      <w:pPr>
        <w:pStyle w:val="ListParagraph"/>
        <w:numPr>
          <w:ilvl w:val="0"/>
          <w:numId w:val="2"/>
        </w:numPr>
        <w:spacing w:after="120"/>
        <w:rPr>
          <w:rFonts w:ascii="Cambria" w:hAnsi="Cambria"/>
        </w:rPr>
      </w:pPr>
      <w:r w:rsidRPr="00011D64">
        <w:rPr>
          <w:rFonts w:ascii="Cambria" w:hAnsi="Cambria"/>
        </w:rPr>
        <w:t>Providing an interpreter or reader to assist non-English-speaking patients, visually or hearing-impaired patients, and patients with limited literacy.</w:t>
      </w:r>
    </w:p>
    <w:p w:rsidR="004B0F24" w:rsidRPr="00011D64" w:rsidRDefault="00906F6B" w:rsidP="004B0F24">
      <w:pPr>
        <w:spacing w:after="120"/>
        <w:rPr>
          <w:rFonts w:ascii="Cambria" w:hAnsi="Cambria"/>
        </w:rPr>
      </w:pPr>
      <w:r>
        <w:rPr>
          <w:rFonts w:ascii="Cambria" w:hAnsi="Cambria"/>
        </w:rPr>
        <w:br w:type="page"/>
      </w:r>
      <w:r w:rsidR="002F6382" w:rsidRPr="00011D64">
        <w:rPr>
          <w:rFonts w:ascii="Cambria" w:hAnsi="Cambria"/>
        </w:rPr>
        <w:lastRenderedPageBreak/>
        <w:t>The National Quality Forum (NQF, 2005) recommends using a script like the following in an informed consent encounter.</w:t>
      </w:r>
    </w:p>
    <w:p w:rsidR="004B0F24" w:rsidRPr="00011D64" w:rsidRDefault="004B0F24" w:rsidP="002F6382">
      <w:pPr>
        <w:spacing w:after="120"/>
        <w:ind w:left="720"/>
        <w:rPr>
          <w:rFonts w:ascii="Cambria" w:hAnsi="Cambria"/>
          <w:i/>
        </w:rPr>
      </w:pPr>
      <w:r w:rsidRPr="00011D64">
        <w:rPr>
          <w:rFonts w:ascii="Cambria" w:hAnsi="Cambria"/>
          <w:i/>
        </w:rPr>
        <w:t>“For patient safety, could you please tell us in your own words what are you here for today?”</w:t>
      </w:r>
    </w:p>
    <w:p w:rsidR="004B0F24" w:rsidRPr="00011D64" w:rsidRDefault="004B0F24" w:rsidP="002F6382">
      <w:pPr>
        <w:spacing w:after="120"/>
        <w:ind w:left="720"/>
        <w:rPr>
          <w:rFonts w:ascii="Cambria" w:hAnsi="Cambria"/>
          <w:i/>
        </w:rPr>
      </w:pPr>
      <w:r w:rsidRPr="00011D64">
        <w:rPr>
          <w:rFonts w:ascii="Cambria" w:hAnsi="Cambria"/>
          <w:i/>
        </w:rPr>
        <w:t>“I know I’ve just given you lots of information. For me to know if I did my job properly, could you please repeat back to me the information you just received, mentioning what, why, where, when, who and how the procedure will be done?”</w:t>
      </w:r>
    </w:p>
    <w:p w:rsidR="00923CB6" w:rsidRPr="00011D64" w:rsidRDefault="002F6382" w:rsidP="004B0F24">
      <w:pPr>
        <w:spacing w:after="120"/>
        <w:rPr>
          <w:rFonts w:ascii="Cambria" w:hAnsi="Cambria"/>
        </w:rPr>
      </w:pPr>
      <w:r w:rsidRPr="00011D64">
        <w:rPr>
          <w:rFonts w:ascii="Cambria" w:hAnsi="Cambria"/>
        </w:rPr>
        <w:t xml:space="preserve">In 2005, the National Quality Forum pilot tested Safe Practice 10 in a variety of hospital settings, and published the results in the report “Improving patient safety through informed consent for patients with limited health literacy.” </w:t>
      </w:r>
    </w:p>
    <w:p w:rsidR="004B0F24" w:rsidRPr="00011D64" w:rsidRDefault="004B0F24" w:rsidP="004B0F24">
      <w:pPr>
        <w:spacing w:after="120"/>
        <w:rPr>
          <w:rFonts w:ascii="Cambria" w:hAnsi="Cambria"/>
        </w:rPr>
      </w:pPr>
      <w:r w:rsidRPr="00011D64">
        <w:rPr>
          <w:rFonts w:ascii="Cambria" w:hAnsi="Cambria"/>
        </w:rPr>
        <w:t>Key recommendations to ensuring informed consent</w:t>
      </w:r>
      <w:r w:rsidR="00923CB6" w:rsidRPr="00011D64">
        <w:rPr>
          <w:rFonts w:ascii="Cambria" w:hAnsi="Cambria"/>
        </w:rPr>
        <w:t xml:space="preserve"> stemming from this study include</w:t>
      </w:r>
      <w:r w:rsidRPr="00011D64">
        <w:rPr>
          <w:rFonts w:ascii="Cambria" w:hAnsi="Cambria"/>
        </w:rPr>
        <w:t>:</w:t>
      </w:r>
    </w:p>
    <w:p w:rsidR="004B0F24" w:rsidRPr="00011D64" w:rsidRDefault="00923CB6" w:rsidP="004B0F24">
      <w:pPr>
        <w:pStyle w:val="ListParagraph"/>
        <w:numPr>
          <w:ilvl w:val="0"/>
          <w:numId w:val="4"/>
        </w:numPr>
        <w:spacing w:after="120"/>
        <w:rPr>
          <w:rFonts w:ascii="Cambria" w:hAnsi="Cambria"/>
        </w:rPr>
      </w:pPr>
      <w:r w:rsidRPr="00011D64">
        <w:rPr>
          <w:rFonts w:ascii="Cambria" w:hAnsi="Cambria"/>
        </w:rPr>
        <w:t>Achieving</w:t>
      </w:r>
      <w:r w:rsidR="004B0F24" w:rsidRPr="00011D64">
        <w:rPr>
          <w:rFonts w:ascii="Cambria" w:hAnsi="Cambria"/>
        </w:rPr>
        <w:t xml:space="preserve"> greater buy-in of informed consent through leadership support and improvem</w:t>
      </w:r>
      <w:r w:rsidRPr="00011D64">
        <w:rPr>
          <w:rFonts w:ascii="Cambria" w:hAnsi="Cambria"/>
        </w:rPr>
        <w:t>ent of organizational awareness.</w:t>
      </w:r>
    </w:p>
    <w:p w:rsidR="004B0F24" w:rsidRPr="00011D64" w:rsidRDefault="00923CB6" w:rsidP="004B0F24">
      <w:pPr>
        <w:pStyle w:val="ListParagraph"/>
        <w:numPr>
          <w:ilvl w:val="0"/>
          <w:numId w:val="4"/>
        </w:numPr>
        <w:spacing w:after="120"/>
        <w:rPr>
          <w:rFonts w:ascii="Cambria" w:hAnsi="Cambria"/>
        </w:rPr>
      </w:pPr>
      <w:r w:rsidRPr="00011D64">
        <w:rPr>
          <w:rFonts w:ascii="Cambria" w:hAnsi="Cambria"/>
        </w:rPr>
        <w:t>Educating</w:t>
      </w:r>
      <w:r w:rsidR="004B0F24" w:rsidRPr="00011D64">
        <w:rPr>
          <w:rFonts w:ascii="Cambria" w:hAnsi="Cambria"/>
        </w:rPr>
        <w:t xml:space="preserve"> health care practitioners of the extent of </w:t>
      </w:r>
      <w:r w:rsidRPr="00011D64">
        <w:rPr>
          <w:rFonts w:ascii="Cambria" w:hAnsi="Cambria"/>
        </w:rPr>
        <w:t>low health literacy and promoting</w:t>
      </w:r>
      <w:r w:rsidR="004B0F24" w:rsidRPr="00011D64">
        <w:rPr>
          <w:rFonts w:ascii="Cambria" w:hAnsi="Cambria"/>
        </w:rPr>
        <w:t xml:space="preserve"> practices such as “teach back” for all patients</w:t>
      </w:r>
      <w:r w:rsidRPr="00011D64">
        <w:rPr>
          <w:rFonts w:ascii="Cambria" w:hAnsi="Cambria"/>
        </w:rPr>
        <w:t>.</w:t>
      </w:r>
    </w:p>
    <w:p w:rsidR="004B0F24" w:rsidRPr="00011D64" w:rsidRDefault="004B0F24" w:rsidP="004B0F24">
      <w:pPr>
        <w:pStyle w:val="ListParagraph"/>
        <w:numPr>
          <w:ilvl w:val="0"/>
          <w:numId w:val="4"/>
        </w:numPr>
        <w:spacing w:after="120"/>
        <w:rPr>
          <w:rFonts w:ascii="Cambria" w:hAnsi="Cambria"/>
        </w:rPr>
      </w:pPr>
      <w:r w:rsidRPr="00011D64">
        <w:rPr>
          <w:rFonts w:ascii="Cambria" w:hAnsi="Cambria"/>
        </w:rPr>
        <w:t>Develop</w:t>
      </w:r>
      <w:r w:rsidR="00923CB6" w:rsidRPr="00011D64">
        <w:rPr>
          <w:rFonts w:ascii="Cambria" w:hAnsi="Cambria"/>
        </w:rPr>
        <w:t>ing</w:t>
      </w:r>
      <w:r w:rsidRPr="00011D64">
        <w:rPr>
          <w:rFonts w:ascii="Cambria" w:hAnsi="Cambria"/>
        </w:rPr>
        <w:t xml:space="preserve"> a standardized approach to educati</w:t>
      </w:r>
      <w:r w:rsidR="00906F6B">
        <w:rPr>
          <w:rFonts w:ascii="Cambria" w:hAnsi="Cambria"/>
        </w:rPr>
        <w:t>ng providers about the informed-</w:t>
      </w:r>
      <w:r w:rsidRPr="00011D64">
        <w:rPr>
          <w:rFonts w:ascii="Cambria" w:hAnsi="Cambria"/>
        </w:rPr>
        <w:t>consent process</w:t>
      </w:r>
      <w:r w:rsidR="00923CB6" w:rsidRPr="00011D64">
        <w:rPr>
          <w:rFonts w:ascii="Cambria" w:hAnsi="Cambria"/>
        </w:rPr>
        <w:t>.</w:t>
      </w:r>
    </w:p>
    <w:p w:rsidR="004B0F24" w:rsidRPr="00011D64" w:rsidRDefault="00923CB6" w:rsidP="004B0F24">
      <w:pPr>
        <w:pStyle w:val="ListParagraph"/>
        <w:numPr>
          <w:ilvl w:val="0"/>
          <w:numId w:val="4"/>
        </w:numPr>
        <w:spacing w:after="120"/>
        <w:rPr>
          <w:rFonts w:ascii="Cambria" w:hAnsi="Cambria"/>
        </w:rPr>
      </w:pPr>
      <w:r w:rsidRPr="00011D64">
        <w:rPr>
          <w:rFonts w:ascii="Cambria" w:hAnsi="Cambria"/>
        </w:rPr>
        <w:t>Improving</w:t>
      </w:r>
      <w:r w:rsidR="004B0F24" w:rsidRPr="00011D64">
        <w:rPr>
          <w:rFonts w:ascii="Cambria" w:hAnsi="Cambria"/>
        </w:rPr>
        <w:t xml:space="preserve"> consent forms to be more reader-friendly, simple and useful</w:t>
      </w:r>
      <w:r w:rsidRPr="00011D64">
        <w:rPr>
          <w:rFonts w:ascii="Cambria" w:hAnsi="Cambria"/>
        </w:rPr>
        <w:t>.</w:t>
      </w:r>
    </w:p>
    <w:p w:rsidR="004B0F24" w:rsidRPr="00011D64" w:rsidRDefault="00923CB6" w:rsidP="004B0F24">
      <w:pPr>
        <w:pStyle w:val="ListParagraph"/>
        <w:numPr>
          <w:ilvl w:val="0"/>
          <w:numId w:val="4"/>
        </w:numPr>
        <w:spacing w:after="120"/>
        <w:rPr>
          <w:rFonts w:ascii="Cambria" w:hAnsi="Cambria"/>
        </w:rPr>
      </w:pPr>
      <w:r w:rsidRPr="00011D64">
        <w:rPr>
          <w:rFonts w:ascii="Cambria" w:hAnsi="Cambria"/>
        </w:rPr>
        <w:t>Having</w:t>
      </w:r>
      <w:r w:rsidR="004B0F24" w:rsidRPr="00011D64">
        <w:rPr>
          <w:rFonts w:ascii="Cambria" w:hAnsi="Cambria"/>
        </w:rPr>
        <w:t xml:space="preserve"> verbal discussions of forms with patients</w:t>
      </w:r>
      <w:r w:rsidRPr="00011D64">
        <w:rPr>
          <w:rFonts w:ascii="Cambria" w:hAnsi="Cambria"/>
        </w:rPr>
        <w:t>.</w:t>
      </w:r>
    </w:p>
    <w:p w:rsidR="004B0F24" w:rsidRPr="00011D64" w:rsidRDefault="00923CB6" w:rsidP="004B0F24">
      <w:pPr>
        <w:pStyle w:val="ListParagraph"/>
        <w:numPr>
          <w:ilvl w:val="0"/>
          <w:numId w:val="4"/>
        </w:numPr>
        <w:spacing w:after="120"/>
        <w:rPr>
          <w:rFonts w:ascii="Cambria" w:hAnsi="Cambria"/>
        </w:rPr>
      </w:pPr>
      <w:r w:rsidRPr="00011D64">
        <w:rPr>
          <w:rFonts w:ascii="Cambria" w:hAnsi="Cambria"/>
        </w:rPr>
        <w:t>Involving</w:t>
      </w:r>
      <w:r w:rsidR="00906F6B">
        <w:rPr>
          <w:rFonts w:ascii="Cambria" w:hAnsi="Cambria"/>
        </w:rPr>
        <w:t xml:space="preserve"> interpreters in the informed-</w:t>
      </w:r>
      <w:r w:rsidR="004B0F24" w:rsidRPr="00011D64">
        <w:rPr>
          <w:rFonts w:ascii="Cambria" w:hAnsi="Cambria"/>
        </w:rPr>
        <w:t>consent process</w:t>
      </w:r>
      <w:r w:rsidRPr="00011D64">
        <w:rPr>
          <w:rFonts w:ascii="Cambria" w:hAnsi="Cambria"/>
        </w:rPr>
        <w:t>.</w:t>
      </w:r>
    </w:p>
    <w:p w:rsidR="004B0F24" w:rsidRPr="00011D64" w:rsidRDefault="004B0F24" w:rsidP="004B0F24">
      <w:pPr>
        <w:pStyle w:val="ListParagraph"/>
        <w:numPr>
          <w:ilvl w:val="0"/>
          <w:numId w:val="4"/>
        </w:numPr>
        <w:spacing w:after="120"/>
        <w:rPr>
          <w:rFonts w:ascii="Cambria" w:hAnsi="Cambria"/>
        </w:rPr>
      </w:pPr>
      <w:r w:rsidRPr="00011D64">
        <w:rPr>
          <w:rFonts w:ascii="Cambria" w:hAnsi="Cambria"/>
        </w:rPr>
        <w:t>Broaden</w:t>
      </w:r>
      <w:r w:rsidR="00923CB6" w:rsidRPr="00011D64">
        <w:rPr>
          <w:rFonts w:ascii="Cambria" w:hAnsi="Cambria"/>
        </w:rPr>
        <w:t>ing</w:t>
      </w:r>
      <w:r w:rsidRPr="00011D64">
        <w:rPr>
          <w:rFonts w:ascii="Cambria" w:hAnsi="Cambria"/>
        </w:rPr>
        <w:t xml:space="preserve"> patient und</w:t>
      </w:r>
      <w:r w:rsidR="00906F6B">
        <w:rPr>
          <w:rFonts w:ascii="Cambria" w:hAnsi="Cambria"/>
        </w:rPr>
        <w:t>erstanding through the informed-</w:t>
      </w:r>
      <w:r w:rsidRPr="00011D64">
        <w:rPr>
          <w:rFonts w:ascii="Cambria" w:hAnsi="Cambria"/>
        </w:rPr>
        <w:t>consent process (go</w:t>
      </w:r>
      <w:r w:rsidR="00923CB6" w:rsidRPr="00011D64">
        <w:rPr>
          <w:rFonts w:ascii="Cambria" w:hAnsi="Cambria"/>
        </w:rPr>
        <w:t>ing</w:t>
      </w:r>
      <w:r w:rsidRPr="00011D64">
        <w:rPr>
          <w:rFonts w:ascii="Cambria" w:hAnsi="Cambria"/>
        </w:rPr>
        <w:t xml:space="preserve"> beyond simple verification)</w:t>
      </w:r>
      <w:r w:rsidR="00923CB6" w:rsidRPr="00011D64">
        <w:rPr>
          <w:rFonts w:ascii="Cambria" w:hAnsi="Cambria"/>
        </w:rPr>
        <w:t>.</w:t>
      </w:r>
    </w:p>
    <w:p w:rsidR="004B0F24" w:rsidRPr="00011D64" w:rsidRDefault="004B0F24" w:rsidP="004B0F24">
      <w:pPr>
        <w:pStyle w:val="ListParagraph"/>
        <w:numPr>
          <w:ilvl w:val="0"/>
          <w:numId w:val="4"/>
        </w:numPr>
        <w:spacing w:after="120"/>
        <w:rPr>
          <w:rFonts w:ascii="Cambria" w:hAnsi="Cambria"/>
        </w:rPr>
      </w:pPr>
      <w:r w:rsidRPr="00011D64">
        <w:rPr>
          <w:rFonts w:ascii="Cambria" w:hAnsi="Cambria"/>
        </w:rPr>
        <w:t>Clarify</w:t>
      </w:r>
      <w:r w:rsidR="00923CB6" w:rsidRPr="00011D64">
        <w:rPr>
          <w:rFonts w:ascii="Cambria" w:hAnsi="Cambria"/>
        </w:rPr>
        <w:t>ing</w:t>
      </w:r>
      <w:r w:rsidRPr="00011D64">
        <w:rPr>
          <w:rFonts w:ascii="Cambria" w:hAnsi="Cambria"/>
        </w:rPr>
        <w:t xml:space="preserve"> the role of individual</w:t>
      </w:r>
      <w:r w:rsidR="00906F6B">
        <w:rPr>
          <w:rFonts w:ascii="Cambria" w:hAnsi="Cambria"/>
        </w:rPr>
        <w:t>s participating in the informed-</w:t>
      </w:r>
      <w:r w:rsidRPr="00011D64">
        <w:rPr>
          <w:rFonts w:ascii="Cambria" w:hAnsi="Cambria"/>
        </w:rPr>
        <w:t>consent process</w:t>
      </w:r>
      <w:r w:rsidR="00923CB6" w:rsidRPr="00011D64">
        <w:rPr>
          <w:rFonts w:ascii="Cambria" w:hAnsi="Cambria"/>
        </w:rPr>
        <w:t>.</w:t>
      </w:r>
      <w:r w:rsidRPr="00011D64">
        <w:rPr>
          <w:rFonts w:ascii="Cambria" w:hAnsi="Cambria"/>
        </w:rPr>
        <w:t xml:space="preserve"> (</w:t>
      </w:r>
      <w:r w:rsidR="00923CB6" w:rsidRPr="00011D64">
        <w:rPr>
          <w:rFonts w:ascii="Cambria" w:hAnsi="Cambria"/>
        </w:rPr>
        <w:t xml:space="preserve">According to NQF, </w:t>
      </w:r>
      <w:r w:rsidRPr="00011D64">
        <w:rPr>
          <w:rFonts w:ascii="Cambria" w:hAnsi="Cambria"/>
        </w:rPr>
        <w:t>informed consent is ultimately responsibility of the physician, though others play a role)</w:t>
      </w:r>
      <w:r w:rsidR="00923CB6" w:rsidRPr="00011D64">
        <w:rPr>
          <w:rFonts w:ascii="Cambria" w:hAnsi="Cambria"/>
        </w:rPr>
        <w:t>.</w:t>
      </w:r>
    </w:p>
    <w:p w:rsidR="006835C8" w:rsidRPr="00906F6B" w:rsidRDefault="004B0F24" w:rsidP="00923CB6">
      <w:pPr>
        <w:pStyle w:val="ListParagraph"/>
        <w:numPr>
          <w:ilvl w:val="0"/>
          <w:numId w:val="4"/>
        </w:numPr>
        <w:spacing w:after="120"/>
        <w:rPr>
          <w:rFonts w:ascii="Cambria" w:hAnsi="Cambria"/>
        </w:rPr>
      </w:pPr>
      <w:r w:rsidRPr="00011D64">
        <w:rPr>
          <w:rFonts w:ascii="Cambria" w:hAnsi="Cambria"/>
        </w:rPr>
        <w:t>Assess</w:t>
      </w:r>
      <w:r w:rsidR="00923CB6" w:rsidRPr="00011D64">
        <w:rPr>
          <w:rFonts w:ascii="Cambria" w:hAnsi="Cambria"/>
        </w:rPr>
        <w:t>ing</w:t>
      </w:r>
      <w:r w:rsidRPr="00011D64">
        <w:rPr>
          <w:rFonts w:ascii="Cambria" w:hAnsi="Cambria"/>
        </w:rPr>
        <w:t xml:space="preserve"> the level of patient understanding through performance measures</w:t>
      </w:r>
      <w:r w:rsidR="00923CB6" w:rsidRPr="00011D64">
        <w:rPr>
          <w:rFonts w:ascii="Cambria" w:hAnsi="Cambria"/>
        </w:rPr>
        <w:t>.</w:t>
      </w:r>
      <w:r w:rsidR="00063835">
        <w:rPr>
          <w:rStyle w:val="EndnoteReference"/>
          <w:rFonts w:ascii="Cambria" w:hAnsi="Cambria"/>
        </w:rPr>
        <w:endnoteReference w:id="46"/>
      </w:r>
    </w:p>
    <w:p w:rsidR="007425E7" w:rsidRPr="00011D64" w:rsidRDefault="004B0F24" w:rsidP="009F2869">
      <w:pPr>
        <w:spacing w:after="120"/>
        <w:rPr>
          <w:rFonts w:ascii="Cambria" w:hAnsi="Cambria"/>
          <w:b/>
          <w:i/>
        </w:rPr>
      </w:pPr>
      <w:r w:rsidRPr="00011D64">
        <w:rPr>
          <w:rFonts w:ascii="Cambria" w:hAnsi="Cambria"/>
          <w:b/>
          <w:i/>
        </w:rPr>
        <w:t>Empower patients with low literacy levels through adequate patient education</w:t>
      </w:r>
      <w:r w:rsidR="003D79D2" w:rsidRPr="00011D64">
        <w:rPr>
          <w:rFonts w:ascii="Cambria" w:hAnsi="Cambria"/>
          <w:b/>
          <w:i/>
        </w:rPr>
        <w:t xml:space="preserve"> materials</w:t>
      </w:r>
    </w:p>
    <w:p w:rsidR="00246073" w:rsidRPr="00011D64" w:rsidRDefault="003D79D2" w:rsidP="00246073">
      <w:pPr>
        <w:spacing w:after="120"/>
        <w:rPr>
          <w:rFonts w:ascii="Cambria" w:hAnsi="Cambria"/>
        </w:rPr>
      </w:pPr>
      <w:r w:rsidRPr="00011D64">
        <w:rPr>
          <w:rFonts w:ascii="Cambria" w:hAnsi="Cambria"/>
          <w:i/>
        </w:rPr>
        <w:t xml:space="preserve">Simplify written materials </w:t>
      </w:r>
    </w:p>
    <w:p w:rsidR="00923CB6" w:rsidRPr="00011D64" w:rsidRDefault="00246073" w:rsidP="00246073">
      <w:pPr>
        <w:spacing w:after="120"/>
        <w:rPr>
          <w:rFonts w:ascii="Cambria" w:hAnsi="Cambria"/>
        </w:rPr>
      </w:pPr>
      <w:r w:rsidRPr="00011D64">
        <w:rPr>
          <w:rFonts w:ascii="Cambria" w:hAnsi="Cambria"/>
        </w:rPr>
        <w:t xml:space="preserve">To meet the needs of low literacy individuals, written materials </w:t>
      </w:r>
      <w:r w:rsidR="004B0F24" w:rsidRPr="00011D64">
        <w:rPr>
          <w:rFonts w:ascii="Cambria" w:hAnsi="Cambria"/>
        </w:rPr>
        <w:t>must</w:t>
      </w:r>
      <w:r w:rsidRPr="00011D64">
        <w:rPr>
          <w:rFonts w:ascii="Cambria" w:hAnsi="Cambria"/>
        </w:rPr>
        <w:t xml:space="preserve"> be easy to read and culturally and linguistically appropriate. </w:t>
      </w:r>
    </w:p>
    <w:p w:rsidR="00246073" w:rsidRPr="00011D64" w:rsidRDefault="00063835" w:rsidP="00246073">
      <w:pPr>
        <w:spacing w:after="120"/>
        <w:rPr>
          <w:rFonts w:ascii="Cambria" w:hAnsi="Cambria"/>
        </w:rPr>
      </w:pPr>
      <w:r>
        <w:rPr>
          <w:rFonts w:ascii="Cambria" w:hAnsi="Cambria"/>
        </w:rPr>
        <w:t>T</w:t>
      </w:r>
      <w:r w:rsidR="00923CB6" w:rsidRPr="00011D64">
        <w:rPr>
          <w:rFonts w:ascii="Cambria" w:hAnsi="Cambria"/>
        </w:rPr>
        <w:t>he reading level and clarity of all written materials, including prescription labels, informed consent forms, brochures and posters should be considered</w:t>
      </w:r>
      <w:r>
        <w:rPr>
          <w:rFonts w:ascii="Cambria" w:hAnsi="Cambria"/>
        </w:rPr>
        <w:t xml:space="preserve"> (</w:t>
      </w:r>
      <w:proofErr w:type="spellStart"/>
      <w:r>
        <w:rPr>
          <w:rFonts w:ascii="Cambria" w:hAnsi="Cambria"/>
        </w:rPr>
        <w:t>Andrulis</w:t>
      </w:r>
      <w:proofErr w:type="spellEnd"/>
      <w:r>
        <w:rPr>
          <w:rFonts w:ascii="Cambria" w:hAnsi="Cambria"/>
        </w:rPr>
        <w:t>, 2007)</w:t>
      </w:r>
      <w:r w:rsidR="00923CB6" w:rsidRPr="00011D64">
        <w:rPr>
          <w:rFonts w:ascii="Cambria" w:hAnsi="Cambria"/>
        </w:rPr>
        <w:t>.</w:t>
      </w:r>
    </w:p>
    <w:p w:rsidR="007D4305" w:rsidRPr="00011D64" w:rsidRDefault="00923CB6" w:rsidP="00246073">
      <w:pPr>
        <w:spacing w:after="120"/>
        <w:rPr>
          <w:rFonts w:ascii="Cambria" w:hAnsi="Cambria"/>
        </w:rPr>
      </w:pPr>
      <w:r w:rsidRPr="00011D64">
        <w:rPr>
          <w:rFonts w:ascii="Cambria" w:hAnsi="Cambria"/>
        </w:rPr>
        <w:t xml:space="preserve">Recommended reading levels </w:t>
      </w:r>
      <w:r w:rsidR="007D4305" w:rsidRPr="00011D64">
        <w:rPr>
          <w:rFonts w:ascii="Cambria" w:hAnsi="Cambria"/>
        </w:rPr>
        <w:t>varied among materials included</w:t>
      </w:r>
      <w:r w:rsidR="00063835">
        <w:rPr>
          <w:rFonts w:ascii="Cambria" w:hAnsi="Cambria"/>
        </w:rPr>
        <w:t xml:space="preserve"> in this review.</w:t>
      </w:r>
      <w:r w:rsidR="007D4305" w:rsidRPr="00011D64">
        <w:rPr>
          <w:rFonts w:ascii="Cambria" w:hAnsi="Cambria"/>
        </w:rPr>
        <w:t xml:space="preserve"> </w:t>
      </w:r>
    </w:p>
    <w:p w:rsidR="007D4305" w:rsidRPr="00011D64" w:rsidRDefault="007D4305" w:rsidP="00246073">
      <w:pPr>
        <w:spacing w:after="120"/>
        <w:rPr>
          <w:rFonts w:ascii="Cambria" w:hAnsi="Cambria"/>
        </w:rPr>
      </w:pPr>
      <w:r w:rsidRPr="00011D64">
        <w:rPr>
          <w:rFonts w:ascii="Cambria" w:hAnsi="Cambria"/>
        </w:rPr>
        <w:t>The Plain Writing Act of 2010 has issued guidelines for developing materials that allow users to “find what they need; understand what they find; and use what they find to meet their needs.”</w:t>
      </w:r>
      <w:r w:rsidRPr="00011D64">
        <w:rPr>
          <w:rStyle w:val="EndnoteReference"/>
          <w:rFonts w:ascii="Cambria" w:hAnsi="Cambria"/>
        </w:rPr>
        <w:endnoteReference w:id="47"/>
      </w:r>
      <w:r w:rsidRPr="00011D64">
        <w:rPr>
          <w:rFonts w:ascii="Cambria" w:hAnsi="Cambria"/>
        </w:rPr>
        <w:t xml:space="preserve"> Plain Writing Act </w:t>
      </w:r>
      <w:r w:rsidR="003D79D2" w:rsidRPr="00011D64">
        <w:rPr>
          <w:rFonts w:ascii="Cambria" w:hAnsi="Cambria"/>
        </w:rPr>
        <w:t>Guidelines do not</w:t>
      </w:r>
      <w:r w:rsidR="00A05F89" w:rsidRPr="00011D64">
        <w:rPr>
          <w:rFonts w:ascii="Cambria" w:hAnsi="Cambria"/>
        </w:rPr>
        <w:t xml:space="preserve"> specify a reading </w:t>
      </w:r>
      <w:r w:rsidR="00A05F89" w:rsidRPr="00011D64">
        <w:rPr>
          <w:rFonts w:ascii="Cambria" w:hAnsi="Cambria"/>
        </w:rPr>
        <w:lastRenderedPageBreak/>
        <w:t xml:space="preserve">level, </w:t>
      </w:r>
      <w:r w:rsidR="003D79D2" w:rsidRPr="00011D64">
        <w:rPr>
          <w:rFonts w:ascii="Cambria" w:hAnsi="Cambria"/>
        </w:rPr>
        <w:t>but recommend</w:t>
      </w:r>
      <w:r w:rsidR="00A05F89" w:rsidRPr="00011D64">
        <w:rPr>
          <w:rFonts w:ascii="Cambria" w:hAnsi="Cambria"/>
        </w:rPr>
        <w:t xml:space="preserve"> “writing for your audience,” or considering the reading level of the end user.</w:t>
      </w:r>
    </w:p>
    <w:p w:rsidR="00246073" w:rsidRPr="00011D64" w:rsidRDefault="00246073" w:rsidP="00246073">
      <w:pPr>
        <w:spacing w:after="120"/>
        <w:rPr>
          <w:rFonts w:ascii="Cambria" w:hAnsi="Cambria"/>
        </w:rPr>
      </w:pPr>
      <w:r w:rsidRPr="00011D64">
        <w:rPr>
          <w:rFonts w:ascii="Cambria" w:hAnsi="Cambria"/>
        </w:rPr>
        <w:t xml:space="preserve">The National Work Group on Literacy and Health recommends simplifying </w:t>
      </w:r>
      <w:r w:rsidR="007D4305" w:rsidRPr="00011D64">
        <w:rPr>
          <w:rFonts w:ascii="Cambria" w:hAnsi="Cambria"/>
        </w:rPr>
        <w:t xml:space="preserve">written materials, such as informed </w:t>
      </w:r>
      <w:r w:rsidRPr="00011D64">
        <w:rPr>
          <w:rFonts w:ascii="Cambria" w:hAnsi="Cambria"/>
        </w:rPr>
        <w:t>consent forms</w:t>
      </w:r>
      <w:r w:rsidR="003D79D2" w:rsidRPr="00011D64">
        <w:rPr>
          <w:rFonts w:ascii="Cambria" w:hAnsi="Cambria"/>
        </w:rPr>
        <w:t>,</w:t>
      </w:r>
      <w:r w:rsidRPr="00011D64">
        <w:rPr>
          <w:rFonts w:ascii="Cambria" w:hAnsi="Cambria"/>
        </w:rPr>
        <w:t xml:space="preserve"> to the fifth grade reading level or lower.</w:t>
      </w:r>
      <w:r w:rsidRPr="00011D64">
        <w:rPr>
          <w:rStyle w:val="EndnoteReference"/>
          <w:rFonts w:ascii="Cambria" w:hAnsi="Cambria"/>
        </w:rPr>
        <w:endnoteReference w:id="48"/>
      </w:r>
    </w:p>
    <w:p w:rsidR="00246073" w:rsidRPr="00011D64" w:rsidRDefault="00906F6B" w:rsidP="00246073">
      <w:pPr>
        <w:spacing w:after="120"/>
        <w:rPr>
          <w:rFonts w:ascii="Cambria" w:hAnsi="Cambria"/>
        </w:rPr>
      </w:pPr>
      <w:r>
        <w:rPr>
          <w:rFonts w:ascii="Cambria" w:hAnsi="Cambria"/>
        </w:rPr>
        <w:t>The r</w:t>
      </w:r>
      <w:r w:rsidR="004B0F24" w:rsidRPr="00011D64">
        <w:rPr>
          <w:rFonts w:ascii="Cambria" w:hAnsi="Cambria"/>
        </w:rPr>
        <w:t>eading lev</w:t>
      </w:r>
      <w:r>
        <w:rPr>
          <w:rFonts w:ascii="Cambria" w:hAnsi="Cambria"/>
        </w:rPr>
        <w:t>el</w:t>
      </w:r>
      <w:r w:rsidR="004B0F24" w:rsidRPr="00011D64">
        <w:rPr>
          <w:rFonts w:ascii="Cambria" w:hAnsi="Cambria"/>
        </w:rPr>
        <w:t xml:space="preserve"> of translated materials should also be considered. </w:t>
      </w:r>
      <w:proofErr w:type="spellStart"/>
      <w:r w:rsidR="00246073" w:rsidRPr="00011D64">
        <w:rPr>
          <w:rFonts w:ascii="Cambria" w:hAnsi="Cambria"/>
        </w:rPr>
        <w:t>Andrulis</w:t>
      </w:r>
      <w:proofErr w:type="spellEnd"/>
      <w:r w:rsidR="00246073" w:rsidRPr="00011D64">
        <w:rPr>
          <w:rFonts w:ascii="Cambria" w:hAnsi="Cambria"/>
        </w:rPr>
        <w:t xml:space="preserve"> </w:t>
      </w:r>
      <w:r w:rsidR="003D79D2" w:rsidRPr="00011D64">
        <w:rPr>
          <w:rFonts w:ascii="Cambria" w:hAnsi="Cambria"/>
        </w:rPr>
        <w:t xml:space="preserve">et al (2007) </w:t>
      </w:r>
      <w:r>
        <w:rPr>
          <w:rFonts w:ascii="Cambria" w:hAnsi="Cambria"/>
        </w:rPr>
        <w:t>recommends</w:t>
      </w:r>
      <w:r w:rsidR="00246073" w:rsidRPr="00011D64">
        <w:rPr>
          <w:rFonts w:ascii="Cambria" w:hAnsi="Cambria"/>
        </w:rPr>
        <w:t xml:space="preserve"> testing translated materials for cultural appropriateness and literacy and going beyond simple</w:t>
      </w:r>
      <w:r w:rsidR="003D79D2" w:rsidRPr="00011D64">
        <w:rPr>
          <w:rFonts w:ascii="Cambria" w:hAnsi="Cambria"/>
        </w:rPr>
        <w:t xml:space="preserve"> translations to </w:t>
      </w:r>
      <w:proofErr w:type="spellStart"/>
      <w:r w:rsidR="003D79D2" w:rsidRPr="00011D64">
        <w:rPr>
          <w:rFonts w:ascii="Cambria" w:hAnsi="Cambria"/>
        </w:rPr>
        <w:t>transcreation</w:t>
      </w:r>
      <w:proofErr w:type="spellEnd"/>
      <w:r w:rsidR="003D79D2" w:rsidRPr="00011D64">
        <w:rPr>
          <w:rFonts w:ascii="Cambria" w:hAnsi="Cambria"/>
        </w:rPr>
        <w:t xml:space="preserve">, the process of </w:t>
      </w:r>
      <w:r w:rsidR="00246073" w:rsidRPr="00011D64">
        <w:rPr>
          <w:rFonts w:ascii="Cambria" w:hAnsi="Cambria"/>
        </w:rPr>
        <w:t>creating materials in tandem with their English counterparts.</w:t>
      </w:r>
    </w:p>
    <w:p w:rsidR="008F1604" w:rsidRPr="00011D64" w:rsidRDefault="003D79D2" w:rsidP="007425E7">
      <w:pPr>
        <w:spacing w:after="120"/>
        <w:rPr>
          <w:rFonts w:ascii="Cambria" w:hAnsi="Cambria"/>
        </w:rPr>
      </w:pPr>
      <w:r w:rsidRPr="00011D64">
        <w:rPr>
          <w:rFonts w:ascii="Cambria" w:hAnsi="Cambria"/>
        </w:rPr>
        <w:t>Efforts to simplify written materials require b</w:t>
      </w:r>
      <w:r w:rsidR="00906F6B">
        <w:rPr>
          <w:rFonts w:ascii="Cambria" w:hAnsi="Cambria"/>
        </w:rPr>
        <w:t>road-</w:t>
      </w:r>
      <w:r w:rsidR="00246073" w:rsidRPr="00011D64">
        <w:rPr>
          <w:rFonts w:ascii="Cambria" w:hAnsi="Cambria"/>
        </w:rPr>
        <w:t>level support</w:t>
      </w:r>
      <w:r w:rsidR="00864DC0">
        <w:rPr>
          <w:rFonts w:ascii="Cambria" w:hAnsi="Cambria"/>
        </w:rPr>
        <w:t xml:space="preserve"> </w:t>
      </w:r>
      <w:r w:rsidR="00246073" w:rsidRPr="00011D64">
        <w:rPr>
          <w:rFonts w:ascii="Cambria" w:hAnsi="Cambria"/>
        </w:rPr>
        <w:t>from the health care system, including pharmacists, health plans and departments of health, and accreditation organizations to ensure</w:t>
      </w:r>
      <w:r w:rsidRPr="00011D64">
        <w:rPr>
          <w:rFonts w:ascii="Cambria" w:hAnsi="Cambria"/>
        </w:rPr>
        <w:t xml:space="preserve"> that everything from forms to</w:t>
      </w:r>
      <w:r w:rsidR="00246073" w:rsidRPr="00011D64">
        <w:rPr>
          <w:rFonts w:ascii="Cambria" w:hAnsi="Cambria"/>
        </w:rPr>
        <w:t xml:space="preserve"> prescription labels are clear, in culturally acceptable terms and translated when necessary.</w:t>
      </w:r>
    </w:p>
    <w:p w:rsidR="007425E7" w:rsidRPr="00011D64" w:rsidRDefault="00864DC0" w:rsidP="007425E7">
      <w:pPr>
        <w:spacing w:after="120"/>
        <w:rPr>
          <w:rFonts w:ascii="Cambria" w:hAnsi="Cambria"/>
        </w:rPr>
      </w:pPr>
      <w:r>
        <w:rPr>
          <w:rFonts w:ascii="Cambria" w:hAnsi="Cambria"/>
        </w:rPr>
        <w:t>I</w:t>
      </w:r>
      <w:r w:rsidR="008F1604" w:rsidRPr="00011D64">
        <w:rPr>
          <w:rFonts w:ascii="Cambria" w:hAnsi="Cambria"/>
        </w:rPr>
        <w:t xml:space="preserve">nvolving the community, </w:t>
      </w:r>
      <w:r>
        <w:rPr>
          <w:rFonts w:ascii="Cambria" w:hAnsi="Cambria"/>
        </w:rPr>
        <w:t>especially</w:t>
      </w:r>
      <w:r w:rsidR="008F1604" w:rsidRPr="00011D64">
        <w:rPr>
          <w:rFonts w:ascii="Cambria" w:hAnsi="Cambria"/>
        </w:rPr>
        <w:t xml:space="preserve"> adult education programs, in developing and testing</w:t>
      </w:r>
      <w:r>
        <w:rPr>
          <w:rFonts w:ascii="Cambria" w:hAnsi="Cambria"/>
        </w:rPr>
        <w:t xml:space="preserve"> written communications is also recommended (</w:t>
      </w:r>
      <w:proofErr w:type="spellStart"/>
      <w:r>
        <w:rPr>
          <w:rFonts w:ascii="Cambria" w:hAnsi="Cambria"/>
        </w:rPr>
        <w:t>Andrulis</w:t>
      </w:r>
      <w:proofErr w:type="spellEnd"/>
      <w:r>
        <w:rPr>
          <w:rFonts w:ascii="Cambria" w:hAnsi="Cambria"/>
        </w:rPr>
        <w:t>, 2007).</w:t>
      </w:r>
    </w:p>
    <w:p w:rsidR="007425E7" w:rsidRPr="00011D64" w:rsidRDefault="007425E7" w:rsidP="007425E7">
      <w:pPr>
        <w:spacing w:after="120"/>
        <w:rPr>
          <w:rFonts w:ascii="Cambria" w:hAnsi="Cambria"/>
        </w:rPr>
      </w:pPr>
      <w:r w:rsidRPr="00011D64">
        <w:rPr>
          <w:rFonts w:ascii="Cambria" w:hAnsi="Cambria"/>
          <w:i/>
        </w:rPr>
        <w:t>Use</w:t>
      </w:r>
      <w:r w:rsidR="00246073" w:rsidRPr="00011D64">
        <w:rPr>
          <w:rFonts w:ascii="Cambria" w:hAnsi="Cambria"/>
          <w:i/>
        </w:rPr>
        <w:t xml:space="preserve"> of</w:t>
      </w:r>
      <w:r w:rsidRPr="00011D64">
        <w:rPr>
          <w:rFonts w:ascii="Cambria" w:hAnsi="Cambria"/>
          <w:i/>
        </w:rPr>
        <w:t xml:space="preserve"> technology and visuals</w:t>
      </w:r>
      <w:r w:rsidR="00246073" w:rsidRPr="00011D64">
        <w:rPr>
          <w:rFonts w:ascii="Cambria" w:hAnsi="Cambria"/>
          <w:i/>
        </w:rPr>
        <w:t xml:space="preserve"> can improve patient understanding</w:t>
      </w:r>
      <w:r w:rsidR="008F1604" w:rsidRPr="00011D64">
        <w:rPr>
          <w:rFonts w:ascii="Cambria" w:hAnsi="Cambria"/>
          <w:i/>
        </w:rPr>
        <w:t>.</w:t>
      </w:r>
    </w:p>
    <w:p w:rsidR="007425E7" w:rsidRPr="00011D64" w:rsidRDefault="007425E7" w:rsidP="007425E7">
      <w:pPr>
        <w:spacing w:after="120"/>
        <w:rPr>
          <w:rFonts w:ascii="Cambria" w:hAnsi="Cambria"/>
        </w:rPr>
      </w:pPr>
      <w:r w:rsidRPr="00011D64">
        <w:rPr>
          <w:rFonts w:ascii="Cambria" w:hAnsi="Cambria"/>
        </w:rPr>
        <w:t xml:space="preserve">Audiovisual aids such as </w:t>
      </w:r>
      <w:r w:rsidR="003D79D2" w:rsidRPr="00011D64">
        <w:rPr>
          <w:rFonts w:ascii="Cambria" w:hAnsi="Cambria"/>
        </w:rPr>
        <w:t>DVDs and interactiv</w:t>
      </w:r>
      <w:r w:rsidR="008F1604" w:rsidRPr="00011D64">
        <w:rPr>
          <w:rFonts w:ascii="Cambria" w:hAnsi="Cambria"/>
        </w:rPr>
        <w:t>e multimedia are recommended to improve understanding among patients with limited literacy and limited English proficiency (LEP)</w:t>
      </w:r>
      <w:r w:rsidR="00864DC0">
        <w:rPr>
          <w:rFonts w:ascii="Cambria" w:hAnsi="Cambria"/>
        </w:rPr>
        <w:t xml:space="preserve"> (</w:t>
      </w:r>
      <w:proofErr w:type="spellStart"/>
      <w:r w:rsidR="00864DC0">
        <w:rPr>
          <w:rFonts w:ascii="Cambria" w:hAnsi="Cambria"/>
        </w:rPr>
        <w:t>Andrulis</w:t>
      </w:r>
      <w:proofErr w:type="spellEnd"/>
      <w:r w:rsidR="00864DC0">
        <w:rPr>
          <w:rFonts w:ascii="Cambria" w:hAnsi="Cambria"/>
        </w:rPr>
        <w:t>, 2007).</w:t>
      </w:r>
    </w:p>
    <w:p w:rsidR="008F1604" w:rsidRPr="00011D64" w:rsidRDefault="007425E7" w:rsidP="007425E7">
      <w:pPr>
        <w:spacing w:after="120"/>
        <w:rPr>
          <w:rFonts w:ascii="Cambria" w:hAnsi="Cambria"/>
          <w:i/>
        </w:rPr>
      </w:pPr>
      <w:r w:rsidRPr="00011D64">
        <w:rPr>
          <w:rFonts w:ascii="Cambria" w:hAnsi="Cambria"/>
          <w:i/>
        </w:rPr>
        <w:t xml:space="preserve">Enlist </w:t>
      </w:r>
      <w:r w:rsidR="008F1604" w:rsidRPr="00011D64">
        <w:rPr>
          <w:rFonts w:ascii="Cambria" w:hAnsi="Cambria"/>
          <w:i/>
        </w:rPr>
        <w:t xml:space="preserve">and train </w:t>
      </w:r>
      <w:r w:rsidRPr="00011D64">
        <w:rPr>
          <w:rFonts w:ascii="Cambria" w:hAnsi="Cambria"/>
          <w:i/>
        </w:rPr>
        <w:t xml:space="preserve">all staff in the provision of </w:t>
      </w:r>
      <w:r w:rsidR="008F1604" w:rsidRPr="00011D64">
        <w:rPr>
          <w:rFonts w:ascii="Cambria" w:hAnsi="Cambria"/>
          <w:i/>
        </w:rPr>
        <w:t xml:space="preserve">a </w:t>
      </w:r>
      <w:r w:rsidRPr="00011D64">
        <w:rPr>
          <w:rFonts w:ascii="Cambria" w:hAnsi="Cambria"/>
          <w:i/>
        </w:rPr>
        <w:t>culturally appropriate, literacy sensitive approach</w:t>
      </w:r>
      <w:r w:rsidR="008F1604" w:rsidRPr="00011D64">
        <w:rPr>
          <w:rFonts w:ascii="Cambria" w:hAnsi="Cambria"/>
          <w:i/>
        </w:rPr>
        <w:t>.</w:t>
      </w:r>
    </w:p>
    <w:p w:rsidR="008F1604" w:rsidRPr="00011D64" w:rsidRDefault="008F1604" w:rsidP="007425E7">
      <w:pPr>
        <w:spacing w:after="120"/>
        <w:rPr>
          <w:rFonts w:ascii="Cambria" w:hAnsi="Cambria"/>
        </w:rPr>
      </w:pPr>
      <w:r w:rsidRPr="00011D64">
        <w:rPr>
          <w:rFonts w:ascii="Cambria" w:hAnsi="Cambria"/>
        </w:rPr>
        <w:t>Addressing literacy requires awareness and participation of all staff, according to the Institute of Medicine (2004). “It is nearly impossible to deal with literacy, language, and cultural issues within the context of a 10-15 minute patient visit.”</w:t>
      </w:r>
      <w:r w:rsidRPr="00011D64">
        <w:rPr>
          <w:rStyle w:val="EndnoteReference"/>
          <w:rFonts w:ascii="Cambria" w:hAnsi="Cambria"/>
        </w:rPr>
        <w:endnoteReference w:id="49"/>
      </w:r>
    </w:p>
    <w:p w:rsidR="007425E7" w:rsidRPr="00011D64" w:rsidRDefault="008F1604" w:rsidP="007425E7">
      <w:pPr>
        <w:spacing w:after="120"/>
        <w:rPr>
          <w:rFonts w:ascii="Cambria" w:hAnsi="Cambria"/>
        </w:rPr>
      </w:pPr>
      <w:proofErr w:type="spellStart"/>
      <w:r w:rsidRPr="00011D64">
        <w:rPr>
          <w:rFonts w:ascii="Cambria" w:hAnsi="Cambria"/>
        </w:rPr>
        <w:t>Karliner</w:t>
      </w:r>
      <w:proofErr w:type="spellEnd"/>
      <w:r w:rsidRPr="00011D64">
        <w:rPr>
          <w:rFonts w:ascii="Cambria" w:hAnsi="Cambria"/>
        </w:rPr>
        <w:t xml:space="preserve"> (2004) recommends that clinicians, adjunct staff, and interpreters regularly participate in training that addresses both the delivery of culturally and linguistically appropriate services as well as the recognition of and effective responses to limited health literacy.</w:t>
      </w:r>
      <w:r w:rsidRPr="00011D64">
        <w:rPr>
          <w:rStyle w:val="EndnoteReference"/>
          <w:rFonts w:ascii="Cambria" w:hAnsi="Cambria" w:cs="Arial"/>
        </w:rPr>
        <w:endnoteReference w:id="50"/>
      </w:r>
    </w:p>
    <w:p w:rsidR="007425E7" w:rsidRPr="00011D64" w:rsidRDefault="005C564F" w:rsidP="007425E7">
      <w:pPr>
        <w:spacing w:after="120"/>
        <w:rPr>
          <w:rFonts w:ascii="Cambria" w:hAnsi="Cambria"/>
        </w:rPr>
      </w:pPr>
      <w:r w:rsidRPr="00011D64">
        <w:rPr>
          <w:rFonts w:ascii="Cambria" w:hAnsi="Cambria"/>
          <w:i/>
        </w:rPr>
        <w:t>Reach out to community organizations, enlist community health workers and invite participation of community organizations in advisory boards.</w:t>
      </w:r>
    </w:p>
    <w:p w:rsidR="008F1604" w:rsidRPr="00011D64" w:rsidRDefault="008F1604" w:rsidP="008F1604">
      <w:pPr>
        <w:spacing w:after="120"/>
        <w:rPr>
          <w:rFonts w:ascii="Cambria" w:hAnsi="Cambria"/>
        </w:rPr>
      </w:pPr>
      <w:r w:rsidRPr="00011D64">
        <w:rPr>
          <w:rFonts w:ascii="Cambria" w:hAnsi="Cambria"/>
        </w:rPr>
        <w:t>A 2004 study from the California Health Initiative underscores the key role that community health workers can play in helping patients with limited health literacy feel at ease in health care settings.</w:t>
      </w:r>
      <w:r w:rsidR="005C564F" w:rsidRPr="00011D64">
        <w:rPr>
          <w:rStyle w:val="EndnoteReference"/>
          <w:rFonts w:ascii="Cambria" w:hAnsi="Cambria"/>
        </w:rPr>
        <w:endnoteReference w:id="51"/>
      </w:r>
      <w:r w:rsidR="005C564F" w:rsidRPr="00011D64">
        <w:rPr>
          <w:rFonts w:ascii="Cambria" w:hAnsi="Cambria"/>
        </w:rPr>
        <w:t xml:space="preserve"> </w:t>
      </w:r>
    </w:p>
    <w:p w:rsidR="007425E7" w:rsidRPr="00011D64" w:rsidRDefault="00906F6B" w:rsidP="008F1604">
      <w:pPr>
        <w:spacing w:after="120"/>
        <w:rPr>
          <w:rFonts w:ascii="Cambria" w:hAnsi="Cambria"/>
        </w:rPr>
      </w:pPr>
      <w:r>
        <w:rPr>
          <w:rFonts w:ascii="Cambria" w:hAnsi="Cambria"/>
        </w:rPr>
        <w:t>Patients with limited literacy</w:t>
      </w:r>
      <w:r w:rsidR="005C564F" w:rsidRPr="00011D64">
        <w:rPr>
          <w:rFonts w:ascii="Cambria" w:hAnsi="Cambria"/>
        </w:rPr>
        <w:t>, the study cites,</w:t>
      </w:r>
      <w:r w:rsidR="007425E7" w:rsidRPr="00011D64">
        <w:rPr>
          <w:rFonts w:ascii="Cambria" w:hAnsi="Cambria"/>
        </w:rPr>
        <w:t xml:space="preserve"> may avoid health care settings for fear of being embarrassed</w:t>
      </w:r>
      <w:r w:rsidR="005C564F" w:rsidRPr="00011D64">
        <w:rPr>
          <w:rFonts w:ascii="Cambria" w:hAnsi="Cambria"/>
        </w:rPr>
        <w:t>. Working with trusted community health workers who are familiar can help patients overcome trepidation.</w:t>
      </w:r>
    </w:p>
    <w:p w:rsidR="00264F7B" w:rsidRPr="00906F6B" w:rsidRDefault="005C564F" w:rsidP="007425E7">
      <w:pPr>
        <w:spacing w:after="120"/>
        <w:rPr>
          <w:rFonts w:ascii="Cambria" w:hAnsi="Cambria"/>
        </w:rPr>
      </w:pPr>
      <w:proofErr w:type="spellStart"/>
      <w:r w:rsidRPr="00011D64">
        <w:rPr>
          <w:rFonts w:ascii="Cambria" w:hAnsi="Cambria"/>
        </w:rPr>
        <w:t>Andrulis</w:t>
      </w:r>
      <w:proofErr w:type="spellEnd"/>
      <w:r w:rsidRPr="00011D64">
        <w:rPr>
          <w:rFonts w:ascii="Cambria" w:hAnsi="Cambria"/>
        </w:rPr>
        <w:t xml:space="preserve"> et al (2007) recommend inviting</w:t>
      </w:r>
      <w:r w:rsidR="007425E7" w:rsidRPr="00011D64">
        <w:rPr>
          <w:rFonts w:ascii="Cambria" w:hAnsi="Cambria"/>
        </w:rPr>
        <w:t xml:space="preserve"> </w:t>
      </w:r>
      <w:r w:rsidRPr="00011D64">
        <w:rPr>
          <w:rFonts w:ascii="Cambria" w:hAnsi="Cambria"/>
        </w:rPr>
        <w:t xml:space="preserve">members of key </w:t>
      </w:r>
      <w:r w:rsidR="007425E7" w:rsidRPr="00011D64">
        <w:rPr>
          <w:rFonts w:ascii="Cambria" w:hAnsi="Cambria"/>
        </w:rPr>
        <w:t>co</w:t>
      </w:r>
      <w:r w:rsidRPr="00011D64">
        <w:rPr>
          <w:rFonts w:ascii="Cambria" w:hAnsi="Cambria"/>
        </w:rPr>
        <w:t>mmunity organizations, such as local adult education programs,</w:t>
      </w:r>
      <w:r w:rsidR="007425E7" w:rsidRPr="00011D64">
        <w:rPr>
          <w:rFonts w:ascii="Cambria" w:hAnsi="Cambria"/>
        </w:rPr>
        <w:t xml:space="preserve"> to ser</w:t>
      </w:r>
      <w:r w:rsidRPr="00011D64">
        <w:rPr>
          <w:rFonts w:ascii="Cambria" w:hAnsi="Cambria"/>
        </w:rPr>
        <w:t>ve on community advisory boards; and in turn, participating in outreach with local community programs.</w:t>
      </w:r>
      <w:r w:rsidRPr="00011D64">
        <w:rPr>
          <w:rStyle w:val="EndnoteReference"/>
          <w:rFonts w:ascii="Cambria" w:hAnsi="Cambria"/>
        </w:rPr>
        <w:endnoteReference w:id="52"/>
      </w:r>
    </w:p>
    <w:p w:rsidR="005C564F" w:rsidRPr="00011D64" w:rsidRDefault="00264F7B" w:rsidP="007425E7">
      <w:pPr>
        <w:spacing w:after="120"/>
        <w:rPr>
          <w:rFonts w:ascii="Cambria" w:hAnsi="Cambria"/>
          <w:b/>
        </w:rPr>
      </w:pPr>
      <w:r w:rsidRPr="00011D64">
        <w:rPr>
          <w:rFonts w:ascii="Cambria" w:hAnsi="Cambria"/>
          <w:b/>
          <w:i/>
        </w:rPr>
        <w:lastRenderedPageBreak/>
        <w:t>Address health literacy needs in tandem with cultural competence efforts.</w:t>
      </w:r>
    </w:p>
    <w:p w:rsidR="00264F7B" w:rsidRPr="00011D64" w:rsidRDefault="00264F7B" w:rsidP="007425E7">
      <w:pPr>
        <w:spacing w:after="120"/>
        <w:rPr>
          <w:rFonts w:ascii="Cambria" w:hAnsi="Cambria"/>
        </w:rPr>
      </w:pPr>
      <w:r w:rsidRPr="00011D64">
        <w:rPr>
          <w:rFonts w:ascii="Cambria" w:hAnsi="Cambria"/>
        </w:rPr>
        <w:t xml:space="preserve">While addressing health literacy needs involves specific challenges and strategies, these must be addressed in tandem with broader cultural competence efforts. In </w:t>
      </w:r>
      <w:r w:rsidRPr="00011D64">
        <w:rPr>
          <w:rFonts w:ascii="Cambria" w:hAnsi="Cambria"/>
          <w:i/>
        </w:rPr>
        <w:t>Health Literacy: A Prescription to End Confusion</w:t>
      </w:r>
      <w:r w:rsidRPr="00011D64">
        <w:rPr>
          <w:rFonts w:ascii="Cambria" w:hAnsi="Cambria"/>
        </w:rPr>
        <w:t>, Nielsen-</w:t>
      </w:r>
      <w:proofErr w:type="spellStart"/>
      <w:r w:rsidRPr="00011D64">
        <w:rPr>
          <w:rFonts w:ascii="Cambria" w:hAnsi="Cambria"/>
        </w:rPr>
        <w:t>Bohlman</w:t>
      </w:r>
      <w:proofErr w:type="spellEnd"/>
      <w:r w:rsidRPr="00011D64">
        <w:rPr>
          <w:rFonts w:ascii="Cambria" w:hAnsi="Cambria"/>
        </w:rPr>
        <w:t xml:space="preserve"> et al </w:t>
      </w:r>
      <w:r w:rsidR="00575148" w:rsidRPr="00011D64">
        <w:rPr>
          <w:rFonts w:ascii="Cambria" w:hAnsi="Cambria"/>
        </w:rPr>
        <w:t>indicate</w:t>
      </w:r>
      <w:r w:rsidR="00906F6B">
        <w:rPr>
          <w:rFonts w:ascii="Cambria" w:hAnsi="Cambria"/>
        </w:rPr>
        <w:t>s</w:t>
      </w:r>
      <w:r w:rsidR="00575148" w:rsidRPr="00011D64">
        <w:rPr>
          <w:rFonts w:ascii="Cambria" w:hAnsi="Cambria"/>
        </w:rPr>
        <w:t>,</w:t>
      </w:r>
      <w:r w:rsidRPr="00011D64">
        <w:rPr>
          <w:rFonts w:ascii="Cambria" w:hAnsi="Cambria"/>
        </w:rPr>
        <w:t xml:space="preserve"> “health literacy must be understood and addressed in the context of culture and language.”</w:t>
      </w:r>
      <w:r w:rsidRPr="00011D64">
        <w:rPr>
          <w:rStyle w:val="EndnoteReference"/>
          <w:rFonts w:ascii="Cambria" w:hAnsi="Cambria"/>
        </w:rPr>
        <w:endnoteReference w:id="53"/>
      </w:r>
      <w:r w:rsidRPr="00011D64">
        <w:rPr>
          <w:rFonts w:ascii="Cambria" w:hAnsi="Cambria"/>
        </w:rPr>
        <w:t xml:space="preserve"> </w:t>
      </w:r>
    </w:p>
    <w:p w:rsidR="005C564F" w:rsidRPr="00011D64" w:rsidRDefault="007425E7" w:rsidP="007425E7">
      <w:pPr>
        <w:spacing w:after="120"/>
        <w:rPr>
          <w:rFonts w:ascii="Cambria" w:hAnsi="Cambria"/>
        </w:rPr>
      </w:pPr>
      <w:proofErr w:type="spellStart"/>
      <w:r w:rsidRPr="00011D64">
        <w:rPr>
          <w:rFonts w:ascii="Cambria" w:hAnsi="Cambria"/>
        </w:rPr>
        <w:t>Andrulis</w:t>
      </w:r>
      <w:proofErr w:type="spellEnd"/>
      <w:r w:rsidRPr="00011D64">
        <w:rPr>
          <w:rFonts w:ascii="Cambria" w:hAnsi="Cambria"/>
        </w:rPr>
        <w:t xml:space="preserve"> </w:t>
      </w:r>
      <w:r w:rsidR="005C564F" w:rsidRPr="00011D64">
        <w:rPr>
          <w:rFonts w:ascii="Cambria" w:hAnsi="Cambria"/>
        </w:rPr>
        <w:t xml:space="preserve">et al (2007) </w:t>
      </w:r>
      <w:r w:rsidRPr="00011D64">
        <w:rPr>
          <w:rFonts w:ascii="Cambria" w:hAnsi="Cambria"/>
        </w:rPr>
        <w:t xml:space="preserve">found that strategies to improve </w:t>
      </w:r>
      <w:r w:rsidR="005C564F" w:rsidRPr="00011D64">
        <w:rPr>
          <w:rFonts w:ascii="Cambria" w:hAnsi="Cambria"/>
        </w:rPr>
        <w:t>health literacy for low-literacy</w:t>
      </w:r>
      <w:r w:rsidRPr="00011D64">
        <w:rPr>
          <w:rFonts w:ascii="Cambria" w:hAnsi="Cambria"/>
        </w:rPr>
        <w:t xml:space="preserve"> individuals are distinct from strategies for </w:t>
      </w:r>
      <w:r w:rsidR="005C564F" w:rsidRPr="00011D64">
        <w:rPr>
          <w:rFonts w:ascii="Cambria" w:hAnsi="Cambria"/>
        </w:rPr>
        <w:t>REL individuals or those</w:t>
      </w:r>
      <w:r w:rsidRPr="00011D64">
        <w:rPr>
          <w:rFonts w:ascii="Cambria" w:hAnsi="Cambria"/>
        </w:rPr>
        <w:t xml:space="preserve"> with limited English proficiency (LEP). The lack of integration between strategies to meet the needs of each of these populations often results in “health care that is unresponsive to some vulnerable groups’ needs.”</w:t>
      </w:r>
    </w:p>
    <w:p w:rsidR="00264F7B" w:rsidRPr="00011D64" w:rsidRDefault="00264F7B" w:rsidP="00264F7B">
      <w:pPr>
        <w:spacing w:after="120"/>
        <w:rPr>
          <w:rFonts w:ascii="Cambria" w:hAnsi="Cambria"/>
        </w:rPr>
      </w:pPr>
      <w:r w:rsidRPr="00011D64">
        <w:rPr>
          <w:rFonts w:ascii="Cambria" w:hAnsi="Cambria"/>
        </w:rPr>
        <w:t>An effective approach to integrating cultural competency and health literacy efforts may include the</w:t>
      </w:r>
      <w:r w:rsidR="00864DC0">
        <w:rPr>
          <w:rFonts w:ascii="Cambria" w:hAnsi="Cambria"/>
        </w:rPr>
        <w:t xml:space="preserve"> following recommendations (Nielsen-</w:t>
      </w:r>
      <w:proofErr w:type="spellStart"/>
      <w:r w:rsidR="00864DC0">
        <w:rPr>
          <w:rFonts w:ascii="Cambria" w:hAnsi="Cambria"/>
        </w:rPr>
        <w:t>Bohlman</w:t>
      </w:r>
      <w:proofErr w:type="spellEnd"/>
      <w:r w:rsidR="00864DC0">
        <w:rPr>
          <w:rFonts w:ascii="Cambria" w:hAnsi="Cambria"/>
        </w:rPr>
        <w:t xml:space="preserve">, 2004 and </w:t>
      </w:r>
      <w:proofErr w:type="spellStart"/>
      <w:r w:rsidR="00864DC0">
        <w:rPr>
          <w:rFonts w:ascii="Cambria" w:hAnsi="Cambria"/>
        </w:rPr>
        <w:t>Andrulis</w:t>
      </w:r>
      <w:proofErr w:type="spellEnd"/>
      <w:r w:rsidR="00864DC0">
        <w:rPr>
          <w:rFonts w:ascii="Cambria" w:hAnsi="Cambria"/>
        </w:rPr>
        <w:t xml:space="preserve">, </w:t>
      </w:r>
      <w:r w:rsidRPr="00011D64">
        <w:rPr>
          <w:rFonts w:ascii="Cambria" w:hAnsi="Cambria"/>
        </w:rPr>
        <w:t>2007):</w:t>
      </w:r>
    </w:p>
    <w:p w:rsidR="007425E7" w:rsidRPr="00011D64" w:rsidRDefault="00264F7B" w:rsidP="00264F7B">
      <w:pPr>
        <w:pStyle w:val="ListParagraph"/>
        <w:numPr>
          <w:ilvl w:val="0"/>
          <w:numId w:val="16"/>
        </w:numPr>
        <w:spacing w:after="120"/>
        <w:rPr>
          <w:rFonts w:ascii="Cambria" w:hAnsi="Cambria"/>
        </w:rPr>
      </w:pPr>
      <w:r w:rsidRPr="00011D64">
        <w:rPr>
          <w:rFonts w:ascii="Cambria" w:hAnsi="Cambria"/>
        </w:rPr>
        <w:t>Collecting and i</w:t>
      </w:r>
      <w:r w:rsidR="005C564F" w:rsidRPr="00011D64">
        <w:rPr>
          <w:rFonts w:ascii="Cambria" w:hAnsi="Cambria"/>
        </w:rPr>
        <w:t xml:space="preserve">ncluding </w:t>
      </w:r>
      <w:r w:rsidR="007425E7" w:rsidRPr="00011D64">
        <w:rPr>
          <w:rFonts w:ascii="Cambria" w:hAnsi="Cambria"/>
        </w:rPr>
        <w:t>detailed inform</w:t>
      </w:r>
      <w:r w:rsidR="005C564F" w:rsidRPr="00011D64">
        <w:rPr>
          <w:rFonts w:ascii="Cambria" w:hAnsi="Cambria"/>
        </w:rPr>
        <w:t>ation on patient preferences and needs (language, health literacy)</w:t>
      </w:r>
      <w:r w:rsidR="007425E7" w:rsidRPr="00011D64">
        <w:rPr>
          <w:rFonts w:ascii="Cambria" w:hAnsi="Cambria"/>
        </w:rPr>
        <w:t xml:space="preserve"> in medical records</w:t>
      </w:r>
    </w:p>
    <w:p w:rsidR="007425E7" w:rsidRPr="00011D64" w:rsidRDefault="005C564F" w:rsidP="007425E7">
      <w:pPr>
        <w:pStyle w:val="ListParagraph"/>
        <w:numPr>
          <w:ilvl w:val="0"/>
          <w:numId w:val="2"/>
        </w:numPr>
        <w:spacing w:after="120"/>
        <w:rPr>
          <w:rFonts w:ascii="Cambria" w:hAnsi="Cambria"/>
        </w:rPr>
      </w:pPr>
      <w:r w:rsidRPr="00011D64">
        <w:rPr>
          <w:rFonts w:ascii="Cambria" w:hAnsi="Cambria"/>
        </w:rPr>
        <w:t xml:space="preserve">Asking clients about </w:t>
      </w:r>
      <w:r w:rsidR="007425E7" w:rsidRPr="00011D64">
        <w:rPr>
          <w:rFonts w:ascii="Cambria" w:hAnsi="Cambria"/>
        </w:rPr>
        <w:t>environment</w:t>
      </w:r>
      <w:r w:rsidRPr="00011D64">
        <w:rPr>
          <w:rFonts w:ascii="Cambria" w:hAnsi="Cambria"/>
        </w:rPr>
        <w:t>al</w:t>
      </w:r>
      <w:r w:rsidR="007425E7" w:rsidRPr="00011D64">
        <w:rPr>
          <w:rFonts w:ascii="Cambria" w:hAnsi="Cambria"/>
        </w:rPr>
        <w:t xml:space="preserve">, lifestyle, family values, cultural health beliefs, folk medicines, </w:t>
      </w:r>
      <w:r w:rsidRPr="00011D64">
        <w:rPr>
          <w:rFonts w:ascii="Cambria" w:hAnsi="Cambria"/>
        </w:rPr>
        <w:t xml:space="preserve">and </w:t>
      </w:r>
      <w:r w:rsidR="007425E7" w:rsidRPr="00011D64">
        <w:rPr>
          <w:rFonts w:ascii="Cambria" w:hAnsi="Cambria"/>
        </w:rPr>
        <w:t>health practices affecting treatment choices</w:t>
      </w:r>
    </w:p>
    <w:p w:rsidR="007425E7" w:rsidRPr="00011D64" w:rsidRDefault="007425E7" w:rsidP="007425E7">
      <w:pPr>
        <w:pStyle w:val="ListParagraph"/>
        <w:numPr>
          <w:ilvl w:val="0"/>
          <w:numId w:val="2"/>
        </w:numPr>
        <w:spacing w:after="120"/>
        <w:rPr>
          <w:rFonts w:ascii="Cambria" w:hAnsi="Cambria"/>
        </w:rPr>
      </w:pPr>
      <w:r w:rsidRPr="00011D64">
        <w:rPr>
          <w:rFonts w:ascii="Cambria" w:hAnsi="Cambria"/>
        </w:rPr>
        <w:t>Using the principles of clear communication:</w:t>
      </w:r>
    </w:p>
    <w:p w:rsidR="007425E7" w:rsidRPr="00011D64" w:rsidRDefault="005C564F" w:rsidP="007425E7">
      <w:pPr>
        <w:pStyle w:val="ListParagraph"/>
        <w:numPr>
          <w:ilvl w:val="1"/>
          <w:numId w:val="2"/>
        </w:numPr>
        <w:spacing w:after="120"/>
        <w:rPr>
          <w:rFonts w:ascii="Cambria" w:hAnsi="Cambria"/>
        </w:rPr>
      </w:pPr>
      <w:r w:rsidRPr="00011D64">
        <w:rPr>
          <w:rFonts w:ascii="Cambria" w:hAnsi="Cambria"/>
        </w:rPr>
        <w:t>Confirm</w:t>
      </w:r>
      <w:r w:rsidR="007425E7" w:rsidRPr="00011D64">
        <w:rPr>
          <w:rFonts w:ascii="Cambria" w:hAnsi="Cambria"/>
        </w:rPr>
        <w:t xml:space="preserve"> understanding</w:t>
      </w:r>
    </w:p>
    <w:p w:rsidR="007425E7" w:rsidRPr="00011D64" w:rsidRDefault="005C564F" w:rsidP="007425E7">
      <w:pPr>
        <w:pStyle w:val="ListParagraph"/>
        <w:numPr>
          <w:ilvl w:val="1"/>
          <w:numId w:val="2"/>
        </w:numPr>
        <w:spacing w:after="120"/>
        <w:rPr>
          <w:rFonts w:ascii="Cambria" w:hAnsi="Cambria"/>
        </w:rPr>
      </w:pPr>
      <w:r w:rsidRPr="00011D64">
        <w:rPr>
          <w:rFonts w:ascii="Cambria" w:hAnsi="Cambria"/>
        </w:rPr>
        <w:t>Probe</w:t>
      </w:r>
      <w:r w:rsidR="007425E7" w:rsidRPr="00011D64">
        <w:rPr>
          <w:rFonts w:ascii="Cambria" w:hAnsi="Cambria"/>
        </w:rPr>
        <w:t xml:space="preserve"> to make sure culture or language are not causing miscommunication</w:t>
      </w:r>
    </w:p>
    <w:p w:rsidR="007425E7" w:rsidRPr="00011D64" w:rsidRDefault="007425E7" w:rsidP="007425E7">
      <w:pPr>
        <w:pStyle w:val="ListParagraph"/>
        <w:numPr>
          <w:ilvl w:val="0"/>
          <w:numId w:val="2"/>
        </w:numPr>
        <w:spacing w:after="120"/>
        <w:rPr>
          <w:rFonts w:ascii="Cambria" w:hAnsi="Cambria"/>
        </w:rPr>
      </w:pPr>
      <w:r w:rsidRPr="00011D64">
        <w:rPr>
          <w:rFonts w:ascii="Cambria" w:hAnsi="Cambria"/>
        </w:rPr>
        <w:t>Developing easy-to-read, culturally relevant and translated written materials</w:t>
      </w:r>
    </w:p>
    <w:p w:rsidR="00264F7B" w:rsidRPr="00011D64" w:rsidRDefault="00264F7B" w:rsidP="00264F7B">
      <w:pPr>
        <w:pStyle w:val="ListParagraph"/>
        <w:numPr>
          <w:ilvl w:val="0"/>
          <w:numId w:val="2"/>
        </w:numPr>
        <w:spacing w:after="120"/>
        <w:rPr>
          <w:rFonts w:ascii="Cambria" w:hAnsi="Cambria"/>
        </w:rPr>
      </w:pPr>
      <w:r w:rsidRPr="00011D64">
        <w:rPr>
          <w:rFonts w:ascii="Cambria" w:hAnsi="Cambria"/>
        </w:rPr>
        <w:t>Training staff and interpreters in health literacy, cul</w:t>
      </w:r>
      <w:r w:rsidR="00C76CE3">
        <w:rPr>
          <w:rFonts w:ascii="Cambria" w:hAnsi="Cambria"/>
        </w:rPr>
        <w:t>tural and linguistic competence</w:t>
      </w:r>
    </w:p>
    <w:p w:rsidR="007425E7" w:rsidRPr="00011D64" w:rsidRDefault="003403DF" w:rsidP="00264F7B">
      <w:pPr>
        <w:pStyle w:val="ListParagraph"/>
        <w:numPr>
          <w:ilvl w:val="0"/>
          <w:numId w:val="2"/>
        </w:numPr>
        <w:spacing w:after="120"/>
        <w:rPr>
          <w:rFonts w:ascii="Cambria" w:hAnsi="Cambria"/>
        </w:rPr>
      </w:pPr>
      <w:r w:rsidRPr="00011D64">
        <w:rPr>
          <w:rFonts w:ascii="Cambria" w:hAnsi="Cambria"/>
        </w:rPr>
        <w:t xml:space="preserve">Enlisting the assistance of family members or </w:t>
      </w:r>
      <w:r w:rsidR="007425E7" w:rsidRPr="00011D64">
        <w:rPr>
          <w:rFonts w:ascii="Cambria" w:hAnsi="Cambria"/>
        </w:rPr>
        <w:t xml:space="preserve">friends in note taking, questions, </w:t>
      </w:r>
      <w:r w:rsidRPr="00011D64">
        <w:rPr>
          <w:rFonts w:ascii="Cambria" w:hAnsi="Cambria"/>
        </w:rPr>
        <w:t xml:space="preserve">and </w:t>
      </w:r>
      <w:r w:rsidR="007425E7" w:rsidRPr="00011D64">
        <w:rPr>
          <w:rFonts w:ascii="Cambria" w:hAnsi="Cambria"/>
        </w:rPr>
        <w:t>recall of instructions (not as interpreters)</w:t>
      </w:r>
    </w:p>
    <w:p w:rsidR="007425E7" w:rsidRPr="00011D64" w:rsidRDefault="00264F7B" w:rsidP="007425E7">
      <w:pPr>
        <w:pStyle w:val="ListParagraph"/>
        <w:numPr>
          <w:ilvl w:val="0"/>
          <w:numId w:val="2"/>
        </w:numPr>
        <w:spacing w:after="120"/>
        <w:rPr>
          <w:rFonts w:ascii="Cambria" w:hAnsi="Cambria"/>
        </w:rPr>
      </w:pPr>
      <w:r w:rsidRPr="00011D64">
        <w:rPr>
          <w:rFonts w:ascii="Cambria" w:hAnsi="Cambria"/>
        </w:rPr>
        <w:t>Engaging consumers in the development of written materials and t</w:t>
      </w:r>
      <w:r w:rsidR="007425E7" w:rsidRPr="00011D64">
        <w:rPr>
          <w:rFonts w:ascii="Cambria" w:hAnsi="Cambria"/>
        </w:rPr>
        <w:t>esting written materials and pharmacy labels with diverse audiences to ensure appropriateness across literacy, culture and language</w:t>
      </w:r>
    </w:p>
    <w:p w:rsidR="007425E7" w:rsidRPr="00011D64" w:rsidRDefault="007425E7" w:rsidP="007425E7">
      <w:pPr>
        <w:pStyle w:val="ListParagraph"/>
        <w:numPr>
          <w:ilvl w:val="0"/>
          <w:numId w:val="2"/>
        </w:numPr>
        <w:spacing w:after="120"/>
        <w:rPr>
          <w:rFonts w:ascii="Cambria" w:hAnsi="Cambria"/>
        </w:rPr>
      </w:pPr>
      <w:r w:rsidRPr="00011D64">
        <w:rPr>
          <w:rFonts w:ascii="Cambria" w:hAnsi="Cambria"/>
        </w:rPr>
        <w:t>Developing united performance standards</w:t>
      </w:r>
      <w:r w:rsidR="00264F7B" w:rsidRPr="00011D64">
        <w:rPr>
          <w:rFonts w:ascii="Cambria" w:hAnsi="Cambria"/>
        </w:rPr>
        <w:t xml:space="preserve"> and using cultural and linguistic competence as an essential</w:t>
      </w:r>
      <w:r w:rsidR="00C76CE3">
        <w:rPr>
          <w:rFonts w:ascii="Cambria" w:hAnsi="Cambria"/>
        </w:rPr>
        <w:t xml:space="preserve"> measure of the quality of care</w:t>
      </w:r>
    </w:p>
    <w:p w:rsidR="007425E7" w:rsidRPr="00011D64" w:rsidRDefault="003403DF" w:rsidP="007425E7">
      <w:pPr>
        <w:pStyle w:val="ListParagraph"/>
        <w:numPr>
          <w:ilvl w:val="0"/>
          <w:numId w:val="2"/>
        </w:numPr>
        <w:spacing w:after="120"/>
        <w:rPr>
          <w:rFonts w:ascii="Cambria" w:hAnsi="Cambria"/>
        </w:rPr>
      </w:pPr>
      <w:r w:rsidRPr="00011D64">
        <w:rPr>
          <w:rFonts w:ascii="Cambria" w:hAnsi="Cambria"/>
        </w:rPr>
        <w:t xml:space="preserve">Offering help lines or other </w:t>
      </w:r>
      <w:r w:rsidR="007425E7" w:rsidRPr="00011D64">
        <w:rPr>
          <w:rFonts w:ascii="Cambria" w:hAnsi="Cambria"/>
        </w:rPr>
        <w:t>methods to help those with difficulty reading or understanding written materials</w:t>
      </w:r>
    </w:p>
    <w:p w:rsidR="007425E7" w:rsidRPr="00011D64" w:rsidRDefault="003403DF" w:rsidP="007425E7">
      <w:pPr>
        <w:pStyle w:val="ListParagraph"/>
        <w:numPr>
          <w:ilvl w:val="0"/>
          <w:numId w:val="2"/>
        </w:numPr>
        <w:spacing w:after="120"/>
        <w:rPr>
          <w:rFonts w:ascii="Cambria" w:hAnsi="Cambria"/>
        </w:rPr>
      </w:pPr>
      <w:r w:rsidRPr="00011D64">
        <w:rPr>
          <w:rFonts w:ascii="Cambria" w:hAnsi="Cambria"/>
        </w:rPr>
        <w:t xml:space="preserve">Creating a welcoming environment by offering clear </w:t>
      </w:r>
      <w:r w:rsidR="007425E7" w:rsidRPr="00011D64">
        <w:rPr>
          <w:rFonts w:ascii="Cambria" w:hAnsi="Cambria"/>
        </w:rPr>
        <w:t xml:space="preserve">directions, </w:t>
      </w:r>
      <w:r w:rsidRPr="00011D64">
        <w:rPr>
          <w:rFonts w:ascii="Cambria" w:hAnsi="Cambria"/>
        </w:rPr>
        <w:t xml:space="preserve">accessible </w:t>
      </w:r>
      <w:r w:rsidR="007425E7" w:rsidRPr="00011D64">
        <w:rPr>
          <w:rFonts w:ascii="Cambria" w:hAnsi="Cambria"/>
        </w:rPr>
        <w:t xml:space="preserve">posters, </w:t>
      </w:r>
      <w:r w:rsidRPr="00011D64">
        <w:rPr>
          <w:rFonts w:ascii="Cambria" w:hAnsi="Cambria"/>
        </w:rPr>
        <w:t xml:space="preserve">and offering </w:t>
      </w:r>
      <w:r w:rsidR="007425E7" w:rsidRPr="00011D64">
        <w:rPr>
          <w:rFonts w:ascii="Cambria" w:hAnsi="Cambria"/>
        </w:rPr>
        <w:t>receptioni</w:t>
      </w:r>
      <w:r w:rsidRPr="00011D64">
        <w:rPr>
          <w:rFonts w:ascii="Cambria" w:hAnsi="Cambria"/>
        </w:rPr>
        <w:t>st assistan</w:t>
      </w:r>
      <w:r w:rsidR="00C76CE3">
        <w:rPr>
          <w:rFonts w:ascii="Cambria" w:hAnsi="Cambria"/>
        </w:rPr>
        <w:t>ce reading or filling out forms</w:t>
      </w:r>
    </w:p>
    <w:p w:rsidR="007425E7" w:rsidRPr="00011D64" w:rsidRDefault="003403DF" w:rsidP="007425E7">
      <w:pPr>
        <w:pStyle w:val="ListParagraph"/>
        <w:numPr>
          <w:ilvl w:val="0"/>
          <w:numId w:val="2"/>
        </w:numPr>
        <w:spacing w:after="120"/>
        <w:rPr>
          <w:rFonts w:ascii="Cambria" w:hAnsi="Cambria"/>
        </w:rPr>
      </w:pPr>
      <w:r w:rsidRPr="00011D64">
        <w:rPr>
          <w:rFonts w:ascii="Cambria" w:hAnsi="Cambria"/>
        </w:rPr>
        <w:t>Consolidating</w:t>
      </w:r>
      <w:r w:rsidR="007425E7" w:rsidRPr="00011D64">
        <w:rPr>
          <w:rFonts w:ascii="Cambria" w:hAnsi="Cambria"/>
        </w:rPr>
        <w:t xml:space="preserve"> health literacy, cultural and language strategies (</w:t>
      </w:r>
      <w:r w:rsidRPr="00011D64">
        <w:rPr>
          <w:rFonts w:ascii="Cambria" w:hAnsi="Cambria"/>
        </w:rPr>
        <w:t>For example, having one individual serve in multiple roles:</w:t>
      </w:r>
      <w:r w:rsidR="007425E7" w:rsidRPr="00011D64">
        <w:rPr>
          <w:rFonts w:ascii="Cambria" w:hAnsi="Cambria"/>
        </w:rPr>
        <w:t xml:space="preserve"> community health worker, patient navigator, cultural broker, health educator,</w:t>
      </w:r>
      <w:r w:rsidRPr="00011D64">
        <w:rPr>
          <w:rFonts w:ascii="Cambria" w:hAnsi="Cambria"/>
        </w:rPr>
        <w:t xml:space="preserve"> and</w:t>
      </w:r>
      <w:r w:rsidR="007425E7" w:rsidRPr="00011D64">
        <w:rPr>
          <w:rFonts w:ascii="Cambria" w:hAnsi="Cambria"/>
        </w:rPr>
        <w:t xml:space="preserve"> interpreter)</w:t>
      </w:r>
    </w:p>
    <w:p w:rsidR="007425E7" w:rsidRPr="00011D64" w:rsidRDefault="00264F7B" w:rsidP="00264F7B">
      <w:pPr>
        <w:pStyle w:val="ListParagraph"/>
        <w:numPr>
          <w:ilvl w:val="0"/>
          <w:numId w:val="2"/>
        </w:numPr>
        <w:spacing w:after="120"/>
        <w:rPr>
          <w:rFonts w:ascii="Cambria" w:hAnsi="Cambria"/>
        </w:rPr>
      </w:pPr>
      <w:r w:rsidRPr="00011D64">
        <w:rPr>
          <w:rFonts w:ascii="Cambria" w:hAnsi="Cambria"/>
        </w:rPr>
        <w:t xml:space="preserve">Participating in local adult education and literacy programs, and K-12 health programs to improve overall health education levels </w:t>
      </w:r>
      <w:r w:rsidR="00C76CE3">
        <w:rPr>
          <w:rFonts w:ascii="Cambria" w:hAnsi="Cambria"/>
        </w:rPr>
        <w:t>in the community</w:t>
      </w:r>
    </w:p>
    <w:p w:rsidR="006515D9" w:rsidRPr="00C76CE3" w:rsidRDefault="003403DF" w:rsidP="00821C17">
      <w:pPr>
        <w:pStyle w:val="ListParagraph"/>
        <w:numPr>
          <w:ilvl w:val="0"/>
          <w:numId w:val="2"/>
        </w:numPr>
        <w:spacing w:after="120"/>
        <w:rPr>
          <w:rFonts w:ascii="Cambria" w:hAnsi="Cambria"/>
        </w:rPr>
      </w:pPr>
      <w:r w:rsidRPr="00011D64">
        <w:rPr>
          <w:rFonts w:ascii="Cambria" w:hAnsi="Cambria"/>
        </w:rPr>
        <w:t>Inviting r</w:t>
      </w:r>
      <w:r w:rsidR="007425E7" w:rsidRPr="00011D64">
        <w:rPr>
          <w:rFonts w:ascii="Cambria" w:hAnsi="Cambria"/>
        </w:rPr>
        <w:t>epres</w:t>
      </w:r>
      <w:r w:rsidRPr="00011D64">
        <w:rPr>
          <w:rFonts w:ascii="Cambria" w:hAnsi="Cambria"/>
        </w:rPr>
        <w:t xml:space="preserve">entatives from various cultural and </w:t>
      </w:r>
      <w:r w:rsidR="007425E7" w:rsidRPr="00011D64">
        <w:rPr>
          <w:rFonts w:ascii="Cambria" w:hAnsi="Cambria"/>
        </w:rPr>
        <w:t xml:space="preserve">linguistic groups and </w:t>
      </w:r>
      <w:r w:rsidRPr="00011D64">
        <w:rPr>
          <w:rFonts w:ascii="Cambria" w:hAnsi="Cambria"/>
        </w:rPr>
        <w:t xml:space="preserve">the </w:t>
      </w:r>
      <w:r w:rsidR="007425E7" w:rsidRPr="00011D64">
        <w:rPr>
          <w:rFonts w:ascii="Cambria" w:hAnsi="Cambria"/>
        </w:rPr>
        <w:t xml:space="preserve">adult learner community </w:t>
      </w:r>
      <w:r w:rsidRPr="00011D64">
        <w:rPr>
          <w:rFonts w:ascii="Cambria" w:hAnsi="Cambria"/>
        </w:rPr>
        <w:t xml:space="preserve">to participate </w:t>
      </w:r>
      <w:r w:rsidR="007425E7" w:rsidRPr="00011D64">
        <w:rPr>
          <w:rFonts w:ascii="Cambria" w:hAnsi="Cambria"/>
        </w:rPr>
        <w:t>in advisory councils</w:t>
      </w:r>
    </w:p>
    <w:p w:rsidR="006515D9" w:rsidRPr="00011D64" w:rsidRDefault="00F3120B" w:rsidP="006515D9">
      <w:pPr>
        <w:spacing w:after="120"/>
        <w:rPr>
          <w:rFonts w:ascii="Cambria" w:hAnsi="Cambria"/>
        </w:rPr>
      </w:pPr>
      <w:r>
        <w:rPr>
          <w:rFonts w:ascii="Cambria" w:hAnsi="Cambria"/>
        </w:rPr>
        <w:lastRenderedPageBreak/>
        <w:t>T</w:t>
      </w:r>
      <w:r w:rsidR="006515D9" w:rsidRPr="00011D64">
        <w:rPr>
          <w:rFonts w:ascii="Cambria" w:hAnsi="Cambria"/>
        </w:rPr>
        <w:t xml:space="preserve">he following Joint Commission (2010) checklist for improving communication </w:t>
      </w:r>
      <w:r>
        <w:rPr>
          <w:rFonts w:ascii="Cambria" w:hAnsi="Cambria"/>
        </w:rPr>
        <w:t>offers a similarly integrated approach to</w:t>
      </w:r>
      <w:r w:rsidR="006515D9" w:rsidRPr="00011D64">
        <w:rPr>
          <w:rFonts w:ascii="Cambria" w:hAnsi="Cambria"/>
        </w:rPr>
        <w:t xml:space="preserve"> identify and address the communication needs of a variety of populations, including REL and LGBT populations, those with low health literacy levels, LEP, and disabilities.</w:t>
      </w:r>
      <w:r w:rsidR="006515D9" w:rsidRPr="00011D64">
        <w:rPr>
          <w:rStyle w:val="EndnoteReference"/>
          <w:rFonts w:ascii="Cambria" w:hAnsi="Cambria"/>
        </w:rPr>
        <w:endnoteReference w:id="54"/>
      </w:r>
      <w:r w:rsidR="006515D9" w:rsidRPr="00011D64">
        <w:rPr>
          <w:rFonts w:ascii="Cambria" w:hAnsi="Cambria"/>
        </w:rPr>
        <w:t xml:space="preserve"> </w:t>
      </w:r>
    </w:p>
    <w:p w:rsidR="006515D9" w:rsidRPr="00011D64" w:rsidRDefault="006515D9" w:rsidP="006515D9">
      <w:pPr>
        <w:spacing w:after="120"/>
        <w:rPr>
          <w:rFonts w:ascii="Cambria" w:hAnsi="Cambria"/>
        </w:rPr>
      </w:pPr>
      <w:r w:rsidRPr="00011D64">
        <w:rPr>
          <w:rFonts w:ascii="Cambria" w:hAnsi="Cambria"/>
        </w:rPr>
        <w:t>The Joint Commission (2010</w:t>
      </w:r>
      <w:r w:rsidR="001160B5">
        <w:rPr>
          <w:rFonts w:ascii="Cambria" w:hAnsi="Cambria"/>
        </w:rPr>
        <w:t>) outlines</w:t>
      </w:r>
      <w:r w:rsidRPr="00011D64">
        <w:rPr>
          <w:rFonts w:ascii="Cambria" w:hAnsi="Cambria"/>
        </w:rPr>
        <w:t xml:space="preserve"> a process during intake, assessment, treatment and dischar</w:t>
      </w:r>
      <w:r w:rsidR="001160B5">
        <w:rPr>
          <w:rFonts w:ascii="Cambria" w:hAnsi="Cambria"/>
        </w:rPr>
        <w:t xml:space="preserve">ge, which is summarized in the </w:t>
      </w:r>
      <w:r w:rsidRPr="00011D64">
        <w:rPr>
          <w:rFonts w:ascii="Cambria" w:hAnsi="Cambria"/>
        </w:rPr>
        <w:t>key points below:</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Inform patients of their rights</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Identify patient’s preferred language for discussing health care</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Identify and address sensory, mobility or communication needs (interpreter, sensory or communication,</w:t>
      </w:r>
      <w:r w:rsidR="00011D64" w:rsidRPr="00011D64">
        <w:rPr>
          <w:rFonts w:ascii="Cambria" w:hAnsi="Cambria" w:cs="Arial"/>
        </w:rPr>
        <w:t xml:space="preserve"> auxiliary aids and services, assistive devices, a</w:t>
      </w:r>
      <w:r w:rsidRPr="00011D64">
        <w:rPr>
          <w:rFonts w:ascii="Cambria" w:hAnsi="Cambria" w:cs="Arial"/>
        </w:rPr>
        <w:t>u</w:t>
      </w:r>
      <w:r w:rsidR="00011D64" w:rsidRPr="00011D64">
        <w:rPr>
          <w:rFonts w:ascii="Cambria" w:hAnsi="Cambria" w:cs="Arial"/>
        </w:rPr>
        <w:t>g</w:t>
      </w:r>
      <w:r w:rsidRPr="00011D64">
        <w:rPr>
          <w:rFonts w:ascii="Cambria" w:hAnsi="Cambria" w:cs="Arial"/>
        </w:rPr>
        <w:t>mentative and alternative communication (AAC) resources</w:t>
      </w:r>
      <w:r w:rsidR="00011D64" w:rsidRPr="00011D64">
        <w:rPr>
          <w:rFonts w:ascii="Cambria" w:hAnsi="Cambria" w:cs="Arial"/>
        </w:rPr>
        <w:t>, mobility aids, room modifications for access to switches/fall prevention</w:t>
      </w:r>
      <w:r w:rsidRPr="00011D64">
        <w:rPr>
          <w:rFonts w:ascii="Cambria" w:hAnsi="Cambria" w:cs="Arial"/>
        </w:rPr>
        <w:t>)</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 xml:space="preserve">Identify </w:t>
      </w:r>
      <w:r w:rsidR="00011D64" w:rsidRPr="00011D64">
        <w:rPr>
          <w:rFonts w:ascii="Cambria" w:hAnsi="Cambria" w:cs="Arial"/>
        </w:rPr>
        <w:t xml:space="preserve">and accommodate </w:t>
      </w:r>
      <w:r w:rsidRPr="00011D64">
        <w:rPr>
          <w:rFonts w:ascii="Cambria" w:hAnsi="Cambria" w:cs="Arial"/>
        </w:rPr>
        <w:t>cultural, religious, or spiritual beliefs or practices that influence care</w:t>
      </w:r>
      <w:r w:rsidR="00011D64" w:rsidRPr="00011D64">
        <w:rPr>
          <w:rFonts w:ascii="Cambria" w:hAnsi="Cambria" w:cs="Arial"/>
        </w:rPr>
        <w:t xml:space="preserve"> (modesty needs, appropriate gender providers, privacy in toileting and washing, space and scheduling to accommodate the need to pray, and dietary needs)</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 xml:space="preserve">Supporting the patient’s ability to understand and act on health information (assistance completing forms, </w:t>
      </w:r>
      <w:r w:rsidR="00011D64" w:rsidRPr="00011D64">
        <w:rPr>
          <w:rFonts w:ascii="Cambria" w:hAnsi="Cambria" w:cs="Arial"/>
        </w:rPr>
        <w:t>provide patient education that meets patient needs)</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Ask the patient if there are any additional needs that may affect his or her care</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Ask patient to identify a support person</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Tailor the informed consent process to meet patient needs</w:t>
      </w:r>
    </w:p>
    <w:p w:rsidR="006515D9" w:rsidRPr="00011D64" w:rsidRDefault="006515D9" w:rsidP="006515D9">
      <w:pPr>
        <w:pStyle w:val="ListParagraph"/>
        <w:numPr>
          <w:ilvl w:val="0"/>
          <w:numId w:val="7"/>
        </w:numPr>
        <w:rPr>
          <w:rFonts w:ascii="Cambria" w:hAnsi="Cambria" w:cs="Arial"/>
        </w:rPr>
      </w:pPr>
      <w:r w:rsidRPr="00011D64">
        <w:rPr>
          <w:rFonts w:ascii="Cambria" w:hAnsi="Cambria" w:cs="Arial"/>
        </w:rPr>
        <w:t>Involve patients and family in the care process (not as interpreters)</w:t>
      </w:r>
    </w:p>
    <w:p w:rsidR="006515D9" w:rsidRPr="00011D64" w:rsidRDefault="006515D9" w:rsidP="00011D64">
      <w:pPr>
        <w:pStyle w:val="ListParagraph"/>
        <w:numPr>
          <w:ilvl w:val="0"/>
          <w:numId w:val="7"/>
        </w:numPr>
        <w:rPr>
          <w:rFonts w:ascii="Cambria" w:hAnsi="Cambria" w:cs="Arial"/>
        </w:rPr>
      </w:pPr>
      <w:r w:rsidRPr="00011D64">
        <w:rPr>
          <w:rFonts w:ascii="Cambria" w:hAnsi="Cambria" w:cs="Arial"/>
        </w:rPr>
        <w:t>Communicate information about unique patient needs to the care team</w:t>
      </w:r>
    </w:p>
    <w:p w:rsidR="00BB07C9" w:rsidRPr="00011D64" w:rsidRDefault="00BB07C9" w:rsidP="00821C17">
      <w:pPr>
        <w:spacing w:after="120"/>
        <w:rPr>
          <w:rFonts w:ascii="Cambria" w:hAnsi="Cambria"/>
        </w:rPr>
      </w:pPr>
    </w:p>
    <w:p w:rsidR="00BB07C9" w:rsidRPr="00011D64" w:rsidRDefault="00362DFC" w:rsidP="00821C17">
      <w:pPr>
        <w:spacing w:after="120"/>
        <w:rPr>
          <w:rFonts w:ascii="Cambria" w:hAnsi="Cambria"/>
        </w:rPr>
      </w:pPr>
      <w:r>
        <w:rPr>
          <w:rFonts w:ascii="Cambria" w:hAnsi="Cambria"/>
          <w:b/>
        </w:rPr>
        <w:br w:type="page"/>
      </w:r>
      <w:r w:rsidR="00BB07C9" w:rsidRPr="00011D64">
        <w:rPr>
          <w:rFonts w:ascii="Cambria" w:hAnsi="Cambria"/>
          <w:b/>
        </w:rPr>
        <w:lastRenderedPageBreak/>
        <w:t xml:space="preserve">Data Collection </w:t>
      </w:r>
    </w:p>
    <w:p w:rsidR="006412FA" w:rsidRPr="00633ADC" w:rsidRDefault="006412FA" w:rsidP="00821C17">
      <w:pPr>
        <w:spacing w:after="120"/>
        <w:rPr>
          <w:rFonts w:ascii="Cambria" w:hAnsi="Cambria"/>
          <w:b/>
          <w:i/>
        </w:rPr>
      </w:pPr>
      <w:r w:rsidRPr="00633ADC">
        <w:rPr>
          <w:rFonts w:ascii="Cambria" w:hAnsi="Cambria"/>
          <w:b/>
          <w:i/>
        </w:rPr>
        <w:t xml:space="preserve">Federal data collection requirements include new standards for the collection of disability status </w:t>
      </w:r>
    </w:p>
    <w:p w:rsidR="006412FA" w:rsidRPr="00011D64" w:rsidRDefault="005442B8" w:rsidP="00821C17">
      <w:pPr>
        <w:spacing w:after="120"/>
        <w:rPr>
          <w:rFonts w:ascii="Cambria" w:hAnsi="Cambria"/>
        </w:rPr>
      </w:pPr>
      <w:r w:rsidRPr="00011D64">
        <w:rPr>
          <w:rFonts w:ascii="Cambria" w:hAnsi="Cambria"/>
        </w:rPr>
        <w:t>Section 4302 of the Affordable Care Act contains provisions to strengthen federal data collection by requiring that all national federal data collection efforts collect information on race, ethnicity, sex, primary language and disability status.</w:t>
      </w:r>
      <w:r w:rsidR="006412FA" w:rsidRPr="00011D64">
        <w:rPr>
          <w:rStyle w:val="EndnoteReference"/>
          <w:rFonts w:ascii="Cambria" w:hAnsi="Cambria"/>
        </w:rPr>
        <w:endnoteReference w:id="55"/>
      </w:r>
    </w:p>
    <w:p w:rsidR="005442B8" w:rsidRPr="00011D64" w:rsidRDefault="006412FA" w:rsidP="00821C17">
      <w:pPr>
        <w:spacing w:after="120"/>
        <w:rPr>
          <w:rFonts w:ascii="Cambria" w:hAnsi="Cambria"/>
        </w:rPr>
      </w:pPr>
      <w:r w:rsidRPr="00011D64">
        <w:rPr>
          <w:rFonts w:ascii="Cambria" w:hAnsi="Cambria"/>
        </w:rPr>
        <w:t>Unique to these provisions is the inclusion of disability status in data collection requirements.</w:t>
      </w:r>
    </w:p>
    <w:p w:rsidR="003E6D53" w:rsidRPr="00011D64" w:rsidRDefault="003E6D53" w:rsidP="00821C17">
      <w:pPr>
        <w:spacing w:after="120"/>
        <w:rPr>
          <w:rFonts w:ascii="Cambria" w:hAnsi="Cambria"/>
        </w:rPr>
      </w:pPr>
      <w:r w:rsidRPr="00011D64">
        <w:rPr>
          <w:rFonts w:ascii="Cambria" w:hAnsi="Cambria"/>
        </w:rPr>
        <w:t>The most recent data collection standards from the Office of Minority Health at the U.S. Department o</w:t>
      </w:r>
      <w:r w:rsidR="00B97D0C">
        <w:rPr>
          <w:rFonts w:ascii="Cambria" w:hAnsi="Cambria"/>
        </w:rPr>
        <w:t>f Health and Human Services (OMH</w:t>
      </w:r>
      <w:r w:rsidRPr="00011D64">
        <w:rPr>
          <w:rFonts w:ascii="Cambria" w:hAnsi="Cambria"/>
        </w:rPr>
        <w:t xml:space="preserve">, 2011) </w:t>
      </w:r>
      <w:r w:rsidR="006412FA" w:rsidRPr="00011D64">
        <w:rPr>
          <w:rFonts w:ascii="Cambria" w:hAnsi="Cambria"/>
        </w:rPr>
        <w:t>have added standards for the collection of disability status, as follows:</w:t>
      </w:r>
    </w:p>
    <w:p w:rsidR="003E6D53" w:rsidRPr="00011D64" w:rsidRDefault="003E6D53" w:rsidP="00C76CE3">
      <w:pPr>
        <w:spacing w:after="120"/>
        <w:rPr>
          <w:rFonts w:ascii="Cambria" w:hAnsi="Cambria"/>
        </w:rPr>
      </w:pPr>
      <w:r w:rsidRPr="00011D64">
        <w:rPr>
          <w:rFonts w:ascii="Cambria" w:hAnsi="Cambria"/>
        </w:rPr>
        <w:t>Data standards for disability status:</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Are you deaf or do you have serious difficulty hearing?</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Are you blind?</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Because of a physical, mental or emotional condition, do you have serious difficulty concentrating, remembering, or making decisions?</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Do you have serious difficulty walking or climbing stairs?</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Do you have difficulty dressing or bathing?</w:t>
      </w:r>
    </w:p>
    <w:p w:rsidR="003E6D53" w:rsidRPr="00011D64" w:rsidRDefault="003E6D53" w:rsidP="006412FA">
      <w:pPr>
        <w:pStyle w:val="ListParagraph"/>
        <w:numPr>
          <w:ilvl w:val="0"/>
          <w:numId w:val="8"/>
        </w:numPr>
        <w:spacing w:after="120"/>
        <w:ind w:left="1080"/>
        <w:rPr>
          <w:rFonts w:ascii="Cambria" w:hAnsi="Cambria"/>
        </w:rPr>
      </w:pPr>
      <w:r w:rsidRPr="00011D64">
        <w:rPr>
          <w:rFonts w:ascii="Cambria" w:hAnsi="Cambria"/>
        </w:rPr>
        <w:t>Do you have difficulty doing errands alone such as visiting a doctor’s office or shopping?</w:t>
      </w:r>
    </w:p>
    <w:p w:rsidR="006412FA" w:rsidRPr="00633ADC" w:rsidRDefault="006412FA" w:rsidP="003E6D53">
      <w:pPr>
        <w:spacing w:after="120"/>
        <w:rPr>
          <w:rFonts w:ascii="Cambria" w:hAnsi="Cambria"/>
          <w:b/>
          <w:i/>
        </w:rPr>
      </w:pPr>
      <w:r w:rsidRPr="00633ADC">
        <w:rPr>
          <w:rFonts w:ascii="Cambria" w:hAnsi="Cambria"/>
          <w:b/>
          <w:i/>
        </w:rPr>
        <w:t>New national data collection efforts integrate questions on sexual orientation and gender identity</w:t>
      </w:r>
    </w:p>
    <w:p w:rsidR="003E6D53" w:rsidRPr="00011D64" w:rsidRDefault="005442B8" w:rsidP="003E6D53">
      <w:pPr>
        <w:spacing w:after="120"/>
        <w:rPr>
          <w:rFonts w:ascii="Cambria" w:hAnsi="Cambria"/>
        </w:rPr>
      </w:pPr>
      <w:r w:rsidRPr="00011D64">
        <w:rPr>
          <w:rFonts w:ascii="Cambria" w:hAnsi="Cambria"/>
        </w:rPr>
        <w:t>I</w:t>
      </w:r>
      <w:r w:rsidR="003E6D53" w:rsidRPr="00011D64">
        <w:rPr>
          <w:rFonts w:ascii="Cambria" w:hAnsi="Cambria"/>
        </w:rPr>
        <w:t>n 2011</w:t>
      </w:r>
      <w:r w:rsidR="006412FA" w:rsidRPr="00011D64">
        <w:rPr>
          <w:rFonts w:ascii="Cambria" w:hAnsi="Cambria"/>
        </w:rPr>
        <w:t xml:space="preserve">, the U.S. Department of Health and Human Services </w:t>
      </w:r>
      <w:r w:rsidR="003E6D53" w:rsidRPr="00011D64">
        <w:rPr>
          <w:rFonts w:ascii="Cambria" w:hAnsi="Cambria"/>
        </w:rPr>
        <w:t xml:space="preserve">began collecting data in its population surveys to facilitate identification of health issues and reduction of health disparities among LGBT populations. </w:t>
      </w:r>
      <w:r w:rsidRPr="00011D64">
        <w:rPr>
          <w:rFonts w:ascii="Cambria" w:hAnsi="Cambria"/>
        </w:rPr>
        <w:t>Additionally, HHS recommends integrating questions on sexual orientation and gender identity into national data collection efforts and began testing questions on sexual orientation for potential incorporation into the National Health Interview Survey by 2013.</w:t>
      </w:r>
      <w:r w:rsidR="00B97D0C" w:rsidRPr="00011D64">
        <w:rPr>
          <w:rStyle w:val="EndnoteReference"/>
          <w:rFonts w:ascii="Cambria" w:hAnsi="Cambria"/>
        </w:rPr>
        <w:endnoteReference w:id="56"/>
      </w:r>
    </w:p>
    <w:p w:rsidR="006412FA" w:rsidRPr="00633ADC" w:rsidRDefault="00633ADC" w:rsidP="00821C17">
      <w:pPr>
        <w:spacing w:after="120"/>
        <w:rPr>
          <w:rFonts w:ascii="Cambria" w:hAnsi="Cambria"/>
          <w:b/>
          <w:i/>
        </w:rPr>
      </w:pPr>
      <w:r>
        <w:rPr>
          <w:rFonts w:ascii="Cambria" w:hAnsi="Cambria"/>
          <w:b/>
          <w:i/>
        </w:rPr>
        <w:t>HHS-r</w:t>
      </w:r>
      <w:r w:rsidR="006412FA" w:rsidRPr="00633ADC">
        <w:rPr>
          <w:rFonts w:ascii="Cambria" w:hAnsi="Cambria"/>
          <w:b/>
          <w:i/>
        </w:rPr>
        <w:t xml:space="preserve">ecommended optional data fields include religion, mobility needs, sexual orientation, </w:t>
      </w:r>
      <w:r w:rsidR="00575148" w:rsidRPr="00633ADC">
        <w:rPr>
          <w:rFonts w:ascii="Cambria" w:hAnsi="Cambria"/>
          <w:b/>
          <w:i/>
        </w:rPr>
        <w:t>and gender</w:t>
      </w:r>
      <w:r w:rsidR="006412FA" w:rsidRPr="00633ADC">
        <w:rPr>
          <w:rFonts w:ascii="Cambria" w:hAnsi="Cambria"/>
          <w:b/>
          <w:i/>
        </w:rPr>
        <w:t xml:space="preserve"> identity or gender expression.</w:t>
      </w:r>
    </w:p>
    <w:p w:rsidR="006412FA" w:rsidRPr="00011D64" w:rsidRDefault="006412FA" w:rsidP="00821C17">
      <w:pPr>
        <w:spacing w:after="120"/>
        <w:rPr>
          <w:rFonts w:ascii="Cambria" w:hAnsi="Cambria"/>
        </w:rPr>
      </w:pPr>
      <w:r w:rsidRPr="00011D64">
        <w:rPr>
          <w:rFonts w:ascii="Cambria" w:hAnsi="Cambria"/>
        </w:rPr>
        <w:t xml:space="preserve">In addition to using the OMB data categories, the Joint Commission (2010) recommends collecting the following optional data fields: religion, mobility needs, sexual orientation, </w:t>
      </w:r>
      <w:r w:rsidR="00575148" w:rsidRPr="00011D64">
        <w:rPr>
          <w:rFonts w:ascii="Cambria" w:hAnsi="Cambria"/>
        </w:rPr>
        <w:t>and gender</w:t>
      </w:r>
      <w:r w:rsidRPr="00011D64">
        <w:rPr>
          <w:rFonts w:ascii="Cambria" w:hAnsi="Cambria"/>
        </w:rPr>
        <w:t xml:space="preserve"> identity or gender expression.</w:t>
      </w:r>
      <w:r w:rsidRPr="00011D64">
        <w:rPr>
          <w:rStyle w:val="EndnoteReference"/>
          <w:rFonts w:ascii="Cambria" w:hAnsi="Cambria"/>
        </w:rPr>
        <w:endnoteReference w:id="57"/>
      </w:r>
    </w:p>
    <w:p w:rsidR="00BB07C9" w:rsidRPr="00011D64" w:rsidRDefault="00A40013" w:rsidP="00821C17">
      <w:pPr>
        <w:spacing w:after="120"/>
        <w:rPr>
          <w:rFonts w:ascii="Cambria" w:hAnsi="Cambria"/>
        </w:rPr>
      </w:pPr>
      <w:r w:rsidRPr="00011D64">
        <w:rPr>
          <w:rFonts w:ascii="Cambria" w:hAnsi="Cambria"/>
        </w:rPr>
        <w:t xml:space="preserve">Resources identified for the collection of </w:t>
      </w:r>
      <w:r w:rsidR="00BB07C9" w:rsidRPr="00011D64">
        <w:rPr>
          <w:rFonts w:ascii="Cambria" w:hAnsi="Cambria"/>
        </w:rPr>
        <w:t xml:space="preserve">literacy </w:t>
      </w:r>
      <w:r w:rsidRPr="00011D64">
        <w:rPr>
          <w:rFonts w:ascii="Cambria" w:hAnsi="Cambria"/>
        </w:rPr>
        <w:t xml:space="preserve">data include the </w:t>
      </w:r>
      <w:r w:rsidR="006412FA" w:rsidRPr="00011D64">
        <w:rPr>
          <w:rFonts w:ascii="Cambria" w:hAnsi="Cambria"/>
        </w:rPr>
        <w:t>national</w:t>
      </w:r>
      <w:r w:rsidR="00BB07C9" w:rsidRPr="00011D64">
        <w:rPr>
          <w:rFonts w:ascii="Cambria" w:hAnsi="Cambria"/>
        </w:rPr>
        <w:t xml:space="preserve"> and state literacy and health literacy levels from the 2003 National Assessment of Adult Literacy</w:t>
      </w:r>
      <w:r w:rsidRPr="00011D64">
        <w:rPr>
          <w:rFonts w:ascii="Cambria" w:hAnsi="Cambria"/>
        </w:rPr>
        <w:t xml:space="preserve"> (NAAL)</w:t>
      </w:r>
      <w:r w:rsidR="00BB07C9" w:rsidRPr="00011D64">
        <w:rPr>
          <w:rFonts w:ascii="Cambria" w:hAnsi="Cambria"/>
        </w:rPr>
        <w:t xml:space="preserve"> Survey (</w:t>
      </w:r>
      <w:hyperlink r:id="rId19" w:history="1">
        <w:r w:rsidR="00BB07C9" w:rsidRPr="00011D64">
          <w:rPr>
            <w:rStyle w:val="Hyperlink"/>
            <w:rFonts w:ascii="Cambria" w:hAnsi="Cambria"/>
          </w:rPr>
          <w:t>http://nces.ed.gov/naal/</w:t>
        </w:r>
      </w:hyperlink>
      <w:r w:rsidR="00BB07C9" w:rsidRPr="00011D64">
        <w:rPr>
          <w:rFonts w:ascii="Cambria" w:hAnsi="Cambria"/>
        </w:rPr>
        <w:t xml:space="preserve">). </w:t>
      </w:r>
      <w:r w:rsidR="00C76CE3">
        <w:rPr>
          <w:rFonts w:ascii="Cambria" w:hAnsi="Cambria"/>
        </w:rPr>
        <w:t>The NAAL is a</w:t>
      </w:r>
      <w:r w:rsidRPr="00011D64">
        <w:rPr>
          <w:rFonts w:ascii="Cambria" w:hAnsi="Cambria"/>
        </w:rPr>
        <w:t xml:space="preserve"> representative assessment of English literacy among American adu</w:t>
      </w:r>
      <w:r w:rsidR="00C76CE3">
        <w:rPr>
          <w:rFonts w:ascii="Cambria" w:hAnsi="Cambria"/>
        </w:rPr>
        <w:t xml:space="preserve">lts age 16 and older nationwide, </w:t>
      </w:r>
      <w:r w:rsidRPr="00011D64">
        <w:rPr>
          <w:rFonts w:ascii="Cambria" w:hAnsi="Cambria"/>
        </w:rPr>
        <w:t>sponsored by the National Center for Education Statistics, and most recently conducted in 2003.</w:t>
      </w:r>
      <w:r w:rsidRPr="00011D64">
        <w:rPr>
          <w:rStyle w:val="EndnoteReference"/>
          <w:rFonts w:ascii="Cambria" w:hAnsi="Cambria"/>
        </w:rPr>
        <w:endnoteReference w:id="58"/>
      </w:r>
    </w:p>
    <w:p w:rsidR="00BB07C9" w:rsidRPr="00011D64" w:rsidRDefault="00BB07C9" w:rsidP="00821C17">
      <w:pPr>
        <w:spacing w:after="120"/>
        <w:rPr>
          <w:rFonts w:ascii="Cambria" w:hAnsi="Cambria"/>
        </w:rPr>
      </w:pPr>
      <w:r w:rsidRPr="00011D64">
        <w:rPr>
          <w:rFonts w:ascii="Cambria" w:hAnsi="Cambria"/>
        </w:rPr>
        <w:lastRenderedPageBreak/>
        <w:t xml:space="preserve">For LGBT data, </w:t>
      </w:r>
      <w:r w:rsidR="00A40013" w:rsidRPr="00011D64">
        <w:rPr>
          <w:rFonts w:ascii="Cambria" w:hAnsi="Cambria"/>
        </w:rPr>
        <w:t xml:space="preserve">identified sources include </w:t>
      </w:r>
      <w:r w:rsidRPr="00011D64">
        <w:rPr>
          <w:rFonts w:ascii="Cambria" w:hAnsi="Cambria"/>
        </w:rPr>
        <w:t xml:space="preserve">national and state-level data on sexual orientation from Web sites such as </w:t>
      </w:r>
      <w:hyperlink r:id="rId20" w:history="1">
        <w:r w:rsidR="00C96C36" w:rsidRPr="00680E0D">
          <w:rPr>
            <w:rStyle w:val="Hyperlink"/>
            <w:rFonts w:ascii="Cambria" w:hAnsi="Cambria"/>
          </w:rPr>
          <w:t>http:///www.census.gov</w:t>
        </w:r>
      </w:hyperlink>
      <w:r w:rsidR="00C96C36">
        <w:rPr>
          <w:rFonts w:ascii="Cambria" w:hAnsi="Cambria"/>
        </w:rPr>
        <w:t xml:space="preserve"> </w:t>
      </w:r>
      <w:r w:rsidRPr="00011D64">
        <w:rPr>
          <w:rFonts w:ascii="Cambria" w:hAnsi="Cambria"/>
        </w:rPr>
        <w:t xml:space="preserve">and </w:t>
      </w:r>
      <w:hyperlink r:id="rId21" w:history="1">
        <w:r w:rsidR="00C96C36" w:rsidRPr="00680E0D">
          <w:rPr>
            <w:rStyle w:val="Hyperlink"/>
            <w:rFonts w:ascii="Cambria" w:hAnsi="Cambria"/>
          </w:rPr>
          <w:t>http://www.lgbtdata.com</w:t>
        </w:r>
      </w:hyperlink>
      <w:r w:rsidR="00C96C36">
        <w:rPr>
          <w:rFonts w:ascii="Cambria" w:hAnsi="Cambria"/>
        </w:rPr>
        <w:t xml:space="preserve">. </w:t>
      </w:r>
      <w:r w:rsidRPr="00011D64">
        <w:rPr>
          <w:rFonts w:ascii="Cambria" w:hAnsi="Cambria"/>
        </w:rPr>
        <w:t xml:space="preserve"> </w:t>
      </w:r>
    </w:p>
    <w:p w:rsidR="00633ADC" w:rsidRDefault="00633ADC" w:rsidP="00821C17">
      <w:pPr>
        <w:spacing w:after="120"/>
        <w:rPr>
          <w:rFonts w:ascii="Cambria" w:hAnsi="Cambria"/>
        </w:rPr>
      </w:pPr>
      <w:r>
        <w:rPr>
          <w:rFonts w:ascii="Cambria" w:hAnsi="Cambria"/>
        </w:rPr>
        <w:t>In 2012, the National Committee on Vital Health Statistics (NCVHS) recommended that HHS take additional measures in collecting data on socioeconomic status across all racial/ethnic populations and socio-economic groups. Specifically, NCVHS recommended including the following measures:</w:t>
      </w:r>
    </w:p>
    <w:p w:rsidR="00633ADC" w:rsidRDefault="00633ADC" w:rsidP="00633ADC">
      <w:pPr>
        <w:pStyle w:val="ListParagraph"/>
        <w:numPr>
          <w:ilvl w:val="0"/>
          <w:numId w:val="20"/>
        </w:numPr>
        <w:spacing w:after="120"/>
        <w:rPr>
          <w:rFonts w:ascii="Cambria" w:hAnsi="Cambria"/>
        </w:rPr>
      </w:pPr>
      <w:r>
        <w:rPr>
          <w:rFonts w:ascii="Cambria" w:hAnsi="Cambria"/>
        </w:rPr>
        <w:t>Education</w:t>
      </w:r>
    </w:p>
    <w:p w:rsidR="00633ADC" w:rsidRDefault="00633ADC" w:rsidP="00633ADC">
      <w:pPr>
        <w:pStyle w:val="ListParagraph"/>
        <w:numPr>
          <w:ilvl w:val="0"/>
          <w:numId w:val="20"/>
        </w:numPr>
        <w:spacing w:after="120"/>
        <w:rPr>
          <w:rFonts w:ascii="Cambria" w:hAnsi="Cambria"/>
        </w:rPr>
      </w:pPr>
      <w:r>
        <w:rPr>
          <w:rFonts w:ascii="Cambria" w:hAnsi="Cambria"/>
        </w:rPr>
        <w:t>Income</w:t>
      </w:r>
    </w:p>
    <w:p w:rsidR="00633ADC" w:rsidRDefault="00633ADC" w:rsidP="00633ADC">
      <w:pPr>
        <w:pStyle w:val="ListParagraph"/>
        <w:numPr>
          <w:ilvl w:val="0"/>
          <w:numId w:val="20"/>
        </w:numPr>
        <w:spacing w:after="120"/>
        <w:rPr>
          <w:rFonts w:ascii="Cambria" w:hAnsi="Cambria"/>
        </w:rPr>
      </w:pPr>
      <w:r>
        <w:rPr>
          <w:rFonts w:ascii="Cambria" w:hAnsi="Cambria"/>
        </w:rPr>
        <w:t>Occupation</w:t>
      </w:r>
    </w:p>
    <w:p w:rsidR="00633ADC" w:rsidRPr="00633ADC" w:rsidRDefault="00633ADC" w:rsidP="00633ADC">
      <w:pPr>
        <w:pStyle w:val="ListParagraph"/>
        <w:numPr>
          <w:ilvl w:val="0"/>
          <w:numId w:val="20"/>
        </w:numPr>
        <w:spacing w:after="120"/>
        <w:rPr>
          <w:rFonts w:ascii="Cambria" w:hAnsi="Cambria"/>
        </w:rPr>
      </w:pPr>
      <w:r>
        <w:rPr>
          <w:rFonts w:ascii="Cambria" w:hAnsi="Cambria"/>
        </w:rPr>
        <w:t>Family size and relationships</w:t>
      </w:r>
      <w:r w:rsidR="00B5413A">
        <w:rPr>
          <w:rStyle w:val="EndnoteReference"/>
          <w:rFonts w:ascii="Cambria" w:hAnsi="Cambria"/>
        </w:rPr>
        <w:endnoteReference w:id="59"/>
      </w:r>
    </w:p>
    <w:p w:rsidR="006F0DB9" w:rsidRPr="00011D64" w:rsidRDefault="00633ADC" w:rsidP="00821C17">
      <w:pPr>
        <w:spacing w:after="120"/>
        <w:rPr>
          <w:rFonts w:ascii="Cambria" w:hAnsi="Cambria"/>
        </w:rPr>
      </w:pPr>
      <w:r>
        <w:rPr>
          <w:rFonts w:ascii="Cambria" w:hAnsi="Cambria"/>
        </w:rPr>
        <w:t xml:space="preserve">Development of Standards for the Collection of Socioeconomic Status in Health Surveys Conducted by the Department of Health and Human Services </w:t>
      </w:r>
    </w:p>
    <w:p w:rsidR="00821C17" w:rsidRPr="00011D64" w:rsidRDefault="006F0DB9" w:rsidP="00821C17">
      <w:pPr>
        <w:spacing w:after="120"/>
        <w:rPr>
          <w:rFonts w:ascii="Cambria" w:hAnsi="Cambria"/>
          <w:b/>
        </w:rPr>
      </w:pPr>
      <w:r w:rsidRPr="00011D64">
        <w:rPr>
          <w:rFonts w:ascii="Cambria" w:hAnsi="Cambria"/>
          <w:b/>
        </w:rPr>
        <w:t>Cultural Competence for</w:t>
      </w:r>
      <w:r w:rsidR="00A40013" w:rsidRPr="00011D64">
        <w:rPr>
          <w:rFonts w:ascii="Cambria" w:hAnsi="Cambria"/>
          <w:b/>
        </w:rPr>
        <w:t xml:space="preserve"> the</w:t>
      </w:r>
      <w:r w:rsidRPr="00011D64">
        <w:rPr>
          <w:rFonts w:ascii="Cambria" w:hAnsi="Cambria"/>
          <w:b/>
        </w:rPr>
        <w:t xml:space="preserve"> </w:t>
      </w:r>
      <w:r w:rsidR="00E87D36" w:rsidRPr="00011D64">
        <w:rPr>
          <w:rFonts w:ascii="Cambria" w:hAnsi="Cambria"/>
          <w:b/>
        </w:rPr>
        <w:t>L</w:t>
      </w:r>
      <w:r w:rsidR="00A40013" w:rsidRPr="00011D64">
        <w:rPr>
          <w:rFonts w:ascii="Cambria" w:hAnsi="Cambria"/>
          <w:b/>
        </w:rPr>
        <w:t xml:space="preserve">esbian Gay </w:t>
      </w:r>
      <w:r w:rsidRPr="00011D64">
        <w:rPr>
          <w:rFonts w:ascii="Cambria" w:hAnsi="Cambria"/>
          <w:b/>
        </w:rPr>
        <w:t>B</w:t>
      </w:r>
      <w:r w:rsidR="00A40013" w:rsidRPr="00011D64">
        <w:rPr>
          <w:rFonts w:ascii="Cambria" w:hAnsi="Cambria"/>
          <w:b/>
        </w:rPr>
        <w:t xml:space="preserve">isexual and </w:t>
      </w:r>
      <w:r w:rsidRPr="00011D64">
        <w:rPr>
          <w:rFonts w:ascii="Cambria" w:hAnsi="Cambria"/>
          <w:b/>
        </w:rPr>
        <w:t>T</w:t>
      </w:r>
      <w:r w:rsidR="00A40013" w:rsidRPr="00011D64">
        <w:rPr>
          <w:rFonts w:ascii="Cambria" w:hAnsi="Cambria"/>
          <w:b/>
        </w:rPr>
        <w:t>ransgender (LGBT)</w:t>
      </w:r>
      <w:r w:rsidRPr="00011D64">
        <w:rPr>
          <w:rFonts w:ascii="Cambria" w:hAnsi="Cambria"/>
          <w:b/>
        </w:rPr>
        <w:t xml:space="preserve"> population</w:t>
      </w:r>
    </w:p>
    <w:p w:rsidR="00E87D36" w:rsidRPr="00011D64" w:rsidRDefault="00A40013" w:rsidP="00821C17">
      <w:pPr>
        <w:spacing w:after="120"/>
        <w:rPr>
          <w:rFonts w:ascii="Cambria" w:hAnsi="Cambria"/>
          <w:i/>
        </w:rPr>
      </w:pPr>
      <w:r w:rsidRPr="00011D64">
        <w:rPr>
          <w:rFonts w:ascii="Cambria" w:hAnsi="Cambria"/>
          <w:i/>
        </w:rPr>
        <w:t xml:space="preserve">Health disparities exist among the </w:t>
      </w:r>
      <w:r w:rsidR="00C76CE3">
        <w:rPr>
          <w:rFonts w:ascii="Cambria" w:hAnsi="Cambria"/>
          <w:i/>
        </w:rPr>
        <w:t>LGBT population</w:t>
      </w:r>
      <w:r w:rsidRPr="00011D64">
        <w:rPr>
          <w:rFonts w:ascii="Cambria" w:hAnsi="Cambria"/>
          <w:i/>
        </w:rPr>
        <w:t xml:space="preserve"> </w:t>
      </w:r>
      <w:r w:rsidR="00C76CE3">
        <w:rPr>
          <w:rFonts w:ascii="Cambria" w:hAnsi="Cambria"/>
          <w:i/>
        </w:rPr>
        <w:t>and</w:t>
      </w:r>
      <w:r w:rsidRPr="00011D64">
        <w:rPr>
          <w:rFonts w:ascii="Cambria" w:hAnsi="Cambria"/>
          <w:i/>
        </w:rPr>
        <w:t xml:space="preserve"> improved data collection efforts are needed.</w:t>
      </w:r>
    </w:p>
    <w:p w:rsidR="00863334" w:rsidRPr="00011D64" w:rsidRDefault="00893625" w:rsidP="00821C17">
      <w:pPr>
        <w:spacing w:after="120"/>
        <w:rPr>
          <w:rFonts w:ascii="Cambria" w:hAnsi="Cambria"/>
        </w:rPr>
      </w:pPr>
      <w:r w:rsidRPr="00011D64">
        <w:rPr>
          <w:rFonts w:ascii="Cambria" w:hAnsi="Cambria"/>
        </w:rPr>
        <w:t>There is a need for culturally competent medical care and prevention services that are specific to the LGBT population.</w:t>
      </w:r>
      <w:r w:rsidR="007B019E">
        <w:rPr>
          <w:rFonts w:ascii="Cambria" w:hAnsi="Cambria"/>
        </w:rPr>
        <w:t xml:space="preserve"> </w:t>
      </w:r>
      <w:r w:rsidR="00863334" w:rsidRPr="00011D64">
        <w:rPr>
          <w:rFonts w:ascii="Cambria" w:hAnsi="Cambria"/>
        </w:rPr>
        <w:t>The Centers for Disease Control (</w:t>
      </w:r>
      <w:r w:rsidR="00863334" w:rsidRPr="007B019E">
        <w:rPr>
          <w:rFonts w:ascii="Cambria" w:hAnsi="Cambria"/>
        </w:rPr>
        <w:t>CDC,</w:t>
      </w:r>
      <w:r w:rsidR="00863334" w:rsidRPr="00011D64">
        <w:rPr>
          <w:rFonts w:ascii="Cambria" w:hAnsi="Cambria"/>
        </w:rPr>
        <w:t xml:space="preserve"> </w:t>
      </w:r>
      <w:r w:rsidR="007B019E">
        <w:rPr>
          <w:rFonts w:ascii="Cambria" w:hAnsi="Cambria"/>
        </w:rPr>
        <w:t>2010</w:t>
      </w:r>
      <w:r w:rsidR="00863334" w:rsidRPr="00011D64">
        <w:rPr>
          <w:rFonts w:ascii="Cambria" w:hAnsi="Cambria"/>
        </w:rPr>
        <w:t>) report that members of the LGBT community are at increased risk for a number of health threats when compared with their heterosexual peers.</w:t>
      </w:r>
      <w:r w:rsidR="007B019E" w:rsidRPr="00011D64">
        <w:rPr>
          <w:rStyle w:val="EndnoteReference"/>
          <w:rFonts w:ascii="Cambria" w:hAnsi="Cambria"/>
        </w:rPr>
        <w:endnoteReference w:id="60"/>
      </w:r>
      <w:r w:rsidR="007B019E" w:rsidRPr="00011D64">
        <w:rPr>
          <w:rFonts w:ascii="Cambria" w:hAnsi="Cambria"/>
        </w:rPr>
        <w:t xml:space="preserve"> </w:t>
      </w:r>
      <w:r w:rsidR="00863334" w:rsidRPr="00011D64">
        <w:rPr>
          <w:rFonts w:ascii="Cambria" w:hAnsi="Cambria"/>
        </w:rPr>
        <w:t xml:space="preserve"> </w:t>
      </w:r>
    </w:p>
    <w:p w:rsidR="00863334" w:rsidRPr="00011D64" w:rsidRDefault="00863334" w:rsidP="00821C17">
      <w:pPr>
        <w:spacing w:after="120"/>
        <w:rPr>
          <w:rFonts w:ascii="Cambria" w:hAnsi="Cambria"/>
        </w:rPr>
      </w:pPr>
      <w:r w:rsidRPr="00011D64">
        <w:rPr>
          <w:rFonts w:ascii="Cambria" w:hAnsi="Cambria"/>
        </w:rPr>
        <w:t xml:space="preserve">“The experiences of LGBT individuals are not uniform and are shaped by factors of race, ethnicity, socioeconomic status, geographical location, and age, any of which can have an effect </w:t>
      </w:r>
      <w:proofErr w:type="spellStart"/>
      <w:r w:rsidRPr="00011D64">
        <w:rPr>
          <w:rFonts w:ascii="Cambria" w:hAnsi="Cambria"/>
        </w:rPr>
        <w:t>o</w:t>
      </w:r>
      <w:proofErr w:type="spellEnd"/>
      <w:r w:rsidRPr="00011D64">
        <w:rPr>
          <w:rFonts w:ascii="Cambria" w:hAnsi="Cambria"/>
        </w:rPr>
        <w:t xml:space="preserve"> health-related concerns and needs.”</w:t>
      </w:r>
      <w:r w:rsidRPr="00011D64">
        <w:rPr>
          <w:rStyle w:val="EndnoteReference"/>
          <w:rFonts w:ascii="Cambria" w:hAnsi="Cambria"/>
        </w:rPr>
        <w:endnoteReference w:id="61"/>
      </w:r>
      <w:r w:rsidRPr="00011D64">
        <w:rPr>
          <w:rFonts w:ascii="Cambria" w:hAnsi="Cambria"/>
        </w:rPr>
        <w:t xml:space="preserve"> (IOM, 2011)</w:t>
      </w:r>
    </w:p>
    <w:p w:rsidR="00522752" w:rsidRPr="00011D64" w:rsidRDefault="00863334" w:rsidP="00821C17">
      <w:pPr>
        <w:spacing w:after="120"/>
        <w:rPr>
          <w:rFonts w:ascii="Cambria" w:hAnsi="Cambria"/>
        </w:rPr>
      </w:pPr>
      <w:r w:rsidRPr="00011D64">
        <w:rPr>
          <w:rFonts w:ascii="Cambria" w:hAnsi="Cambria"/>
        </w:rPr>
        <w:t>Studies (Mayer, 2008; Meyer, 2007) have found that while sexual behaviors account for some of these disparities, others are associated with social and structural inequities, such as the stigma and discrimination that LGBT populations experience.</w:t>
      </w:r>
      <w:r w:rsidRPr="00011D64">
        <w:rPr>
          <w:rStyle w:val="EndnoteReference"/>
          <w:rFonts w:ascii="Cambria" w:hAnsi="Cambria"/>
        </w:rPr>
        <w:endnoteReference w:id="62"/>
      </w:r>
      <w:r w:rsidRPr="00011D64">
        <w:rPr>
          <w:rFonts w:ascii="Cambria" w:hAnsi="Cambria"/>
        </w:rPr>
        <w:t xml:space="preserve"> </w:t>
      </w:r>
      <w:r w:rsidRPr="00011D64">
        <w:rPr>
          <w:rStyle w:val="EndnoteReference"/>
          <w:rFonts w:ascii="Cambria" w:hAnsi="Cambria"/>
        </w:rPr>
        <w:endnoteReference w:id="63"/>
      </w:r>
    </w:p>
    <w:p w:rsidR="00522752" w:rsidRPr="00011D64" w:rsidRDefault="00A40013" w:rsidP="00A40013">
      <w:pPr>
        <w:spacing w:after="120"/>
        <w:ind w:left="720"/>
        <w:rPr>
          <w:rFonts w:ascii="Cambria" w:hAnsi="Cambria"/>
          <w:i/>
        </w:rPr>
      </w:pPr>
      <w:r w:rsidRPr="00011D64">
        <w:rPr>
          <w:rFonts w:ascii="Cambria" w:hAnsi="Cambria"/>
          <w:i/>
        </w:rPr>
        <w:t xml:space="preserve">Health Disparities Affecting LGBT </w:t>
      </w:r>
      <w:r w:rsidR="00522752" w:rsidRPr="00011D64">
        <w:rPr>
          <w:rFonts w:ascii="Cambria" w:hAnsi="Cambria"/>
          <w:i/>
        </w:rPr>
        <w:t>Youth</w:t>
      </w:r>
    </w:p>
    <w:p w:rsidR="00E87D36" w:rsidRPr="00492B7D" w:rsidRDefault="00E87D36" w:rsidP="00492B7D">
      <w:pPr>
        <w:spacing w:after="120"/>
        <w:ind w:left="360"/>
      </w:pPr>
      <w:r w:rsidRPr="00011D64">
        <w:rPr>
          <w:rFonts w:ascii="Cambria" w:hAnsi="Cambria"/>
        </w:rPr>
        <w:t>LGBTQ youth (as a group) may experience higher rates of smoking, alcohol use, substance abuse, HIV and other sexually transmitted infections, anxi</w:t>
      </w:r>
      <w:r w:rsidR="00A40013" w:rsidRPr="00011D64">
        <w:rPr>
          <w:rFonts w:ascii="Cambria" w:hAnsi="Cambria"/>
        </w:rPr>
        <w:t xml:space="preserve">ety, depression, suicidal ideation </w:t>
      </w:r>
      <w:r w:rsidR="00253496">
        <w:rPr>
          <w:rFonts w:ascii="Cambria" w:hAnsi="Cambria"/>
        </w:rPr>
        <w:t xml:space="preserve">and attempts, </w:t>
      </w:r>
      <w:r w:rsidRPr="00011D64">
        <w:rPr>
          <w:rFonts w:ascii="Cambria" w:hAnsi="Cambria"/>
        </w:rPr>
        <w:t>and eating disorders.</w:t>
      </w:r>
      <w:r w:rsidRPr="00011D64">
        <w:rPr>
          <w:rStyle w:val="EndnoteReference"/>
          <w:rFonts w:ascii="Cambria" w:hAnsi="Cambria"/>
        </w:rPr>
        <w:endnoteReference w:id="64"/>
      </w:r>
      <w:r w:rsidR="00492B7D">
        <w:rPr>
          <w:rFonts w:ascii="Cambria" w:hAnsi="Cambria"/>
        </w:rPr>
        <w:t xml:space="preserve"> </w:t>
      </w:r>
      <w:r w:rsidR="00492B7D">
        <w:t>Harrison (1996) reports that LGBT youth are particularly vulnerable to internal and external pressures, resulting in higher rates of homelessness.</w:t>
      </w:r>
      <w:r w:rsidR="00492B7D">
        <w:rPr>
          <w:rStyle w:val="EndnoteReference"/>
        </w:rPr>
        <w:endnoteReference w:id="65"/>
      </w:r>
    </w:p>
    <w:p w:rsidR="002F56D6" w:rsidRPr="00011D64" w:rsidRDefault="00E87D36" w:rsidP="00A40013">
      <w:pPr>
        <w:spacing w:after="120"/>
        <w:ind w:left="720"/>
        <w:rPr>
          <w:rFonts w:ascii="Cambria" w:hAnsi="Cambria"/>
        </w:rPr>
      </w:pPr>
      <w:r w:rsidRPr="00011D64">
        <w:rPr>
          <w:rFonts w:ascii="Cambria" w:hAnsi="Cambria"/>
        </w:rPr>
        <w:t xml:space="preserve">Additionally, </w:t>
      </w:r>
      <w:r w:rsidR="00522752" w:rsidRPr="00011D64">
        <w:rPr>
          <w:rFonts w:ascii="Cambria" w:hAnsi="Cambria"/>
        </w:rPr>
        <w:t>LGBT youth report experiencing higher levels of violence, victimization, and harassment compared with heterosexual youth</w:t>
      </w:r>
      <w:r w:rsidR="007B019E">
        <w:rPr>
          <w:rFonts w:ascii="Cambria" w:hAnsi="Cambria"/>
        </w:rPr>
        <w:t xml:space="preserve"> (IOM, 2011)</w:t>
      </w:r>
      <w:r w:rsidR="00522752" w:rsidRPr="00011D64">
        <w:rPr>
          <w:rFonts w:ascii="Cambria" w:hAnsi="Cambria"/>
        </w:rPr>
        <w:t>.</w:t>
      </w:r>
    </w:p>
    <w:p w:rsidR="00522752" w:rsidRPr="00011D64" w:rsidRDefault="001160B5" w:rsidP="00A40013">
      <w:pPr>
        <w:spacing w:after="120"/>
        <w:ind w:left="720"/>
        <w:rPr>
          <w:rFonts w:ascii="Cambria" w:hAnsi="Cambria"/>
        </w:rPr>
      </w:pPr>
      <w:r>
        <w:rPr>
          <w:rFonts w:ascii="Cambria" w:hAnsi="Cambria"/>
          <w:i/>
        </w:rPr>
        <w:t xml:space="preserve">Health Disparities Affecting LGBT </w:t>
      </w:r>
      <w:r w:rsidR="00522752" w:rsidRPr="00011D64">
        <w:rPr>
          <w:rFonts w:ascii="Cambria" w:hAnsi="Cambria"/>
          <w:i/>
        </w:rPr>
        <w:t>Adults</w:t>
      </w:r>
    </w:p>
    <w:p w:rsidR="00522752" w:rsidRPr="00011D64" w:rsidRDefault="00A40013" w:rsidP="00A40013">
      <w:pPr>
        <w:spacing w:after="120"/>
        <w:ind w:left="720"/>
        <w:rPr>
          <w:rFonts w:ascii="Cambria" w:hAnsi="Cambria"/>
        </w:rPr>
      </w:pPr>
      <w:r w:rsidRPr="00011D64">
        <w:rPr>
          <w:rFonts w:ascii="Cambria" w:hAnsi="Cambria"/>
        </w:rPr>
        <w:lastRenderedPageBreak/>
        <w:t>Lesbian, gay and bisexual</w:t>
      </w:r>
      <w:r w:rsidR="00522752" w:rsidRPr="00011D64">
        <w:rPr>
          <w:rFonts w:ascii="Cambria" w:hAnsi="Cambria"/>
        </w:rPr>
        <w:t xml:space="preserve"> adults appear to experience more mood and anxiety disorders, depression, and are at higher risk for suicide than heterosexual adults</w:t>
      </w:r>
      <w:r w:rsidR="007B019E">
        <w:rPr>
          <w:rFonts w:ascii="Cambria" w:hAnsi="Cambria"/>
        </w:rPr>
        <w:t xml:space="preserve"> (IOM, 2011).</w:t>
      </w:r>
    </w:p>
    <w:p w:rsidR="00522752" w:rsidRPr="00011D64" w:rsidRDefault="00522752" w:rsidP="00A40013">
      <w:pPr>
        <w:spacing w:after="120"/>
        <w:ind w:left="720"/>
        <w:rPr>
          <w:rFonts w:ascii="Cambria" w:hAnsi="Cambria"/>
        </w:rPr>
      </w:pPr>
      <w:r w:rsidRPr="00011D64">
        <w:rPr>
          <w:rFonts w:ascii="Cambria" w:hAnsi="Cambria"/>
        </w:rPr>
        <w:t>Lesbian and bisexual women may use preventive health services less frequently, may be at greater risk of obesity and have higher rates of breast cancer than heterosexual women</w:t>
      </w:r>
      <w:r w:rsidR="007B019E">
        <w:rPr>
          <w:rFonts w:ascii="Cambria" w:hAnsi="Cambria"/>
        </w:rPr>
        <w:t xml:space="preserve"> (IOM, 2011)</w:t>
      </w:r>
      <w:r w:rsidRPr="00011D64">
        <w:rPr>
          <w:rFonts w:ascii="Cambria" w:hAnsi="Cambria"/>
        </w:rPr>
        <w:t>.</w:t>
      </w:r>
    </w:p>
    <w:p w:rsidR="00522752" w:rsidRPr="00011D64" w:rsidRDefault="00A40013" w:rsidP="00A40013">
      <w:pPr>
        <w:spacing w:after="120"/>
        <w:ind w:left="720"/>
        <w:rPr>
          <w:rFonts w:ascii="Cambria" w:hAnsi="Cambria"/>
        </w:rPr>
      </w:pPr>
      <w:r w:rsidRPr="00011D64">
        <w:rPr>
          <w:rFonts w:ascii="Cambria" w:hAnsi="Cambria"/>
        </w:rPr>
        <w:t>Lesbian, gay and bisexual</w:t>
      </w:r>
      <w:r w:rsidR="00522752" w:rsidRPr="00011D64">
        <w:rPr>
          <w:rFonts w:ascii="Cambria" w:hAnsi="Cambria"/>
        </w:rPr>
        <w:t xml:space="preserve"> adults are also more frequently the targets of stigma, discrimination, and violence, and may have higher rates of smoking, alcohol use, and substance abuse than heterosexual adults</w:t>
      </w:r>
      <w:r w:rsidR="007B019E">
        <w:rPr>
          <w:rFonts w:ascii="Cambria" w:hAnsi="Cambria"/>
        </w:rPr>
        <w:t xml:space="preserve"> (IOM, 2011)</w:t>
      </w:r>
      <w:r w:rsidR="00522752" w:rsidRPr="00011D64">
        <w:rPr>
          <w:rFonts w:ascii="Cambria" w:hAnsi="Cambria"/>
        </w:rPr>
        <w:t>.</w:t>
      </w:r>
    </w:p>
    <w:p w:rsidR="00522752" w:rsidRPr="00011D64" w:rsidRDefault="001160B5" w:rsidP="00A40013">
      <w:pPr>
        <w:spacing w:after="120"/>
        <w:ind w:left="720"/>
        <w:rPr>
          <w:rFonts w:ascii="Cambria" w:hAnsi="Cambria"/>
          <w:i/>
        </w:rPr>
      </w:pPr>
      <w:r>
        <w:rPr>
          <w:rFonts w:ascii="Cambria" w:hAnsi="Cambria"/>
          <w:i/>
        </w:rPr>
        <w:t xml:space="preserve">Health Disparities Affecting LGBT </w:t>
      </w:r>
      <w:r w:rsidR="00522752" w:rsidRPr="00011D64">
        <w:rPr>
          <w:rFonts w:ascii="Cambria" w:hAnsi="Cambria"/>
          <w:i/>
        </w:rPr>
        <w:t>Seniors</w:t>
      </w:r>
    </w:p>
    <w:p w:rsidR="002F56D6" w:rsidRPr="00011D64" w:rsidRDefault="002F56D6" w:rsidP="00A40013">
      <w:pPr>
        <w:spacing w:after="120"/>
        <w:ind w:left="720"/>
        <w:rPr>
          <w:rFonts w:ascii="Cambria" w:hAnsi="Cambria"/>
        </w:rPr>
      </w:pPr>
      <w:r w:rsidRPr="00011D64">
        <w:rPr>
          <w:rFonts w:ascii="Cambria" w:hAnsi="Cambria"/>
        </w:rPr>
        <w:t>Discrimination, fear of discrimination, stigma and victimization within the health care system remain a problem for LGBT elders.</w:t>
      </w:r>
      <w:r w:rsidRPr="00011D64">
        <w:rPr>
          <w:rStyle w:val="EndnoteReference"/>
          <w:rFonts w:ascii="Cambria" w:hAnsi="Cambria"/>
        </w:rPr>
        <w:endnoteReference w:id="66"/>
      </w:r>
    </w:p>
    <w:p w:rsidR="00522752" w:rsidRPr="00011D64" w:rsidRDefault="002F56D6" w:rsidP="00A40013">
      <w:pPr>
        <w:spacing w:after="120"/>
        <w:ind w:left="720"/>
        <w:rPr>
          <w:rFonts w:ascii="Cambria" w:hAnsi="Cambria"/>
        </w:rPr>
      </w:pPr>
      <w:r w:rsidRPr="00011D64">
        <w:rPr>
          <w:rFonts w:ascii="Cambria" w:hAnsi="Cambria"/>
        </w:rPr>
        <w:t>L</w:t>
      </w:r>
      <w:r w:rsidR="00A40013" w:rsidRPr="00011D64">
        <w:rPr>
          <w:rFonts w:ascii="Cambria" w:hAnsi="Cambria"/>
        </w:rPr>
        <w:t>esbian, gay, bisexual and transgender</w:t>
      </w:r>
      <w:r w:rsidRPr="00011D64">
        <w:rPr>
          <w:rFonts w:ascii="Cambria" w:hAnsi="Cambria"/>
        </w:rPr>
        <w:t xml:space="preserve"> elders are less likely to have children than heterosexual elders and less likely to receive care from adult children. They may have higher rates of isolation, and the disability or death of one partner may threaten the economic security of the surviving partner.</w:t>
      </w:r>
      <w:r w:rsidRPr="00011D64">
        <w:rPr>
          <w:rStyle w:val="EndnoteReference"/>
          <w:rFonts w:ascii="Cambria" w:hAnsi="Cambria"/>
        </w:rPr>
        <w:endnoteReference w:id="67"/>
      </w:r>
    </w:p>
    <w:p w:rsidR="00E87D36" w:rsidRPr="00011D64" w:rsidRDefault="00522752" w:rsidP="00A40013">
      <w:pPr>
        <w:spacing w:after="120"/>
        <w:ind w:left="720"/>
        <w:rPr>
          <w:rFonts w:ascii="Cambria" w:hAnsi="Cambria"/>
        </w:rPr>
      </w:pPr>
      <w:r w:rsidRPr="00011D64">
        <w:rPr>
          <w:rFonts w:ascii="Cambria" w:hAnsi="Cambria"/>
        </w:rPr>
        <w:t xml:space="preserve">Senior LGBT adults also experience higher rates of HIV, </w:t>
      </w:r>
      <w:r w:rsidR="00A40013" w:rsidRPr="00011D64">
        <w:rPr>
          <w:rFonts w:ascii="Cambria" w:hAnsi="Cambria"/>
        </w:rPr>
        <w:t>while few</w:t>
      </w:r>
      <w:r w:rsidRPr="00011D64">
        <w:rPr>
          <w:rFonts w:ascii="Cambria" w:hAnsi="Cambria"/>
        </w:rPr>
        <w:t xml:space="preserve"> HIV prevention programs target older adults.</w:t>
      </w:r>
    </w:p>
    <w:p w:rsidR="004B19EB" w:rsidRPr="00011D64" w:rsidRDefault="004B19EB" w:rsidP="004B19EB">
      <w:pPr>
        <w:spacing w:after="120"/>
        <w:rPr>
          <w:rFonts w:ascii="Cambria" w:hAnsi="Cambria"/>
          <w:i/>
        </w:rPr>
      </w:pPr>
      <w:r w:rsidRPr="00011D64">
        <w:rPr>
          <w:rFonts w:ascii="Cambria" w:hAnsi="Cambria"/>
          <w:i/>
        </w:rPr>
        <w:t>New data collection recommendations recognize the need for more data to identify and address health disparities in the LGBT community.</w:t>
      </w:r>
    </w:p>
    <w:p w:rsidR="004B19EB" w:rsidRPr="00011D64" w:rsidRDefault="004B19EB" w:rsidP="004B19EB">
      <w:pPr>
        <w:spacing w:after="120"/>
        <w:rPr>
          <w:rFonts w:ascii="Cambria" w:hAnsi="Cambria"/>
        </w:rPr>
      </w:pPr>
      <w:r w:rsidRPr="00011D64">
        <w:rPr>
          <w:rFonts w:ascii="Cambria" w:hAnsi="Cambria"/>
        </w:rPr>
        <w:t>Researchers face a number of challenges in understanding the health needs of LGBT populations, including a lack of data.</w:t>
      </w:r>
      <w:r w:rsidRPr="00011D64">
        <w:rPr>
          <w:rStyle w:val="EndnoteReference"/>
          <w:rFonts w:ascii="Cambria" w:hAnsi="Cambria"/>
        </w:rPr>
        <w:endnoteReference w:id="68"/>
      </w:r>
    </w:p>
    <w:p w:rsidR="004B19EB" w:rsidRPr="00011D64" w:rsidRDefault="004B19EB" w:rsidP="004B19EB">
      <w:pPr>
        <w:spacing w:after="120"/>
        <w:rPr>
          <w:rFonts w:ascii="Cambria" w:hAnsi="Cambria"/>
        </w:rPr>
      </w:pPr>
      <w:r w:rsidRPr="00011D64">
        <w:rPr>
          <w:rFonts w:ascii="Cambria" w:hAnsi="Cambria"/>
        </w:rPr>
        <w:t>In light of the limited health information available about the LGBT population and recognizing the need for more data to identify and address health disparities in the community, the Institute of Medicine recommends that sexual orienta</w:t>
      </w:r>
      <w:r w:rsidR="00492B7D">
        <w:rPr>
          <w:rFonts w:ascii="Cambria" w:hAnsi="Cambria"/>
        </w:rPr>
        <w:t>tion and gender identity data be</w:t>
      </w:r>
      <w:r w:rsidRPr="00011D64">
        <w:rPr>
          <w:rFonts w:ascii="Cambria" w:hAnsi="Cambria"/>
        </w:rPr>
        <w:t xml:space="preserve"> collected in national and state health demographic surveys. In 2011, the U.S. Department of Health and Human Services began to incorporate sexual orientation and gender identity in the National Health Interview Survey, the primary source of health information on the U.S. population.</w:t>
      </w:r>
      <w:r w:rsidRPr="00011D64">
        <w:rPr>
          <w:rStyle w:val="EndnoteReference"/>
          <w:rFonts w:ascii="Cambria" w:hAnsi="Cambria"/>
        </w:rPr>
        <w:endnoteReference w:id="69"/>
      </w:r>
    </w:p>
    <w:p w:rsidR="004B19EB" w:rsidRPr="00011D64" w:rsidRDefault="004B19EB" w:rsidP="004B19EB">
      <w:pPr>
        <w:spacing w:after="240"/>
        <w:rPr>
          <w:rFonts w:ascii="Cambria" w:hAnsi="Cambria"/>
        </w:rPr>
      </w:pPr>
      <w:r w:rsidRPr="00011D64">
        <w:rPr>
          <w:rFonts w:ascii="Cambria" w:hAnsi="Cambria"/>
        </w:rPr>
        <w:t xml:space="preserve">Section 4302 of the Affordable Care Act includes provisions to strengthen federal data collection efforts by requiring that all national federal data collection efforts collect information on race, </w:t>
      </w:r>
      <w:r w:rsidR="00575148" w:rsidRPr="00011D64">
        <w:rPr>
          <w:rFonts w:ascii="Cambria" w:hAnsi="Cambria"/>
        </w:rPr>
        <w:t>ethnicity</w:t>
      </w:r>
      <w:r w:rsidRPr="00011D64">
        <w:rPr>
          <w:rFonts w:ascii="Cambria" w:hAnsi="Cambria"/>
        </w:rPr>
        <w:t>, sex, primary language, and disability status.  This also includes provisions to improve data collection on populations susceptible to health disparities, including the LGBT community.</w:t>
      </w:r>
      <w:r w:rsidRPr="00011D64">
        <w:rPr>
          <w:rStyle w:val="EndnoteReference"/>
          <w:rFonts w:ascii="Cambria" w:hAnsi="Cambria"/>
        </w:rPr>
        <w:endnoteReference w:id="70"/>
      </w:r>
    </w:p>
    <w:p w:rsidR="002F56D6" w:rsidRPr="00011D64" w:rsidRDefault="002F56D6" w:rsidP="00821C17">
      <w:pPr>
        <w:spacing w:after="120"/>
        <w:rPr>
          <w:rFonts w:ascii="Cambria" w:hAnsi="Cambria"/>
          <w:i/>
        </w:rPr>
      </w:pPr>
      <w:r w:rsidRPr="00011D64">
        <w:rPr>
          <w:rFonts w:ascii="Cambria" w:hAnsi="Cambria"/>
          <w:i/>
        </w:rPr>
        <w:t xml:space="preserve">Experiences with health providers have a significant impact on </w:t>
      </w:r>
      <w:r w:rsidR="00A40013" w:rsidRPr="00011D64">
        <w:rPr>
          <w:rFonts w:ascii="Cambria" w:hAnsi="Cambria"/>
          <w:i/>
        </w:rPr>
        <w:t>future health behaviors of LGBT</w:t>
      </w:r>
      <w:r w:rsidRPr="00011D64">
        <w:rPr>
          <w:rFonts w:ascii="Cambria" w:hAnsi="Cambria"/>
          <w:i/>
        </w:rPr>
        <w:t xml:space="preserve"> persons</w:t>
      </w:r>
      <w:r w:rsidR="00A40013" w:rsidRPr="00011D64">
        <w:rPr>
          <w:rFonts w:ascii="Cambria" w:hAnsi="Cambria"/>
          <w:i/>
        </w:rPr>
        <w:t>.</w:t>
      </w:r>
    </w:p>
    <w:p w:rsidR="00B639BD" w:rsidRPr="00011D64" w:rsidRDefault="00E87D36" w:rsidP="00821C17">
      <w:pPr>
        <w:spacing w:after="120"/>
        <w:rPr>
          <w:rFonts w:ascii="Cambria" w:hAnsi="Cambria"/>
        </w:rPr>
      </w:pPr>
      <w:r w:rsidRPr="00011D64">
        <w:rPr>
          <w:rFonts w:ascii="Cambria" w:hAnsi="Cambria"/>
        </w:rPr>
        <w:t xml:space="preserve">The American College of Physicians (ACP, 2008) found that </w:t>
      </w:r>
      <w:r w:rsidR="002F56D6" w:rsidRPr="00011D64">
        <w:rPr>
          <w:rFonts w:ascii="Cambria" w:hAnsi="Cambria"/>
        </w:rPr>
        <w:t>“</w:t>
      </w:r>
      <w:r w:rsidRPr="00011D64">
        <w:rPr>
          <w:rFonts w:ascii="Cambria" w:hAnsi="Cambria"/>
        </w:rPr>
        <w:t>the degree of safety, comfort, openness and respect that LGBTQ youth patients feel often has an impact on their future access to health care, risk reduction, and help-seeking behaviors.</w:t>
      </w:r>
      <w:r w:rsidR="002F56D6" w:rsidRPr="00011D64">
        <w:rPr>
          <w:rFonts w:ascii="Cambria" w:hAnsi="Cambria"/>
        </w:rPr>
        <w:t>”</w:t>
      </w:r>
      <w:r w:rsidR="002F56D6" w:rsidRPr="00011D64">
        <w:rPr>
          <w:rStyle w:val="EndnoteReference"/>
          <w:rFonts w:ascii="Cambria" w:hAnsi="Cambria"/>
        </w:rPr>
        <w:endnoteReference w:id="71"/>
      </w:r>
    </w:p>
    <w:p w:rsidR="00E87D36" w:rsidRPr="00011D64" w:rsidRDefault="00A40013" w:rsidP="00A40013">
      <w:pPr>
        <w:spacing w:after="240"/>
        <w:rPr>
          <w:rFonts w:ascii="Cambria" w:hAnsi="Cambria"/>
        </w:rPr>
      </w:pPr>
      <w:r w:rsidRPr="00011D64">
        <w:rPr>
          <w:rFonts w:ascii="Cambria" w:hAnsi="Cambria"/>
        </w:rPr>
        <w:lastRenderedPageBreak/>
        <w:t>The Joint Commission (2011) cited studies showing</w:t>
      </w:r>
      <w:r w:rsidR="00B639BD" w:rsidRPr="00011D64">
        <w:rPr>
          <w:rFonts w:ascii="Cambria" w:hAnsi="Cambria"/>
        </w:rPr>
        <w:t xml:space="preserve"> LGBT patients and their families survey their surroundings to determine if the environment is one in which they feel welcome and accepted.</w:t>
      </w:r>
      <w:r w:rsidR="00B639BD" w:rsidRPr="00011D64">
        <w:rPr>
          <w:rStyle w:val="EndnoteReference"/>
          <w:rFonts w:ascii="Cambria" w:hAnsi="Cambria"/>
        </w:rPr>
        <w:endnoteReference w:id="72"/>
      </w:r>
    </w:p>
    <w:p w:rsidR="00E87D36" w:rsidRPr="00011D64" w:rsidRDefault="00E87D36" w:rsidP="00821C17">
      <w:pPr>
        <w:spacing w:after="120"/>
        <w:rPr>
          <w:rFonts w:ascii="Cambria" w:hAnsi="Cambria"/>
          <w:i/>
        </w:rPr>
      </w:pPr>
      <w:r w:rsidRPr="00011D64">
        <w:rPr>
          <w:rFonts w:ascii="Cambria" w:hAnsi="Cambria"/>
          <w:i/>
        </w:rPr>
        <w:t>Laws</w:t>
      </w:r>
      <w:r w:rsidR="00A40013" w:rsidRPr="00011D64">
        <w:rPr>
          <w:rFonts w:ascii="Cambria" w:hAnsi="Cambria"/>
          <w:i/>
        </w:rPr>
        <w:t xml:space="preserve"> and ethical rules prohibit</w:t>
      </w:r>
      <w:r w:rsidRPr="00011D64">
        <w:rPr>
          <w:rFonts w:ascii="Cambria" w:hAnsi="Cambria"/>
          <w:i/>
        </w:rPr>
        <w:t xml:space="preserve"> discrimination of LGBT people</w:t>
      </w:r>
    </w:p>
    <w:p w:rsidR="00EC7EC7" w:rsidRPr="00011D64" w:rsidRDefault="00E87D36" w:rsidP="00821C17">
      <w:pPr>
        <w:spacing w:after="120"/>
        <w:rPr>
          <w:rFonts w:ascii="Cambria" w:hAnsi="Cambria"/>
        </w:rPr>
      </w:pPr>
      <w:r w:rsidRPr="00011D64">
        <w:rPr>
          <w:rFonts w:ascii="Cambria" w:hAnsi="Cambria"/>
        </w:rPr>
        <w:t xml:space="preserve">Almost every major American medical association has ethical rules that prohibit discrimination of LGBT people in the practice of medicine, recognizing that such discrimination is harmful to patients’ health. In July 2011, the Joint Commission released their </w:t>
      </w:r>
      <w:r w:rsidRPr="00011D64">
        <w:rPr>
          <w:rFonts w:ascii="Cambria" w:hAnsi="Cambria"/>
          <w:i/>
        </w:rPr>
        <w:t>Comprehensive Accreditation Manual for Hospitals</w:t>
      </w:r>
      <w:r w:rsidRPr="00011D64">
        <w:rPr>
          <w:rFonts w:ascii="Cambria" w:hAnsi="Cambria"/>
        </w:rPr>
        <w:t>. The Centers for Medicare and Medicaid Services updated their Conditions of Participation in January 2011 for hospitals an</w:t>
      </w:r>
      <w:r w:rsidR="00A40013" w:rsidRPr="00011D64">
        <w:rPr>
          <w:rFonts w:ascii="Cambria" w:hAnsi="Cambria"/>
        </w:rPr>
        <w:t>d critical access hospitals to</w:t>
      </w:r>
      <w:r w:rsidRPr="00011D64">
        <w:rPr>
          <w:rFonts w:ascii="Cambria" w:hAnsi="Cambria"/>
        </w:rPr>
        <w:t xml:space="preserve"> require equal</w:t>
      </w:r>
      <w:r w:rsidR="00A40013" w:rsidRPr="00011D64">
        <w:rPr>
          <w:rFonts w:ascii="Cambria" w:hAnsi="Cambria"/>
        </w:rPr>
        <w:t xml:space="preserve"> visitation for partners. T</w:t>
      </w:r>
      <w:r w:rsidRPr="00011D64">
        <w:rPr>
          <w:rFonts w:ascii="Cambria" w:hAnsi="Cambria"/>
        </w:rPr>
        <w:t>he Code of Federal Regulations for hospitals</w:t>
      </w:r>
      <w:r w:rsidR="00A40013" w:rsidRPr="00011D64">
        <w:rPr>
          <w:rFonts w:ascii="Cambria" w:hAnsi="Cambria"/>
        </w:rPr>
        <w:t xml:space="preserve"> includes similar non-discrimination rules</w:t>
      </w:r>
      <w:r w:rsidR="007B019E">
        <w:rPr>
          <w:rFonts w:ascii="Cambria" w:hAnsi="Cambria"/>
        </w:rPr>
        <w:t xml:space="preserve"> (The Joint Commission, 2011)</w:t>
      </w:r>
      <w:r w:rsidRPr="00011D64">
        <w:rPr>
          <w:rFonts w:ascii="Cambria" w:hAnsi="Cambria"/>
        </w:rPr>
        <w:t>.</w:t>
      </w:r>
    </w:p>
    <w:p w:rsidR="00821C17" w:rsidRPr="00011D64" w:rsidRDefault="00EC7EC7" w:rsidP="00046D70">
      <w:pPr>
        <w:spacing w:after="240"/>
        <w:rPr>
          <w:rFonts w:ascii="Cambria" w:hAnsi="Cambria"/>
        </w:rPr>
      </w:pPr>
      <w:r w:rsidRPr="00011D64">
        <w:rPr>
          <w:rFonts w:ascii="Cambria" w:hAnsi="Cambria"/>
        </w:rPr>
        <w:t>HHS has issued guidance to state Medicaid agencies on financial protections for same-</w:t>
      </w:r>
      <w:r w:rsidR="00A40013" w:rsidRPr="00011D64">
        <w:rPr>
          <w:rFonts w:ascii="Cambria" w:hAnsi="Cambria"/>
        </w:rPr>
        <w:t>sex couples. New rules require</w:t>
      </w:r>
      <w:r w:rsidRPr="00011D64">
        <w:rPr>
          <w:rFonts w:ascii="Cambria" w:hAnsi="Cambria"/>
        </w:rPr>
        <w:t xml:space="preserve"> hospitals to protect patients’ rights to choose their own visitors during a hospital stay, including a visitor who is a same-sex domestic partner.</w:t>
      </w:r>
      <w:r w:rsidRPr="00011D64">
        <w:rPr>
          <w:rStyle w:val="EndnoteReference"/>
          <w:rFonts w:ascii="Cambria" w:hAnsi="Cambria"/>
        </w:rPr>
        <w:endnoteReference w:id="73"/>
      </w:r>
    </w:p>
    <w:p w:rsidR="002F56D6" w:rsidRPr="00011D64" w:rsidRDefault="002F56D6" w:rsidP="00821C17">
      <w:pPr>
        <w:spacing w:after="120"/>
        <w:rPr>
          <w:rFonts w:ascii="Cambria" w:hAnsi="Cambria"/>
        </w:rPr>
      </w:pPr>
      <w:r w:rsidRPr="00011D64">
        <w:rPr>
          <w:rFonts w:ascii="Cambria" w:hAnsi="Cambria"/>
          <w:i/>
        </w:rPr>
        <w:t>Strategies for equitable care of LGBTQ population</w:t>
      </w:r>
    </w:p>
    <w:p w:rsidR="00046D70" w:rsidRPr="00011D64" w:rsidRDefault="002F56D6" w:rsidP="00821C17">
      <w:pPr>
        <w:spacing w:after="120"/>
        <w:rPr>
          <w:rFonts w:ascii="Cambria" w:hAnsi="Cambria"/>
        </w:rPr>
      </w:pPr>
      <w:r w:rsidRPr="00011D64">
        <w:rPr>
          <w:rFonts w:ascii="Cambria" w:hAnsi="Cambria"/>
        </w:rPr>
        <w:t>Strategies recommended by the Joint Commission (</w:t>
      </w:r>
      <w:r w:rsidR="00A40013" w:rsidRPr="00011D64">
        <w:rPr>
          <w:rFonts w:ascii="Cambria" w:hAnsi="Cambria"/>
        </w:rPr>
        <w:t>2011)</w:t>
      </w:r>
      <w:r w:rsidRPr="00011D64">
        <w:rPr>
          <w:rFonts w:ascii="Cambria" w:hAnsi="Cambria"/>
        </w:rPr>
        <w:t xml:space="preserve"> in </w:t>
      </w:r>
      <w:r w:rsidR="00A40013" w:rsidRPr="00011D64">
        <w:rPr>
          <w:rFonts w:ascii="Cambria" w:hAnsi="Cambria"/>
          <w:i/>
        </w:rPr>
        <w:t>Advancing Effective Communication, Cultural Competence and Patient- and Family-Centered Care for the Lesbian, Gay, Bisexual and Transgender (LGBT) Community</w:t>
      </w:r>
      <w:r w:rsidRPr="00011D64">
        <w:rPr>
          <w:rFonts w:ascii="Cambria" w:hAnsi="Cambria"/>
        </w:rPr>
        <w:t xml:space="preserve"> are comprehensive and pertain </w:t>
      </w:r>
      <w:r w:rsidR="0047668E">
        <w:rPr>
          <w:rFonts w:ascii="Cambria" w:hAnsi="Cambria"/>
        </w:rPr>
        <w:t xml:space="preserve">to </w:t>
      </w:r>
      <w:r w:rsidRPr="00011D64">
        <w:rPr>
          <w:rFonts w:ascii="Cambria" w:hAnsi="Cambria"/>
        </w:rPr>
        <w:t>all branches of health care organizations.</w:t>
      </w:r>
      <w:r w:rsidR="00046D70" w:rsidRPr="00011D64">
        <w:rPr>
          <w:rStyle w:val="EndnoteReference"/>
          <w:rFonts w:ascii="Cambria" w:hAnsi="Cambria"/>
        </w:rPr>
        <w:endnoteReference w:id="74"/>
      </w:r>
      <w:r w:rsidRPr="00011D64">
        <w:rPr>
          <w:rFonts w:ascii="Cambria" w:hAnsi="Cambria"/>
        </w:rPr>
        <w:t xml:space="preserve"> </w:t>
      </w:r>
    </w:p>
    <w:p w:rsidR="00046D70" w:rsidRPr="00011D64" w:rsidRDefault="00046D70" w:rsidP="00821C17">
      <w:pPr>
        <w:spacing w:after="120"/>
        <w:rPr>
          <w:rFonts w:ascii="Cambria" w:hAnsi="Cambria"/>
        </w:rPr>
      </w:pPr>
      <w:r w:rsidRPr="00011D64">
        <w:rPr>
          <w:rFonts w:ascii="Cambria" w:hAnsi="Cambria"/>
        </w:rPr>
        <w:t xml:space="preserve">A summary </w:t>
      </w:r>
      <w:r w:rsidR="007B019E">
        <w:rPr>
          <w:rFonts w:ascii="Cambria" w:hAnsi="Cambria"/>
        </w:rPr>
        <w:t>of strategies</w:t>
      </w:r>
      <w:r w:rsidRPr="00011D64">
        <w:rPr>
          <w:rFonts w:ascii="Cambria" w:hAnsi="Cambria"/>
        </w:rPr>
        <w:t xml:space="preserve"> recommended </w:t>
      </w:r>
      <w:r w:rsidR="007B019E">
        <w:rPr>
          <w:rFonts w:ascii="Cambria" w:hAnsi="Cambria"/>
        </w:rPr>
        <w:t xml:space="preserve">in </w:t>
      </w:r>
      <w:r w:rsidR="00492B7D">
        <w:rPr>
          <w:rFonts w:ascii="Cambria" w:hAnsi="Cambria"/>
        </w:rPr>
        <w:t xml:space="preserve">the </w:t>
      </w:r>
      <w:r w:rsidR="007B019E">
        <w:rPr>
          <w:rFonts w:ascii="Cambria" w:hAnsi="Cambria"/>
        </w:rPr>
        <w:t>literature review</w:t>
      </w:r>
      <w:r w:rsidR="002E0BA5">
        <w:rPr>
          <w:rFonts w:ascii="Cambria" w:hAnsi="Cambria"/>
        </w:rPr>
        <w:t>ed (Joint Commission, 2011; IOM</w:t>
      </w:r>
      <w:r w:rsidR="007B019E">
        <w:rPr>
          <w:rFonts w:ascii="Cambria" w:hAnsi="Cambria"/>
        </w:rPr>
        <w:t xml:space="preserve">, </w:t>
      </w:r>
      <w:r w:rsidR="002E0BA5">
        <w:rPr>
          <w:rFonts w:ascii="Cambria" w:hAnsi="Cambria"/>
        </w:rPr>
        <w:t xml:space="preserve">2011; </w:t>
      </w:r>
      <w:r w:rsidR="007B019E">
        <w:rPr>
          <w:rFonts w:ascii="Cambria" w:hAnsi="Cambria"/>
        </w:rPr>
        <w:t xml:space="preserve">and GLMA, 2006) </w:t>
      </w:r>
      <w:r w:rsidRPr="00011D64">
        <w:rPr>
          <w:rFonts w:ascii="Cambria" w:hAnsi="Cambria"/>
        </w:rPr>
        <w:t>are summarized below:</w:t>
      </w:r>
    </w:p>
    <w:p w:rsidR="002F56D6" w:rsidRPr="00011D64" w:rsidRDefault="005C1A1C" w:rsidP="00046D70">
      <w:pPr>
        <w:spacing w:after="120"/>
        <w:ind w:left="720"/>
        <w:rPr>
          <w:rFonts w:ascii="Cambria" w:hAnsi="Cambria"/>
        </w:rPr>
      </w:pPr>
      <w:r w:rsidRPr="00011D64">
        <w:rPr>
          <w:rFonts w:ascii="Cambria" w:hAnsi="Cambria"/>
          <w:i/>
        </w:rPr>
        <w:t>Ensure l</w:t>
      </w:r>
      <w:r w:rsidR="002F56D6" w:rsidRPr="00011D64">
        <w:rPr>
          <w:rFonts w:ascii="Cambria" w:hAnsi="Cambria"/>
          <w:i/>
        </w:rPr>
        <w:t>eaders</w:t>
      </w:r>
      <w:r w:rsidR="00046D70" w:rsidRPr="00011D64">
        <w:rPr>
          <w:rFonts w:ascii="Cambria" w:hAnsi="Cambria"/>
          <w:i/>
        </w:rPr>
        <w:t>hip responsibility</w:t>
      </w:r>
      <w:r w:rsidRPr="00011D64">
        <w:rPr>
          <w:rFonts w:ascii="Cambria" w:hAnsi="Cambria"/>
        </w:rPr>
        <w:t xml:space="preserve">, as a </w:t>
      </w:r>
      <w:r w:rsidR="00492B7D">
        <w:rPr>
          <w:rFonts w:ascii="Cambria" w:hAnsi="Cambria"/>
        </w:rPr>
        <w:t>key to making sure</w:t>
      </w:r>
      <w:r w:rsidR="002F56D6" w:rsidRPr="00011D64">
        <w:rPr>
          <w:rFonts w:ascii="Cambria" w:hAnsi="Cambria"/>
        </w:rPr>
        <w:t xml:space="preserve"> that the needs of LGBT populations are taken into account </w:t>
      </w:r>
      <w:r w:rsidR="00046D70" w:rsidRPr="00011D64">
        <w:rPr>
          <w:rFonts w:ascii="Cambria" w:hAnsi="Cambria"/>
        </w:rPr>
        <w:t>in providing</w:t>
      </w:r>
      <w:r w:rsidR="002F56D6" w:rsidRPr="00011D64">
        <w:rPr>
          <w:rFonts w:ascii="Cambria" w:hAnsi="Cambria"/>
        </w:rPr>
        <w:t xml:space="preserve"> patient-centered and equitable care.</w:t>
      </w:r>
    </w:p>
    <w:p w:rsidR="00046D70" w:rsidRPr="00011D64" w:rsidRDefault="005C1A1C" w:rsidP="00046D70">
      <w:pPr>
        <w:spacing w:after="120"/>
        <w:ind w:left="720"/>
        <w:rPr>
          <w:rFonts w:ascii="Cambria" w:hAnsi="Cambria"/>
          <w:i/>
        </w:rPr>
      </w:pPr>
      <w:r w:rsidRPr="00011D64">
        <w:rPr>
          <w:rFonts w:ascii="Cambria" w:hAnsi="Cambria"/>
          <w:i/>
        </w:rPr>
        <w:t>Adopt p</w:t>
      </w:r>
      <w:r w:rsidR="00046D70" w:rsidRPr="00011D64">
        <w:rPr>
          <w:rFonts w:ascii="Cambria" w:hAnsi="Cambria"/>
          <w:i/>
        </w:rPr>
        <w:t xml:space="preserve">olicy-level actions </w:t>
      </w:r>
      <w:r w:rsidR="00046D70" w:rsidRPr="00011D64">
        <w:rPr>
          <w:rFonts w:ascii="Cambria" w:hAnsi="Cambria"/>
        </w:rPr>
        <w:t>to meet the needs of LGBT community</w:t>
      </w:r>
      <w:r w:rsidRPr="00011D64">
        <w:rPr>
          <w:rFonts w:ascii="Cambria" w:hAnsi="Cambria"/>
        </w:rPr>
        <w:t>. These</w:t>
      </w:r>
      <w:r w:rsidR="00046D70" w:rsidRPr="00011D64">
        <w:rPr>
          <w:rFonts w:ascii="Cambria" w:hAnsi="Cambria"/>
        </w:rPr>
        <w:t xml:space="preserve"> should include non-discrimination policies protecting patients from discrimination based on sexual orientation and gender identity; equal visitation rights</w:t>
      </w:r>
      <w:r w:rsidR="00046D70" w:rsidRPr="00011D64">
        <w:rPr>
          <w:rStyle w:val="FootnoteReference"/>
          <w:rFonts w:ascii="Cambria" w:hAnsi="Cambria"/>
        </w:rPr>
        <w:footnoteReference w:id="1"/>
      </w:r>
      <w:r w:rsidR="00046D70" w:rsidRPr="00011D64">
        <w:rPr>
          <w:rFonts w:ascii="Cambria" w:hAnsi="Cambria"/>
        </w:rPr>
        <w:t xml:space="preserve">; broadening the definition of family to include same sex partners; and ensuring grievance procedures include mechanisms to report discrimination or disrespectful treatment. </w:t>
      </w:r>
    </w:p>
    <w:p w:rsidR="00B639BD" w:rsidRPr="00011D64" w:rsidRDefault="005C1A1C" w:rsidP="005C1A1C">
      <w:pPr>
        <w:spacing w:after="120"/>
        <w:ind w:left="720"/>
        <w:rPr>
          <w:rFonts w:ascii="Cambria" w:hAnsi="Cambria"/>
        </w:rPr>
      </w:pPr>
      <w:r w:rsidRPr="00011D64">
        <w:rPr>
          <w:rFonts w:ascii="Cambria" w:hAnsi="Cambria"/>
          <w:i/>
        </w:rPr>
        <w:t>Obtain a better understanding of patient identity and behaviors</w:t>
      </w:r>
      <w:r w:rsidRPr="00011D64">
        <w:rPr>
          <w:rFonts w:ascii="Cambria" w:hAnsi="Cambria"/>
        </w:rPr>
        <w:t>, which can</w:t>
      </w:r>
      <w:r w:rsidR="00B639BD" w:rsidRPr="00011D64">
        <w:rPr>
          <w:rFonts w:ascii="Cambria" w:hAnsi="Cambria"/>
        </w:rPr>
        <w:t xml:space="preserve"> lead to more appropriate care, targeted risk-reduction counseling and </w:t>
      </w:r>
      <w:r w:rsidR="00B639BD" w:rsidRPr="00011D64">
        <w:rPr>
          <w:rFonts w:ascii="Cambria" w:hAnsi="Cambria"/>
        </w:rPr>
        <w:lastRenderedPageBreak/>
        <w:t>screenings, and targeted treatments and referrals</w:t>
      </w:r>
      <w:r w:rsidRPr="00011D64">
        <w:rPr>
          <w:rFonts w:ascii="Cambria" w:hAnsi="Cambria"/>
        </w:rPr>
        <w:t>. It is important to avoid assumptions and ask open-ended questions.</w:t>
      </w:r>
      <w:r w:rsidR="00B639BD" w:rsidRPr="00011D64">
        <w:rPr>
          <w:rFonts w:ascii="Cambria" w:hAnsi="Cambria"/>
        </w:rPr>
        <w:t xml:space="preserve"> </w:t>
      </w:r>
    </w:p>
    <w:p w:rsidR="00B639BD" w:rsidRPr="00011D64" w:rsidRDefault="005C1A1C" w:rsidP="005C1A1C">
      <w:pPr>
        <w:spacing w:after="120"/>
        <w:ind w:left="720"/>
        <w:rPr>
          <w:rFonts w:ascii="Cambria" w:hAnsi="Cambria"/>
        </w:rPr>
      </w:pPr>
      <w:r w:rsidRPr="00011D64">
        <w:rPr>
          <w:rFonts w:ascii="Cambria" w:hAnsi="Cambria"/>
          <w:i/>
        </w:rPr>
        <w:t>Develop a sensitive and inclusive intake procedure</w:t>
      </w:r>
      <w:r w:rsidRPr="00011D64">
        <w:rPr>
          <w:rFonts w:ascii="Cambria" w:hAnsi="Cambria"/>
        </w:rPr>
        <w:t xml:space="preserve">. </w:t>
      </w:r>
      <w:r w:rsidR="00B639BD" w:rsidRPr="00011D64">
        <w:rPr>
          <w:rFonts w:ascii="Cambria" w:hAnsi="Cambria"/>
        </w:rPr>
        <w:t>Information about sexual orientation or identity should come only from the patient</w:t>
      </w:r>
      <w:r w:rsidRPr="00011D64">
        <w:rPr>
          <w:rFonts w:ascii="Cambria" w:hAnsi="Cambria"/>
        </w:rPr>
        <w:t xml:space="preserve">. It is important to ask </w:t>
      </w:r>
      <w:r w:rsidR="00575148" w:rsidRPr="00011D64">
        <w:rPr>
          <w:rFonts w:ascii="Cambria" w:hAnsi="Cambria"/>
        </w:rPr>
        <w:t>gender-neutral</w:t>
      </w:r>
      <w:r w:rsidRPr="00011D64">
        <w:rPr>
          <w:rFonts w:ascii="Cambria" w:hAnsi="Cambria"/>
        </w:rPr>
        <w:t xml:space="preserve"> questions, such as “How would you like to be addressed?” or “What name would you like to be called?”</w:t>
      </w:r>
    </w:p>
    <w:p w:rsidR="00B639BD" w:rsidRPr="00011D64" w:rsidRDefault="005C1A1C" w:rsidP="005C1A1C">
      <w:pPr>
        <w:spacing w:after="120"/>
        <w:ind w:left="720"/>
        <w:rPr>
          <w:rFonts w:ascii="Cambria" w:hAnsi="Cambria"/>
        </w:rPr>
      </w:pPr>
      <w:r w:rsidRPr="00011D64">
        <w:rPr>
          <w:rFonts w:ascii="Cambria" w:hAnsi="Cambria"/>
          <w:i/>
        </w:rPr>
        <w:t>Create a welcoming environment</w:t>
      </w:r>
      <w:r w:rsidRPr="00011D64">
        <w:rPr>
          <w:rFonts w:ascii="Cambria" w:hAnsi="Cambria"/>
        </w:rPr>
        <w:t xml:space="preserve"> by p</w:t>
      </w:r>
      <w:r w:rsidR="00B639BD" w:rsidRPr="00011D64">
        <w:rPr>
          <w:rFonts w:ascii="Cambria" w:hAnsi="Cambria"/>
        </w:rPr>
        <w:t>rominently post</w:t>
      </w:r>
      <w:r w:rsidRPr="00011D64">
        <w:rPr>
          <w:rFonts w:ascii="Cambria" w:hAnsi="Cambria"/>
        </w:rPr>
        <w:t>ing the</w:t>
      </w:r>
      <w:r w:rsidR="00B639BD" w:rsidRPr="00011D64">
        <w:rPr>
          <w:rFonts w:ascii="Cambria" w:hAnsi="Cambria"/>
        </w:rPr>
        <w:t xml:space="preserve"> nondiscrimination policy</w:t>
      </w:r>
      <w:r w:rsidRPr="00011D64">
        <w:rPr>
          <w:rFonts w:ascii="Cambria" w:hAnsi="Cambria"/>
        </w:rPr>
        <w:t>; displaying LGBT friendly symbols such as the rainbow flag, or safe zone sign in waiting areas; reflecting and being inclusive of LGBT pat</w:t>
      </w:r>
      <w:r w:rsidR="002E0BA5">
        <w:rPr>
          <w:rFonts w:ascii="Cambria" w:hAnsi="Cambria"/>
        </w:rPr>
        <w:t>ients in brochures, magazines, and images depicted in waiting areas</w:t>
      </w:r>
      <w:r w:rsidRPr="00011D64">
        <w:rPr>
          <w:rFonts w:ascii="Cambria" w:hAnsi="Cambria"/>
        </w:rPr>
        <w:t>; providing resources</w:t>
      </w:r>
      <w:r w:rsidR="002E0BA5">
        <w:rPr>
          <w:rFonts w:ascii="Cambria" w:hAnsi="Cambria"/>
        </w:rPr>
        <w:t>,</w:t>
      </w:r>
      <w:r w:rsidRPr="00011D64">
        <w:rPr>
          <w:rFonts w:ascii="Cambria" w:hAnsi="Cambria"/>
        </w:rPr>
        <w:t xml:space="preserve"> information and guidance on specific concerns facing the LGBT community, offering unisex or single stall restrooms; and offering nondiscriminatory visitation policies.</w:t>
      </w:r>
    </w:p>
    <w:p w:rsidR="00B639BD" w:rsidRPr="00011D64" w:rsidRDefault="005C1A1C" w:rsidP="005C1A1C">
      <w:pPr>
        <w:spacing w:after="120"/>
        <w:ind w:left="720"/>
        <w:rPr>
          <w:rFonts w:ascii="Cambria" w:hAnsi="Cambria"/>
        </w:rPr>
      </w:pPr>
      <w:r w:rsidRPr="00011D64">
        <w:rPr>
          <w:rFonts w:ascii="Cambria" w:hAnsi="Cambria"/>
          <w:i/>
        </w:rPr>
        <w:t>Become aware of and avoid misconceptions, bias and stereotypes</w:t>
      </w:r>
      <w:r w:rsidR="004B19EB" w:rsidRPr="00011D64">
        <w:rPr>
          <w:rFonts w:ascii="Cambria" w:hAnsi="Cambria"/>
        </w:rPr>
        <w:t>, understanding that self-identification and behaviors don’t always align.</w:t>
      </w:r>
    </w:p>
    <w:p w:rsidR="004B19EB" w:rsidRPr="00011D64" w:rsidRDefault="004B19EB" w:rsidP="004B19EB">
      <w:pPr>
        <w:spacing w:after="120"/>
        <w:ind w:left="720"/>
        <w:rPr>
          <w:rFonts w:ascii="Cambria" w:hAnsi="Cambria"/>
        </w:rPr>
      </w:pPr>
      <w:r w:rsidRPr="00011D64">
        <w:rPr>
          <w:rFonts w:ascii="Cambria" w:hAnsi="Cambria"/>
          <w:i/>
        </w:rPr>
        <w:t xml:space="preserve">Offer cultural competence training in LGBT culture and health needs. </w:t>
      </w:r>
      <w:r w:rsidR="005C1A1C" w:rsidRPr="00011D64">
        <w:rPr>
          <w:rFonts w:ascii="Cambria" w:hAnsi="Cambria"/>
        </w:rPr>
        <w:t>Recommended topics for LGBT training</w:t>
      </w:r>
      <w:r w:rsidRPr="00011D64">
        <w:rPr>
          <w:rFonts w:ascii="Cambria" w:hAnsi="Cambria"/>
        </w:rPr>
        <w:t xml:space="preserve"> (Joint Commission, 2011) include:</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 xml:space="preserve">LGBT terminology and demographics </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History and background</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 xml:space="preserve">State </w:t>
      </w:r>
      <w:r w:rsidR="002068A9" w:rsidRPr="00011D64">
        <w:rPr>
          <w:rFonts w:ascii="Cambria" w:hAnsi="Cambria"/>
        </w:rPr>
        <w:t xml:space="preserve">and local laws affecting LGBT </w:t>
      </w:r>
      <w:r w:rsidRPr="00011D64">
        <w:rPr>
          <w:rFonts w:ascii="Cambria" w:hAnsi="Cambria"/>
        </w:rPr>
        <w:t>people in health care settings</w:t>
      </w:r>
    </w:p>
    <w:p w:rsidR="004B19EB" w:rsidRPr="00011D64" w:rsidRDefault="002068A9" w:rsidP="004B19EB">
      <w:pPr>
        <w:pStyle w:val="ListParagraph"/>
        <w:numPr>
          <w:ilvl w:val="0"/>
          <w:numId w:val="17"/>
        </w:numPr>
        <w:spacing w:after="120"/>
        <w:rPr>
          <w:rFonts w:ascii="Cambria" w:hAnsi="Cambria"/>
          <w:i/>
        </w:rPr>
      </w:pPr>
      <w:r w:rsidRPr="00011D64">
        <w:rPr>
          <w:rFonts w:ascii="Cambria" w:hAnsi="Cambria"/>
        </w:rPr>
        <w:t>LGBT heal</w:t>
      </w:r>
      <w:r w:rsidR="004B19EB" w:rsidRPr="00011D64">
        <w:rPr>
          <w:rFonts w:ascii="Cambria" w:hAnsi="Cambria"/>
        </w:rPr>
        <w:t>th disparities and inequities</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C</w:t>
      </w:r>
      <w:r w:rsidR="002068A9" w:rsidRPr="00011D64">
        <w:rPr>
          <w:rFonts w:ascii="Cambria" w:hAnsi="Cambria"/>
        </w:rPr>
        <w:t xml:space="preserve">linical concerns, mental </w:t>
      </w:r>
      <w:r w:rsidRPr="00011D64">
        <w:rPr>
          <w:rFonts w:ascii="Cambria" w:hAnsi="Cambria"/>
        </w:rPr>
        <w:t xml:space="preserve">and behavioral health concerns </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H</w:t>
      </w:r>
      <w:r w:rsidR="002068A9" w:rsidRPr="00011D64">
        <w:rPr>
          <w:rFonts w:ascii="Cambria" w:hAnsi="Cambria"/>
        </w:rPr>
        <w:t>ealth pro</w:t>
      </w:r>
      <w:r w:rsidRPr="00011D64">
        <w:rPr>
          <w:rFonts w:ascii="Cambria" w:hAnsi="Cambria"/>
        </w:rPr>
        <w:t>motion and disease prevention</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C</w:t>
      </w:r>
      <w:r w:rsidR="002068A9" w:rsidRPr="00011D64">
        <w:rPr>
          <w:rFonts w:ascii="Cambria" w:hAnsi="Cambria"/>
        </w:rPr>
        <w:t>ommuni</w:t>
      </w:r>
      <w:r w:rsidRPr="00011D64">
        <w:rPr>
          <w:rFonts w:ascii="Cambria" w:hAnsi="Cambria"/>
        </w:rPr>
        <w:t>cation and other interactions</w:t>
      </w:r>
    </w:p>
    <w:p w:rsidR="004B19EB" w:rsidRPr="00011D64" w:rsidRDefault="004B19EB" w:rsidP="004B19EB">
      <w:pPr>
        <w:pStyle w:val="ListParagraph"/>
        <w:numPr>
          <w:ilvl w:val="0"/>
          <w:numId w:val="17"/>
        </w:numPr>
        <w:spacing w:after="120"/>
        <w:rPr>
          <w:rFonts w:ascii="Cambria" w:hAnsi="Cambria"/>
          <w:i/>
        </w:rPr>
      </w:pPr>
      <w:r w:rsidRPr="00011D64">
        <w:rPr>
          <w:rFonts w:ascii="Cambria" w:hAnsi="Cambria"/>
        </w:rPr>
        <w:t>Resources for follow-up learning</w:t>
      </w:r>
    </w:p>
    <w:p w:rsidR="004B19EB" w:rsidRPr="00011D64" w:rsidRDefault="002068A9" w:rsidP="004B19EB">
      <w:pPr>
        <w:pStyle w:val="ListParagraph"/>
        <w:numPr>
          <w:ilvl w:val="0"/>
          <w:numId w:val="17"/>
        </w:numPr>
        <w:spacing w:after="120"/>
        <w:rPr>
          <w:rFonts w:ascii="Cambria" w:hAnsi="Cambria"/>
          <w:i/>
        </w:rPr>
      </w:pPr>
      <w:r w:rsidRPr="00011D64">
        <w:rPr>
          <w:rFonts w:ascii="Cambria" w:hAnsi="Cambria"/>
        </w:rPr>
        <w:t>Training fo</w:t>
      </w:r>
      <w:r w:rsidR="004B19EB" w:rsidRPr="00011D64">
        <w:rPr>
          <w:rFonts w:ascii="Cambria" w:hAnsi="Cambria"/>
        </w:rPr>
        <w:t>r LGBT patient care</w:t>
      </w:r>
    </w:p>
    <w:p w:rsidR="00B639BD" w:rsidRPr="00011D64" w:rsidRDefault="004B19EB" w:rsidP="004B19EB">
      <w:pPr>
        <w:pStyle w:val="ListParagraph"/>
        <w:numPr>
          <w:ilvl w:val="0"/>
          <w:numId w:val="17"/>
        </w:numPr>
        <w:spacing w:after="120"/>
        <w:rPr>
          <w:rFonts w:ascii="Cambria" w:hAnsi="Cambria"/>
          <w:i/>
        </w:rPr>
      </w:pPr>
      <w:r w:rsidRPr="00011D64">
        <w:rPr>
          <w:rFonts w:ascii="Cambria" w:hAnsi="Cambria"/>
        </w:rPr>
        <w:t>M</w:t>
      </w:r>
      <w:r w:rsidR="002068A9" w:rsidRPr="00011D64">
        <w:rPr>
          <w:rFonts w:ascii="Cambria" w:hAnsi="Cambria"/>
        </w:rPr>
        <w:t>andatory presentations on HIPPA, sexual harassment</w:t>
      </w:r>
    </w:p>
    <w:p w:rsidR="00D16B65" w:rsidRPr="00011D64" w:rsidRDefault="004B19EB" w:rsidP="001160B5">
      <w:pPr>
        <w:spacing w:after="120"/>
        <w:ind w:left="720"/>
        <w:rPr>
          <w:rFonts w:ascii="Cambria" w:hAnsi="Cambria"/>
        </w:rPr>
      </w:pPr>
      <w:r w:rsidRPr="00011D64">
        <w:rPr>
          <w:rFonts w:ascii="Cambria" w:hAnsi="Cambria"/>
          <w:i/>
        </w:rPr>
        <w:t xml:space="preserve">Collect </w:t>
      </w:r>
      <w:r w:rsidR="00D16B65" w:rsidRPr="00011D64">
        <w:rPr>
          <w:rFonts w:ascii="Cambria" w:hAnsi="Cambria"/>
          <w:i/>
        </w:rPr>
        <w:t xml:space="preserve">and document self-reported </w:t>
      </w:r>
      <w:r w:rsidRPr="00011D64">
        <w:rPr>
          <w:rFonts w:ascii="Cambria" w:hAnsi="Cambria"/>
          <w:i/>
        </w:rPr>
        <w:t>data on sexual orientation and gender identity</w:t>
      </w:r>
      <w:r w:rsidRPr="00011D64">
        <w:rPr>
          <w:rFonts w:ascii="Cambria" w:hAnsi="Cambria"/>
        </w:rPr>
        <w:t xml:space="preserve">. The </w:t>
      </w:r>
      <w:r w:rsidR="00893625" w:rsidRPr="00011D64">
        <w:rPr>
          <w:rFonts w:ascii="Cambria" w:hAnsi="Cambria"/>
        </w:rPr>
        <w:t>Join</w:t>
      </w:r>
      <w:r w:rsidRPr="00011D64">
        <w:rPr>
          <w:rFonts w:ascii="Cambria" w:hAnsi="Cambria"/>
        </w:rPr>
        <w:t>t Commission recommends collecting voluntary and self-reported data</w:t>
      </w:r>
      <w:r w:rsidR="00D16B65" w:rsidRPr="00011D64">
        <w:rPr>
          <w:rFonts w:ascii="Cambria" w:hAnsi="Cambria"/>
        </w:rPr>
        <w:t xml:space="preserve"> at admission or registration, and documenting this data in medical records. </w:t>
      </w:r>
    </w:p>
    <w:p w:rsidR="00893625" w:rsidRPr="00011D64" w:rsidRDefault="00D16B65" w:rsidP="001160B5">
      <w:pPr>
        <w:spacing w:after="120"/>
        <w:ind w:left="720"/>
        <w:rPr>
          <w:rFonts w:ascii="Cambria" w:hAnsi="Cambria"/>
        </w:rPr>
      </w:pPr>
      <w:r w:rsidRPr="00011D64">
        <w:rPr>
          <w:rFonts w:ascii="Cambria" w:hAnsi="Cambria"/>
          <w:i/>
        </w:rPr>
        <w:t>Use inclusive, gender-neutral language</w:t>
      </w:r>
      <w:r w:rsidRPr="00011D64">
        <w:rPr>
          <w:rFonts w:ascii="Cambria" w:hAnsi="Cambria"/>
        </w:rPr>
        <w:t xml:space="preserve">. When talking with patients, staff should use inclusive, neutral language (for example: “Who are the important people in your life?” vs. “Are you married?”).  Forms should also be written in gender-neutral language and </w:t>
      </w:r>
      <w:r w:rsidR="004B19EB" w:rsidRPr="00011D64">
        <w:rPr>
          <w:rFonts w:ascii="Cambria" w:hAnsi="Cambria"/>
        </w:rPr>
        <w:t>include a designation of relationship status, gender identity and registration admitting forms that allow for patient support persons, visitors, indication of preferred name and gender pronouns.</w:t>
      </w:r>
      <w:r w:rsidRPr="00011D64">
        <w:rPr>
          <w:rFonts w:ascii="Cambria" w:hAnsi="Cambria"/>
        </w:rPr>
        <w:t xml:space="preserve"> </w:t>
      </w:r>
    </w:p>
    <w:p w:rsidR="00B639BD" w:rsidRPr="00011D64" w:rsidRDefault="00D16B65" w:rsidP="001160B5">
      <w:pPr>
        <w:spacing w:after="120"/>
        <w:ind w:left="720"/>
        <w:rPr>
          <w:rFonts w:ascii="Cambria" w:hAnsi="Cambria"/>
        </w:rPr>
      </w:pPr>
      <w:r w:rsidRPr="00011D64">
        <w:rPr>
          <w:rFonts w:ascii="Cambria" w:hAnsi="Cambria"/>
          <w:i/>
        </w:rPr>
        <w:t xml:space="preserve">Assure confidentiality and show sensitivity in data collection. </w:t>
      </w:r>
      <w:r w:rsidRPr="00011D64">
        <w:rPr>
          <w:rFonts w:ascii="Cambria" w:hAnsi="Cambria"/>
        </w:rPr>
        <w:t>Accordin</w:t>
      </w:r>
      <w:r w:rsidR="002E0BA5">
        <w:rPr>
          <w:rFonts w:ascii="Cambria" w:hAnsi="Cambria"/>
        </w:rPr>
        <w:t xml:space="preserve">g to the Institute of Medicine: </w:t>
      </w:r>
      <w:r w:rsidRPr="00011D64">
        <w:rPr>
          <w:rFonts w:ascii="Cambria" w:hAnsi="Cambria"/>
        </w:rPr>
        <w:t xml:space="preserve">“information on sexual orientation and gender identity could be perceived as more sensitive than other information.” Providers should be aware that some patients may be hesitant to disclose this information. Staff should ensure the confidentiality of information collected </w:t>
      </w:r>
      <w:r w:rsidRPr="00011D64">
        <w:rPr>
          <w:rFonts w:ascii="Cambria" w:hAnsi="Cambria"/>
        </w:rPr>
        <w:lastRenderedPageBreak/>
        <w:t xml:space="preserve">and disclosed. Best practices in data collection include “the respectful involvement of individuals who represent the </w:t>
      </w:r>
      <w:r w:rsidR="00492B7D">
        <w:rPr>
          <w:rFonts w:ascii="Cambria" w:hAnsi="Cambria"/>
        </w:rPr>
        <w:t xml:space="preserve">(disability, LGBT, veteran, etc.) </w:t>
      </w:r>
      <w:r w:rsidRPr="00011D64">
        <w:rPr>
          <w:rFonts w:ascii="Cambria" w:hAnsi="Cambria"/>
        </w:rPr>
        <w:t>population in the research process, from design to data collection to dissemination.” (IOM, 2011)</w:t>
      </w:r>
    </w:p>
    <w:p w:rsidR="00863334" w:rsidRPr="00011D64" w:rsidRDefault="00D16B65" w:rsidP="001160B5">
      <w:pPr>
        <w:spacing w:after="120"/>
        <w:ind w:left="720"/>
        <w:rPr>
          <w:rFonts w:ascii="Cambria" w:hAnsi="Cambria"/>
        </w:rPr>
      </w:pPr>
      <w:r w:rsidRPr="00011D64">
        <w:rPr>
          <w:rFonts w:ascii="Cambria" w:hAnsi="Cambria"/>
          <w:i/>
        </w:rPr>
        <w:t>Train staff in the collection of data</w:t>
      </w:r>
      <w:r w:rsidRPr="00011D64">
        <w:rPr>
          <w:rFonts w:ascii="Cambria" w:hAnsi="Cambria"/>
        </w:rPr>
        <w:t xml:space="preserve">, so they are prepared to </w:t>
      </w:r>
      <w:r w:rsidR="002068A9" w:rsidRPr="00011D64">
        <w:rPr>
          <w:rFonts w:ascii="Cambria" w:hAnsi="Cambria"/>
        </w:rPr>
        <w:t>explain why data are i</w:t>
      </w:r>
      <w:r w:rsidRPr="00011D64">
        <w:rPr>
          <w:rFonts w:ascii="Cambria" w:hAnsi="Cambria"/>
        </w:rPr>
        <w:t xml:space="preserve">mportant, </w:t>
      </w:r>
      <w:r w:rsidR="00492B7D">
        <w:rPr>
          <w:rFonts w:ascii="Cambria" w:hAnsi="Cambria"/>
        </w:rPr>
        <w:t>how</w:t>
      </w:r>
      <w:r w:rsidRPr="00011D64">
        <w:rPr>
          <w:rFonts w:ascii="Cambria" w:hAnsi="Cambria"/>
        </w:rPr>
        <w:t xml:space="preserve"> they will be used, and</w:t>
      </w:r>
      <w:r w:rsidR="002068A9" w:rsidRPr="00011D64">
        <w:rPr>
          <w:rFonts w:ascii="Cambria" w:hAnsi="Cambria"/>
        </w:rPr>
        <w:t xml:space="preserve"> emphasize this information will not be used to facilitate discrimination</w:t>
      </w:r>
      <w:r w:rsidRPr="00011D64">
        <w:rPr>
          <w:rFonts w:ascii="Cambria" w:hAnsi="Cambria"/>
        </w:rPr>
        <w:t>.</w:t>
      </w:r>
    </w:p>
    <w:p w:rsidR="00B639BD" w:rsidRPr="00011D64" w:rsidRDefault="00D16B65" w:rsidP="001160B5">
      <w:pPr>
        <w:spacing w:after="120"/>
        <w:ind w:left="720"/>
        <w:rPr>
          <w:rFonts w:ascii="Cambria" w:hAnsi="Cambria"/>
        </w:rPr>
      </w:pPr>
      <w:r w:rsidRPr="00011D64">
        <w:rPr>
          <w:rFonts w:ascii="Cambria" w:hAnsi="Cambria"/>
          <w:i/>
        </w:rPr>
        <w:t>Collect data to identify and address health disparities</w:t>
      </w:r>
      <w:r w:rsidRPr="00011D64">
        <w:rPr>
          <w:rFonts w:ascii="Cambria" w:hAnsi="Cambria"/>
        </w:rPr>
        <w:t xml:space="preserve">. </w:t>
      </w:r>
      <w:r w:rsidR="00893625" w:rsidRPr="00011D64">
        <w:rPr>
          <w:rFonts w:ascii="Cambria" w:hAnsi="Cambria"/>
        </w:rPr>
        <w:t>Add information about sexual orientation and gender</w:t>
      </w:r>
      <w:r w:rsidRPr="00011D64">
        <w:rPr>
          <w:rFonts w:ascii="Cambria" w:hAnsi="Cambria"/>
        </w:rPr>
        <w:t xml:space="preserve"> identity into patient surveys and u</w:t>
      </w:r>
      <w:r w:rsidR="00893625" w:rsidRPr="00011D64">
        <w:rPr>
          <w:rFonts w:ascii="Cambria" w:hAnsi="Cambria"/>
        </w:rPr>
        <w:t xml:space="preserve">se aggregated patient-level sexual orientation and gender identity data to develop or modify </w:t>
      </w:r>
      <w:r w:rsidRPr="00011D64">
        <w:rPr>
          <w:rFonts w:ascii="Cambria" w:hAnsi="Cambria"/>
        </w:rPr>
        <w:t>services.</w:t>
      </w:r>
    </w:p>
    <w:p w:rsidR="002068A9" w:rsidRPr="00011D64" w:rsidRDefault="00354D30" w:rsidP="001160B5">
      <w:pPr>
        <w:spacing w:after="120"/>
        <w:ind w:left="720"/>
        <w:rPr>
          <w:rFonts w:ascii="Cambria" w:hAnsi="Cambria"/>
        </w:rPr>
      </w:pPr>
      <w:r w:rsidRPr="00011D64">
        <w:rPr>
          <w:rFonts w:ascii="Cambria" w:hAnsi="Cambria"/>
          <w:i/>
        </w:rPr>
        <w:t>Develop policies that attract and retain LGBT employees</w:t>
      </w:r>
      <w:r w:rsidRPr="00011D64">
        <w:rPr>
          <w:rFonts w:ascii="Cambria" w:hAnsi="Cambria"/>
        </w:rPr>
        <w:t xml:space="preserve">. Offer equitable treatment and inclusion of LGBT employees </w:t>
      </w:r>
      <w:r w:rsidR="00B639BD" w:rsidRPr="00011D64">
        <w:rPr>
          <w:rFonts w:ascii="Cambria" w:hAnsi="Cambria"/>
        </w:rPr>
        <w:t>through discrimination protection, equalization</w:t>
      </w:r>
      <w:r w:rsidR="00FF041A" w:rsidRPr="00011D64">
        <w:rPr>
          <w:rFonts w:ascii="Cambria" w:hAnsi="Cambria"/>
        </w:rPr>
        <w:t xml:space="preserve"> o</w:t>
      </w:r>
      <w:r w:rsidR="002068A9" w:rsidRPr="00011D64">
        <w:rPr>
          <w:rFonts w:ascii="Cambria" w:hAnsi="Cambria"/>
        </w:rPr>
        <w:t>f health coverage for partners and other hospital benefits</w:t>
      </w:r>
      <w:r w:rsidRPr="00011D64">
        <w:rPr>
          <w:rFonts w:ascii="Cambria" w:hAnsi="Cambria"/>
        </w:rPr>
        <w:t xml:space="preserve">. </w:t>
      </w:r>
      <w:r w:rsidR="002068A9" w:rsidRPr="00011D64">
        <w:rPr>
          <w:rFonts w:ascii="Cambria" w:hAnsi="Cambria"/>
        </w:rPr>
        <w:t>Demonstrate commitment in recruitment and hiring through LGBT-in</w:t>
      </w:r>
      <w:r w:rsidRPr="00011D64">
        <w:rPr>
          <w:rFonts w:ascii="Cambria" w:hAnsi="Cambria"/>
        </w:rPr>
        <w:t xml:space="preserve">clusive language in job notices, </w:t>
      </w:r>
      <w:r w:rsidR="002068A9" w:rsidRPr="00011D64">
        <w:rPr>
          <w:rFonts w:ascii="Cambria" w:hAnsi="Cambria"/>
        </w:rPr>
        <w:t xml:space="preserve">attendance to LGBT job fairs, publications, </w:t>
      </w:r>
      <w:r w:rsidRPr="00011D64">
        <w:rPr>
          <w:rFonts w:ascii="Cambria" w:hAnsi="Cambria"/>
        </w:rPr>
        <w:t xml:space="preserve">and </w:t>
      </w:r>
      <w:r w:rsidR="002068A9" w:rsidRPr="00011D64">
        <w:rPr>
          <w:rFonts w:ascii="Cambria" w:hAnsi="Cambria"/>
        </w:rPr>
        <w:t>outreach with LGBT groups</w:t>
      </w:r>
      <w:r w:rsidRPr="00011D64">
        <w:rPr>
          <w:rFonts w:ascii="Cambria" w:hAnsi="Cambria"/>
        </w:rPr>
        <w:t xml:space="preserve">. </w:t>
      </w:r>
      <w:r w:rsidR="002068A9" w:rsidRPr="00011D64">
        <w:rPr>
          <w:rFonts w:ascii="Cambria" w:hAnsi="Cambria"/>
        </w:rPr>
        <w:t xml:space="preserve">Train </w:t>
      </w:r>
      <w:r w:rsidRPr="00011D64">
        <w:rPr>
          <w:rFonts w:ascii="Cambria" w:hAnsi="Cambria"/>
        </w:rPr>
        <w:t>Human Resources staff</w:t>
      </w:r>
      <w:r w:rsidR="002068A9" w:rsidRPr="00011D64">
        <w:rPr>
          <w:rFonts w:ascii="Cambria" w:hAnsi="Cambria"/>
        </w:rPr>
        <w:t xml:space="preserve"> on general LGBT workplace concerns</w:t>
      </w:r>
      <w:r w:rsidRPr="00011D64">
        <w:rPr>
          <w:rFonts w:ascii="Cambria" w:hAnsi="Cambria"/>
        </w:rPr>
        <w:t xml:space="preserve"> and nondiscrimination</w:t>
      </w:r>
      <w:r w:rsidR="002068A9" w:rsidRPr="00011D64">
        <w:rPr>
          <w:rFonts w:ascii="Cambria" w:hAnsi="Cambria"/>
        </w:rPr>
        <w:t>, benefits and policies</w:t>
      </w:r>
      <w:r w:rsidR="002E0BA5">
        <w:rPr>
          <w:rFonts w:ascii="Cambria" w:hAnsi="Cambria"/>
        </w:rPr>
        <w:t>.</w:t>
      </w:r>
    </w:p>
    <w:p w:rsidR="00A721C8" w:rsidRPr="00011D64" w:rsidRDefault="00354D30" w:rsidP="00492B7D">
      <w:pPr>
        <w:spacing w:after="360"/>
        <w:ind w:left="720"/>
        <w:rPr>
          <w:rFonts w:ascii="Cambria" w:hAnsi="Cambria"/>
        </w:rPr>
      </w:pPr>
      <w:r w:rsidRPr="00011D64">
        <w:rPr>
          <w:rFonts w:ascii="Cambria" w:hAnsi="Cambria"/>
          <w:i/>
        </w:rPr>
        <w:t>Include the LGBT community in planning, communications and outreach.</w:t>
      </w:r>
      <w:r w:rsidRPr="00011D64">
        <w:rPr>
          <w:rFonts w:ascii="Cambria" w:hAnsi="Cambria"/>
        </w:rPr>
        <w:t xml:space="preserve"> Survey satisfaction of LGBT patients and their families; include representatives from the LGBT community in advisory boards; seek feedback on communications materials from LGBT community; share resources and participate in education opportunities addressing LGBT health issues (i.e. cultural competency programs, local colleges and high schools). </w:t>
      </w:r>
    </w:p>
    <w:p w:rsidR="00BB07C9" w:rsidRPr="00011D64" w:rsidRDefault="00995630" w:rsidP="00FE123D">
      <w:pPr>
        <w:spacing w:after="120"/>
        <w:rPr>
          <w:rFonts w:ascii="Cambria" w:hAnsi="Cambria"/>
        </w:rPr>
      </w:pPr>
      <w:r w:rsidRPr="00011D64">
        <w:rPr>
          <w:rFonts w:ascii="Cambria" w:hAnsi="Cambria"/>
          <w:b/>
        </w:rPr>
        <w:t>Cultural</w:t>
      </w:r>
      <w:r w:rsidR="001160B5">
        <w:rPr>
          <w:rFonts w:ascii="Cambria" w:hAnsi="Cambria"/>
          <w:b/>
        </w:rPr>
        <w:t>ly Competent Services for Persons</w:t>
      </w:r>
      <w:r w:rsidRPr="00011D64">
        <w:rPr>
          <w:rFonts w:ascii="Cambria" w:hAnsi="Cambria"/>
          <w:b/>
        </w:rPr>
        <w:t xml:space="preserve"> with </w:t>
      </w:r>
      <w:r w:rsidR="00BB07C9" w:rsidRPr="00011D64">
        <w:rPr>
          <w:rFonts w:ascii="Cambria" w:hAnsi="Cambria"/>
          <w:b/>
        </w:rPr>
        <w:t>Disabilities</w:t>
      </w:r>
    </w:p>
    <w:p w:rsidR="00E628FA" w:rsidRPr="002F37EF" w:rsidRDefault="00E628FA" w:rsidP="00FE123D">
      <w:pPr>
        <w:spacing w:after="120"/>
        <w:rPr>
          <w:rFonts w:ascii="Cambria" w:hAnsi="Cambria"/>
          <w:b/>
          <w:i/>
        </w:rPr>
      </w:pPr>
      <w:r w:rsidRPr="002F37EF">
        <w:rPr>
          <w:rFonts w:ascii="Cambria" w:hAnsi="Cambria"/>
          <w:b/>
          <w:i/>
        </w:rPr>
        <w:t>Disability is a common characteristic that should be defined broadly.</w:t>
      </w:r>
    </w:p>
    <w:p w:rsidR="00E628FA" w:rsidRDefault="00E628FA" w:rsidP="00E628FA">
      <w:pPr>
        <w:spacing w:after="120"/>
        <w:rPr>
          <w:rFonts w:ascii="Cambria" w:hAnsi="Cambria"/>
        </w:rPr>
      </w:pPr>
      <w:r>
        <w:rPr>
          <w:rFonts w:ascii="Cambria" w:hAnsi="Cambria"/>
        </w:rPr>
        <w:t>A</w:t>
      </w:r>
      <w:r w:rsidRPr="00E628FA">
        <w:rPr>
          <w:rFonts w:ascii="Cambria" w:hAnsi="Cambria"/>
        </w:rPr>
        <w:t>bout 30 percent of people living in the U.S. experience some difficulty with “basic” movement, or cognitive, s</w:t>
      </w:r>
      <w:r>
        <w:rPr>
          <w:rFonts w:ascii="Cambria" w:hAnsi="Cambria"/>
        </w:rPr>
        <w:t>ensory or emotional limitations--with 20 percent reporting physical difficulties; 13 percent with vision or hearing and three percent with emotional or cogni</w:t>
      </w:r>
      <w:r w:rsidR="002E0BA5">
        <w:rPr>
          <w:rFonts w:ascii="Cambria" w:hAnsi="Cambria"/>
        </w:rPr>
        <w:t>tive difficulties</w:t>
      </w:r>
      <w:r>
        <w:rPr>
          <w:rFonts w:ascii="Cambria" w:hAnsi="Cambria"/>
        </w:rPr>
        <w:t>.</w:t>
      </w:r>
      <w:r w:rsidR="002E0BA5">
        <w:rPr>
          <w:rStyle w:val="EndnoteReference"/>
          <w:rFonts w:ascii="Cambria" w:hAnsi="Cambria"/>
        </w:rPr>
        <w:endnoteReference w:id="75"/>
      </w:r>
    </w:p>
    <w:p w:rsidR="00E628FA" w:rsidRPr="00E628FA" w:rsidRDefault="00E628FA" w:rsidP="00E628FA">
      <w:pPr>
        <w:spacing w:after="240"/>
        <w:rPr>
          <w:rFonts w:ascii="Cambria" w:hAnsi="Cambria"/>
        </w:rPr>
      </w:pPr>
      <w:r>
        <w:rPr>
          <w:rFonts w:ascii="Cambria" w:hAnsi="Cambria"/>
        </w:rPr>
        <w:t>Disability s</w:t>
      </w:r>
      <w:r w:rsidR="002E0BA5">
        <w:rPr>
          <w:rFonts w:ascii="Cambria" w:hAnsi="Cambria"/>
        </w:rPr>
        <w:t>hould be thought about broadly (</w:t>
      </w:r>
      <w:proofErr w:type="spellStart"/>
      <w:r w:rsidR="002E0BA5">
        <w:rPr>
          <w:rFonts w:ascii="Cambria" w:hAnsi="Cambria"/>
        </w:rPr>
        <w:t>Kailes</w:t>
      </w:r>
      <w:proofErr w:type="spellEnd"/>
      <w:r w:rsidR="002E0BA5">
        <w:rPr>
          <w:rFonts w:ascii="Cambria" w:hAnsi="Cambria"/>
        </w:rPr>
        <w:t>, 2011</w:t>
      </w:r>
      <w:r>
        <w:rPr>
          <w:rFonts w:ascii="Cambria" w:hAnsi="Cambria"/>
        </w:rPr>
        <w:t>), beyond wheelchair users and people who are deaf or blind to include those with activity limitations such as a reduc</w:t>
      </w:r>
      <w:r w:rsidR="002E0BA5">
        <w:rPr>
          <w:rFonts w:ascii="Cambria" w:hAnsi="Cambria"/>
        </w:rPr>
        <w:t>ed ability to see, read, walk, s</w:t>
      </w:r>
      <w:r>
        <w:rPr>
          <w:rFonts w:ascii="Cambria" w:hAnsi="Cambria"/>
        </w:rPr>
        <w:t>peak, hear, learn, remember, understand, manipulate or reach controls, or respond quickly.</w:t>
      </w:r>
    </w:p>
    <w:p w:rsidR="00995630" w:rsidRPr="002F37EF" w:rsidRDefault="00995630" w:rsidP="00FE123D">
      <w:pPr>
        <w:spacing w:after="120"/>
        <w:rPr>
          <w:rFonts w:ascii="Cambria" w:hAnsi="Cambria"/>
          <w:b/>
        </w:rPr>
      </w:pPr>
      <w:r w:rsidRPr="002F37EF">
        <w:rPr>
          <w:rFonts w:ascii="Cambria" w:hAnsi="Cambria"/>
          <w:b/>
          <w:i/>
        </w:rPr>
        <w:t>Challenges</w:t>
      </w:r>
      <w:r w:rsidR="00011D64" w:rsidRPr="002F37EF">
        <w:rPr>
          <w:rFonts w:ascii="Cambria" w:hAnsi="Cambria"/>
          <w:b/>
          <w:i/>
        </w:rPr>
        <w:t xml:space="preserve"> in the health of persons with disabilities include </w:t>
      </w:r>
      <w:r w:rsidR="00492B7D">
        <w:rPr>
          <w:rFonts w:ascii="Cambria" w:hAnsi="Cambria"/>
          <w:b/>
          <w:i/>
        </w:rPr>
        <w:t>the</w:t>
      </w:r>
      <w:r w:rsidR="008C03D6" w:rsidRPr="002F37EF">
        <w:rPr>
          <w:rFonts w:ascii="Cambria" w:hAnsi="Cambria"/>
          <w:b/>
          <w:i/>
        </w:rPr>
        <w:t xml:space="preserve"> need for services, </w:t>
      </w:r>
      <w:r w:rsidR="00011D64" w:rsidRPr="002F37EF">
        <w:rPr>
          <w:rFonts w:ascii="Cambria" w:hAnsi="Cambria"/>
          <w:b/>
          <w:i/>
        </w:rPr>
        <w:t>slow progress</w:t>
      </w:r>
      <w:r w:rsidR="008C03D6" w:rsidRPr="002F37EF">
        <w:rPr>
          <w:rFonts w:ascii="Cambria" w:hAnsi="Cambria"/>
          <w:b/>
          <w:i/>
        </w:rPr>
        <w:t xml:space="preserve"> at the federal level</w:t>
      </w:r>
      <w:r w:rsidR="00011D64" w:rsidRPr="002F37EF">
        <w:rPr>
          <w:rFonts w:ascii="Cambria" w:hAnsi="Cambria"/>
          <w:b/>
          <w:i/>
        </w:rPr>
        <w:t xml:space="preserve"> and lack of proper disparities research</w:t>
      </w:r>
      <w:r w:rsidR="002F37EF">
        <w:rPr>
          <w:rFonts w:ascii="Cambria" w:hAnsi="Cambria"/>
          <w:b/>
          <w:i/>
        </w:rPr>
        <w:t>.</w:t>
      </w:r>
    </w:p>
    <w:p w:rsidR="00995630" w:rsidRPr="00011D64" w:rsidRDefault="00995630" w:rsidP="00FE123D">
      <w:pPr>
        <w:spacing w:after="120"/>
        <w:rPr>
          <w:rFonts w:ascii="Cambria" w:hAnsi="Cambria"/>
        </w:rPr>
      </w:pPr>
      <w:r w:rsidRPr="00011D64">
        <w:rPr>
          <w:rFonts w:ascii="Cambria" w:hAnsi="Cambria"/>
        </w:rPr>
        <w:t xml:space="preserve">In </w:t>
      </w:r>
      <w:r w:rsidRPr="00011D64">
        <w:rPr>
          <w:rFonts w:ascii="Cambria" w:hAnsi="Cambria"/>
          <w:i/>
        </w:rPr>
        <w:t>The Current State of Health Care for People with Disabilities</w:t>
      </w:r>
      <w:r w:rsidRPr="00011D64">
        <w:rPr>
          <w:rFonts w:ascii="Cambria" w:hAnsi="Cambria"/>
        </w:rPr>
        <w:t xml:space="preserve">, the National Council on Disability (2009) describes slow progress in meeting the needs of clients with </w:t>
      </w:r>
      <w:r w:rsidRPr="00011D64">
        <w:rPr>
          <w:rFonts w:ascii="Cambria" w:hAnsi="Cambria"/>
        </w:rPr>
        <w:lastRenderedPageBreak/>
        <w:t>disabilities, citing that most federally funded health disparities research does not recognize or include people with disabilities as a disparities population.</w:t>
      </w:r>
    </w:p>
    <w:p w:rsidR="00995630" w:rsidRPr="00011D64" w:rsidRDefault="00995630" w:rsidP="00FE123D">
      <w:pPr>
        <w:spacing w:after="120"/>
        <w:rPr>
          <w:rFonts w:ascii="Cambria" w:hAnsi="Cambria"/>
        </w:rPr>
      </w:pPr>
      <w:r w:rsidRPr="00011D64">
        <w:rPr>
          <w:rFonts w:ascii="Cambria" w:hAnsi="Cambria"/>
        </w:rPr>
        <w:t>The study highlights the following facts and challenges, underscoring the urgency of better serving the population with disabilities:</w:t>
      </w:r>
    </w:p>
    <w:p w:rsidR="00995630" w:rsidRPr="00011D64" w:rsidRDefault="00575148" w:rsidP="00995630">
      <w:pPr>
        <w:pStyle w:val="ListParagraph"/>
        <w:numPr>
          <w:ilvl w:val="0"/>
          <w:numId w:val="10"/>
        </w:numPr>
        <w:spacing w:after="120"/>
        <w:rPr>
          <w:rFonts w:ascii="Cambria" w:hAnsi="Cambria"/>
        </w:rPr>
      </w:pPr>
      <w:r>
        <w:rPr>
          <w:rFonts w:ascii="Cambria" w:hAnsi="Cambria"/>
        </w:rPr>
        <w:t>In 2005, 18.7 percent</w:t>
      </w:r>
      <w:r w:rsidRPr="00011D64">
        <w:rPr>
          <w:rFonts w:ascii="Cambria" w:hAnsi="Cambria"/>
        </w:rPr>
        <w:t xml:space="preserve"> of people in t</w:t>
      </w:r>
      <w:r>
        <w:rPr>
          <w:rFonts w:ascii="Cambria" w:hAnsi="Cambria"/>
        </w:rPr>
        <w:t>he U.S. had a severe disability. A</w:t>
      </w:r>
      <w:r w:rsidRPr="00011D64">
        <w:rPr>
          <w:rFonts w:ascii="Cambria" w:hAnsi="Cambria"/>
        </w:rPr>
        <w:t>s the population ages, that number will only increase.</w:t>
      </w:r>
    </w:p>
    <w:p w:rsidR="00995630" w:rsidRPr="00011D64" w:rsidRDefault="00995630" w:rsidP="00995630">
      <w:pPr>
        <w:pStyle w:val="ListParagraph"/>
        <w:numPr>
          <w:ilvl w:val="0"/>
          <w:numId w:val="10"/>
        </w:numPr>
        <w:spacing w:after="120"/>
        <w:rPr>
          <w:rFonts w:ascii="Cambria" w:hAnsi="Cambria"/>
        </w:rPr>
      </w:pPr>
      <w:r w:rsidRPr="00011D64">
        <w:rPr>
          <w:rFonts w:ascii="Cambria" w:hAnsi="Cambria"/>
        </w:rPr>
        <w:t>People with disabilities comprise the largest and most important health care consumer group in the United States.</w:t>
      </w:r>
    </w:p>
    <w:p w:rsidR="00995630" w:rsidRPr="00011D64" w:rsidRDefault="00995630" w:rsidP="00995630">
      <w:pPr>
        <w:pStyle w:val="ListParagraph"/>
        <w:numPr>
          <w:ilvl w:val="0"/>
          <w:numId w:val="10"/>
        </w:numPr>
        <w:spacing w:after="120"/>
        <w:rPr>
          <w:rFonts w:ascii="Cambria" w:hAnsi="Cambria"/>
        </w:rPr>
      </w:pPr>
      <w:r w:rsidRPr="00011D64">
        <w:rPr>
          <w:rFonts w:ascii="Cambria" w:hAnsi="Cambria"/>
        </w:rPr>
        <w:t>People with disabilities tend to be in poorer health than people who do not have disabilities.</w:t>
      </w:r>
    </w:p>
    <w:p w:rsidR="00995630" w:rsidRPr="00011D64" w:rsidRDefault="00995630" w:rsidP="00995630">
      <w:pPr>
        <w:pStyle w:val="ListParagraph"/>
        <w:numPr>
          <w:ilvl w:val="0"/>
          <w:numId w:val="10"/>
        </w:numPr>
        <w:spacing w:after="120"/>
        <w:rPr>
          <w:rFonts w:ascii="Cambria" w:hAnsi="Cambria"/>
        </w:rPr>
      </w:pPr>
      <w:r w:rsidRPr="00011D64">
        <w:rPr>
          <w:rFonts w:ascii="Cambria" w:hAnsi="Cambria"/>
        </w:rPr>
        <w:t xml:space="preserve">Paradoxically, people with disabilities use preventive services at a lower rate than those who do not have disabilities. </w:t>
      </w:r>
    </w:p>
    <w:p w:rsidR="00995630" w:rsidRPr="00011D64" w:rsidRDefault="00995630" w:rsidP="00995630">
      <w:pPr>
        <w:pStyle w:val="ListParagraph"/>
        <w:numPr>
          <w:ilvl w:val="0"/>
          <w:numId w:val="10"/>
        </w:numPr>
        <w:spacing w:after="120"/>
        <w:rPr>
          <w:rFonts w:ascii="Cambria" w:hAnsi="Cambria"/>
        </w:rPr>
      </w:pPr>
      <w:r w:rsidRPr="00011D64">
        <w:rPr>
          <w:rFonts w:ascii="Cambria" w:hAnsi="Cambria"/>
        </w:rPr>
        <w:t>Some barriers to care facing persons with disabilities include health care provider stereotypes, lack of appropriate training among providers, lack of accessible medical facilities, examination equipment, sign language interpreters and individualized accommodations.</w:t>
      </w:r>
    </w:p>
    <w:p w:rsidR="00633ADC" w:rsidRDefault="00492B7D" w:rsidP="008C03D6">
      <w:pPr>
        <w:spacing w:after="240"/>
        <w:rPr>
          <w:rFonts w:ascii="Cambria" w:hAnsi="Cambria"/>
        </w:rPr>
      </w:pPr>
      <w:r>
        <w:rPr>
          <w:rFonts w:ascii="Cambria" w:hAnsi="Cambria"/>
        </w:rPr>
        <w:t xml:space="preserve">In 2009, </w:t>
      </w:r>
      <w:r w:rsidR="00011D64">
        <w:rPr>
          <w:rFonts w:ascii="Cambria" w:hAnsi="Cambria"/>
        </w:rPr>
        <w:t>The National Council on Disabilities (</w:t>
      </w:r>
      <w:r>
        <w:rPr>
          <w:rFonts w:ascii="Cambria" w:hAnsi="Cambria"/>
        </w:rPr>
        <w:t>NCD</w:t>
      </w:r>
      <w:r w:rsidR="00995630" w:rsidRPr="00011D64">
        <w:rPr>
          <w:rFonts w:ascii="Cambria" w:hAnsi="Cambria"/>
        </w:rPr>
        <w:t xml:space="preserve">) </w:t>
      </w:r>
      <w:r>
        <w:rPr>
          <w:rFonts w:ascii="Cambria" w:hAnsi="Cambria"/>
        </w:rPr>
        <w:t>rated</w:t>
      </w:r>
      <w:r w:rsidR="00011D64">
        <w:rPr>
          <w:rFonts w:ascii="Cambria" w:hAnsi="Cambria"/>
        </w:rPr>
        <w:t xml:space="preserve"> past</w:t>
      </w:r>
      <w:r w:rsidR="00157CC0" w:rsidRPr="00011D64">
        <w:rPr>
          <w:rFonts w:ascii="Cambria" w:hAnsi="Cambria"/>
        </w:rPr>
        <w:t xml:space="preserve"> </w:t>
      </w:r>
      <w:r w:rsidR="00995630" w:rsidRPr="00011D64">
        <w:rPr>
          <w:rFonts w:ascii="Cambria" w:hAnsi="Cambria"/>
        </w:rPr>
        <w:t xml:space="preserve">health disparities research </w:t>
      </w:r>
      <w:r w:rsidR="00157CC0" w:rsidRPr="00011D64">
        <w:rPr>
          <w:rFonts w:ascii="Cambria" w:hAnsi="Cambria"/>
        </w:rPr>
        <w:t xml:space="preserve">around disabilities </w:t>
      </w:r>
      <w:r w:rsidR="00011D64">
        <w:rPr>
          <w:rFonts w:ascii="Cambria" w:hAnsi="Cambria"/>
        </w:rPr>
        <w:t>as inconsistent</w:t>
      </w:r>
      <w:r w:rsidR="00157CC0" w:rsidRPr="00011D64">
        <w:rPr>
          <w:rFonts w:ascii="Cambria" w:hAnsi="Cambria"/>
        </w:rPr>
        <w:t xml:space="preserve"> </w:t>
      </w:r>
      <w:r w:rsidR="00011D64">
        <w:rPr>
          <w:rFonts w:ascii="Cambria" w:hAnsi="Cambria"/>
        </w:rPr>
        <w:t>and lacking</w:t>
      </w:r>
      <w:r w:rsidR="00157CC0" w:rsidRPr="00011D64">
        <w:rPr>
          <w:rFonts w:ascii="Cambria" w:hAnsi="Cambria"/>
        </w:rPr>
        <w:t xml:space="preserve"> focus on disability as a demographic characteristic.</w:t>
      </w:r>
    </w:p>
    <w:p w:rsidR="00633ADC" w:rsidRPr="0092614D" w:rsidRDefault="00633ADC" w:rsidP="00633ADC">
      <w:pPr>
        <w:spacing w:after="120"/>
        <w:rPr>
          <w:rFonts w:ascii="Cambria" w:hAnsi="Cambria"/>
          <w:b/>
          <w:i/>
        </w:rPr>
      </w:pPr>
      <w:r w:rsidRPr="0092614D">
        <w:rPr>
          <w:rFonts w:ascii="Cambria" w:hAnsi="Cambria"/>
          <w:b/>
          <w:i/>
        </w:rPr>
        <w:t>Deaf and hard-of-hearing patients face unique health challenges</w:t>
      </w:r>
      <w:r w:rsidR="001160B5">
        <w:rPr>
          <w:rFonts w:ascii="Cambria" w:hAnsi="Cambria"/>
          <w:b/>
          <w:i/>
        </w:rPr>
        <w:t>.</w:t>
      </w:r>
    </w:p>
    <w:p w:rsidR="00633ADC" w:rsidRPr="00011D64" w:rsidRDefault="00633ADC" w:rsidP="00633ADC">
      <w:pPr>
        <w:spacing w:after="120"/>
        <w:rPr>
          <w:rFonts w:ascii="Cambria" w:hAnsi="Cambria"/>
        </w:rPr>
      </w:pPr>
      <w:r>
        <w:rPr>
          <w:rFonts w:ascii="Cambria" w:hAnsi="Cambria"/>
        </w:rPr>
        <w:t>Nine to 10 percent</w:t>
      </w:r>
      <w:r w:rsidRPr="00011D64">
        <w:rPr>
          <w:rFonts w:ascii="Cambria" w:hAnsi="Cambria"/>
        </w:rPr>
        <w:t xml:space="preserve"> of Americans </w:t>
      </w:r>
      <w:r>
        <w:rPr>
          <w:rFonts w:ascii="Cambria" w:hAnsi="Cambria"/>
        </w:rPr>
        <w:t xml:space="preserve">(Collins, 2007) </w:t>
      </w:r>
      <w:r w:rsidRPr="00011D64">
        <w:rPr>
          <w:rFonts w:ascii="Cambria" w:hAnsi="Cambria"/>
        </w:rPr>
        <w:t>have hearing loss</w:t>
      </w:r>
      <w:r>
        <w:rPr>
          <w:rFonts w:ascii="Cambria" w:hAnsi="Cambria"/>
        </w:rPr>
        <w:t>,</w:t>
      </w:r>
      <w:r w:rsidRPr="00011D64">
        <w:rPr>
          <w:rStyle w:val="EndnoteReference"/>
          <w:rFonts w:ascii="Cambria" w:hAnsi="Cambria"/>
        </w:rPr>
        <w:endnoteReference w:id="76"/>
      </w:r>
      <w:r>
        <w:rPr>
          <w:rFonts w:ascii="Cambria" w:hAnsi="Cambria"/>
        </w:rPr>
        <w:t xml:space="preserve"> making hearing loss the</w:t>
      </w:r>
      <w:r w:rsidRPr="00011D64">
        <w:rPr>
          <w:rFonts w:ascii="Cambria" w:hAnsi="Cambria"/>
        </w:rPr>
        <w:t xml:space="preserve"> second most common disability in the United States.</w:t>
      </w:r>
    </w:p>
    <w:p w:rsidR="00633ADC" w:rsidRDefault="00633ADC" w:rsidP="00633ADC">
      <w:pPr>
        <w:spacing w:after="120"/>
        <w:rPr>
          <w:rFonts w:ascii="Cambria" w:hAnsi="Cambria"/>
        </w:rPr>
      </w:pPr>
      <w:r>
        <w:rPr>
          <w:rFonts w:ascii="Cambria" w:hAnsi="Cambria"/>
        </w:rPr>
        <w:t>Meador et al (2005) indicate persons who are deaf or hard of hearing show a</w:t>
      </w:r>
      <w:r w:rsidRPr="008C03D6">
        <w:rPr>
          <w:rFonts w:ascii="Cambria" w:hAnsi="Cambria"/>
        </w:rPr>
        <w:t>ltered health utilization patterns and significant communication difficulties with physicians, often experiencing misunderstandings about their disease or treatment recommendations.</w:t>
      </w:r>
      <w:r w:rsidRPr="00011D64">
        <w:rPr>
          <w:rStyle w:val="EndnoteReference"/>
          <w:rFonts w:ascii="Cambria" w:hAnsi="Cambria"/>
        </w:rPr>
        <w:endnoteReference w:id="77"/>
      </w:r>
    </w:p>
    <w:p w:rsidR="00633ADC" w:rsidRDefault="00633ADC" w:rsidP="00633ADC">
      <w:pPr>
        <w:spacing w:after="120"/>
        <w:rPr>
          <w:rFonts w:ascii="Cambria" w:hAnsi="Cambria"/>
        </w:rPr>
      </w:pPr>
      <w:r>
        <w:rPr>
          <w:rFonts w:ascii="Cambria" w:hAnsi="Cambria"/>
        </w:rPr>
        <w:t>Low health literacy is a challenge in the deaf and hard-of-hearing community. Lass et al (1978) note that many deaf individuals have low English proficiency and have problems with common English words, as American Sign Language (ASL) is their primary language.</w:t>
      </w:r>
    </w:p>
    <w:p w:rsidR="00633ADC" w:rsidRPr="008C03D6" w:rsidRDefault="00633ADC" w:rsidP="00633ADC">
      <w:pPr>
        <w:spacing w:after="120"/>
        <w:rPr>
          <w:rFonts w:ascii="Cambria" w:hAnsi="Cambria"/>
        </w:rPr>
      </w:pPr>
      <w:r>
        <w:rPr>
          <w:rFonts w:ascii="Cambria" w:hAnsi="Cambria"/>
        </w:rPr>
        <w:t xml:space="preserve">Because American Sign Language has no written form, </w:t>
      </w:r>
      <w:r w:rsidRPr="00011D64">
        <w:rPr>
          <w:rFonts w:ascii="Cambria" w:hAnsi="Cambria"/>
          <w:i/>
        </w:rPr>
        <w:t>An Introduction to the Deaf World for Behavioral Health Practitioners</w:t>
      </w:r>
      <w:r>
        <w:rPr>
          <w:rFonts w:ascii="Cambria" w:hAnsi="Cambria"/>
          <w:i/>
        </w:rPr>
        <w:t xml:space="preserve"> </w:t>
      </w:r>
      <w:r>
        <w:rPr>
          <w:rFonts w:ascii="Cambria" w:hAnsi="Cambria"/>
        </w:rPr>
        <w:t>(MDPH, 2013) notes that a person can be fluent in ASL and not be able to read, understand or write English.</w:t>
      </w:r>
      <w:r>
        <w:rPr>
          <w:rStyle w:val="EndnoteReference"/>
          <w:rFonts w:ascii="Cambria" w:hAnsi="Cambria"/>
        </w:rPr>
        <w:endnoteReference w:id="78"/>
      </w:r>
      <w:r>
        <w:rPr>
          <w:rFonts w:ascii="Cambria" w:hAnsi="Cambria"/>
        </w:rPr>
        <w:t xml:space="preserve"> In light of</w:t>
      </w:r>
      <w:r w:rsidR="00492B7D">
        <w:rPr>
          <w:rFonts w:ascii="Cambria" w:hAnsi="Cambria"/>
        </w:rPr>
        <w:t xml:space="preserve"> this, the deaf community is a</w:t>
      </w:r>
      <w:r>
        <w:rPr>
          <w:rFonts w:ascii="Cambria" w:hAnsi="Cambria"/>
        </w:rPr>
        <w:t xml:space="preserve"> n</w:t>
      </w:r>
      <w:r w:rsidR="00492B7D">
        <w:rPr>
          <w:rFonts w:ascii="Cambria" w:hAnsi="Cambria"/>
        </w:rPr>
        <w:t>on-English-speaking minority at great</w:t>
      </w:r>
      <w:r w:rsidRPr="008C03D6">
        <w:rPr>
          <w:rFonts w:ascii="Cambria" w:hAnsi="Cambria"/>
        </w:rPr>
        <w:t xml:space="preserve"> risk for phys</w:t>
      </w:r>
      <w:r>
        <w:rPr>
          <w:rFonts w:ascii="Cambria" w:hAnsi="Cambria"/>
        </w:rPr>
        <w:t>ician-patient miscommunication.</w:t>
      </w:r>
      <w:r w:rsidRPr="00011D64">
        <w:rPr>
          <w:rStyle w:val="EndnoteReference"/>
          <w:rFonts w:ascii="Cambria" w:hAnsi="Cambria"/>
        </w:rPr>
        <w:endnoteReference w:id="79"/>
      </w:r>
    </w:p>
    <w:p w:rsidR="00633ADC" w:rsidRPr="0085713A" w:rsidRDefault="00633ADC" w:rsidP="00633ADC">
      <w:pPr>
        <w:spacing w:after="120"/>
        <w:rPr>
          <w:rFonts w:ascii="Cambria" w:hAnsi="Cambria"/>
        </w:rPr>
      </w:pPr>
      <w:proofErr w:type="spellStart"/>
      <w:r>
        <w:rPr>
          <w:rFonts w:ascii="Cambria" w:hAnsi="Cambria"/>
        </w:rPr>
        <w:t>Tamaskar</w:t>
      </w:r>
      <w:proofErr w:type="spellEnd"/>
      <w:r>
        <w:rPr>
          <w:rFonts w:ascii="Cambria" w:hAnsi="Cambria"/>
        </w:rPr>
        <w:t xml:space="preserve"> (2000) noted that many deaf persons have p</w:t>
      </w:r>
      <w:r w:rsidRPr="0085713A">
        <w:rPr>
          <w:rFonts w:ascii="Cambria" w:hAnsi="Cambria"/>
        </w:rPr>
        <w:t xml:space="preserve">oorer health care knowledge including inferior understanding about current preventive medicine interventions, </w:t>
      </w:r>
      <w:r>
        <w:rPr>
          <w:rFonts w:ascii="Cambria" w:hAnsi="Cambria"/>
        </w:rPr>
        <w:t xml:space="preserve">when </w:t>
      </w:r>
      <w:r w:rsidRPr="0085713A">
        <w:rPr>
          <w:rFonts w:ascii="Cambria" w:hAnsi="Cambria"/>
        </w:rPr>
        <w:t>compared with hearing persons</w:t>
      </w:r>
      <w:r>
        <w:rPr>
          <w:rFonts w:ascii="Cambria" w:hAnsi="Cambria"/>
        </w:rPr>
        <w:t>.</w:t>
      </w:r>
      <w:r w:rsidRPr="00011D64">
        <w:rPr>
          <w:rStyle w:val="EndnoteReference"/>
          <w:rFonts w:ascii="Cambria" w:hAnsi="Cambria"/>
        </w:rPr>
        <w:endnoteReference w:id="80"/>
      </w:r>
    </w:p>
    <w:p w:rsidR="00633ADC" w:rsidRPr="0085713A" w:rsidRDefault="00633ADC" w:rsidP="00633ADC">
      <w:pPr>
        <w:spacing w:after="120"/>
        <w:rPr>
          <w:rFonts w:ascii="Cambria" w:hAnsi="Cambria"/>
        </w:rPr>
      </w:pPr>
      <w:r>
        <w:rPr>
          <w:rFonts w:ascii="Cambria" w:hAnsi="Cambria"/>
        </w:rPr>
        <w:t>One study (Witte et al, 2000) found that deaf persons tend to v</w:t>
      </w:r>
      <w:r w:rsidRPr="0085713A">
        <w:rPr>
          <w:rFonts w:ascii="Cambria" w:hAnsi="Cambria"/>
        </w:rPr>
        <w:t xml:space="preserve">isit physicians less frequently and expressed </w:t>
      </w:r>
      <w:r>
        <w:rPr>
          <w:rFonts w:ascii="Cambria" w:hAnsi="Cambria"/>
        </w:rPr>
        <w:t xml:space="preserve">a </w:t>
      </w:r>
      <w:r w:rsidRPr="0085713A">
        <w:rPr>
          <w:rFonts w:ascii="Cambria" w:hAnsi="Cambria"/>
        </w:rPr>
        <w:t xml:space="preserve">belief that physicians and nurses seemed unprepared to accommodate </w:t>
      </w:r>
      <w:r>
        <w:rPr>
          <w:rFonts w:ascii="Cambria" w:hAnsi="Cambria"/>
        </w:rPr>
        <w:t xml:space="preserve">their </w:t>
      </w:r>
      <w:r w:rsidRPr="0085713A">
        <w:rPr>
          <w:rFonts w:ascii="Cambria" w:hAnsi="Cambria"/>
        </w:rPr>
        <w:t>communication needs</w:t>
      </w:r>
      <w:r>
        <w:rPr>
          <w:rFonts w:ascii="Cambria" w:hAnsi="Cambria"/>
        </w:rPr>
        <w:t>.</w:t>
      </w:r>
      <w:r w:rsidRPr="00011D64">
        <w:rPr>
          <w:rStyle w:val="EndnoteReference"/>
          <w:rFonts w:ascii="Cambria" w:hAnsi="Cambria"/>
        </w:rPr>
        <w:endnoteReference w:id="81"/>
      </w:r>
    </w:p>
    <w:p w:rsidR="00633ADC" w:rsidRPr="007F32A9" w:rsidRDefault="00633ADC" w:rsidP="00633ADC">
      <w:pPr>
        <w:spacing w:after="120"/>
        <w:rPr>
          <w:rFonts w:ascii="Cambria" w:hAnsi="Cambria"/>
          <w:b/>
        </w:rPr>
      </w:pPr>
      <w:r w:rsidRPr="007F32A9">
        <w:rPr>
          <w:rFonts w:ascii="Cambria" w:hAnsi="Cambria"/>
          <w:b/>
          <w:i/>
        </w:rPr>
        <w:lastRenderedPageBreak/>
        <w:t>The deaf community has its own culture and social mores</w:t>
      </w:r>
      <w:r>
        <w:rPr>
          <w:rFonts w:ascii="Cambria" w:hAnsi="Cambria"/>
          <w:b/>
          <w:i/>
        </w:rPr>
        <w:t>, which affect their experience in the health care system.</w:t>
      </w:r>
    </w:p>
    <w:p w:rsidR="00633ADC" w:rsidRDefault="00633ADC" w:rsidP="00633ADC">
      <w:pPr>
        <w:spacing w:after="120"/>
        <w:rPr>
          <w:rFonts w:ascii="Cambria" w:hAnsi="Cambria"/>
        </w:rPr>
      </w:pPr>
      <w:r>
        <w:rPr>
          <w:rFonts w:ascii="Cambria" w:hAnsi="Cambria"/>
        </w:rPr>
        <w:t xml:space="preserve">Meador and </w:t>
      </w:r>
      <w:proofErr w:type="spellStart"/>
      <w:r>
        <w:rPr>
          <w:rFonts w:ascii="Cambria" w:hAnsi="Cambria"/>
        </w:rPr>
        <w:t>Zazove</w:t>
      </w:r>
      <w:proofErr w:type="spellEnd"/>
      <w:r>
        <w:rPr>
          <w:rFonts w:ascii="Cambria" w:hAnsi="Cambria"/>
        </w:rPr>
        <w:t xml:space="preserve"> (2005) describe the deaf and hard-of-hearing community as a</w:t>
      </w:r>
      <w:r w:rsidRPr="008C03D6">
        <w:rPr>
          <w:rFonts w:ascii="Cambria" w:hAnsi="Cambria"/>
        </w:rPr>
        <w:t xml:space="preserve"> heterogeneous group </w:t>
      </w:r>
      <w:r>
        <w:rPr>
          <w:rFonts w:ascii="Cambria" w:hAnsi="Cambria"/>
        </w:rPr>
        <w:t>made up o</w:t>
      </w:r>
      <w:r w:rsidRPr="008C03D6">
        <w:rPr>
          <w:rFonts w:ascii="Cambria" w:hAnsi="Cambria"/>
        </w:rPr>
        <w:t>f diverse cultures and levels of hearing loss. Solutions for one group do not necess</w:t>
      </w:r>
      <w:r>
        <w:rPr>
          <w:rFonts w:ascii="Cambria" w:hAnsi="Cambria"/>
        </w:rPr>
        <w:t>arily apply to other groups.</w:t>
      </w:r>
    </w:p>
    <w:p w:rsidR="00633ADC" w:rsidRPr="00011D64" w:rsidRDefault="00633ADC" w:rsidP="00633ADC">
      <w:pPr>
        <w:spacing w:after="120"/>
        <w:rPr>
          <w:rFonts w:ascii="Cambria" w:hAnsi="Cambria"/>
        </w:rPr>
      </w:pPr>
      <w:r w:rsidRPr="00011D64">
        <w:rPr>
          <w:rFonts w:ascii="Cambria" w:hAnsi="Cambria"/>
        </w:rPr>
        <w:t xml:space="preserve">Some individuals with hearing loss do not consider themselves members of the </w:t>
      </w:r>
      <w:r w:rsidR="00492B7D">
        <w:rPr>
          <w:rFonts w:ascii="Cambria" w:hAnsi="Cambria"/>
        </w:rPr>
        <w:t xml:space="preserve">culturally </w:t>
      </w:r>
      <w:r w:rsidRPr="00011D64">
        <w:rPr>
          <w:rFonts w:ascii="Cambria" w:hAnsi="Cambria"/>
        </w:rPr>
        <w:t>Deaf Community</w:t>
      </w:r>
      <w:r w:rsidR="00492B7D">
        <w:rPr>
          <w:rFonts w:ascii="Cambria" w:hAnsi="Cambria"/>
        </w:rPr>
        <w:t xml:space="preserve"> (capital “D” refers to culturally deaf),</w:t>
      </w:r>
      <w:r w:rsidRPr="00011D64">
        <w:rPr>
          <w:rFonts w:ascii="Cambria" w:hAnsi="Cambria"/>
        </w:rPr>
        <w:t xml:space="preserve"> and may prefer English as their means of communication. </w:t>
      </w:r>
    </w:p>
    <w:p w:rsidR="00633ADC" w:rsidRPr="00011D64" w:rsidRDefault="00633ADC" w:rsidP="00633ADC">
      <w:pPr>
        <w:spacing w:after="120"/>
        <w:rPr>
          <w:rFonts w:ascii="Cambria" w:hAnsi="Cambria"/>
        </w:rPr>
      </w:pPr>
      <w:r>
        <w:rPr>
          <w:rFonts w:ascii="Cambria" w:hAnsi="Cambria"/>
        </w:rPr>
        <w:t>T</w:t>
      </w:r>
      <w:r w:rsidRPr="00011D64">
        <w:rPr>
          <w:rFonts w:ascii="Cambria" w:hAnsi="Cambria"/>
        </w:rPr>
        <w:t xml:space="preserve">he Deaf Community </w:t>
      </w:r>
      <w:r>
        <w:rPr>
          <w:rFonts w:ascii="Cambria" w:hAnsi="Cambria"/>
        </w:rPr>
        <w:t>(</w:t>
      </w:r>
      <w:proofErr w:type="spellStart"/>
      <w:r>
        <w:rPr>
          <w:rFonts w:ascii="Cambria" w:hAnsi="Cambria"/>
        </w:rPr>
        <w:t>Dolnick</w:t>
      </w:r>
      <w:proofErr w:type="spellEnd"/>
      <w:r>
        <w:rPr>
          <w:rFonts w:ascii="Cambria" w:hAnsi="Cambria"/>
        </w:rPr>
        <w:t xml:space="preserve">, 1993) </w:t>
      </w:r>
      <w:r w:rsidRPr="00011D64">
        <w:rPr>
          <w:rFonts w:ascii="Cambria" w:hAnsi="Cambria"/>
        </w:rPr>
        <w:t>is a minority population with it</w:t>
      </w:r>
      <w:r>
        <w:rPr>
          <w:rFonts w:ascii="Cambria" w:hAnsi="Cambria"/>
        </w:rPr>
        <w:t>s own culture and social mores.</w:t>
      </w:r>
      <w:r w:rsidRPr="00011D64">
        <w:rPr>
          <w:rStyle w:val="EndnoteReference"/>
          <w:rFonts w:ascii="Cambria" w:hAnsi="Cambria"/>
        </w:rPr>
        <w:endnoteReference w:id="82"/>
      </w:r>
    </w:p>
    <w:p w:rsidR="00633ADC" w:rsidRDefault="00633ADC" w:rsidP="00633ADC">
      <w:pPr>
        <w:spacing w:after="120"/>
        <w:rPr>
          <w:rFonts w:ascii="Cambria" w:hAnsi="Cambria"/>
        </w:rPr>
      </w:pPr>
      <w:r>
        <w:rPr>
          <w:rFonts w:ascii="Cambria" w:hAnsi="Cambria"/>
        </w:rPr>
        <w:t xml:space="preserve">After conducting multiple research studies in the deaf community over a period of 15 years, Meador and </w:t>
      </w:r>
      <w:proofErr w:type="spellStart"/>
      <w:r>
        <w:rPr>
          <w:rFonts w:ascii="Cambria" w:hAnsi="Cambria"/>
        </w:rPr>
        <w:t>Zazove</w:t>
      </w:r>
      <w:proofErr w:type="spellEnd"/>
      <w:r>
        <w:rPr>
          <w:rFonts w:ascii="Cambria" w:hAnsi="Cambria"/>
        </w:rPr>
        <w:t xml:space="preserve"> (2005) identified the following clinical issues </w:t>
      </w:r>
      <w:r w:rsidRPr="00011D64">
        <w:rPr>
          <w:rFonts w:ascii="Cambria" w:hAnsi="Cambria"/>
        </w:rPr>
        <w:t>a</w:t>
      </w:r>
      <w:r>
        <w:rPr>
          <w:rFonts w:ascii="Cambria" w:hAnsi="Cambria"/>
        </w:rPr>
        <w:t>ffecting deaf persons.</w:t>
      </w:r>
    </w:p>
    <w:p w:rsidR="00633ADC" w:rsidRDefault="00633ADC" w:rsidP="00633ADC">
      <w:pPr>
        <w:pStyle w:val="ListParagraph"/>
        <w:numPr>
          <w:ilvl w:val="0"/>
          <w:numId w:val="19"/>
        </w:numPr>
        <w:spacing w:after="120"/>
        <w:rPr>
          <w:rFonts w:ascii="Cambria" w:hAnsi="Cambria"/>
        </w:rPr>
      </w:pPr>
      <w:r>
        <w:rPr>
          <w:rFonts w:ascii="Cambria" w:hAnsi="Cambria"/>
        </w:rPr>
        <w:t>The need for l</w:t>
      </w:r>
      <w:r w:rsidRPr="000E724E">
        <w:rPr>
          <w:rFonts w:ascii="Cambria" w:hAnsi="Cambria"/>
        </w:rPr>
        <w:t>inguistic accommodations (</w:t>
      </w:r>
      <w:r>
        <w:rPr>
          <w:rFonts w:ascii="Cambria" w:hAnsi="Cambria"/>
        </w:rPr>
        <w:t>literacy levels, consent forms, need for explanation of processes)</w:t>
      </w:r>
    </w:p>
    <w:p w:rsidR="00633ADC" w:rsidRDefault="00633ADC" w:rsidP="00633ADC">
      <w:pPr>
        <w:pStyle w:val="ListParagraph"/>
        <w:numPr>
          <w:ilvl w:val="0"/>
          <w:numId w:val="19"/>
        </w:numPr>
        <w:spacing w:after="120"/>
        <w:rPr>
          <w:rFonts w:ascii="Cambria" w:hAnsi="Cambria"/>
        </w:rPr>
      </w:pPr>
      <w:r>
        <w:rPr>
          <w:rFonts w:ascii="Cambria" w:hAnsi="Cambria"/>
        </w:rPr>
        <w:t>L</w:t>
      </w:r>
      <w:r w:rsidRPr="000E724E">
        <w:rPr>
          <w:rFonts w:ascii="Cambria" w:hAnsi="Cambria"/>
        </w:rPr>
        <w:t>ack of</w:t>
      </w:r>
      <w:r>
        <w:rPr>
          <w:rFonts w:ascii="Cambria" w:hAnsi="Cambria"/>
        </w:rPr>
        <w:t xml:space="preserve"> trust of the “hearing world” </w:t>
      </w:r>
    </w:p>
    <w:p w:rsidR="00633ADC" w:rsidRDefault="00633ADC" w:rsidP="00633ADC">
      <w:pPr>
        <w:pStyle w:val="ListParagraph"/>
        <w:numPr>
          <w:ilvl w:val="0"/>
          <w:numId w:val="19"/>
        </w:numPr>
        <w:spacing w:after="120"/>
        <w:rPr>
          <w:rFonts w:ascii="Cambria" w:hAnsi="Cambria"/>
        </w:rPr>
      </w:pPr>
      <w:r>
        <w:rPr>
          <w:rFonts w:ascii="Cambria" w:hAnsi="Cambria"/>
        </w:rPr>
        <w:t>The need for confidentiality</w:t>
      </w:r>
    </w:p>
    <w:p w:rsidR="00633ADC" w:rsidRDefault="00633ADC" w:rsidP="00633ADC">
      <w:pPr>
        <w:pStyle w:val="ListParagraph"/>
        <w:numPr>
          <w:ilvl w:val="0"/>
          <w:numId w:val="19"/>
        </w:numPr>
        <w:spacing w:after="120"/>
        <w:rPr>
          <w:rFonts w:ascii="Cambria" w:hAnsi="Cambria"/>
        </w:rPr>
      </w:pPr>
      <w:r>
        <w:rPr>
          <w:rFonts w:ascii="Cambria" w:hAnsi="Cambria"/>
        </w:rPr>
        <w:t xml:space="preserve">The need for respect for intelligence. Many deaf persons reported being treated </w:t>
      </w:r>
      <w:r w:rsidR="00F66D5F">
        <w:rPr>
          <w:rFonts w:ascii="Cambria" w:hAnsi="Cambria"/>
        </w:rPr>
        <w:t>as having</w:t>
      </w:r>
      <w:r>
        <w:rPr>
          <w:rFonts w:ascii="Cambria" w:hAnsi="Cambria"/>
        </w:rPr>
        <w:t xml:space="preserve"> inferior intelligence. Meador and </w:t>
      </w:r>
      <w:proofErr w:type="spellStart"/>
      <w:r>
        <w:rPr>
          <w:rFonts w:ascii="Cambria" w:hAnsi="Cambria"/>
        </w:rPr>
        <w:t>Zazove</w:t>
      </w:r>
      <w:proofErr w:type="spellEnd"/>
      <w:r>
        <w:rPr>
          <w:rFonts w:ascii="Cambria" w:hAnsi="Cambria"/>
        </w:rPr>
        <w:t xml:space="preserve"> note it is important to remember the </w:t>
      </w:r>
      <w:r w:rsidRPr="000E724E">
        <w:rPr>
          <w:rFonts w:ascii="Cambria" w:hAnsi="Cambria"/>
        </w:rPr>
        <w:t xml:space="preserve">intelligence </w:t>
      </w:r>
      <w:r>
        <w:rPr>
          <w:rFonts w:ascii="Cambria" w:hAnsi="Cambria"/>
        </w:rPr>
        <w:t xml:space="preserve">of many deaf persons is </w:t>
      </w:r>
      <w:r w:rsidRPr="000E724E">
        <w:rPr>
          <w:rFonts w:ascii="Cambria" w:hAnsi="Cambria"/>
        </w:rPr>
        <w:t>not reflected in</w:t>
      </w:r>
      <w:r>
        <w:rPr>
          <w:rFonts w:ascii="Cambria" w:hAnsi="Cambria"/>
        </w:rPr>
        <w:t xml:space="preserve"> their</w:t>
      </w:r>
      <w:r w:rsidRPr="000E724E">
        <w:rPr>
          <w:rFonts w:ascii="Cambria" w:hAnsi="Cambria"/>
        </w:rPr>
        <w:t xml:space="preserve"> written English, because Englis</w:t>
      </w:r>
      <w:r>
        <w:rPr>
          <w:rFonts w:ascii="Cambria" w:hAnsi="Cambria"/>
        </w:rPr>
        <w:t>h is their second language.</w:t>
      </w:r>
    </w:p>
    <w:p w:rsidR="008C03D6" w:rsidRPr="007E732E" w:rsidRDefault="00633ADC" w:rsidP="007E732E">
      <w:pPr>
        <w:pStyle w:val="ListParagraph"/>
        <w:numPr>
          <w:ilvl w:val="0"/>
          <w:numId w:val="19"/>
        </w:numPr>
        <w:spacing w:after="240"/>
        <w:rPr>
          <w:rFonts w:ascii="Cambria" w:hAnsi="Cambria"/>
        </w:rPr>
      </w:pPr>
      <w:r>
        <w:rPr>
          <w:rFonts w:ascii="Cambria" w:hAnsi="Cambria"/>
        </w:rPr>
        <w:t xml:space="preserve">The need for transparency and sharing of </w:t>
      </w:r>
      <w:r w:rsidRPr="000E724E">
        <w:rPr>
          <w:rFonts w:ascii="Cambria" w:hAnsi="Cambria"/>
        </w:rPr>
        <w:t>information.</w:t>
      </w:r>
      <w:r w:rsidRPr="00011D64">
        <w:rPr>
          <w:rStyle w:val="EndnoteReference"/>
          <w:rFonts w:ascii="Cambria" w:hAnsi="Cambria"/>
        </w:rPr>
        <w:endnoteReference w:id="83"/>
      </w:r>
    </w:p>
    <w:p w:rsidR="00157CC0" w:rsidRPr="002F37EF" w:rsidRDefault="008C03D6" w:rsidP="00995630">
      <w:pPr>
        <w:spacing w:after="120"/>
        <w:rPr>
          <w:rFonts w:ascii="Cambria" w:hAnsi="Cambria"/>
          <w:b/>
          <w:i/>
        </w:rPr>
      </w:pPr>
      <w:r w:rsidRPr="002F37EF">
        <w:rPr>
          <w:rFonts w:ascii="Cambria" w:hAnsi="Cambria"/>
          <w:b/>
          <w:i/>
        </w:rPr>
        <w:t>NCD recommends improving research, trainings, monitoring, accountability and access to health care</w:t>
      </w:r>
      <w:r w:rsidR="001160B5">
        <w:rPr>
          <w:rFonts w:ascii="Cambria" w:hAnsi="Cambria"/>
          <w:b/>
          <w:i/>
        </w:rPr>
        <w:t>.</w:t>
      </w:r>
    </w:p>
    <w:p w:rsidR="00157CC0" w:rsidRPr="00011D64" w:rsidRDefault="00157CC0" w:rsidP="00995630">
      <w:pPr>
        <w:spacing w:after="120"/>
        <w:rPr>
          <w:rFonts w:ascii="Cambria" w:hAnsi="Cambria"/>
        </w:rPr>
      </w:pPr>
      <w:r w:rsidRPr="00011D64">
        <w:rPr>
          <w:rFonts w:ascii="Cambria" w:hAnsi="Cambria"/>
        </w:rPr>
        <w:t>Recommendations from the NCD study include (1) improving research, using disabilities as a demographic characteristic to identify and address disparities; (2) improving trainings by including disability cultural competence in professional education programs; (3) improving monitoring, oversight and accountability; and (4) improving access to health care services and programs</w:t>
      </w:r>
      <w:r w:rsidR="007E732E">
        <w:rPr>
          <w:rFonts w:ascii="Cambria" w:hAnsi="Cambria"/>
        </w:rPr>
        <w:t xml:space="preserve"> (NCD, 2009)</w:t>
      </w:r>
      <w:r w:rsidRPr="00011D64">
        <w:rPr>
          <w:rFonts w:ascii="Cambria" w:hAnsi="Cambria"/>
        </w:rPr>
        <w:t>.</w:t>
      </w:r>
    </w:p>
    <w:p w:rsidR="00447FB2" w:rsidRDefault="007E732E" w:rsidP="00011D64">
      <w:pPr>
        <w:spacing w:after="240"/>
        <w:rPr>
          <w:rFonts w:ascii="Cambria" w:hAnsi="Cambria"/>
        </w:rPr>
      </w:pPr>
      <w:r>
        <w:rPr>
          <w:rFonts w:ascii="Cambria" w:hAnsi="Cambria"/>
        </w:rPr>
        <w:t xml:space="preserve">Topics recommended </w:t>
      </w:r>
      <w:r w:rsidR="00157CC0" w:rsidRPr="00011D64">
        <w:rPr>
          <w:rFonts w:ascii="Cambria" w:hAnsi="Cambria"/>
        </w:rPr>
        <w:t>for disability cultural competence training include</w:t>
      </w:r>
      <w:r w:rsidR="00011D64">
        <w:rPr>
          <w:rFonts w:ascii="Cambria" w:hAnsi="Cambria"/>
        </w:rPr>
        <w:t xml:space="preserve"> </w:t>
      </w:r>
      <w:r w:rsidR="00157CC0" w:rsidRPr="00011D64">
        <w:rPr>
          <w:rFonts w:ascii="Cambria" w:hAnsi="Cambria"/>
        </w:rPr>
        <w:t xml:space="preserve">disability knowledge, cultural competency, </w:t>
      </w:r>
      <w:r w:rsidR="00011D64">
        <w:rPr>
          <w:rFonts w:ascii="Cambria" w:hAnsi="Cambria"/>
        </w:rPr>
        <w:t xml:space="preserve">the </w:t>
      </w:r>
      <w:r w:rsidR="00157CC0" w:rsidRPr="00011D64">
        <w:rPr>
          <w:rFonts w:ascii="Cambria" w:hAnsi="Cambria"/>
        </w:rPr>
        <w:t>basic capacity to work effectively with people with disabilities, transitions for young people with intellectual and developmental disabilities, awareness of linguistic and cultural issues related to the deaf community, health care issues and concerns of blind and visually impaired persons, and issues for women with disabilities.</w:t>
      </w:r>
      <w:r w:rsidR="00633ADC">
        <w:rPr>
          <w:rStyle w:val="EndnoteReference"/>
          <w:rFonts w:ascii="Cambria" w:hAnsi="Cambria"/>
        </w:rPr>
        <w:endnoteReference w:id="84"/>
      </w:r>
    </w:p>
    <w:p w:rsidR="00447FB2" w:rsidRPr="002F37EF" w:rsidRDefault="00447FB2" w:rsidP="00011D64">
      <w:pPr>
        <w:spacing w:after="240"/>
        <w:rPr>
          <w:rFonts w:ascii="Cambria" w:hAnsi="Cambria"/>
          <w:b/>
          <w:i/>
        </w:rPr>
      </w:pPr>
      <w:r w:rsidRPr="002F37EF">
        <w:rPr>
          <w:rFonts w:ascii="Cambria" w:hAnsi="Cambria"/>
          <w:b/>
          <w:i/>
        </w:rPr>
        <w:t>Federal disability discrimination laws mandate equal access to and equal opportunity to participate in health care services, and effective communication with individuals who are deaf or hard of hearing.</w:t>
      </w:r>
    </w:p>
    <w:p w:rsidR="0092614D" w:rsidRDefault="0092614D" w:rsidP="00011D64">
      <w:pPr>
        <w:spacing w:after="240"/>
        <w:rPr>
          <w:rFonts w:ascii="Cambria" w:hAnsi="Cambria"/>
        </w:rPr>
      </w:pPr>
      <w:r>
        <w:rPr>
          <w:rFonts w:ascii="Cambria" w:hAnsi="Cambria"/>
        </w:rPr>
        <w:t>Laws mandating equal access for persons with disabilities include:</w:t>
      </w:r>
    </w:p>
    <w:p w:rsidR="0092614D" w:rsidRPr="0092614D" w:rsidRDefault="0092614D" w:rsidP="0092614D">
      <w:pPr>
        <w:pStyle w:val="ListParagraph"/>
        <w:numPr>
          <w:ilvl w:val="0"/>
          <w:numId w:val="8"/>
        </w:numPr>
        <w:spacing w:after="240"/>
        <w:rPr>
          <w:rFonts w:ascii="Cambria" w:hAnsi="Cambria"/>
        </w:rPr>
      </w:pPr>
      <w:r w:rsidRPr="0092614D">
        <w:rPr>
          <w:rFonts w:ascii="Cambria" w:hAnsi="Cambria"/>
        </w:rPr>
        <w:lastRenderedPageBreak/>
        <w:t>Section 504 of the Rehabilitation Act of 1973, which applies to federal health care services and facilities, and recipients of federal financial assistance (including those receiving Medicaid funds or federal research grants).</w:t>
      </w:r>
    </w:p>
    <w:p w:rsidR="0092614D" w:rsidRDefault="0092614D" w:rsidP="0092614D">
      <w:pPr>
        <w:pStyle w:val="ListParagraph"/>
        <w:numPr>
          <w:ilvl w:val="0"/>
          <w:numId w:val="8"/>
        </w:numPr>
        <w:spacing w:after="240"/>
        <w:rPr>
          <w:rFonts w:ascii="Cambria" w:hAnsi="Cambria"/>
        </w:rPr>
      </w:pPr>
      <w:r>
        <w:rPr>
          <w:rFonts w:ascii="Cambria" w:hAnsi="Cambria"/>
        </w:rPr>
        <w:t>Title II of the Americans with Disabilities Act, which applies to all public (state and local) health care providers.</w:t>
      </w:r>
    </w:p>
    <w:p w:rsidR="00995630" w:rsidRPr="0092614D" w:rsidRDefault="0092614D" w:rsidP="0092614D">
      <w:pPr>
        <w:pStyle w:val="ListParagraph"/>
        <w:numPr>
          <w:ilvl w:val="0"/>
          <w:numId w:val="8"/>
        </w:numPr>
        <w:spacing w:after="240"/>
        <w:rPr>
          <w:rFonts w:ascii="Cambria" w:hAnsi="Cambria"/>
        </w:rPr>
      </w:pPr>
      <w:r>
        <w:rPr>
          <w:rFonts w:ascii="Cambria" w:hAnsi="Cambria"/>
        </w:rPr>
        <w:t>Title III of the Americans with Disabilities Act, which applies to all private health care providers.</w:t>
      </w:r>
      <w:r>
        <w:rPr>
          <w:rStyle w:val="EndnoteReference"/>
          <w:rFonts w:ascii="Cambria" w:hAnsi="Cambria"/>
        </w:rPr>
        <w:endnoteReference w:id="85"/>
      </w:r>
    </w:p>
    <w:p w:rsidR="00633ADC" w:rsidRPr="0092614D" w:rsidRDefault="00633ADC" w:rsidP="00633ADC">
      <w:pPr>
        <w:spacing w:after="120"/>
        <w:rPr>
          <w:rFonts w:ascii="Cambria" w:hAnsi="Cambria"/>
          <w:b/>
          <w:i/>
        </w:rPr>
      </w:pPr>
      <w:r w:rsidRPr="0092614D">
        <w:rPr>
          <w:rFonts w:ascii="Cambria" w:hAnsi="Cambria"/>
          <w:b/>
          <w:i/>
        </w:rPr>
        <w:t>Principles of universal design, inclusive resources and imagery, and removal of common barriers can contribute to a welcoming environment.</w:t>
      </w:r>
    </w:p>
    <w:p w:rsidR="00633ADC" w:rsidRPr="00011D64" w:rsidRDefault="00633ADC" w:rsidP="00633ADC">
      <w:pPr>
        <w:spacing w:after="120"/>
        <w:rPr>
          <w:rFonts w:ascii="Cambria" w:hAnsi="Cambria"/>
        </w:rPr>
      </w:pPr>
      <w:r>
        <w:rPr>
          <w:rFonts w:ascii="Cambria" w:hAnsi="Cambria"/>
        </w:rPr>
        <w:t xml:space="preserve">As a means to improve access in health care spaces, the </w:t>
      </w:r>
      <w:r w:rsidRPr="00011D64">
        <w:rPr>
          <w:rFonts w:ascii="Cambria" w:hAnsi="Cambria"/>
        </w:rPr>
        <w:t>Joint Commission (2010) recommends incorporating principles of universal design in physical spaces</w:t>
      </w:r>
      <w:r w:rsidRPr="00011D64">
        <w:rPr>
          <w:rStyle w:val="EndnoteReference"/>
          <w:rFonts w:ascii="Cambria" w:hAnsi="Cambria"/>
        </w:rPr>
        <w:endnoteReference w:id="86"/>
      </w:r>
      <w:r w:rsidRPr="00011D64">
        <w:rPr>
          <w:rFonts w:ascii="Cambria" w:hAnsi="Cambria"/>
        </w:rPr>
        <w:t>:</w:t>
      </w:r>
    </w:p>
    <w:p w:rsidR="00633ADC" w:rsidRPr="00011D64" w:rsidRDefault="00633ADC" w:rsidP="00633ADC">
      <w:pPr>
        <w:pStyle w:val="ListParagraph"/>
        <w:numPr>
          <w:ilvl w:val="0"/>
          <w:numId w:val="5"/>
        </w:numPr>
        <w:spacing w:after="120"/>
        <w:rPr>
          <w:rFonts w:ascii="Cambria" w:hAnsi="Cambria"/>
        </w:rPr>
      </w:pPr>
      <w:r>
        <w:rPr>
          <w:rFonts w:ascii="Cambria" w:hAnsi="Cambria"/>
        </w:rPr>
        <w:t>E</w:t>
      </w:r>
      <w:r w:rsidRPr="00011D64">
        <w:rPr>
          <w:rFonts w:ascii="Cambria" w:hAnsi="Cambria"/>
        </w:rPr>
        <w:t>quitable use</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Flexibility in use</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Simple and intuitive use</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Perceptible information</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Tolerance for error</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Low physical effort</w:t>
      </w:r>
    </w:p>
    <w:p w:rsidR="00633ADC" w:rsidRPr="00011D64" w:rsidRDefault="00633ADC" w:rsidP="00633ADC">
      <w:pPr>
        <w:pStyle w:val="ListParagraph"/>
        <w:numPr>
          <w:ilvl w:val="0"/>
          <w:numId w:val="5"/>
        </w:numPr>
        <w:spacing w:after="120"/>
        <w:rPr>
          <w:rFonts w:ascii="Cambria" w:hAnsi="Cambria"/>
        </w:rPr>
      </w:pPr>
      <w:r w:rsidRPr="00011D64">
        <w:rPr>
          <w:rFonts w:ascii="Cambria" w:hAnsi="Cambria"/>
        </w:rPr>
        <w:t>Size and space for approach and use (regardless of body size, posture or mobility)</w:t>
      </w:r>
    </w:p>
    <w:p w:rsidR="00633ADC" w:rsidRDefault="00633ADC" w:rsidP="00633ADC">
      <w:pPr>
        <w:spacing w:after="120"/>
        <w:rPr>
          <w:rFonts w:ascii="Cambria" w:hAnsi="Cambria"/>
        </w:rPr>
      </w:pPr>
      <w:r>
        <w:rPr>
          <w:rFonts w:ascii="Cambria" w:hAnsi="Cambria"/>
        </w:rPr>
        <w:t>Further,</w:t>
      </w:r>
      <w:r w:rsidRPr="00011D64">
        <w:rPr>
          <w:rFonts w:ascii="Cambria" w:hAnsi="Cambria"/>
        </w:rPr>
        <w:t xml:space="preserve"> a welcoming environment can be created by displaying diverse magazines and brochures in the waiting area, reflecting </w:t>
      </w:r>
      <w:r>
        <w:rPr>
          <w:rFonts w:ascii="Cambria" w:hAnsi="Cambria"/>
        </w:rPr>
        <w:t>persons with disabilities</w:t>
      </w:r>
      <w:r w:rsidRPr="00011D64">
        <w:rPr>
          <w:rFonts w:ascii="Cambria" w:hAnsi="Cambria"/>
        </w:rPr>
        <w:t xml:space="preserve"> in marketing mater</w:t>
      </w:r>
      <w:r w:rsidR="00492B7D">
        <w:rPr>
          <w:rFonts w:ascii="Cambria" w:hAnsi="Cambria"/>
        </w:rPr>
        <w:t>ials, décor and photography and</w:t>
      </w:r>
      <w:r w:rsidRPr="00011D64">
        <w:rPr>
          <w:rFonts w:ascii="Cambria" w:hAnsi="Cambria"/>
        </w:rPr>
        <w:t xml:space="preserve"> na</w:t>
      </w:r>
      <w:r w:rsidR="00492B7D">
        <w:rPr>
          <w:rFonts w:ascii="Cambria" w:hAnsi="Cambria"/>
        </w:rPr>
        <w:t>vigational signage that is</w:t>
      </w:r>
      <w:r w:rsidRPr="00011D64">
        <w:rPr>
          <w:rFonts w:ascii="Cambria" w:hAnsi="Cambria"/>
        </w:rPr>
        <w:t xml:space="preserve"> easily understood (</w:t>
      </w:r>
      <w:r>
        <w:rPr>
          <w:rFonts w:ascii="Cambria" w:hAnsi="Cambria"/>
        </w:rPr>
        <w:t xml:space="preserve">i.e. </w:t>
      </w:r>
      <w:r w:rsidRPr="00011D64">
        <w:rPr>
          <w:rFonts w:ascii="Cambria" w:hAnsi="Cambria"/>
        </w:rPr>
        <w:t>pictures, symbols, bilingual</w:t>
      </w:r>
      <w:r>
        <w:rPr>
          <w:rFonts w:ascii="Cambria" w:hAnsi="Cambria"/>
        </w:rPr>
        <w:t xml:space="preserve"> materials</w:t>
      </w:r>
      <w:r w:rsidRPr="00011D64">
        <w:rPr>
          <w:rFonts w:ascii="Cambria" w:hAnsi="Cambria"/>
        </w:rPr>
        <w:t>).</w:t>
      </w:r>
    </w:p>
    <w:p w:rsidR="00633ADC" w:rsidRPr="00633ADC" w:rsidRDefault="00633ADC" w:rsidP="00FE123D">
      <w:pPr>
        <w:spacing w:after="120"/>
        <w:rPr>
          <w:rFonts w:ascii="Cambria" w:hAnsi="Cambria"/>
        </w:rPr>
      </w:pPr>
      <w:r>
        <w:rPr>
          <w:rFonts w:ascii="Cambria" w:hAnsi="Cambria"/>
        </w:rPr>
        <w:t xml:space="preserve">To create a more accessible and welcoming environment, </w:t>
      </w:r>
      <w:proofErr w:type="spellStart"/>
      <w:r>
        <w:rPr>
          <w:rFonts w:ascii="Cambria" w:hAnsi="Cambria"/>
        </w:rPr>
        <w:t>Kailes</w:t>
      </w:r>
      <w:proofErr w:type="spellEnd"/>
      <w:r>
        <w:rPr>
          <w:rFonts w:ascii="Cambria" w:hAnsi="Cambria"/>
        </w:rPr>
        <w:t xml:space="preserve"> (2011) recommends watching for and removing common barriers, such as, vehicles blocking ramps; housekeeping and cleaning carts blocking hallways and restrooms; potted plants, benches, ashtrays, trash cans and other items blocking access to ramps, railings and elevator call buttons; parking personnel using an accessible parking space as waiting areas; and snow and ice on walkways, ramps and parking areas.</w:t>
      </w:r>
      <w:r>
        <w:rPr>
          <w:rStyle w:val="EndnoteReference"/>
          <w:rFonts w:ascii="Cambria" w:hAnsi="Cambria"/>
        </w:rPr>
        <w:endnoteReference w:id="87"/>
      </w:r>
    </w:p>
    <w:p w:rsidR="001B7675" w:rsidRDefault="00762AEC" w:rsidP="00FE123D">
      <w:pPr>
        <w:spacing w:after="120"/>
        <w:rPr>
          <w:rFonts w:ascii="Cambria" w:hAnsi="Cambria"/>
          <w:b/>
          <w:i/>
        </w:rPr>
      </w:pPr>
      <w:r>
        <w:rPr>
          <w:rFonts w:ascii="Cambria" w:hAnsi="Cambria"/>
          <w:b/>
          <w:i/>
        </w:rPr>
        <w:t>The American Disabilities Act mandates</w:t>
      </w:r>
      <w:r w:rsidR="001B7675">
        <w:rPr>
          <w:rFonts w:ascii="Cambria" w:hAnsi="Cambria"/>
          <w:b/>
          <w:i/>
        </w:rPr>
        <w:t xml:space="preserve"> effective communication </w:t>
      </w:r>
      <w:r>
        <w:rPr>
          <w:rFonts w:ascii="Cambria" w:hAnsi="Cambria"/>
          <w:b/>
          <w:i/>
        </w:rPr>
        <w:t xml:space="preserve">assistance </w:t>
      </w:r>
      <w:r w:rsidR="001B7675">
        <w:rPr>
          <w:rFonts w:ascii="Cambria" w:hAnsi="Cambria"/>
          <w:b/>
          <w:i/>
        </w:rPr>
        <w:t>for persons with disabilities in health care settings</w:t>
      </w:r>
      <w:r>
        <w:rPr>
          <w:rFonts w:ascii="Cambria" w:hAnsi="Cambria"/>
          <w:b/>
          <w:i/>
        </w:rPr>
        <w:t>.</w:t>
      </w:r>
    </w:p>
    <w:p w:rsidR="00762AEC" w:rsidRDefault="00762AEC" w:rsidP="00762AEC">
      <w:pPr>
        <w:spacing w:after="240"/>
        <w:rPr>
          <w:rFonts w:ascii="Cambria" w:hAnsi="Cambria"/>
        </w:rPr>
      </w:pPr>
      <w:r>
        <w:rPr>
          <w:rFonts w:ascii="Cambria" w:hAnsi="Cambria"/>
        </w:rPr>
        <w:t xml:space="preserve">All hospital programs and services are required by the Americans with Disabilities Act (ADA) to provide effective means of communication for patients, family members and hospital visitors who have a disability. </w:t>
      </w:r>
    </w:p>
    <w:p w:rsidR="0018161B" w:rsidRDefault="0018161B" w:rsidP="00FE123D">
      <w:pPr>
        <w:spacing w:after="120"/>
        <w:rPr>
          <w:rFonts w:ascii="Cambria" w:hAnsi="Cambria"/>
        </w:rPr>
      </w:pPr>
      <w:r>
        <w:rPr>
          <w:rFonts w:ascii="Cambria" w:hAnsi="Cambria"/>
        </w:rPr>
        <w:t>Providing effective communication, according to the ADA, is particularly critical in health care settings where miscommunication may lead to misdiagnosis and improper or delayed medical treatment.</w:t>
      </w:r>
      <w:r>
        <w:rPr>
          <w:rStyle w:val="EndnoteReference"/>
          <w:rFonts w:ascii="Cambria" w:hAnsi="Cambria"/>
        </w:rPr>
        <w:endnoteReference w:id="88"/>
      </w:r>
    </w:p>
    <w:p w:rsidR="0018161B" w:rsidRPr="00011D64" w:rsidRDefault="0018161B" w:rsidP="0018161B">
      <w:pPr>
        <w:spacing w:after="120"/>
        <w:rPr>
          <w:rFonts w:ascii="Cambria" w:hAnsi="Cambria"/>
        </w:rPr>
      </w:pPr>
      <w:r w:rsidRPr="00011D64">
        <w:rPr>
          <w:rFonts w:ascii="Cambria" w:hAnsi="Cambria"/>
        </w:rPr>
        <w:t xml:space="preserve">In its </w:t>
      </w:r>
      <w:r w:rsidRPr="0018161B">
        <w:rPr>
          <w:rFonts w:ascii="Cambria" w:hAnsi="Cambria"/>
          <w:i/>
        </w:rPr>
        <w:t>Checklist for Effective Communication</w:t>
      </w:r>
      <w:r>
        <w:rPr>
          <w:rFonts w:ascii="Cambria" w:hAnsi="Cambria"/>
        </w:rPr>
        <w:t xml:space="preserve"> (T</w:t>
      </w:r>
      <w:r w:rsidRPr="00011D64">
        <w:rPr>
          <w:rFonts w:ascii="Cambria" w:hAnsi="Cambria"/>
        </w:rPr>
        <w:t xml:space="preserve">he Joint Commission, 2010) recommendations include offering auxiliary aids and services for patients with sensory impairments such as American Sign Language (ASL) interpreters, </w:t>
      </w:r>
      <w:r w:rsidRPr="00011D64">
        <w:rPr>
          <w:rFonts w:ascii="Cambria" w:hAnsi="Cambria"/>
        </w:rPr>
        <w:lastRenderedPageBreak/>
        <w:t>telecommunication devices for the deaf (TDD) in public areas, volume control and hearing aid adaptable telephones, closed captioning services, and Braille materials.</w:t>
      </w:r>
    </w:p>
    <w:p w:rsidR="0018161B" w:rsidRPr="00011D64" w:rsidRDefault="0018161B" w:rsidP="0018161B">
      <w:pPr>
        <w:spacing w:after="120"/>
        <w:rPr>
          <w:rFonts w:ascii="Cambria" w:hAnsi="Cambria"/>
        </w:rPr>
      </w:pPr>
      <w:r w:rsidRPr="00011D64">
        <w:rPr>
          <w:rFonts w:ascii="Cambria" w:hAnsi="Cambria"/>
        </w:rPr>
        <w:t>Also recommended is using augmentative and alternative communication (AAC) resources--such as writing pads, communication boards, visual pain scales, speech generating devices and adaptive nurse call systems--into care delivery.</w:t>
      </w:r>
    </w:p>
    <w:p w:rsidR="00762AEC" w:rsidRDefault="00492B7D" w:rsidP="0018161B">
      <w:pPr>
        <w:spacing w:after="120"/>
        <w:rPr>
          <w:rFonts w:ascii="Cambria" w:hAnsi="Cambria"/>
        </w:rPr>
      </w:pPr>
      <w:r>
        <w:rPr>
          <w:rFonts w:ascii="Cambria" w:hAnsi="Cambria"/>
        </w:rPr>
        <w:t>Such resources should be made known to clients and addressed in</w:t>
      </w:r>
      <w:r w:rsidR="0018161B" w:rsidRPr="00011D64">
        <w:rPr>
          <w:rFonts w:ascii="Cambria" w:hAnsi="Cambria"/>
        </w:rPr>
        <w:t xml:space="preserve"> policies and procedures.</w:t>
      </w:r>
      <w:r w:rsidR="0018161B">
        <w:rPr>
          <w:rStyle w:val="EndnoteReference"/>
          <w:rFonts w:ascii="Cambria" w:hAnsi="Cambria"/>
        </w:rPr>
        <w:endnoteReference w:id="89"/>
      </w:r>
    </w:p>
    <w:p w:rsidR="0018161B" w:rsidRPr="00011D64" w:rsidRDefault="00762AEC" w:rsidP="0018161B">
      <w:pPr>
        <w:spacing w:after="120"/>
        <w:rPr>
          <w:rFonts w:ascii="Cambria" w:hAnsi="Cambria"/>
        </w:rPr>
      </w:pPr>
      <w:r>
        <w:rPr>
          <w:rFonts w:ascii="Cambria" w:hAnsi="Cambria"/>
        </w:rPr>
        <w:t>To ensure communication for persons who are deaf or hard of hearing, sign language interpreters, oral interpreters, cued speech interpreters or computer assisted real-time transcription (CART) may be necessary (DOJ, 2003).</w:t>
      </w:r>
    </w:p>
    <w:p w:rsidR="0018161B" w:rsidRPr="00011D64" w:rsidRDefault="0018161B" w:rsidP="0018161B">
      <w:pPr>
        <w:spacing w:after="120"/>
        <w:rPr>
          <w:rFonts w:ascii="Cambria" w:hAnsi="Cambria"/>
        </w:rPr>
      </w:pPr>
      <w:r>
        <w:rPr>
          <w:rFonts w:ascii="Cambria" w:hAnsi="Cambria"/>
        </w:rPr>
        <w:t xml:space="preserve">An </w:t>
      </w:r>
      <w:r w:rsidRPr="00011D64">
        <w:rPr>
          <w:rFonts w:ascii="Cambria" w:hAnsi="Cambria"/>
        </w:rPr>
        <w:t>interpreter may be required for effective communication in the following situations</w:t>
      </w:r>
      <w:r w:rsidR="00762AEC">
        <w:rPr>
          <w:rFonts w:ascii="Cambria" w:hAnsi="Cambria"/>
        </w:rPr>
        <w:t>:</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Discussing a patient’s symptoms and medical condition, medications, and medical history</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Explaining and describing medical conditions, tests, treatment options, medications, and surgery or other procedures</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Providing a diagnosis, prognosis, and recommendation for treatment</w:t>
      </w:r>
      <w:r w:rsidR="002F37EF">
        <w:rPr>
          <w:rFonts w:ascii="Cambria" w:hAnsi="Cambria" w:cs="Arial"/>
          <w:color w:val="141413"/>
          <w:szCs w:val="18"/>
        </w:rPr>
        <w:t>.</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Obtaining informed consent for treatment</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Communicating with a patient during treatment, testing procedures, and during physician’s rounds</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Providing instructions for medications, post-treatment activities, and follow-up treatments</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Providing mental health services, including group or individual therapy, or counseling for patients and family members</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Providing information about blood or organ donations</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Explaining living wills and powers of attorney</w:t>
      </w:r>
    </w:p>
    <w:p w:rsidR="0018161B" w:rsidRPr="0018161B" w:rsidRDefault="0018161B" w:rsidP="0018161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color w:val="141413"/>
          <w:szCs w:val="18"/>
        </w:rPr>
      </w:pPr>
      <w:r w:rsidRPr="0018161B">
        <w:rPr>
          <w:rFonts w:ascii="Cambria" w:hAnsi="Cambria" w:cs="Arial"/>
          <w:color w:val="141413"/>
          <w:szCs w:val="18"/>
        </w:rPr>
        <w:t>Discussing complex billing or insurance matters</w:t>
      </w:r>
    </w:p>
    <w:p w:rsidR="001B7675" w:rsidRPr="00492B7D" w:rsidRDefault="0018161B" w:rsidP="00492B7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Cambria" w:hAnsi="Cambria" w:cs="Arial"/>
          <w:color w:val="141413"/>
          <w:szCs w:val="18"/>
        </w:rPr>
      </w:pPr>
      <w:r w:rsidRPr="0018161B">
        <w:rPr>
          <w:rFonts w:ascii="Cambria" w:hAnsi="Cambria" w:cs="Arial"/>
          <w:color w:val="141413"/>
          <w:szCs w:val="18"/>
        </w:rPr>
        <w:t>Making educational presentations, such as birthing and new parent classes, nutrition and weight management counseling, and CPR and first aid training</w:t>
      </w:r>
      <w:r w:rsidR="004318EB">
        <w:rPr>
          <w:rFonts w:ascii="Cambria" w:hAnsi="Cambria" w:cs="Arial"/>
          <w:color w:val="141413"/>
          <w:szCs w:val="18"/>
        </w:rPr>
        <w:t xml:space="preserve"> (DOJ, 2003)</w:t>
      </w:r>
    </w:p>
    <w:p w:rsidR="0018161B" w:rsidRPr="001B7675" w:rsidRDefault="001B7675" w:rsidP="00FE123D">
      <w:pPr>
        <w:spacing w:after="120"/>
        <w:rPr>
          <w:rFonts w:ascii="Cambria" w:hAnsi="Cambria"/>
          <w:b/>
          <w:i/>
        </w:rPr>
      </w:pPr>
      <w:r>
        <w:rPr>
          <w:rFonts w:ascii="Cambria" w:hAnsi="Cambria"/>
          <w:b/>
          <w:i/>
        </w:rPr>
        <w:t>Avoiding assumptions, using sensitive language and making small accommodations can contribute to respectful communication.</w:t>
      </w:r>
    </w:p>
    <w:p w:rsidR="00CD6BB4" w:rsidRDefault="00CD6BB4" w:rsidP="00FE123D">
      <w:pPr>
        <w:spacing w:after="120"/>
        <w:rPr>
          <w:rFonts w:ascii="Cambria" w:hAnsi="Cambria"/>
        </w:rPr>
      </w:pPr>
      <w:r>
        <w:rPr>
          <w:rFonts w:ascii="Cambria" w:hAnsi="Cambria"/>
        </w:rPr>
        <w:t xml:space="preserve">When addressing individuals with disabilities and their families, </w:t>
      </w:r>
      <w:proofErr w:type="spellStart"/>
      <w:r>
        <w:rPr>
          <w:rFonts w:ascii="Cambria" w:hAnsi="Cambria"/>
        </w:rPr>
        <w:t>Kailes</w:t>
      </w:r>
      <w:proofErr w:type="spellEnd"/>
      <w:r>
        <w:rPr>
          <w:rFonts w:ascii="Cambria" w:hAnsi="Cambria"/>
        </w:rPr>
        <w:t xml:space="preserve"> (2011) recommends choosing disability terms that describe diversity in accurate and respectful ways. For example, </w:t>
      </w:r>
      <w:r w:rsidR="00575148">
        <w:rPr>
          <w:rFonts w:ascii="Cambria" w:hAnsi="Cambria"/>
        </w:rPr>
        <w:t>a “person</w:t>
      </w:r>
      <w:r>
        <w:rPr>
          <w:rFonts w:ascii="Cambria" w:hAnsi="Cambria"/>
        </w:rPr>
        <w:t xml:space="preserve"> with </w:t>
      </w:r>
      <w:r w:rsidR="00492B7D">
        <w:rPr>
          <w:rFonts w:ascii="Cambria" w:hAnsi="Cambria"/>
        </w:rPr>
        <w:t>epilepsy” instead of “epileptic</w:t>
      </w:r>
      <w:r>
        <w:rPr>
          <w:rFonts w:ascii="Cambria" w:hAnsi="Cambria"/>
        </w:rPr>
        <w:t xml:space="preserve">” or “wheelchair user” instead of “wheelchair bound.” Disability-specific language, according to </w:t>
      </w:r>
      <w:proofErr w:type="spellStart"/>
      <w:r>
        <w:rPr>
          <w:rFonts w:ascii="Cambria" w:hAnsi="Cambria"/>
        </w:rPr>
        <w:t>Kaile</w:t>
      </w:r>
      <w:r w:rsidR="00492B7D">
        <w:rPr>
          <w:rFonts w:ascii="Cambria" w:hAnsi="Cambria"/>
        </w:rPr>
        <w:t>s</w:t>
      </w:r>
      <w:proofErr w:type="spellEnd"/>
      <w:r w:rsidR="00492B7D">
        <w:rPr>
          <w:rFonts w:ascii="Cambria" w:hAnsi="Cambria"/>
        </w:rPr>
        <w:t>, should be precise, objective</w:t>
      </w:r>
      <w:r>
        <w:rPr>
          <w:rFonts w:ascii="Cambria" w:hAnsi="Cambria"/>
        </w:rPr>
        <w:t xml:space="preserve"> and neutral, and avoid reinforcing negative values, biases and stereotypes.</w:t>
      </w:r>
    </w:p>
    <w:p w:rsidR="00CD6BB4" w:rsidRDefault="00CD6BB4" w:rsidP="00FE123D">
      <w:pPr>
        <w:spacing w:after="120"/>
        <w:rPr>
          <w:rFonts w:ascii="Cambria" w:hAnsi="Cambria"/>
        </w:rPr>
      </w:pPr>
      <w:r>
        <w:rPr>
          <w:rFonts w:ascii="Cambria" w:hAnsi="Cambria"/>
        </w:rPr>
        <w:t>It is important to avoid assumptions when offering assistance to persons with</w:t>
      </w:r>
      <w:r w:rsidR="00E628FA">
        <w:rPr>
          <w:rFonts w:ascii="Cambria" w:hAnsi="Cambria"/>
        </w:rPr>
        <w:t xml:space="preserve"> disabilities. </w:t>
      </w:r>
      <w:proofErr w:type="spellStart"/>
      <w:r w:rsidR="00E628FA">
        <w:rPr>
          <w:rFonts w:ascii="Cambria" w:hAnsi="Cambria"/>
        </w:rPr>
        <w:t>Kailes</w:t>
      </w:r>
      <w:proofErr w:type="spellEnd"/>
      <w:r w:rsidR="00E628FA">
        <w:rPr>
          <w:rFonts w:ascii="Cambria" w:hAnsi="Cambria"/>
        </w:rPr>
        <w:t xml:space="preserve"> recommends “</w:t>
      </w:r>
      <w:r>
        <w:rPr>
          <w:rFonts w:ascii="Cambria" w:hAnsi="Cambria"/>
        </w:rPr>
        <w:t>asking before acting” and, if offering assistance, waiting until the offer is accepted.</w:t>
      </w:r>
    </w:p>
    <w:p w:rsidR="000E724E" w:rsidRDefault="00CD6BB4" w:rsidP="0092614D">
      <w:pPr>
        <w:spacing w:after="240"/>
        <w:rPr>
          <w:rFonts w:ascii="Cambria" w:hAnsi="Cambria"/>
        </w:rPr>
      </w:pPr>
      <w:r>
        <w:rPr>
          <w:rFonts w:ascii="Cambria" w:hAnsi="Cambria"/>
        </w:rPr>
        <w:lastRenderedPageBreak/>
        <w:t>Small accommodations, such as stepping around counte</w:t>
      </w:r>
      <w:r w:rsidR="00E628FA">
        <w:rPr>
          <w:rFonts w:ascii="Cambria" w:hAnsi="Cambria"/>
        </w:rPr>
        <w:t>rs to provide service to persons</w:t>
      </w:r>
      <w:r w:rsidR="00492B7D">
        <w:rPr>
          <w:rFonts w:ascii="Cambria" w:hAnsi="Cambria"/>
        </w:rPr>
        <w:t xml:space="preserve"> using wheelchairs</w:t>
      </w:r>
      <w:r>
        <w:rPr>
          <w:rFonts w:ascii="Cambria" w:hAnsi="Cambria"/>
        </w:rPr>
        <w:t xml:space="preserve"> and speaking directly to the person with a disability rather than through family members, can be helpful (</w:t>
      </w:r>
      <w:proofErr w:type="spellStart"/>
      <w:r>
        <w:rPr>
          <w:rFonts w:ascii="Cambria" w:hAnsi="Cambria"/>
        </w:rPr>
        <w:t>Kailes</w:t>
      </w:r>
      <w:proofErr w:type="spellEnd"/>
      <w:r>
        <w:rPr>
          <w:rFonts w:ascii="Cambria" w:hAnsi="Cambria"/>
        </w:rPr>
        <w:t>, 2001).</w:t>
      </w:r>
    </w:p>
    <w:p w:rsidR="000E724E" w:rsidRPr="00011D64" w:rsidRDefault="000E724E" w:rsidP="000E724E">
      <w:pPr>
        <w:spacing w:after="120"/>
        <w:rPr>
          <w:rFonts w:ascii="Cambria" w:hAnsi="Cambria"/>
        </w:rPr>
      </w:pPr>
      <w:r>
        <w:rPr>
          <w:rFonts w:ascii="Cambria" w:hAnsi="Cambria"/>
        </w:rPr>
        <w:t xml:space="preserve">When communicating with deaf persons, it is important to note certain social mores that can affect communication (Meador and </w:t>
      </w:r>
      <w:proofErr w:type="spellStart"/>
      <w:r>
        <w:rPr>
          <w:rFonts w:ascii="Cambria" w:hAnsi="Cambria"/>
        </w:rPr>
        <w:t>Zazove</w:t>
      </w:r>
      <w:proofErr w:type="spellEnd"/>
      <w:r>
        <w:rPr>
          <w:rFonts w:ascii="Cambria" w:hAnsi="Cambria"/>
        </w:rPr>
        <w:t>, 2005), such as the need to inform deaf people of the content of any convers</w:t>
      </w:r>
      <w:r w:rsidR="00492B7D">
        <w:rPr>
          <w:rFonts w:ascii="Cambria" w:hAnsi="Cambria"/>
        </w:rPr>
        <w:t>ation including personal asides</w:t>
      </w:r>
      <w:r>
        <w:rPr>
          <w:rFonts w:ascii="Cambria" w:hAnsi="Cambria"/>
        </w:rPr>
        <w:t xml:space="preserve"> and environmental sounds. Also important is to remember that ASL sentence structure</w:t>
      </w:r>
      <w:r w:rsidR="00492B7D">
        <w:rPr>
          <w:rFonts w:ascii="Cambria" w:hAnsi="Cambria"/>
        </w:rPr>
        <w:t xml:space="preserve"> differs</w:t>
      </w:r>
      <w:r>
        <w:rPr>
          <w:rFonts w:ascii="Cambria" w:hAnsi="Cambria"/>
        </w:rPr>
        <w:t xml:space="preserve"> from English. ASL communication starts with the main point and winds down, and has been described as having “abrupt beginnings and long goodbyes.”</w:t>
      </w:r>
      <w:r>
        <w:rPr>
          <w:rStyle w:val="EndnoteReference"/>
          <w:rFonts w:ascii="Cambria" w:hAnsi="Cambria"/>
        </w:rPr>
        <w:endnoteReference w:id="90"/>
      </w:r>
    </w:p>
    <w:p w:rsidR="007F32A9" w:rsidRDefault="007F32A9" w:rsidP="007F32A9">
      <w:pPr>
        <w:spacing w:after="120"/>
        <w:rPr>
          <w:rFonts w:ascii="Cambria" w:hAnsi="Cambria"/>
        </w:rPr>
      </w:pPr>
      <w:r>
        <w:rPr>
          <w:rFonts w:ascii="Cambria" w:hAnsi="Cambria"/>
        </w:rPr>
        <w:t>Recommendations for improving communication with deaf persons (MDPH, 2013 include:</w:t>
      </w:r>
    </w:p>
    <w:p w:rsidR="00AD4714" w:rsidRDefault="00AD4714" w:rsidP="00AD4714">
      <w:pPr>
        <w:pStyle w:val="ListParagraph"/>
        <w:numPr>
          <w:ilvl w:val="0"/>
          <w:numId w:val="7"/>
        </w:numPr>
        <w:spacing w:after="120"/>
        <w:rPr>
          <w:rFonts w:ascii="Cambria" w:hAnsi="Cambria"/>
        </w:rPr>
      </w:pPr>
      <w:r w:rsidRPr="00AD4714">
        <w:rPr>
          <w:rFonts w:ascii="Cambria" w:hAnsi="Cambria"/>
        </w:rPr>
        <w:t>Asking the person “W</w:t>
      </w:r>
      <w:r w:rsidR="007F32A9" w:rsidRPr="00AD4714">
        <w:rPr>
          <w:rFonts w:ascii="Cambria" w:hAnsi="Cambria"/>
        </w:rPr>
        <w:t>hat</w:t>
      </w:r>
      <w:r w:rsidRPr="00AD4714">
        <w:rPr>
          <w:rFonts w:ascii="Cambria" w:hAnsi="Cambria"/>
        </w:rPr>
        <w:t xml:space="preserve"> is</w:t>
      </w:r>
      <w:r w:rsidR="007F32A9" w:rsidRPr="00AD4714">
        <w:rPr>
          <w:rFonts w:ascii="Cambria" w:hAnsi="Cambria"/>
        </w:rPr>
        <w:t xml:space="preserve"> the best way to communicate</w:t>
      </w:r>
      <w:r w:rsidR="00492B7D">
        <w:rPr>
          <w:rFonts w:ascii="Cambria" w:hAnsi="Cambria"/>
        </w:rPr>
        <w:t xml:space="preserve"> with/for you</w:t>
      </w:r>
      <w:r w:rsidRPr="00AD4714">
        <w:rPr>
          <w:rFonts w:ascii="Cambria" w:hAnsi="Cambria"/>
        </w:rPr>
        <w:t>?”</w:t>
      </w:r>
    </w:p>
    <w:p w:rsidR="00AD4714" w:rsidRPr="00AD4714" w:rsidRDefault="00AD4714" w:rsidP="00AD4714">
      <w:pPr>
        <w:pStyle w:val="ListParagraph"/>
        <w:numPr>
          <w:ilvl w:val="0"/>
          <w:numId w:val="7"/>
        </w:numPr>
        <w:spacing w:after="120"/>
        <w:rPr>
          <w:rFonts w:ascii="Cambria" w:hAnsi="Cambria"/>
        </w:rPr>
      </w:pPr>
      <w:r>
        <w:rPr>
          <w:rFonts w:ascii="Cambria" w:hAnsi="Cambria"/>
        </w:rPr>
        <w:t>Inquiring about family history or education background to understand personal support systems, identity and communication needs</w:t>
      </w:r>
    </w:p>
    <w:p w:rsidR="00AD4714" w:rsidRDefault="00AD4714" w:rsidP="00AD4714">
      <w:pPr>
        <w:pStyle w:val="ListParagraph"/>
        <w:numPr>
          <w:ilvl w:val="0"/>
          <w:numId w:val="7"/>
        </w:numPr>
        <w:spacing w:after="120"/>
        <w:rPr>
          <w:rFonts w:ascii="Cambria" w:hAnsi="Cambria"/>
        </w:rPr>
      </w:pPr>
      <w:r>
        <w:rPr>
          <w:rFonts w:ascii="Cambria" w:hAnsi="Cambria"/>
        </w:rPr>
        <w:t>Addressing the Deaf consumer directly and not the interpreter</w:t>
      </w:r>
    </w:p>
    <w:p w:rsidR="00AD4714" w:rsidRDefault="00AD4714" w:rsidP="00AD4714">
      <w:pPr>
        <w:pStyle w:val="ListParagraph"/>
        <w:numPr>
          <w:ilvl w:val="0"/>
          <w:numId w:val="7"/>
        </w:numPr>
        <w:spacing w:after="120"/>
        <w:rPr>
          <w:rFonts w:ascii="Cambria" w:hAnsi="Cambria"/>
        </w:rPr>
      </w:pPr>
      <w:r>
        <w:rPr>
          <w:rFonts w:ascii="Cambria" w:hAnsi="Cambria"/>
        </w:rPr>
        <w:t>Avoiding comments that infer deafness is a condition in need of curing</w:t>
      </w:r>
    </w:p>
    <w:p w:rsidR="00AD4714" w:rsidRDefault="00AD4714" w:rsidP="00AD4714">
      <w:pPr>
        <w:pStyle w:val="ListParagraph"/>
        <w:numPr>
          <w:ilvl w:val="0"/>
          <w:numId w:val="7"/>
        </w:numPr>
        <w:spacing w:after="120"/>
        <w:rPr>
          <w:rFonts w:ascii="Cambria" w:hAnsi="Cambria"/>
        </w:rPr>
      </w:pPr>
      <w:r>
        <w:rPr>
          <w:rFonts w:ascii="Cambria" w:hAnsi="Cambria"/>
        </w:rPr>
        <w:t xml:space="preserve">Making and keeping eye contact </w:t>
      </w:r>
    </w:p>
    <w:p w:rsidR="00AD4714" w:rsidRDefault="00AD4714" w:rsidP="00AD4714">
      <w:pPr>
        <w:pStyle w:val="ListParagraph"/>
        <w:numPr>
          <w:ilvl w:val="0"/>
          <w:numId w:val="7"/>
        </w:numPr>
        <w:spacing w:after="120"/>
        <w:rPr>
          <w:rFonts w:ascii="Cambria" w:hAnsi="Cambria"/>
        </w:rPr>
      </w:pPr>
      <w:r>
        <w:rPr>
          <w:rFonts w:ascii="Cambria" w:hAnsi="Cambria"/>
        </w:rPr>
        <w:t>Using plain language</w:t>
      </w:r>
    </w:p>
    <w:p w:rsidR="00AD4714" w:rsidRDefault="007F32A9" w:rsidP="00AD4714">
      <w:pPr>
        <w:pStyle w:val="ListParagraph"/>
        <w:numPr>
          <w:ilvl w:val="0"/>
          <w:numId w:val="7"/>
        </w:numPr>
        <w:spacing w:after="120"/>
        <w:rPr>
          <w:rFonts w:ascii="Cambria" w:hAnsi="Cambria"/>
        </w:rPr>
      </w:pPr>
      <w:r w:rsidRPr="00AD4714">
        <w:rPr>
          <w:rFonts w:ascii="Cambria" w:hAnsi="Cambria"/>
        </w:rPr>
        <w:t xml:space="preserve"> </w:t>
      </w:r>
      <w:r w:rsidR="00AD4714">
        <w:rPr>
          <w:rFonts w:ascii="Cambria" w:hAnsi="Cambria"/>
        </w:rPr>
        <w:t>Explaining audio interruptions such as the phone ringing or knocks at the door</w:t>
      </w:r>
    </w:p>
    <w:p w:rsidR="009A2302" w:rsidRPr="00492B7D" w:rsidRDefault="00AD4714" w:rsidP="00492B7D">
      <w:pPr>
        <w:pStyle w:val="ListParagraph"/>
        <w:numPr>
          <w:ilvl w:val="0"/>
          <w:numId w:val="7"/>
        </w:numPr>
        <w:spacing w:after="360"/>
        <w:rPr>
          <w:rFonts w:ascii="Cambria" w:hAnsi="Cambria"/>
        </w:rPr>
      </w:pPr>
      <w:r>
        <w:rPr>
          <w:rFonts w:ascii="Cambria" w:hAnsi="Cambria"/>
        </w:rPr>
        <w:t>Using visual aids when necessary</w:t>
      </w:r>
    </w:p>
    <w:p w:rsidR="007E732E" w:rsidRDefault="00560968" w:rsidP="007E732E">
      <w:pPr>
        <w:spacing w:after="120"/>
        <w:rPr>
          <w:rFonts w:ascii="Cambria" w:hAnsi="Cambria"/>
          <w:b/>
        </w:rPr>
      </w:pPr>
      <w:r w:rsidRPr="00011D64">
        <w:rPr>
          <w:rFonts w:ascii="Cambria" w:hAnsi="Cambria"/>
          <w:b/>
        </w:rPr>
        <w:t>Culturally Competent Care for Veterans</w:t>
      </w:r>
    </w:p>
    <w:p w:rsidR="001A5D29" w:rsidRPr="00011D64" w:rsidRDefault="001A5D29" w:rsidP="001A5D29">
      <w:pPr>
        <w:spacing w:after="120"/>
        <w:rPr>
          <w:rFonts w:ascii="Cambria" w:hAnsi="Cambria"/>
        </w:rPr>
      </w:pPr>
      <w:r w:rsidRPr="00011D64">
        <w:rPr>
          <w:rFonts w:ascii="Cambria" w:hAnsi="Cambria"/>
        </w:rPr>
        <w:t>A search for literature specific to the health of veterans began at the De</w:t>
      </w:r>
      <w:r w:rsidR="00323B3C">
        <w:rPr>
          <w:rFonts w:ascii="Cambria" w:hAnsi="Cambria"/>
        </w:rPr>
        <w:t>fense Centers of Excellence web</w:t>
      </w:r>
      <w:r w:rsidRPr="00011D64">
        <w:rPr>
          <w:rFonts w:ascii="Cambria" w:hAnsi="Cambria"/>
        </w:rPr>
        <w:t>site (http://www.dcoe, health.mil).</w:t>
      </w:r>
    </w:p>
    <w:p w:rsidR="001A5D29" w:rsidRDefault="001A5D29" w:rsidP="001A5D29">
      <w:pPr>
        <w:spacing w:after="120"/>
        <w:rPr>
          <w:rFonts w:ascii="Cambria" w:hAnsi="Cambria"/>
          <w:b/>
          <w:i/>
        </w:rPr>
      </w:pPr>
      <w:r w:rsidRPr="00011D64">
        <w:rPr>
          <w:rFonts w:ascii="Cambria" w:hAnsi="Cambria"/>
        </w:rPr>
        <w:t>Articles and materials reviewed highlighted the special health concerns facing</w:t>
      </w:r>
      <w:r>
        <w:rPr>
          <w:rFonts w:ascii="Cambria" w:hAnsi="Cambria"/>
        </w:rPr>
        <w:t xml:space="preserve"> military veterans, namely post-</w:t>
      </w:r>
      <w:r w:rsidRPr="00011D64">
        <w:rPr>
          <w:rFonts w:ascii="Cambria" w:hAnsi="Cambria"/>
        </w:rPr>
        <w:t>traumatic stress disorder (PTSD), acute stress disorder (ASD), depression, substance abuse, suicide and Gulf War illness</w:t>
      </w:r>
      <w:r>
        <w:rPr>
          <w:rFonts w:ascii="Cambria" w:hAnsi="Cambria"/>
        </w:rPr>
        <w:t>. The following themes emerged from the research.</w:t>
      </w:r>
    </w:p>
    <w:p w:rsidR="007E732E" w:rsidRPr="007E732E" w:rsidRDefault="007E732E" w:rsidP="007E732E">
      <w:pPr>
        <w:spacing w:after="120"/>
        <w:rPr>
          <w:rFonts w:ascii="Cambria" w:hAnsi="Cambria"/>
          <w:b/>
          <w:i/>
        </w:rPr>
      </w:pPr>
      <w:r>
        <w:rPr>
          <w:rFonts w:ascii="Cambria" w:hAnsi="Cambria"/>
          <w:b/>
          <w:i/>
        </w:rPr>
        <w:t>Veterans are a growing population, facing unique health repercussions after deployment.</w:t>
      </w:r>
    </w:p>
    <w:p w:rsidR="00255829" w:rsidRPr="007E732E" w:rsidRDefault="007E732E" w:rsidP="007E732E">
      <w:pPr>
        <w:spacing w:after="120"/>
        <w:rPr>
          <w:rFonts w:ascii="Cambria" w:hAnsi="Cambria"/>
        </w:rPr>
      </w:pPr>
      <w:r>
        <w:rPr>
          <w:rFonts w:ascii="Cambria" w:hAnsi="Cambria"/>
        </w:rPr>
        <w:t>According to the National Institutes of Health</w:t>
      </w:r>
      <w:r w:rsidR="00323B3C">
        <w:rPr>
          <w:rFonts w:ascii="Cambria" w:hAnsi="Cambria"/>
        </w:rPr>
        <w:t xml:space="preserve"> (NIH), there are more than</w:t>
      </w:r>
      <w:r w:rsidR="00255829" w:rsidRPr="007E732E">
        <w:rPr>
          <w:rFonts w:ascii="Cambria" w:hAnsi="Cambria"/>
        </w:rPr>
        <w:t xml:space="preserve"> two million active and reserve members of the U.S. Military and more than 23 million U.S. veterans</w:t>
      </w:r>
      <w:r w:rsidR="00255829" w:rsidRPr="00011D64">
        <w:rPr>
          <w:rStyle w:val="EndnoteReference"/>
          <w:rFonts w:ascii="Cambria" w:hAnsi="Cambria"/>
        </w:rPr>
        <w:endnoteReference w:id="91"/>
      </w:r>
    </w:p>
    <w:p w:rsidR="005B1957" w:rsidRDefault="00255829" w:rsidP="007E732E">
      <w:pPr>
        <w:spacing w:after="120"/>
        <w:rPr>
          <w:rFonts w:ascii="Cambria" w:hAnsi="Cambria"/>
        </w:rPr>
      </w:pPr>
      <w:r w:rsidRPr="007E732E">
        <w:rPr>
          <w:rFonts w:ascii="Cambria" w:hAnsi="Cambria"/>
        </w:rPr>
        <w:t>Families of veterans cope with deployment and separation, illnesses and injuries, the mental health effects of war on military family members, stresses related to disruptions in parenting and caregivers</w:t>
      </w:r>
      <w:r w:rsidR="00323B3C">
        <w:rPr>
          <w:rFonts w:ascii="Cambria" w:hAnsi="Cambria"/>
        </w:rPr>
        <w:t>, among other issues.</w:t>
      </w:r>
    </w:p>
    <w:p w:rsidR="005B1957" w:rsidRPr="00011D64" w:rsidRDefault="005B1957" w:rsidP="005B1957">
      <w:pPr>
        <w:spacing w:after="120"/>
        <w:rPr>
          <w:rFonts w:ascii="Cambria" w:hAnsi="Cambria"/>
        </w:rPr>
      </w:pPr>
      <w:r>
        <w:rPr>
          <w:rFonts w:ascii="Cambria" w:hAnsi="Cambria"/>
        </w:rPr>
        <w:t xml:space="preserve">Medical conditions particularly affecting Veterans include: </w:t>
      </w:r>
    </w:p>
    <w:p w:rsidR="005B1957" w:rsidRPr="00011D64" w:rsidRDefault="00323B3C" w:rsidP="005B1957">
      <w:pPr>
        <w:pStyle w:val="ListParagraph"/>
        <w:numPr>
          <w:ilvl w:val="1"/>
          <w:numId w:val="7"/>
        </w:numPr>
        <w:rPr>
          <w:rFonts w:ascii="Cambria" w:hAnsi="Cambria" w:cs="Arial"/>
        </w:rPr>
      </w:pPr>
      <w:r>
        <w:rPr>
          <w:rFonts w:ascii="Cambria" w:hAnsi="Cambria" w:cs="Arial"/>
        </w:rPr>
        <w:t>Agent-Orange-Exposure-</w:t>
      </w:r>
      <w:r w:rsidR="005B1957" w:rsidRPr="00011D64">
        <w:rPr>
          <w:rFonts w:ascii="Cambria" w:hAnsi="Cambria" w:cs="Arial"/>
        </w:rPr>
        <w:t xml:space="preserve">related diseases (certain cancers, chloracne, diabetes type 2, ischemic heart disease, birth defects </w:t>
      </w:r>
      <w:r w:rsidR="005B1957">
        <w:rPr>
          <w:rFonts w:ascii="Cambria" w:hAnsi="Cambria" w:cs="Arial"/>
        </w:rPr>
        <w:t>in biological children of exposed Veterans)</w:t>
      </w:r>
    </w:p>
    <w:p w:rsidR="005B1957" w:rsidRPr="00011D64" w:rsidRDefault="005B1957" w:rsidP="005B1957">
      <w:pPr>
        <w:pStyle w:val="ListParagraph"/>
        <w:numPr>
          <w:ilvl w:val="1"/>
          <w:numId w:val="7"/>
        </w:numPr>
        <w:rPr>
          <w:rFonts w:ascii="Cambria" w:hAnsi="Cambria" w:cs="Arial"/>
        </w:rPr>
      </w:pPr>
      <w:r w:rsidRPr="00011D64">
        <w:rPr>
          <w:rFonts w:ascii="Cambria" w:hAnsi="Cambria" w:cs="Arial"/>
        </w:rPr>
        <w:lastRenderedPageBreak/>
        <w:t>Gulf War Syndrome</w:t>
      </w:r>
    </w:p>
    <w:p w:rsidR="005B1957" w:rsidRPr="005B1957" w:rsidRDefault="005B1957" w:rsidP="005B1957">
      <w:pPr>
        <w:pStyle w:val="ListParagraph"/>
        <w:numPr>
          <w:ilvl w:val="1"/>
          <w:numId w:val="7"/>
        </w:numPr>
        <w:rPr>
          <w:rFonts w:ascii="Cambria" w:hAnsi="Cambria" w:cs="Arial"/>
        </w:rPr>
      </w:pPr>
      <w:r w:rsidRPr="00011D64">
        <w:rPr>
          <w:rFonts w:ascii="Cambria" w:hAnsi="Cambria" w:cs="Arial"/>
        </w:rPr>
        <w:t>Traumatic Brain Injury</w:t>
      </w:r>
    </w:p>
    <w:p w:rsidR="005B1957" w:rsidRPr="005B1957" w:rsidRDefault="005B1957" w:rsidP="005B1957">
      <w:pPr>
        <w:pStyle w:val="ListParagraph"/>
        <w:numPr>
          <w:ilvl w:val="1"/>
          <w:numId w:val="7"/>
        </w:numPr>
        <w:rPr>
          <w:rFonts w:ascii="Cambria" w:hAnsi="Cambria" w:cs="Arial"/>
        </w:rPr>
      </w:pPr>
      <w:r w:rsidRPr="00011D64">
        <w:rPr>
          <w:rFonts w:ascii="Cambria" w:hAnsi="Cambria" w:cs="Arial"/>
        </w:rPr>
        <w:t>Radiation Exposure</w:t>
      </w:r>
      <w:r>
        <w:rPr>
          <w:rFonts w:ascii="Cambria" w:hAnsi="Cambria" w:cs="Arial"/>
        </w:rPr>
        <w:t xml:space="preserve"> </w:t>
      </w:r>
      <w:r w:rsidRPr="00011D64">
        <w:rPr>
          <w:rStyle w:val="EndnoteReference"/>
          <w:rFonts w:ascii="Cambria" w:hAnsi="Cambria"/>
        </w:rPr>
        <w:endnoteReference w:id="92"/>
      </w:r>
      <w:r w:rsidRPr="00011D64">
        <w:rPr>
          <w:rFonts w:ascii="Cambria" w:hAnsi="Cambria"/>
        </w:rPr>
        <w:t xml:space="preserve"> </w:t>
      </w:r>
    </w:p>
    <w:p w:rsidR="005B1957" w:rsidRPr="005B1957" w:rsidRDefault="005B1957" w:rsidP="005B1957">
      <w:pPr>
        <w:pStyle w:val="ListParagraph"/>
        <w:ind w:left="1800"/>
        <w:rPr>
          <w:rFonts w:ascii="Cambria" w:hAnsi="Cambria" w:cs="Arial"/>
        </w:rPr>
      </w:pPr>
    </w:p>
    <w:p w:rsidR="005B1957" w:rsidRPr="005B1957" w:rsidRDefault="005B1957" w:rsidP="007E732E">
      <w:pPr>
        <w:spacing w:after="120"/>
        <w:rPr>
          <w:rFonts w:ascii="Cambria" w:hAnsi="Cambria"/>
        </w:rPr>
      </w:pPr>
      <w:r>
        <w:rPr>
          <w:rFonts w:ascii="Cambria" w:hAnsi="Cambria"/>
          <w:i/>
        </w:rPr>
        <w:t xml:space="preserve">Higher prevalence of psychosocial problems </w:t>
      </w:r>
      <w:proofErr w:type="gramStart"/>
      <w:r>
        <w:rPr>
          <w:rFonts w:ascii="Cambria" w:hAnsi="Cambria"/>
          <w:i/>
        </w:rPr>
        <w:t>are</w:t>
      </w:r>
      <w:proofErr w:type="gramEnd"/>
      <w:r>
        <w:rPr>
          <w:rFonts w:ascii="Cambria" w:hAnsi="Cambria"/>
          <w:i/>
        </w:rPr>
        <w:t xml:space="preserve"> observed among deployed forces.</w:t>
      </w:r>
    </w:p>
    <w:p w:rsidR="005B1957" w:rsidRDefault="005B1957" w:rsidP="007E732E">
      <w:pPr>
        <w:spacing w:after="120"/>
        <w:rPr>
          <w:rFonts w:ascii="Cambria" w:hAnsi="Cambria"/>
        </w:rPr>
      </w:pPr>
      <w:r>
        <w:rPr>
          <w:rFonts w:ascii="Cambria" w:hAnsi="Cambria"/>
        </w:rPr>
        <w:t>There is a high prevalence of psychosocial problems among deployed forces (VA, 2001).  These include post-traumatic stress disorder, mental health injuries, depression, suicide, substance abuse, and domestic violence.</w:t>
      </w:r>
      <w:r w:rsidRPr="00011D64">
        <w:rPr>
          <w:rStyle w:val="EndnoteReference"/>
          <w:rFonts w:ascii="Cambria" w:hAnsi="Cambria"/>
        </w:rPr>
        <w:endnoteReference w:id="93"/>
      </w:r>
    </w:p>
    <w:p w:rsidR="005B1957" w:rsidRDefault="005B1957" w:rsidP="007E732E">
      <w:pPr>
        <w:spacing w:after="120"/>
        <w:rPr>
          <w:rFonts w:ascii="Cambria" w:hAnsi="Cambria"/>
        </w:rPr>
      </w:pPr>
      <w:r w:rsidRPr="007E732E">
        <w:rPr>
          <w:rFonts w:ascii="Cambria" w:hAnsi="Cambria"/>
        </w:rPr>
        <w:t>Rich</w:t>
      </w:r>
      <w:r>
        <w:rPr>
          <w:rFonts w:ascii="Cambria" w:hAnsi="Cambria"/>
        </w:rPr>
        <w:t>ardson et al (2012) found that m</w:t>
      </w:r>
      <w:r w:rsidRPr="007E732E">
        <w:rPr>
          <w:rFonts w:ascii="Cambria" w:hAnsi="Cambria"/>
        </w:rPr>
        <w:t>ilitary per</w:t>
      </w:r>
      <w:r>
        <w:rPr>
          <w:rFonts w:ascii="Cambria" w:hAnsi="Cambria"/>
        </w:rPr>
        <w:t xml:space="preserve">sonnel who show symptoms of </w:t>
      </w:r>
      <w:proofErr w:type="spellStart"/>
      <w:r>
        <w:rPr>
          <w:rFonts w:ascii="Cambria" w:hAnsi="Cambria"/>
        </w:rPr>
        <w:t>post traumatic</w:t>
      </w:r>
      <w:proofErr w:type="spellEnd"/>
      <w:r>
        <w:rPr>
          <w:rFonts w:ascii="Cambria" w:hAnsi="Cambria"/>
        </w:rPr>
        <w:t xml:space="preserve"> stress disorder (PTSD)</w:t>
      </w:r>
      <w:r w:rsidRPr="007E732E">
        <w:rPr>
          <w:rFonts w:ascii="Cambria" w:hAnsi="Cambria"/>
        </w:rPr>
        <w:t>, major depressive disorder, alcohol use disorder, and generalized anxiety show higher levels of suicidal ideation.</w:t>
      </w:r>
      <w:r w:rsidRPr="00011D64">
        <w:rPr>
          <w:rStyle w:val="EndnoteReference"/>
          <w:rFonts w:ascii="Cambria" w:hAnsi="Cambria"/>
        </w:rPr>
        <w:endnoteReference w:id="94"/>
      </w:r>
    </w:p>
    <w:p w:rsidR="007E732E" w:rsidRPr="005B1957" w:rsidRDefault="005B1957" w:rsidP="007E732E">
      <w:pPr>
        <w:spacing w:after="120"/>
        <w:rPr>
          <w:rFonts w:ascii="Cambria" w:hAnsi="Cambria"/>
          <w:i/>
        </w:rPr>
      </w:pPr>
      <w:r>
        <w:rPr>
          <w:rFonts w:ascii="Cambria" w:hAnsi="Cambria"/>
          <w:i/>
        </w:rPr>
        <w:t>Deployment presents unique challenges and health repercussions, including medically unexplained symptoms.</w:t>
      </w:r>
    </w:p>
    <w:p w:rsidR="007E732E" w:rsidRDefault="007E732E" w:rsidP="007E732E">
      <w:pPr>
        <w:spacing w:after="120"/>
        <w:rPr>
          <w:rFonts w:ascii="Cambria" w:hAnsi="Cambria"/>
        </w:rPr>
      </w:pPr>
      <w:r w:rsidRPr="007E732E">
        <w:rPr>
          <w:rFonts w:ascii="Cambria" w:hAnsi="Cambria"/>
        </w:rPr>
        <w:t>Although symptoms and healt</w:t>
      </w:r>
      <w:r w:rsidR="005B1957">
        <w:rPr>
          <w:rFonts w:ascii="Cambria" w:hAnsi="Cambria"/>
        </w:rPr>
        <w:t>h concerns after a deployment ma</w:t>
      </w:r>
      <w:r w:rsidRPr="007E732E">
        <w:rPr>
          <w:rFonts w:ascii="Cambria" w:hAnsi="Cambria"/>
        </w:rPr>
        <w:t>y be indistinguishable from those reported in routine primary health care settings, deployment presents unique and often difficult challenges for military members, veterans and their families.</w:t>
      </w:r>
    </w:p>
    <w:p w:rsidR="007E732E" w:rsidRPr="007E732E" w:rsidRDefault="007E732E" w:rsidP="007E732E">
      <w:pPr>
        <w:spacing w:after="120"/>
        <w:rPr>
          <w:rFonts w:ascii="Cambria" w:hAnsi="Cambria"/>
        </w:rPr>
      </w:pPr>
      <w:r>
        <w:rPr>
          <w:rFonts w:ascii="Cambria" w:hAnsi="Cambria"/>
        </w:rPr>
        <w:t>Deployed veterans</w:t>
      </w:r>
      <w:r w:rsidRPr="007E732E">
        <w:rPr>
          <w:rFonts w:ascii="Cambria" w:hAnsi="Cambria"/>
        </w:rPr>
        <w:t xml:space="preserve"> experience physical or psychological trauma resulting from factors such as combat, environmental extremes, illness or infectious disease, injury, weapons of mass destruction, and potential environmental threats</w:t>
      </w:r>
    </w:p>
    <w:p w:rsidR="00255829" w:rsidRPr="007E732E" w:rsidRDefault="007E732E" w:rsidP="007E732E">
      <w:pPr>
        <w:spacing w:after="120"/>
        <w:rPr>
          <w:rFonts w:ascii="Cambria" w:hAnsi="Cambria"/>
        </w:rPr>
      </w:pPr>
      <w:r w:rsidRPr="00011D64">
        <w:rPr>
          <w:rFonts w:ascii="Cambria" w:hAnsi="Cambria"/>
        </w:rPr>
        <w:t>Deployment can create or exacerbate existing family problems and strain already fragile family relationships and coping mechanisms.</w:t>
      </w:r>
      <w:r w:rsidRPr="00011D64">
        <w:rPr>
          <w:rStyle w:val="EndnoteReference"/>
          <w:rFonts w:ascii="Cambria" w:hAnsi="Cambria"/>
        </w:rPr>
        <w:endnoteReference w:id="95"/>
      </w:r>
      <w:r w:rsidRPr="00011D64">
        <w:rPr>
          <w:rFonts w:ascii="Cambria" w:hAnsi="Cambria"/>
        </w:rPr>
        <w:t xml:space="preserve"> </w:t>
      </w:r>
    </w:p>
    <w:p w:rsidR="005B1957" w:rsidRDefault="00554259" w:rsidP="007E732E">
      <w:pPr>
        <w:spacing w:after="120"/>
        <w:rPr>
          <w:rFonts w:ascii="Cambria" w:hAnsi="Cambria"/>
        </w:rPr>
      </w:pPr>
      <w:r w:rsidRPr="007E732E">
        <w:rPr>
          <w:rFonts w:ascii="Cambria" w:hAnsi="Cambria"/>
        </w:rPr>
        <w:t>Certain war veterans also exhibit medically unexplained symptoms, or symptoms that remain relatively unexplained after an appropriate medical assessment that includes focused diagnostic testing.</w:t>
      </w:r>
      <w:r w:rsidRPr="00011D64">
        <w:rPr>
          <w:rStyle w:val="EndnoteReference"/>
          <w:rFonts w:ascii="Cambria" w:hAnsi="Cambria"/>
        </w:rPr>
        <w:endnoteReference w:id="96"/>
      </w:r>
      <w:r w:rsidRPr="007E732E">
        <w:rPr>
          <w:rFonts w:ascii="Cambria" w:hAnsi="Cambria"/>
        </w:rPr>
        <w:t xml:space="preserve"> </w:t>
      </w:r>
    </w:p>
    <w:p w:rsidR="00554259" w:rsidRPr="007E732E" w:rsidRDefault="003E2386" w:rsidP="007E732E">
      <w:pPr>
        <w:spacing w:after="120"/>
        <w:rPr>
          <w:rFonts w:ascii="Cambria" w:hAnsi="Cambria"/>
        </w:rPr>
      </w:pPr>
      <w:r>
        <w:rPr>
          <w:rFonts w:ascii="Cambria" w:hAnsi="Cambria"/>
        </w:rPr>
        <w:t>The Kaiser Foundation reports</w:t>
      </w:r>
      <w:r w:rsidR="005B1957">
        <w:rPr>
          <w:rFonts w:ascii="Cambria" w:hAnsi="Cambria"/>
        </w:rPr>
        <w:t xml:space="preserve"> that 20 percent of Veterans who participated in Operation Enduring Freedom and Operation Iraqi Freedom have experienced symptoms of psychological problems.</w:t>
      </w:r>
      <w:r>
        <w:rPr>
          <w:rFonts w:ascii="Cambria" w:hAnsi="Cambria"/>
        </w:rPr>
        <w:t xml:space="preserve"> Many of them do not seek tr</w:t>
      </w:r>
      <w:r w:rsidR="00323B3C">
        <w:rPr>
          <w:rFonts w:ascii="Cambria" w:hAnsi="Cambria"/>
        </w:rPr>
        <w:t xml:space="preserve">eatment because there is often </w:t>
      </w:r>
      <w:r>
        <w:rPr>
          <w:rFonts w:ascii="Cambria" w:hAnsi="Cambria"/>
        </w:rPr>
        <w:t>stigma associated with disclosing mental health symptoms and asking for help within military culture.</w:t>
      </w:r>
      <w:r w:rsidR="005B1957" w:rsidRPr="00011D64">
        <w:rPr>
          <w:rStyle w:val="EndnoteReference"/>
          <w:rFonts w:ascii="Cambria" w:hAnsi="Cambria"/>
        </w:rPr>
        <w:endnoteReference w:id="97"/>
      </w:r>
    </w:p>
    <w:p w:rsidR="00255829" w:rsidRPr="005B1957" w:rsidRDefault="003E2386" w:rsidP="005B1957">
      <w:pPr>
        <w:spacing w:after="120"/>
        <w:rPr>
          <w:rFonts w:ascii="Cambria" w:hAnsi="Cambria"/>
          <w:i/>
        </w:rPr>
      </w:pPr>
      <w:r>
        <w:rPr>
          <w:rFonts w:ascii="Cambria" w:hAnsi="Cambria"/>
          <w:i/>
        </w:rPr>
        <w:t>Higher prevalence of homelessness and criminal behavior has been observed in Veterans.</w:t>
      </w:r>
    </w:p>
    <w:p w:rsidR="00255829" w:rsidRPr="005B1957" w:rsidRDefault="005B1957" w:rsidP="005B1957">
      <w:pPr>
        <w:spacing w:after="120"/>
        <w:rPr>
          <w:rFonts w:ascii="Cambria" w:hAnsi="Cambria"/>
        </w:rPr>
      </w:pPr>
      <w:r>
        <w:rPr>
          <w:rFonts w:ascii="Cambria" w:hAnsi="Cambria"/>
        </w:rPr>
        <w:t xml:space="preserve">According to the Institute of Medicine (2000), </w:t>
      </w:r>
      <w:r w:rsidR="00255829" w:rsidRPr="005B1957">
        <w:rPr>
          <w:rFonts w:ascii="Cambria" w:hAnsi="Cambria"/>
        </w:rPr>
        <w:t>Veterans are disproportionately represented among the U.S. homeless population</w:t>
      </w:r>
      <w:r>
        <w:rPr>
          <w:rFonts w:ascii="Cambria" w:hAnsi="Cambria"/>
        </w:rPr>
        <w:t xml:space="preserve"> and V</w:t>
      </w:r>
      <w:r w:rsidR="00255829" w:rsidRPr="005B1957">
        <w:rPr>
          <w:rFonts w:ascii="Cambria" w:hAnsi="Cambria"/>
        </w:rPr>
        <w:t>eteran unemployment figures are significantly higher than their peers</w:t>
      </w:r>
      <w:r>
        <w:rPr>
          <w:rFonts w:ascii="Cambria" w:hAnsi="Cambria"/>
        </w:rPr>
        <w:t>.</w:t>
      </w:r>
    </w:p>
    <w:p w:rsidR="00F447C6" w:rsidRPr="00011D64" w:rsidRDefault="00255829" w:rsidP="00FE123D">
      <w:pPr>
        <w:spacing w:after="120"/>
        <w:rPr>
          <w:rFonts w:ascii="Cambria" w:hAnsi="Cambria"/>
        </w:rPr>
      </w:pPr>
      <w:r w:rsidRPr="005B1957">
        <w:rPr>
          <w:rFonts w:ascii="Cambria" w:hAnsi="Cambria"/>
        </w:rPr>
        <w:t>There is a growing prevalence of</w:t>
      </w:r>
      <w:r w:rsidR="00323B3C">
        <w:rPr>
          <w:rFonts w:ascii="Cambria" w:hAnsi="Cambria"/>
        </w:rPr>
        <w:t xml:space="preserve"> veterans entering jails, state</w:t>
      </w:r>
      <w:r w:rsidRPr="005B1957">
        <w:rPr>
          <w:rFonts w:ascii="Cambria" w:hAnsi="Cambria"/>
        </w:rPr>
        <w:t xml:space="preserve"> and federal prisons with criminal behavior stemming from service-related mental health and c</w:t>
      </w:r>
      <w:r w:rsidR="00751BAE" w:rsidRPr="005B1957">
        <w:rPr>
          <w:rFonts w:ascii="Cambria" w:hAnsi="Cambria"/>
        </w:rPr>
        <w:t>ognitive in</w:t>
      </w:r>
      <w:r w:rsidR="005B1957">
        <w:rPr>
          <w:rFonts w:ascii="Cambria" w:hAnsi="Cambria"/>
        </w:rPr>
        <w:t xml:space="preserve">juries. </w:t>
      </w:r>
    </w:p>
    <w:p w:rsidR="00F447C6" w:rsidRPr="001A5D29" w:rsidRDefault="001A5D29" w:rsidP="00FE123D">
      <w:pPr>
        <w:spacing w:after="120"/>
        <w:rPr>
          <w:rFonts w:ascii="Cambria" w:hAnsi="Cambria"/>
          <w:b/>
        </w:rPr>
      </w:pPr>
      <w:r w:rsidRPr="001A5D29">
        <w:rPr>
          <w:rFonts w:ascii="Cambria" w:hAnsi="Cambria"/>
          <w:b/>
          <w:i/>
        </w:rPr>
        <w:t xml:space="preserve">A priority system within the Veterans Health Administration poses </w:t>
      </w:r>
      <w:r>
        <w:rPr>
          <w:rFonts w:ascii="Cambria" w:hAnsi="Cambria"/>
          <w:b/>
          <w:i/>
        </w:rPr>
        <w:t>coverage challenges, many Veterans report having no insurance.</w:t>
      </w:r>
    </w:p>
    <w:p w:rsidR="001A5D29" w:rsidRDefault="00575148" w:rsidP="00FE123D">
      <w:pPr>
        <w:spacing w:after="120"/>
        <w:rPr>
          <w:rFonts w:ascii="Cambria" w:hAnsi="Cambria"/>
        </w:rPr>
      </w:pPr>
      <w:r w:rsidRPr="00011D64">
        <w:rPr>
          <w:rFonts w:ascii="Cambria" w:hAnsi="Cambria"/>
        </w:rPr>
        <w:lastRenderedPageBreak/>
        <w:t xml:space="preserve">The Veterans Health Administration (VHA) </w:t>
      </w:r>
      <w:r>
        <w:rPr>
          <w:rFonts w:ascii="Cambria" w:hAnsi="Cambria"/>
        </w:rPr>
        <w:t xml:space="preserve">is the </w:t>
      </w:r>
      <w:r w:rsidRPr="00011D64">
        <w:rPr>
          <w:rFonts w:ascii="Cambria" w:hAnsi="Cambria"/>
        </w:rPr>
        <w:t xml:space="preserve">branch of the U.S. Department of Veterans Affairs (VA) that purchases coverage for and delivers health care to veterans and their families. </w:t>
      </w:r>
    </w:p>
    <w:p w:rsidR="001A5D29" w:rsidRDefault="00F447C6" w:rsidP="00FE123D">
      <w:pPr>
        <w:spacing w:after="120"/>
        <w:rPr>
          <w:rFonts w:ascii="Cambria" w:hAnsi="Cambria"/>
        </w:rPr>
      </w:pPr>
      <w:r w:rsidRPr="00011D64">
        <w:rPr>
          <w:rFonts w:ascii="Cambria" w:hAnsi="Cambria"/>
        </w:rPr>
        <w:t>Eligibility for care depe</w:t>
      </w:r>
      <w:r w:rsidR="00323B3C">
        <w:rPr>
          <w:rFonts w:ascii="Cambria" w:hAnsi="Cambria"/>
        </w:rPr>
        <w:t>nds on active military services.</w:t>
      </w:r>
      <w:r w:rsidRPr="00011D64">
        <w:rPr>
          <w:rFonts w:ascii="Cambria" w:hAnsi="Cambria"/>
        </w:rPr>
        <w:t xml:space="preserve"> Veterans are assigned </w:t>
      </w:r>
      <w:r w:rsidR="00A971EA" w:rsidRPr="00011D64">
        <w:rPr>
          <w:rFonts w:ascii="Cambria" w:hAnsi="Cambria"/>
        </w:rPr>
        <w:t xml:space="preserve">coverage based on a priority system that has been challenging for veterans rated with disabilities that are on the lower end of the severity scale yet have not been eligible to receive services through the VA. </w:t>
      </w:r>
    </w:p>
    <w:p w:rsidR="00A971EA" w:rsidRPr="00011D64" w:rsidRDefault="001A5D29" w:rsidP="00FE123D">
      <w:pPr>
        <w:spacing w:after="120"/>
        <w:rPr>
          <w:rFonts w:ascii="Cambria" w:hAnsi="Cambria"/>
        </w:rPr>
      </w:pPr>
      <w:r>
        <w:rPr>
          <w:rFonts w:ascii="Cambria" w:hAnsi="Cambria"/>
        </w:rPr>
        <w:t xml:space="preserve">This system also poses a challenge when selecting how to pay for services, as </w:t>
      </w:r>
      <w:r w:rsidR="00A971EA" w:rsidRPr="00011D64">
        <w:rPr>
          <w:rFonts w:ascii="Cambria" w:hAnsi="Cambria"/>
        </w:rPr>
        <w:t>Veterans enrolled in both Medicare and VA health must choose either Medicare or VA to pay for services every time they need care.</w:t>
      </w:r>
    </w:p>
    <w:p w:rsidR="00A971EA" w:rsidRPr="00011D64" w:rsidRDefault="001A5D29" w:rsidP="001A5D29">
      <w:pPr>
        <w:spacing w:after="240"/>
        <w:rPr>
          <w:rFonts w:ascii="Cambria" w:hAnsi="Cambria"/>
        </w:rPr>
      </w:pPr>
      <w:proofErr w:type="gramStart"/>
      <w:r>
        <w:rPr>
          <w:rFonts w:ascii="Cambria" w:hAnsi="Cambria"/>
        </w:rPr>
        <w:t>On</w:t>
      </w:r>
      <w:r w:rsidR="00BE1CCD">
        <w:rPr>
          <w:rFonts w:ascii="Cambria" w:hAnsi="Cambria"/>
        </w:rPr>
        <w:t>e in 10 nonelderly veterans</w:t>
      </w:r>
      <w:r>
        <w:rPr>
          <w:rFonts w:ascii="Cambria" w:hAnsi="Cambria"/>
        </w:rPr>
        <w:t xml:space="preserve"> report neither having health ins</w:t>
      </w:r>
      <w:r w:rsidR="00BE1CCD">
        <w:rPr>
          <w:rFonts w:ascii="Cambria" w:hAnsi="Cambria"/>
        </w:rPr>
        <w:t>urance nor using VA Health Care (The Kaiser Family Foundation, 2011).</w:t>
      </w:r>
      <w:proofErr w:type="gramEnd"/>
      <w:r>
        <w:rPr>
          <w:rFonts w:ascii="Cambria" w:hAnsi="Cambria"/>
        </w:rPr>
        <w:t xml:space="preserve"> </w:t>
      </w:r>
      <w:r w:rsidRPr="00011D64">
        <w:rPr>
          <w:rFonts w:ascii="Cambria" w:hAnsi="Cambria"/>
        </w:rPr>
        <w:t xml:space="preserve"> </w:t>
      </w:r>
    </w:p>
    <w:p w:rsidR="00A971EA" w:rsidRPr="00B1012A" w:rsidRDefault="00A971EA" w:rsidP="00FE123D">
      <w:pPr>
        <w:spacing w:after="120"/>
        <w:rPr>
          <w:rFonts w:ascii="Cambria" w:hAnsi="Cambria"/>
          <w:b/>
        </w:rPr>
      </w:pPr>
      <w:r w:rsidRPr="00B1012A">
        <w:rPr>
          <w:rFonts w:ascii="Cambria" w:hAnsi="Cambria"/>
          <w:b/>
          <w:i/>
        </w:rPr>
        <w:t>Particular challenges for women in service</w:t>
      </w:r>
      <w:r w:rsidR="00B1012A">
        <w:rPr>
          <w:rFonts w:ascii="Cambria" w:hAnsi="Cambria"/>
          <w:b/>
          <w:i/>
        </w:rPr>
        <w:t xml:space="preserve"> include changing roles, </w:t>
      </w:r>
      <w:r w:rsidR="000904BD">
        <w:rPr>
          <w:rFonts w:ascii="Cambria" w:hAnsi="Cambria"/>
          <w:b/>
          <w:i/>
        </w:rPr>
        <w:t>prevention and treatment of sexual assault, a better understanding of the effects of PTSD.</w:t>
      </w:r>
    </w:p>
    <w:p w:rsidR="00A971EA" w:rsidRPr="00011D64" w:rsidRDefault="00A971EA" w:rsidP="00FE123D">
      <w:pPr>
        <w:spacing w:after="120"/>
        <w:rPr>
          <w:rFonts w:ascii="Cambria" w:hAnsi="Cambria"/>
        </w:rPr>
      </w:pPr>
      <w:r w:rsidRPr="00011D64">
        <w:rPr>
          <w:rFonts w:ascii="Cambria" w:hAnsi="Cambria"/>
        </w:rPr>
        <w:t>One growing area of attention has been the rising number of women in the armed forces as well as their changing roles and the military’s capacity to meet women’s health needs.</w:t>
      </w:r>
    </w:p>
    <w:p w:rsidR="00BC3AB1" w:rsidRDefault="00A971EA" w:rsidP="000904BD">
      <w:pPr>
        <w:spacing w:after="240"/>
        <w:rPr>
          <w:rFonts w:ascii="Cambria" w:hAnsi="Cambria"/>
        </w:rPr>
      </w:pPr>
      <w:r w:rsidRPr="00011D64">
        <w:rPr>
          <w:rFonts w:ascii="Cambria" w:hAnsi="Cambria"/>
        </w:rPr>
        <w:t>An urgent area of need is the prevention and treatment of sexual assault or military sexual trauma among active duty and veteran women. Other areas requiring particular attention for active or veteran women include ending prohibition of abortions in military facilities, improving primary reproductive health care for women in the military, and a better understanding of the differential gender effects of PTSD</w:t>
      </w:r>
      <w:r w:rsidR="00BE1CCD">
        <w:rPr>
          <w:rFonts w:ascii="Cambria" w:hAnsi="Cambria"/>
        </w:rPr>
        <w:t xml:space="preserve"> (The Kaiser Family Foundation, 2011)</w:t>
      </w:r>
      <w:r w:rsidRPr="00011D64">
        <w:rPr>
          <w:rFonts w:ascii="Cambria" w:hAnsi="Cambria"/>
        </w:rPr>
        <w:t>.</w:t>
      </w:r>
    </w:p>
    <w:p w:rsidR="00BC3AB1" w:rsidRPr="00BC3AB1" w:rsidRDefault="00BC3AB1" w:rsidP="00BC3AB1">
      <w:pPr>
        <w:spacing w:after="120"/>
        <w:rPr>
          <w:rFonts w:ascii="Cambria" w:hAnsi="Cambria"/>
          <w:b/>
          <w:i/>
        </w:rPr>
      </w:pPr>
      <w:r>
        <w:rPr>
          <w:rFonts w:ascii="Cambria" w:hAnsi="Cambria"/>
          <w:b/>
          <w:i/>
        </w:rPr>
        <w:t>Understanding rank and structure, core values, and key demographics of military veterans is important in competent care.</w:t>
      </w:r>
    </w:p>
    <w:p w:rsidR="00C415E3" w:rsidRPr="00011D64" w:rsidRDefault="00BC3AB1" w:rsidP="00BC3AB1">
      <w:pPr>
        <w:spacing w:after="240"/>
        <w:rPr>
          <w:rFonts w:ascii="Cambria" w:hAnsi="Cambria"/>
        </w:rPr>
      </w:pPr>
      <w:r>
        <w:rPr>
          <w:rFonts w:ascii="Cambria" w:hAnsi="Cambria"/>
        </w:rPr>
        <w:t xml:space="preserve">The </w:t>
      </w:r>
      <w:r w:rsidR="00575148">
        <w:rPr>
          <w:rFonts w:ascii="Cambria" w:hAnsi="Cambria"/>
        </w:rPr>
        <w:t>competency-training</w:t>
      </w:r>
      <w:r>
        <w:rPr>
          <w:rFonts w:ascii="Cambria" w:hAnsi="Cambria"/>
        </w:rPr>
        <w:t xml:space="preserve"> course </w:t>
      </w:r>
      <w:r w:rsidRPr="004F3B41">
        <w:rPr>
          <w:rFonts w:ascii="Cambria" w:hAnsi="Cambria"/>
          <w:i/>
        </w:rPr>
        <w:t>Military Cultural Competence</w:t>
      </w:r>
      <w:r>
        <w:rPr>
          <w:rFonts w:ascii="Cambria" w:hAnsi="Cambria"/>
        </w:rPr>
        <w:t xml:space="preserve"> (Essential Learning, 2011)</w:t>
      </w:r>
      <w:r w:rsidRPr="00011D64">
        <w:rPr>
          <w:rFonts w:ascii="Cambria" w:hAnsi="Cambria"/>
        </w:rPr>
        <w:t xml:space="preserve"> </w:t>
      </w:r>
      <w:r>
        <w:rPr>
          <w:rFonts w:ascii="Cambria" w:hAnsi="Cambria"/>
        </w:rPr>
        <w:t>underscores the importance of</w:t>
      </w:r>
      <w:r w:rsidRPr="00011D64">
        <w:rPr>
          <w:rFonts w:ascii="Cambria" w:hAnsi="Cambria"/>
        </w:rPr>
        <w:t xml:space="preserve"> understand</w:t>
      </w:r>
      <w:r>
        <w:rPr>
          <w:rFonts w:ascii="Cambria" w:hAnsi="Cambria"/>
        </w:rPr>
        <w:t>ing</w:t>
      </w:r>
      <w:r w:rsidRPr="00011D64">
        <w:rPr>
          <w:rFonts w:ascii="Cambria" w:hAnsi="Cambria"/>
        </w:rPr>
        <w:t xml:space="preserve"> rank and structure, core values </w:t>
      </w:r>
      <w:r>
        <w:rPr>
          <w:rFonts w:ascii="Cambria" w:hAnsi="Cambria"/>
        </w:rPr>
        <w:t xml:space="preserve">and key demographics of </w:t>
      </w:r>
      <w:r w:rsidRPr="00011D64">
        <w:rPr>
          <w:rFonts w:ascii="Cambria" w:hAnsi="Cambria"/>
        </w:rPr>
        <w:t>members of</w:t>
      </w:r>
      <w:r>
        <w:rPr>
          <w:rFonts w:ascii="Cambria" w:hAnsi="Cambria"/>
        </w:rPr>
        <w:t xml:space="preserve"> the</w:t>
      </w:r>
      <w:r w:rsidRPr="00011D64">
        <w:rPr>
          <w:rFonts w:ascii="Cambria" w:hAnsi="Cambria"/>
        </w:rPr>
        <w:t xml:space="preserve"> military</w:t>
      </w:r>
      <w:r>
        <w:rPr>
          <w:rFonts w:ascii="Cambria" w:hAnsi="Cambria"/>
        </w:rPr>
        <w:t xml:space="preserve"> in order to gain a better understanding of unique environmental factors affecting health and behaviors</w:t>
      </w:r>
      <w:r w:rsidRPr="00011D64">
        <w:rPr>
          <w:rFonts w:ascii="Cambria" w:hAnsi="Cambria"/>
        </w:rPr>
        <w:t xml:space="preserve">. </w:t>
      </w:r>
      <w:r>
        <w:rPr>
          <w:rFonts w:ascii="Cambria" w:hAnsi="Cambria"/>
        </w:rPr>
        <w:t xml:space="preserve">For </w:t>
      </w:r>
      <w:r w:rsidR="00575148">
        <w:rPr>
          <w:rFonts w:ascii="Cambria" w:hAnsi="Cambria"/>
        </w:rPr>
        <w:t xml:space="preserve">example, it helps to understand that members of the military often have </w:t>
      </w:r>
      <w:r w:rsidR="00323B3C">
        <w:rPr>
          <w:rFonts w:ascii="Cambria" w:hAnsi="Cambria"/>
        </w:rPr>
        <w:t>an elevated</w:t>
      </w:r>
      <w:r w:rsidR="00575148">
        <w:rPr>
          <w:rFonts w:ascii="Cambria" w:hAnsi="Cambria"/>
        </w:rPr>
        <w:t xml:space="preserve"> sense of duty resulting from having</w:t>
      </w:r>
      <w:r w:rsidRPr="00011D64">
        <w:rPr>
          <w:rFonts w:ascii="Cambria" w:hAnsi="Cambria"/>
        </w:rPr>
        <w:t xml:space="preserve"> responsibilities well above their educational level and age group peers.</w:t>
      </w:r>
      <w:r>
        <w:rPr>
          <w:rStyle w:val="EndnoteReference"/>
          <w:rFonts w:ascii="Cambria" w:hAnsi="Cambria"/>
        </w:rPr>
        <w:endnoteReference w:id="98"/>
      </w:r>
    </w:p>
    <w:p w:rsidR="00560968" w:rsidRPr="000904BD" w:rsidRDefault="000904BD" w:rsidP="00FE123D">
      <w:pPr>
        <w:spacing w:after="120"/>
        <w:rPr>
          <w:rFonts w:ascii="Cambria" w:hAnsi="Cambria"/>
          <w:b/>
          <w:i/>
        </w:rPr>
      </w:pPr>
      <w:r>
        <w:rPr>
          <w:rFonts w:ascii="Cambria" w:hAnsi="Cambria"/>
          <w:b/>
          <w:i/>
        </w:rPr>
        <w:t>VA training guidelines for providers highlight the importance of training for civilian and new military providers.</w:t>
      </w:r>
    </w:p>
    <w:p w:rsidR="00560968" w:rsidRPr="00011D64" w:rsidRDefault="00560968" w:rsidP="00FE123D">
      <w:pPr>
        <w:spacing w:after="120"/>
        <w:rPr>
          <w:rFonts w:ascii="Cambria" w:hAnsi="Cambria"/>
        </w:rPr>
      </w:pPr>
      <w:r w:rsidRPr="00011D64">
        <w:rPr>
          <w:rFonts w:ascii="Cambria" w:hAnsi="Cambria"/>
        </w:rPr>
        <w:t>A number of training guidelines for</w:t>
      </w:r>
      <w:r w:rsidR="000904BD">
        <w:rPr>
          <w:rFonts w:ascii="Cambria" w:hAnsi="Cambria"/>
        </w:rPr>
        <w:t xml:space="preserve"> care providers are available on</w:t>
      </w:r>
      <w:r w:rsidRPr="00011D64">
        <w:rPr>
          <w:rFonts w:ascii="Cambria" w:hAnsi="Cambria"/>
        </w:rPr>
        <w:t xml:space="preserve"> the </w:t>
      </w:r>
      <w:r w:rsidR="000904BD">
        <w:rPr>
          <w:rFonts w:ascii="Cambria" w:hAnsi="Cambria"/>
        </w:rPr>
        <w:t>Defense Centers of Excellence</w:t>
      </w:r>
      <w:r w:rsidRPr="00011D64">
        <w:rPr>
          <w:rFonts w:ascii="Cambria" w:hAnsi="Cambria"/>
        </w:rPr>
        <w:t xml:space="preserve"> web site, including guides for providers treating </w:t>
      </w:r>
      <w:r w:rsidR="00C415E3" w:rsidRPr="00011D64">
        <w:rPr>
          <w:rFonts w:ascii="Cambria" w:hAnsi="Cambria"/>
        </w:rPr>
        <w:t>specific condit</w:t>
      </w:r>
      <w:r w:rsidR="000904BD">
        <w:rPr>
          <w:rFonts w:ascii="Cambria" w:hAnsi="Cambria"/>
        </w:rPr>
        <w:t>ions such as PTSD, traumatic brain injury and medically unexplained illnesses.</w:t>
      </w:r>
    </w:p>
    <w:p w:rsidR="00560968" w:rsidRPr="00011D64" w:rsidRDefault="00C415E3" w:rsidP="00FE123D">
      <w:pPr>
        <w:spacing w:after="120"/>
        <w:rPr>
          <w:rFonts w:ascii="Cambria" w:hAnsi="Cambria"/>
        </w:rPr>
      </w:pPr>
      <w:r w:rsidRPr="00011D64">
        <w:rPr>
          <w:rFonts w:ascii="Cambria" w:hAnsi="Cambria"/>
        </w:rPr>
        <w:t xml:space="preserve">These guidelines </w:t>
      </w:r>
      <w:r w:rsidR="00560968" w:rsidRPr="00011D64">
        <w:rPr>
          <w:rFonts w:ascii="Cambria" w:hAnsi="Cambria"/>
        </w:rPr>
        <w:t>highlight the importance of training for civilian and new military providers in military culture and terminology to ensure that care is targete</w:t>
      </w:r>
      <w:r w:rsidR="00323B3C">
        <w:rPr>
          <w:rFonts w:ascii="Cambria" w:hAnsi="Cambria"/>
        </w:rPr>
        <w:t>d to the unique needs of active-</w:t>
      </w:r>
      <w:r w:rsidR="00560968" w:rsidRPr="00011D64">
        <w:rPr>
          <w:rFonts w:ascii="Cambria" w:hAnsi="Cambria"/>
        </w:rPr>
        <w:t>duty service members and their families.</w:t>
      </w:r>
      <w:r w:rsidR="00560968" w:rsidRPr="00011D64">
        <w:rPr>
          <w:rStyle w:val="EndnoteReference"/>
          <w:rFonts w:ascii="Cambria" w:hAnsi="Cambria"/>
        </w:rPr>
        <w:endnoteReference w:id="99"/>
      </w:r>
    </w:p>
    <w:p w:rsidR="00C415E3" w:rsidRPr="00011D64" w:rsidRDefault="00C415E3" w:rsidP="00FE123D">
      <w:pPr>
        <w:spacing w:after="120"/>
        <w:rPr>
          <w:rFonts w:ascii="Cambria" w:hAnsi="Cambria"/>
        </w:rPr>
      </w:pPr>
      <w:r w:rsidRPr="00011D64">
        <w:rPr>
          <w:rFonts w:ascii="Cambria" w:hAnsi="Cambria"/>
        </w:rPr>
        <w:lastRenderedPageBreak/>
        <w:t>The recommended training objectives, while unique to each condition, share the following common elements:</w:t>
      </w:r>
    </w:p>
    <w:p w:rsidR="00C415E3" w:rsidRPr="00011D64" w:rsidRDefault="00C415E3" w:rsidP="00C415E3">
      <w:pPr>
        <w:pStyle w:val="ListParagraph"/>
        <w:numPr>
          <w:ilvl w:val="0"/>
          <w:numId w:val="7"/>
        </w:numPr>
        <w:spacing w:after="120"/>
        <w:rPr>
          <w:rFonts w:ascii="Cambria" w:hAnsi="Cambria"/>
        </w:rPr>
      </w:pPr>
      <w:r w:rsidRPr="00011D64">
        <w:rPr>
          <w:rFonts w:ascii="Cambria" w:hAnsi="Cambria"/>
        </w:rPr>
        <w:t>Formal training in evidence-based treatments of each condition</w:t>
      </w:r>
    </w:p>
    <w:p w:rsidR="00C415E3" w:rsidRPr="00011D64" w:rsidRDefault="00C415E3" w:rsidP="00C415E3">
      <w:pPr>
        <w:pStyle w:val="ListParagraph"/>
        <w:numPr>
          <w:ilvl w:val="0"/>
          <w:numId w:val="7"/>
        </w:numPr>
        <w:spacing w:after="120"/>
        <w:rPr>
          <w:rFonts w:ascii="Cambria" w:hAnsi="Cambria"/>
        </w:rPr>
      </w:pPr>
      <w:r w:rsidRPr="00011D64">
        <w:rPr>
          <w:rFonts w:ascii="Cambria" w:hAnsi="Cambria"/>
        </w:rPr>
        <w:t>Training in clinical decision-making for deviating from clinical practice standards for circumstances in which patients may not be ready for certain evidence-based treatments</w:t>
      </w:r>
    </w:p>
    <w:p w:rsidR="00C415E3" w:rsidRPr="00011D64" w:rsidRDefault="00C415E3" w:rsidP="00C415E3">
      <w:pPr>
        <w:pStyle w:val="ListParagraph"/>
        <w:numPr>
          <w:ilvl w:val="0"/>
          <w:numId w:val="7"/>
        </w:numPr>
        <w:spacing w:after="120"/>
        <w:rPr>
          <w:rFonts w:ascii="Cambria" w:hAnsi="Cambria"/>
        </w:rPr>
      </w:pPr>
      <w:r w:rsidRPr="00011D64">
        <w:rPr>
          <w:rFonts w:ascii="Cambria" w:hAnsi="Cambria"/>
        </w:rPr>
        <w:t>Receiving case consultation from a trained senior provider</w:t>
      </w:r>
    </w:p>
    <w:p w:rsidR="00C415E3" w:rsidRPr="00011D64" w:rsidRDefault="00C415E3" w:rsidP="00C415E3">
      <w:pPr>
        <w:pStyle w:val="ListParagraph"/>
        <w:numPr>
          <w:ilvl w:val="0"/>
          <w:numId w:val="7"/>
        </w:numPr>
        <w:spacing w:after="120"/>
        <w:rPr>
          <w:rFonts w:ascii="Cambria" w:hAnsi="Cambria"/>
        </w:rPr>
      </w:pPr>
      <w:r w:rsidRPr="00011D64">
        <w:rPr>
          <w:rFonts w:ascii="Cambria" w:hAnsi="Cambria"/>
        </w:rPr>
        <w:t>Ensuring providers have training and experience in military culture and terminology to deliver context-sensitive care for treatment of conditions related to war trauma</w:t>
      </w:r>
    </w:p>
    <w:p w:rsidR="00C415E3" w:rsidRPr="00011D64" w:rsidRDefault="00C415E3" w:rsidP="00C415E3">
      <w:pPr>
        <w:spacing w:after="120"/>
        <w:rPr>
          <w:rFonts w:ascii="Cambria" w:hAnsi="Cambria"/>
        </w:rPr>
      </w:pPr>
      <w:r w:rsidRPr="00011D64">
        <w:rPr>
          <w:rFonts w:ascii="Cambria" w:hAnsi="Cambria"/>
        </w:rPr>
        <w:t xml:space="preserve">The </w:t>
      </w:r>
      <w:r w:rsidRPr="00011D64">
        <w:rPr>
          <w:rFonts w:ascii="Cambria" w:hAnsi="Cambria"/>
          <w:i/>
        </w:rPr>
        <w:t xml:space="preserve">Guidance for Training </w:t>
      </w:r>
      <w:r w:rsidRPr="00011D64">
        <w:rPr>
          <w:rFonts w:ascii="Cambria" w:hAnsi="Cambria"/>
        </w:rPr>
        <w:t>(DCOE, 2011) also includes toolkits, resources, webcasts and computer-based training for treatment of Major Depressive Disorder (MDD), Traumatic Brain Injury (TBI), Post Traumatic Stress Disorder (PTSD); post-deployment health evaluation and management; and resources for treatment of substance abuse in military and their families.</w:t>
      </w:r>
      <w:r w:rsidR="000904BD">
        <w:rPr>
          <w:rStyle w:val="EndnoteReference"/>
          <w:rFonts w:ascii="Cambria" w:hAnsi="Cambria"/>
        </w:rPr>
        <w:endnoteReference w:id="100"/>
      </w:r>
    </w:p>
    <w:p w:rsidR="00554259" w:rsidRPr="00011D64" w:rsidRDefault="00C415E3" w:rsidP="00C415E3">
      <w:pPr>
        <w:spacing w:after="120"/>
        <w:rPr>
          <w:rFonts w:ascii="Cambria" w:hAnsi="Cambria"/>
        </w:rPr>
      </w:pPr>
      <w:r w:rsidRPr="00011D64">
        <w:rPr>
          <w:rFonts w:ascii="Cambria" w:hAnsi="Cambria"/>
          <w:i/>
        </w:rPr>
        <w:t>Putting Clinical Practice Guidelines to Work in VHA</w:t>
      </w:r>
      <w:r w:rsidRPr="00011D64">
        <w:rPr>
          <w:rFonts w:ascii="Cambria" w:hAnsi="Cambria"/>
        </w:rPr>
        <w:t xml:space="preserve"> explores a process for </w:t>
      </w:r>
      <w:r w:rsidR="000904BD">
        <w:rPr>
          <w:rFonts w:ascii="Cambria" w:hAnsi="Cambria"/>
        </w:rPr>
        <w:t xml:space="preserve">implementing </w:t>
      </w:r>
      <w:r w:rsidRPr="00011D64">
        <w:rPr>
          <w:rFonts w:ascii="Cambria" w:hAnsi="Cambria"/>
        </w:rPr>
        <w:t>Veteran’s Health (</w:t>
      </w:r>
      <w:r w:rsidR="000904BD">
        <w:rPr>
          <w:rFonts w:ascii="Cambria" w:hAnsi="Cambria"/>
        </w:rPr>
        <w:t>VHA, 2001</w:t>
      </w:r>
      <w:r w:rsidRPr="00011D64">
        <w:rPr>
          <w:rFonts w:ascii="Cambria" w:hAnsi="Cambria"/>
        </w:rPr>
        <w:t xml:space="preserve">) </w:t>
      </w:r>
      <w:r w:rsidR="000904BD">
        <w:rPr>
          <w:rFonts w:ascii="Cambria" w:hAnsi="Cambria"/>
        </w:rPr>
        <w:t>clinical practice guidelines</w:t>
      </w:r>
      <w:r w:rsidRPr="00011D64">
        <w:rPr>
          <w:rFonts w:ascii="Cambria" w:hAnsi="Cambria"/>
        </w:rPr>
        <w:t>, as well as recommendations, an action plan and a guide for leaders.</w:t>
      </w:r>
      <w:r w:rsidR="000904BD">
        <w:rPr>
          <w:rStyle w:val="EndnoteReference"/>
          <w:rFonts w:ascii="Cambria" w:hAnsi="Cambria"/>
        </w:rPr>
        <w:endnoteReference w:id="101"/>
      </w:r>
    </w:p>
    <w:p w:rsidR="00554259" w:rsidRPr="00011D64" w:rsidRDefault="00554259" w:rsidP="00C415E3">
      <w:pPr>
        <w:spacing w:after="120"/>
        <w:rPr>
          <w:rFonts w:ascii="Cambria" w:hAnsi="Cambria"/>
        </w:rPr>
      </w:pPr>
      <w:r w:rsidRPr="00011D64">
        <w:rPr>
          <w:rFonts w:ascii="Cambria" w:hAnsi="Cambria"/>
        </w:rPr>
        <w:t xml:space="preserve">In </w:t>
      </w:r>
      <w:r w:rsidRPr="00011D64">
        <w:rPr>
          <w:rFonts w:ascii="Cambria" w:hAnsi="Cambria"/>
          <w:i/>
        </w:rPr>
        <w:t>Clinical Practice Guidelines for the Management of Medically Unexplained Symptoms</w:t>
      </w:r>
      <w:r w:rsidRPr="00011D64">
        <w:rPr>
          <w:rFonts w:ascii="Cambria" w:hAnsi="Cambria"/>
        </w:rPr>
        <w:t xml:space="preserve"> (VHA, 2001), a thorough and early review of all information sources (including medical records, history, psychosocial assessments, screenings, physical examinations, mental health status, test results and standard health assessments) is recommended as a way to help validate </w:t>
      </w:r>
      <w:r w:rsidR="000904BD">
        <w:rPr>
          <w:rFonts w:ascii="Cambria" w:hAnsi="Cambria"/>
        </w:rPr>
        <w:t xml:space="preserve">patient </w:t>
      </w:r>
      <w:r w:rsidRPr="00011D64">
        <w:rPr>
          <w:rFonts w:ascii="Cambria" w:hAnsi="Cambria"/>
        </w:rPr>
        <w:t>concerns.</w:t>
      </w:r>
    </w:p>
    <w:p w:rsidR="00554259" w:rsidRPr="00011D64" w:rsidRDefault="00554259" w:rsidP="00C415E3">
      <w:pPr>
        <w:spacing w:after="120"/>
        <w:rPr>
          <w:rFonts w:ascii="Cambria" w:hAnsi="Cambria"/>
        </w:rPr>
      </w:pPr>
      <w:r w:rsidRPr="00011D64">
        <w:rPr>
          <w:rFonts w:ascii="Cambria" w:hAnsi="Cambria"/>
        </w:rPr>
        <w:t xml:space="preserve">Of note among the </w:t>
      </w:r>
      <w:r w:rsidR="00751BAE" w:rsidRPr="00011D64">
        <w:rPr>
          <w:rFonts w:ascii="Cambria" w:hAnsi="Cambria"/>
        </w:rPr>
        <w:t xml:space="preserve">guidelines included </w:t>
      </w:r>
      <w:r w:rsidRPr="00011D64">
        <w:rPr>
          <w:rFonts w:ascii="Cambria" w:hAnsi="Cambria"/>
        </w:rPr>
        <w:t>is the BATHE technique for patient symptom review, in which the acrony</w:t>
      </w:r>
      <w:r w:rsidR="00323B3C">
        <w:rPr>
          <w:rFonts w:ascii="Cambria" w:hAnsi="Cambria"/>
        </w:rPr>
        <w:t>m BATHE stands for the following</w:t>
      </w:r>
      <w:r w:rsidRPr="00011D64">
        <w:rPr>
          <w:rFonts w:ascii="Cambria" w:hAnsi="Cambria"/>
        </w:rPr>
        <w:t>:</w:t>
      </w:r>
    </w:p>
    <w:p w:rsidR="00554259" w:rsidRPr="00011D64" w:rsidRDefault="00554259" w:rsidP="00554259">
      <w:pPr>
        <w:pStyle w:val="ListParagraph"/>
        <w:numPr>
          <w:ilvl w:val="0"/>
          <w:numId w:val="7"/>
        </w:numPr>
        <w:spacing w:after="120"/>
        <w:rPr>
          <w:rFonts w:ascii="Cambria" w:hAnsi="Cambria"/>
        </w:rPr>
      </w:pPr>
      <w:r w:rsidRPr="00011D64">
        <w:rPr>
          <w:rFonts w:ascii="Cambria" w:hAnsi="Cambria"/>
        </w:rPr>
        <w:t>Background: What is going on?</w:t>
      </w:r>
    </w:p>
    <w:p w:rsidR="00554259" w:rsidRPr="00011D64" w:rsidRDefault="00554259" w:rsidP="00554259">
      <w:pPr>
        <w:pStyle w:val="ListParagraph"/>
        <w:numPr>
          <w:ilvl w:val="0"/>
          <w:numId w:val="7"/>
        </w:numPr>
        <w:spacing w:after="120"/>
        <w:rPr>
          <w:rFonts w:ascii="Cambria" w:hAnsi="Cambria"/>
        </w:rPr>
      </w:pPr>
      <w:r w:rsidRPr="00011D64">
        <w:rPr>
          <w:rFonts w:ascii="Cambria" w:hAnsi="Cambria"/>
        </w:rPr>
        <w:t>Affect: How do you feel about it?</w:t>
      </w:r>
    </w:p>
    <w:p w:rsidR="00554259" w:rsidRPr="00011D64" w:rsidRDefault="00554259" w:rsidP="00554259">
      <w:pPr>
        <w:pStyle w:val="ListParagraph"/>
        <w:numPr>
          <w:ilvl w:val="0"/>
          <w:numId w:val="7"/>
        </w:numPr>
        <w:spacing w:after="120"/>
        <w:rPr>
          <w:rFonts w:ascii="Cambria" w:hAnsi="Cambria"/>
        </w:rPr>
      </w:pPr>
      <w:r w:rsidRPr="00011D64">
        <w:rPr>
          <w:rFonts w:ascii="Cambria" w:hAnsi="Cambria"/>
        </w:rPr>
        <w:t>Trouble: What troubles you the most?</w:t>
      </w:r>
    </w:p>
    <w:p w:rsidR="00554259" w:rsidRPr="00011D64" w:rsidRDefault="00554259" w:rsidP="00554259">
      <w:pPr>
        <w:pStyle w:val="ListParagraph"/>
        <w:numPr>
          <w:ilvl w:val="0"/>
          <w:numId w:val="7"/>
        </w:numPr>
        <w:spacing w:after="120"/>
        <w:rPr>
          <w:rFonts w:ascii="Cambria" w:hAnsi="Cambria"/>
        </w:rPr>
      </w:pPr>
      <w:r w:rsidRPr="00011D64">
        <w:rPr>
          <w:rFonts w:ascii="Cambria" w:hAnsi="Cambria"/>
        </w:rPr>
        <w:t>Handle: What helps you handle that?</w:t>
      </w:r>
    </w:p>
    <w:p w:rsidR="00554259" w:rsidRPr="00011D64" w:rsidRDefault="00554259" w:rsidP="00554259">
      <w:pPr>
        <w:pStyle w:val="ListParagraph"/>
        <w:numPr>
          <w:ilvl w:val="0"/>
          <w:numId w:val="7"/>
        </w:numPr>
        <w:spacing w:after="120"/>
        <w:rPr>
          <w:rFonts w:ascii="Cambria" w:hAnsi="Cambria"/>
        </w:rPr>
      </w:pPr>
      <w:r w:rsidRPr="00011D64">
        <w:rPr>
          <w:rFonts w:ascii="Cambria" w:hAnsi="Cambria"/>
        </w:rPr>
        <w:t>Empathy (shown by the care provider)</w:t>
      </w:r>
      <w:r w:rsidR="004F3B41">
        <w:rPr>
          <w:rStyle w:val="EndnoteReference"/>
          <w:rFonts w:ascii="Cambria" w:hAnsi="Cambria"/>
        </w:rPr>
        <w:endnoteReference w:id="102"/>
      </w:r>
    </w:p>
    <w:p w:rsidR="00C415E3" w:rsidRPr="00011D64" w:rsidRDefault="00554259" w:rsidP="00554259">
      <w:pPr>
        <w:spacing w:after="120"/>
        <w:rPr>
          <w:rFonts w:ascii="Cambria" w:hAnsi="Cambria"/>
        </w:rPr>
      </w:pPr>
      <w:r w:rsidRPr="004F3B41">
        <w:rPr>
          <w:rFonts w:ascii="Cambria" w:hAnsi="Cambria"/>
          <w:i/>
        </w:rPr>
        <w:t>Clinical Practice Guidelines for Post-Deployment H</w:t>
      </w:r>
      <w:r w:rsidR="004F3B41" w:rsidRPr="004F3B41">
        <w:rPr>
          <w:rFonts w:ascii="Cambria" w:hAnsi="Cambria"/>
          <w:i/>
        </w:rPr>
        <w:t>ealth Evaluation and Management</w:t>
      </w:r>
      <w:r w:rsidR="004F3B41">
        <w:rPr>
          <w:rFonts w:ascii="Cambria" w:hAnsi="Cambria"/>
        </w:rPr>
        <w:t xml:space="preserve"> </w:t>
      </w:r>
      <w:r w:rsidR="0010495A" w:rsidRPr="00011D64">
        <w:rPr>
          <w:rFonts w:ascii="Cambria" w:hAnsi="Cambria"/>
        </w:rPr>
        <w:t xml:space="preserve">includes key steps in </w:t>
      </w:r>
      <w:r w:rsidR="004F3B41">
        <w:rPr>
          <w:rFonts w:ascii="Cambria" w:hAnsi="Cambria"/>
        </w:rPr>
        <w:t>evaluating post-deployed veterans.</w:t>
      </w:r>
      <w:r w:rsidR="004F3B41" w:rsidRPr="00011D64">
        <w:rPr>
          <w:rStyle w:val="EndnoteReference"/>
          <w:rFonts w:ascii="Cambria" w:hAnsi="Cambria"/>
        </w:rPr>
        <w:endnoteReference w:id="103"/>
      </w:r>
    </w:p>
    <w:p w:rsidR="004F3B41" w:rsidRDefault="0010495A" w:rsidP="00C415E3">
      <w:pPr>
        <w:spacing w:after="120"/>
        <w:rPr>
          <w:rFonts w:ascii="Cambria" w:hAnsi="Cambria"/>
          <w:i/>
        </w:rPr>
      </w:pPr>
      <w:r w:rsidRPr="00011D64">
        <w:rPr>
          <w:rFonts w:ascii="Cambria" w:hAnsi="Cambria"/>
        </w:rPr>
        <w:t>The VHA developed Clinical Practice guidelines in response to recommendations in the I</w:t>
      </w:r>
      <w:r w:rsidR="004F3B41">
        <w:rPr>
          <w:rFonts w:ascii="Cambria" w:hAnsi="Cambria"/>
        </w:rPr>
        <w:t xml:space="preserve">nstitute of </w:t>
      </w:r>
      <w:r w:rsidRPr="00011D64">
        <w:rPr>
          <w:rFonts w:ascii="Cambria" w:hAnsi="Cambria"/>
        </w:rPr>
        <w:t>M</w:t>
      </w:r>
      <w:r w:rsidR="004F3B41">
        <w:rPr>
          <w:rFonts w:ascii="Cambria" w:hAnsi="Cambria"/>
        </w:rPr>
        <w:t>edicine</w:t>
      </w:r>
      <w:r w:rsidRPr="00011D64">
        <w:rPr>
          <w:rFonts w:ascii="Cambria" w:hAnsi="Cambria"/>
        </w:rPr>
        <w:t xml:space="preserve"> report, </w:t>
      </w:r>
      <w:r w:rsidRPr="00011D64">
        <w:rPr>
          <w:rFonts w:ascii="Cambria" w:hAnsi="Cambria"/>
          <w:i/>
        </w:rPr>
        <w:t>Protecting Those Who Serve: Strategies to Protect the Health of Deployed U.S. Forces</w:t>
      </w:r>
      <w:r w:rsidRPr="00011D64">
        <w:rPr>
          <w:rFonts w:ascii="Cambria" w:hAnsi="Cambria"/>
        </w:rPr>
        <w:t>.</w:t>
      </w:r>
      <w:r w:rsidRPr="00011D64">
        <w:rPr>
          <w:rFonts w:ascii="Cambria" w:hAnsi="Cambria"/>
          <w:i/>
        </w:rPr>
        <w:t xml:space="preserve"> </w:t>
      </w:r>
    </w:p>
    <w:p w:rsidR="0010495A" w:rsidRPr="00011D64" w:rsidRDefault="00554259" w:rsidP="00C415E3">
      <w:pPr>
        <w:spacing w:after="120"/>
        <w:rPr>
          <w:rFonts w:ascii="Cambria" w:hAnsi="Cambria"/>
        </w:rPr>
      </w:pPr>
      <w:r w:rsidRPr="00011D64">
        <w:rPr>
          <w:rFonts w:ascii="Cambria" w:hAnsi="Cambria"/>
        </w:rPr>
        <w:t>The Institute of Medicine</w:t>
      </w:r>
      <w:r w:rsidR="004F3B41">
        <w:rPr>
          <w:rFonts w:ascii="Cambria" w:hAnsi="Cambria"/>
        </w:rPr>
        <w:t xml:space="preserve"> (IOM, 2000)</w:t>
      </w:r>
      <w:r w:rsidRPr="00011D64">
        <w:rPr>
          <w:rFonts w:ascii="Cambria" w:hAnsi="Cambria"/>
        </w:rPr>
        <w:t xml:space="preserve"> recommends that standardized guidelines address the need for screening, assess</w:t>
      </w:r>
      <w:r w:rsidR="00255829" w:rsidRPr="00011D64">
        <w:rPr>
          <w:rFonts w:ascii="Cambria" w:hAnsi="Cambria"/>
        </w:rPr>
        <w:t>ing, evaluating and treating deployed forces. Based on the experiences encountered after the Vietnam and Gulf Wars, the IOM emphasized that the post-deployment period is a crucial time for carrying out medical evaluations and providing appropriate care for retur</w:t>
      </w:r>
      <w:r w:rsidR="0010495A" w:rsidRPr="00011D64">
        <w:rPr>
          <w:rFonts w:ascii="Cambria" w:hAnsi="Cambria"/>
        </w:rPr>
        <w:t xml:space="preserve">ning service members. </w:t>
      </w:r>
      <w:r w:rsidR="0010495A" w:rsidRPr="00011D64">
        <w:rPr>
          <w:rStyle w:val="EndnoteReference"/>
          <w:rFonts w:ascii="Cambria" w:hAnsi="Cambria"/>
        </w:rPr>
        <w:endnoteReference w:id="104"/>
      </w:r>
    </w:p>
    <w:p w:rsidR="0010495A" w:rsidRPr="00011D64" w:rsidRDefault="0010495A" w:rsidP="00C415E3">
      <w:pPr>
        <w:spacing w:after="120"/>
        <w:rPr>
          <w:rFonts w:ascii="Cambria" w:hAnsi="Cambria"/>
        </w:rPr>
      </w:pPr>
      <w:r w:rsidRPr="00011D64">
        <w:rPr>
          <w:rFonts w:ascii="Cambria" w:hAnsi="Cambria"/>
        </w:rPr>
        <w:lastRenderedPageBreak/>
        <w:t xml:space="preserve">Six strategies identified in the report to address </w:t>
      </w:r>
      <w:r w:rsidR="004F3B41">
        <w:rPr>
          <w:rFonts w:ascii="Cambria" w:hAnsi="Cambria"/>
        </w:rPr>
        <w:t xml:space="preserve">and better track </w:t>
      </w:r>
      <w:r w:rsidRPr="00011D64">
        <w:rPr>
          <w:rFonts w:ascii="Cambria" w:hAnsi="Cambria"/>
        </w:rPr>
        <w:t xml:space="preserve">special health concerns </w:t>
      </w:r>
      <w:r w:rsidR="004F3B41">
        <w:rPr>
          <w:rFonts w:ascii="Cambria" w:hAnsi="Cambria"/>
        </w:rPr>
        <w:t>of deployed persons include</w:t>
      </w:r>
      <w:r w:rsidRPr="00011D64">
        <w:rPr>
          <w:rFonts w:ascii="Cambria" w:hAnsi="Cambria"/>
        </w:rPr>
        <w:t>:</w:t>
      </w:r>
    </w:p>
    <w:p w:rsidR="0010495A" w:rsidRPr="00011D64" w:rsidRDefault="004F3B41" w:rsidP="0010495A">
      <w:pPr>
        <w:pStyle w:val="ListParagraph"/>
        <w:numPr>
          <w:ilvl w:val="0"/>
          <w:numId w:val="7"/>
        </w:numPr>
        <w:spacing w:after="120"/>
        <w:rPr>
          <w:rFonts w:ascii="Cambria" w:hAnsi="Cambria"/>
        </w:rPr>
      </w:pPr>
      <w:r>
        <w:rPr>
          <w:rFonts w:ascii="Cambria" w:hAnsi="Cambria"/>
        </w:rPr>
        <w:t>Using</w:t>
      </w:r>
      <w:r w:rsidR="0010495A" w:rsidRPr="00011D64">
        <w:rPr>
          <w:rFonts w:ascii="Cambria" w:hAnsi="Cambria"/>
        </w:rPr>
        <w:t xml:space="preserve"> a systematic process to evaluate non-battle related risks associated with deployments, such as chemical and biological warfare agents</w:t>
      </w:r>
    </w:p>
    <w:p w:rsidR="00F447C6" w:rsidRPr="00011D64" w:rsidRDefault="0010495A" w:rsidP="0010495A">
      <w:pPr>
        <w:pStyle w:val="ListParagraph"/>
        <w:numPr>
          <w:ilvl w:val="0"/>
          <w:numId w:val="7"/>
        </w:numPr>
        <w:spacing w:after="120"/>
        <w:rPr>
          <w:rFonts w:ascii="Cambria" w:hAnsi="Cambria"/>
        </w:rPr>
      </w:pPr>
      <w:r w:rsidRPr="00011D64">
        <w:rPr>
          <w:rFonts w:ascii="Cambria" w:hAnsi="Cambria"/>
        </w:rPr>
        <w:t>Collect</w:t>
      </w:r>
      <w:r w:rsidR="004F3B41">
        <w:rPr>
          <w:rFonts w:ascii="Cambria" w:hAnsi="Cambria"/>
        </w:rPr>
        <w:t>ing</w:t>
      </w:r>
      <w:r w:rsidRPr="00011D64">
        <w:rPr>
          <w:rFonts w:ascii="Cambria" w:hAnsi="Cambria"/>
        </w:rPr>
        <w:t xml:space="preserve"> environmental data and personnel location to analyze deployment exposures</w:t>
      </w:r>
    </w:p>
    <w:p w:rsidR="00F447C6" w:rsidRPr="00011D64" w:rsidRDefault="00F447C6" w:rsidP="0010495A">
      <w:pPr>
        <w:pStyle w:val="ListParagraph"/>
        <w:numPr>
          <w:ilvl w:val="0"/>
          <w:numId w:val="7"/>
        </w:numPr>
        <w:spacing w:after="120"/>
        <w:rPr>
          <w:rFonts w:ascii="Cambria" w:hAnsi="Cambria"/>
        </w:rPr>
      </w:pPr>
      <w:r w:rsidRPr="00011D64">
        <w:rPr>
          <w:rFonts w:ascii="Cambria" w:hAnsi="Cambria"/>
        </w:rPr>
        <w:t>Develop</w:t>
      </w:r>
      <w:r w:rsidR="004F3B41">
        <w:rPr>
          <w:rFonts w:ascii="Cambria" w:hAnsi="Cambria"/>
        </w:rPr>
        <w:t>ing</w:t>
      </w:r>
      <w:r w:rsidRPr="00011D64">
        <w:rPr>
          <w:rFonts w:ascii="Cambria" w:hAnsi="Cambria"/>
        </w:rPr>
        <w:t xml:space="preserve"> risk management, communication and risk assessment skills of leaders at all levels</w:t>
      </w:r>
    </w:p>
    <w:p w:rsidR="00F447C6" w:rsidRPr="00011D64" w:rsidRDefault="004F3B41" w:rsidP="0010495A">
      <w:pPr>
        <w:pStyle w:val="ListParagraph"/>
        <w:numPr>
          <w:ilvl w:val="0"/>
          <w:numId w:val="7"/>
        </w:numPr>
        <w:spacing w:after="120"/>
        <w:rPr>
          <w:rFonts w:ascii="Cambria" w:hAnsi="Cambria"/>
        </w:rPr>
      </w:pPr>
      <w:r>
        <w:rPr>
          <w:rFonts w:ascii="Cambria" w:hAnsi="Cambria"/>
        </w:rPr>
        <w:t>Using a h</w:t>
      </w:r>
      <w:r w:rsidR="00F447C6" w:rsidRPr="00011D64">
        <w:rPr>
          <w:rFonts w:ascii="Cambria" w:hAnsi="Cambria"/>
        </w:rPr>
        <w:t>ealth surveillance system</w:t>
      </w:r>
      <w:r>
        <w:rPr>
          <w:rFonts w:ascii="Cambria" w:hAnsi="Cambria"/>
        </w:rPr>
        <w:t xml:space="preserve"> that spans</w:t>
      </w:r>
      <w:r w:rsidR="00F447C6" w:rsidRPr="00011D64">
        <w:rPr>
          <w:rFonts w:ascii="Cambria" w:hAnsi="Cambria"/>
        </w:rPr>
        <w:t xml:space="preserve"> the service life cycle</w:t>
      </w:r>
    </w:p>
    <w:p w:rsidR="00F447C6" w:rsidRPr="00011D64" w:rsidRDefault="00F447C6" w:rsidP="0010495A">
      <w:pPr>
        <w:pStyle w:val="ListParagraph"/>
        <w:numPr>
          <w:ilvl w:val="0"/>
          <w:numId w:val="7"/>
        </w:numPr>
        <w:spacing w:after="120"/>
        <w:rPr>
          <w:rFonts w:ascii="Cambria" w:hAnsi="Cambria"/>
        </w:rPr>
      </w:pPr>
      <w:r w:rsidRPr="00011D64">
        <w:rPr>
          <w:rFonts w:ascii="Cambria" w:hAnsi="Cambria"/>
        </w:rPr>
        <w:t>Develop</w:t>
      </w:r>
      <w:r w:rsidR="004F3B41">
        <w:rPr>
          <w:rFonts w:ascii="Cambria" w:hAnsi="Cambria"/>
        </w:rPr>
        <w:t>ing</w:t>
      </w:r>
      <w:r w:rsidRPr="00011D64">
        <w:rPr>
          <w:rFonts w:ascii="Cambria" w:hAnsi="Cambria"/>
        </w:rPr>
        <w:t xml:space="preserve"> strategies to address medically unexplained symptoms in populations that have deployed</w:t>
      </w:r>
    </w:p>
    <w:p w:rsidR="00BC3AB1" w:rsidRPr="00323B3C" w:rsidRDefault="004F3B41" w:rsidP="00F447C6">
      <w:pPr>
        <w:pStyle w:val="ListParagraph"/>
        <w:numPr>
          <w:ilvl w:val="0"/>
          <w:numId w:val="7"/>
        </w:numPr>
        <w:spacing w:after="120"/>
        <w:rPr>
          <w:rFonts w:ascii="Cambria" w:hAnsi="Cambria"/>
        </w:rPr>
      </w:pPr>
      <w:r>
        <w:rPr>
          <w:rFonts w:ascii="Cambria" w:hAnsi="Cambria"/>
        </w:rPr>
        <w:t>Using j</w:t>
      </w:r>
      <w:r w:rsidR="00F447C6" w:rsidRPr="00011D64">
        <w:rPr>
          <w:rFonts w:ascii="Cambria" w:hAnsi="Cambria"/>
        </w:rPr>
        <w:t>oint computerized patient record</w:t>
      </w:r>
      <w:r>
        <w:rPr>
          <w:rFonts w:ascii="Cambria" w:hAnsi="Cambria"/>
        </w:rPr>
        <w:t>s</w:t>
      </w:r>
      <w:r w:rsidR="00F447C6" w:rsidRPr="00011D64">
        <w:rPr>
          <w:rFonts w:ascii="Cambria" w:hAnsi="Cambria"/>
        </w:rPr>
        <w:t xml:space="preserve"> and automated record keeping to meet </w:t>
      </w:r>
      <w:r>
        <w:rPr>
          <w:rFonts w:ascii="Cambria" w:hAnsi="Cambria"/>
        </w:rPr>
        <w:t xml:space="preserve">the </w:t>
      </w:r>
      <w:r w:rsidR="00F447C6" w:rsidRPr="00011D64">
        <w:rPr>
          <w:rFonts w:ascii="Cambria" w:hAnsi="Cambria"/>
        </w:rPr>
        <w:t>information needs of those involved with individual care and military public health</w:t>
      </w:r>
    </w:p>
    <w:p w:rsidR="00751BAE" w:rsidRPr="00011D64" w:rsidRDefault="00323B3C" w:rsidP="00F447C6">
      <w:pPr>
        <w:spacing w:after="120"/>
        <w:rPr>
          <w:rFonts w:ascii="Cambria" w:hAnsi="Cambria"/>
        </w:rPr>
      </w:pPr>
      <w:r>
        <w:rPr>
          <w:rFonts w:ascii="Cambria" w:hAnsi="Cambria"/>
        </w:rPr>
        <w:t>T</w:t>
      </w:r>
      <w:r w:rsidR="00BC3AB1">
        <w:rPr>
          <w:rFonts w:ascii="Cambria" w:hAnsi="Cambria"/>
        </w:rPr>
        <w:t xml:space="preserve">ools and resources identified in this review </w:t>
      </w:r>
      <w:r>
        <w:rPr>
          <w:rFonts w:ascii="Cambria" w:hAnsi="Cambria"/>
        </w:rPr>
        <w:t xml:space="preserve">will be incorporated into </w:t>
      </w:r>
      <w:r w:rsidRPr="00323B3C">
        <w:rPr>
          <w:rFonts w:ascii="Cambria" w:hAnsi="Cambria"/>
          <w:i/>
        </w:rPr>
        <w:t>Making CLAS Happen</w:t>
      </w:r>
      <w:r>
        <w:rPr>
          <w:rFonts w:ascii="Cambria" w:hAnsi="Cambria"/>
        </w:rPr>
        <w:t>.</w:t>
      </w:r>
    </w:p>
    <w:p w:rsidR="004211A4" w:rsidRPr="00BC3AB1" w:rsidRDefault="00BC3AB1" w:rsidP="00FE123D">
      <w:pPr>
        <w:spacing w:after="120"/>
        <w:rPr>
          <w:rFonts w:ascii="Cambria" w:hAnsi="Cambria"/>
          <w:b/>
        </w:rPr>
      </w:pPr>
      <w:r>
        <w:rPr>
          <w:rFonts w:ascii="Cambria" w:hAnsi="Cambria"/>
        </w:rPr>
        <w:br w:type="page"/>
      </w:r>
      <w:r w:rsidRPr="00BC3AB1">
        <w:rPr>
          <w:rFonts w:ascii="Cambria" w:hAnsi="Cambria"/>
          <w:b/>
        </w:rPr>
        <w:lastRenderedPageBreak/>
        <w:t>Works Cited</w:t>
      </w:r>
    </w:p>
    <w:sectPr w:rsidR="004211A4" w:rsidRPr="00BC3AB1" w:rsidSect="00F53732">
      <w:footerReference w:type="even" r:id="rId22"/>
      <w:footerReference w:type="default" r:id="rId2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5F0" w:rsidRDefault="003D15F0">
      <w:r>
        <w:separator/>
      </w:r>
    </w:p>
  </w:endnote>
  <w:endnote w:type="continuationSeparator" w:id="0">
    <w:p w:rsidR="003D15F0" w:rsidRDefault="003D15F0">
      <w:r>
        <w:continuationSeparator/>
      </w:r>
    </w:p>
  </w:endnote>
  <w:endnote w:id="1">
    <w:p w:rsidR="00492B7D" w:rsidRPr="006E10C8" w:rsidRDefault="00492B7D">
      <w:pPr>
        <w:pStyle w:val="EndnoteText"/>
        <w:rPr>
          <w:sz w:val="22"/>
        </w:rPr>
      </w:pPr>
      <w:r w:rsidRPr="008E1EB3">
        <w:rPr>
          <w:rStyle w:val="EndnoteReference"/>
          <w:sz w:val="22"/>
        </w:rPr>
        <w:endnoteRef/>
      </w:r>
      <w:r>
        <w:rPr>
          <w:sz w:val="22"/>
        </w:rPr>
        <w:t xml:space="preserve"> </w:t>
      </w:r>
      <w:proofErr w:type="gramStart"/>
      <w:r w:rsidRPr="006E10C8">
        <w:rPr>
          <w:sz w:val="22"/>
        </w:rPr>
        <w:t>U.S. Department of Health and Human Services.</w:t>
      </w:r>
      <w:proofErr w:type="gramEnd"/>
      <w:r w:rsidRPr="006E10C8">
        <w:rPr>
          <w:sz w:val="22"/>
        </w:rPr>
        <w:t xml:space="preserve"> 2013. Culturally and Linguistically Appropriate Services Standards.  (</w:t>
      </w:r>
      <w:hyperlink r:id="rId1" w:history="1">
        <w:r w:rsidRPr="006E10C8">
          <w:rPr>
            <w:rStyle w:val="Hyperlink"/>
            <w:sz w:val="22"/>
          </w:rPr>
          <w:t>http://www.thinkculturalhealth.hhs.gov/content/clas</w:t>
        </w:r>
      </w:hyperlink>
      <w:r w:rsidRPr="006E10C8">
        <w:rPr>
          <w:sz w:val="22"/>
        </w:rPr>
        <w:t>)</w:t>
      </w:r>
    </w:p>
  </w:endnote>
  <w:endnote w:id="2">
    <w:p w:rsidR="00492B7D" w:rsidRPr="006E10C8" w:rsidRDefault="00492B7D" w:rsidP="00E70CF6">
      <w:pPr>
        <w:pStyle w:val="EndnoteText"/>
        <w:rPr>
          <w:sz w:val="22"/>
        </w:rPr>
      </w:pPr>
      <w:r w:rsidRPr="006E10C8">
        <w:rPr>
          <w:rStyle w:val="EndnoteReference"/>
          <w:sz w:val="22"/>
        </w:rPr>
        <w:endnoteRef/>
      </w:r>
      <w:r w:rsidRPr="006E10C8">
        <w:rPr>
          <w:sz w:val="22"/>
        </w:rPr>
        <w:t xml:space="preserve"> </w:t>
      </w:r>
      <w:proofErr w:type="gramStart"/>
      <w:r w:rsidRPr="006E10C8">
        <w:rPr>
          <w:sz w:val="22"/>
        </w:rPr>
        <w:t>U.S. Department of Health and Human Services.</w:t>
      </w:r>
      <w:proofErr w:type="gramEnd"/>
      <w:r w:rsidRPr="006E10C8">
        <w:rPr>
          <w:sz w:val="22"/>
        </w:rPr>
        <w:t xml:space="preserve"> 2011. National Partnership for Action to End Health Disparities. (http://www.minorityhealth.hhs.gov/npa)</w:t>
      </w:r>
    </w:p>
  </w:endnote>
  <w:endnote w:id="3">
    <w:p w:rsidR="00492B7D" w:rsidRPr="006E10C8" w:rsidRDefault="00492B7D">
      <w:pPr>
        <w:pStyle w:val="EndnoteText"/>
        <w:rPr>
          <w:sz w:val="22"/>
        </w:rPr>
      </w:pPr>
      <w:r w:rsidRPr="006E10C8">
        <w:rPr>
          <w:rStyle w:val="EndnoteReference"/>
          <w:sz w:val="22"/>
        </w:rPr>
        <w:endnoteRef/>
      </w:r>
      <w:r w:rsidRPr="006E10C8">
        <w:rPr>
          <w:sz w:val="22"/>
        </w:rPr>
        <w:t xml:space="preserve"> The Joint Commission: </w:t>
      </w:r>
      <w:r w:rsidRPr="006E10C8">
        <w:rPr>
          <w:i/>
          <w:sz w:val="22"/>
        </w:rPr>
        <w:t>Advancing Effective Communication, Cultural Competence, and Patient- and Family-Centered Care: A Roadmap for Hospitals</w:t>
      </w:r>
      <w:r w:rsidRPr="006E10C8">
        <w:rPr>
          <w:sz w:val="22"/>
        </w:rPr>
        <w:t>. Oakbrook Terrace, IL: The Joint Commission, 2010.</w:t>
      </w:r>
    </w:p>
  </w:endnote>
  <w:endnote w:id="4">
    <w:p w:rsidR="00492B7D" w:rsidRPr="006E10C8" w:rsidRDefault="00492B7D" w:rsidP="004917F4">
      <w:pPr>
        <w:rPr>
          <w:rFonts w:cs="Arial"/>
          <w:sz w:val="22"/>
        </w:rPr>
      </w:pPr>
      <w:r w:rsidRPr="006E10C8">
        <w:rPr>
          <w:rStyle w:val="EndnoteReference"/>
          <w:sz w:val="22"/>
        </w:rPr>
        <w:endnoteRef/>
      </w:r>
      <w:r w:rsidRPr="006E10C8">
        <w:rPr>
          <w:sz w:val="22"/>
        </w:rPr>
        <w:t xml:space="preserve"> </w:t>
      </w:r>
      <w:proofErr w:type="gramStart"/>
      <w:r w:rsidRPr="006E10C8">
        <w:rPr>
          <w:rFonts w:cs="Arial"/>
          <w:sz w:val="22"/>
        </w:rPr>
        <w:t>Agency for Healthcare Research and Quality.</w:t>
      </w:r>
      <w:proofErr w:type="gramEnd"/>
      <w:r w:rsidRPr="006E10C8">
        <w:rPr>
          <w:rFonts w:cs="Arial"/>
          <w:sz w:val="22"/>
        </w:rPr>
        <w:t xml:space="preserve"> </w:t>
      </w:r>
      <w:r w:rsidRPr="006E10C8">
        <w:rPr>
          <w:rFonts w:cs="Arial"/>
          <w:i/>
          <w:sz w:val="22"/>
        </w:rPr>
        <w:t>National Healthcare Disparities Report</w:t>
      </w:r>
      <w:r w:rsidRPr="006E10C8">
        <w:rPr>
          <w:rFonts w:cs="Arial"/>
          <w:sz w:val="22"/>
        </w:rPr>
        <w:t xml:space="preserve"> (AHRQ Publication No. 12-0006). Rockville, MD: U.S. Department of Health and Human Services, 2012.  (</w:t>
      </w:r>
      <w:hyperlink r:id="rId2" w:history="1">
        <w:r w:rsidRPr="006E10C8">
          <w:rPr>
            <w:rStyle w:val="Hyperlink"/>
            <w:rFonts w:cs="Arial"/>
            <w:sz w:val="22"/>
          </w:rPr>
          <w:t>http://www.ahrq.gov/qrdr11.htm</w:t>
        </w:r>
      </w:hyperlink>
      <w:r w:rsidRPr="006E10C8">
        <w:rPr>
          <w:rFonts w:cs="Arial"/>
          <w:sz w:val="22"/>
        </w:rPr>
        <w:t xml:space="preserve">) </w:t>
      </w:r>
    </w:p>
  </w:endnote>
  <w:endnote w:id="5">
    <w:p w:rsidR="00492B7D" w:rsidRPr="006E10C8" w:rsidRDefault="00492B7D" w:rsidP="002B1F83">
      <w:pPr>
        <w:rPr>
          <w:sz w:val="22"/>
        </w:rPr>
      </w:pPr>
      <w:r w:rsidRPr="006E10C8">
        <w:rPr>
          <w:rStyle w:val="EndnoteReference"/>
          <w:sz w:val="22"/>
        </w:rPr>
        <w:endnoteRef/>
      </w:r>
      <w:r w:rsidRPr="006E10C8">
        <w:rPr>
          <w:sz w:val="22"/>
        </w:rPr>
        <w:t xml:space="preserve"> </w:t>
      </w:r>
      <w:proofErr w:type="gramStart"/>
      <w:r w:rsidRPr="006E10C8">
        <w:rPr>
          <w:rFonts w:cs="Arial"/>
          <w:sz w:val="22"/>
        </w:rPr>
        <w:t>American College of Physicians.</w:t>
      </w:r>
      <w:proofErr w:type="gramEnd"/>
      <w:r w:rsidRPr="006E10C8">
        <w:rPr>
          <w:rFonts w:cs="Arial"/>
          <w:sz w:val="22"/>
        </w:rPr>
        <w:t xml:space="preserve"> Racial and Ethnic Disparities in Health Care, Updated 2010. Philadelphia: American College of Physicians, 2010. </w:t>
      </w:r>
    </w:p>
  </w:endnote>
  <w:endnote w:id="6">
    <w:p w:rsidR="00492B7D" w:rsidRPr="00760E14" w:rsidRDefault="00492B7D">
      <w:pPr>
        <w:pStyle w:val="EndnoteText"/>
        <w:rPr>
          <w:sz w:val="22"/>
        </w:rPr>
      </w:pPr>
      <w:r>
        <w:rPr>
          <w:rStyle w:val="EndnoteReference"/>
        </w:rPr>
        <w:endnoteRef/>
      </w:r>
      <w:r>
        <w:t xml:space="preserve"> </w:t>
      </w:r>
      <w:proofErr w:type="gramStart"/>
      <w:r w:rsidRPr="00760E14">
        <w:rPr>
          <w:sz w:val="22"/>
        </w:rPr>
        <w:t>Agency for Healthcare Research and Quality.</w:t>
      </w:r>
      <w:proofErr w:type="gramEnd"/>
      <w:r w:rsidRPr="00760E14">
        <w:rPr>
          <w:sz w:val="22"/>
        </w:rPr>
        <w:t xml:space="preserve"> </w:t>
      </w:r>
      <w:proofErr w:type="gramStart"/>
      <w:r>
        <w:rPr>
          <w:sz w:val="22"/>
        </w:rPr>
        <w:t>(</w:t>
      </w:r>
      <w:r w:rsidRPr="00760E14">
        <w:rPr>
          <w:sz w:val="22"/>
        </w:rPr>
        <w:t>2011</w:t>
      </w:r>
      <w:r>
        <w:rPr>
          <w:sz w:val="22"/>
        </w:rPr>
        <w:t>)</w:t>
      </w:r>
      <w:r w:rsidRPr="00760E14">
        <w:rPr>
          <w:sz w:val="22"/>
        </w:rPr>
        <w:t xml:space="preserve">. </w:t>
      </w:r>
      <w:r w:rsidRPr="00760E14">
        <w:rPr>
          <w:i/>
          <w:sz w:val="22"/>
        </w:rPr>
        <w:t>National Healthcare Disparities Report.</w:t>
      </w:r>
      <w:proofErr w:type="gramEnd"/>
      <w:r w:rsidRPr="00760E14">
        <w:rPr>
          <w:sz w:val="22"/>
        </w:rPr>
        <w:t xml:space="preserve"> http://www.ahrq.gov/research/findings/nhqrdr/index.html</w:t>
      </w:r>
    </w:p>
  </w:endnote>
  <w:endnote w:id="7">
    <w:p w:rsidR="00492B7D" w:rsidRPr="006E10C8" w:rsidRDefault="00492B7D" w:rsidP="002B1F83">
      <w:pPr>
        <w:rPr>
          <w:rFonts w:cs="Arial"/>
          <w:sz w:val="22"/>
        </w:rPr>
      </w:pPr>
      <w:r w:rsidRPr="006E10C8">
        <w:rPr>
          <w:rStyle w:val="EndnoteReference"/>
          <w:sz w:val="22"/>
        </w:rPr>
        <w:endnoteRef/>
      </w:r>
      <w:r w:rsidRPr="006E10C8">
        <w:rPr>
          <w:sz w:val="22"/>
        </w:rPr>
        <w:t xml:space="preserve"> </w:t>
      </w:r>
      <w:r w:rsidRPr="006E10C8">
        <w:rPr>
          <w:rFonts w:cs="Arial"/>
          <w:sz w:val="22"/>
        </w:rPr>
        <w:t xml:space="preserve">National Council on Disability: </w:t>
      </w:r>
      <w:r w:rsidRPr="006E10C8">
        <w:rPr>
          <w:rFonts w:cs="Arial"/>
          <w:i/>
          <w:sz w:val="22"/>
        </w:rPr>
        <w:t>The Current State of Health Care for People with Disabilities</w:t>
      </w:r>
      <w:r w:rsidRPr="006E10C8">
        <w:rPr>
          <w:rFonts w:cs="Arial"/>
          <w:sz w:val="22"/>
        </w:rPr>
        <w:t xml:space="preserve">. Washington, DC: National Council on Disability, 2009. (Retrieved from: </w:t>
      </w:r>
      <w:hyperlink r:id="rId3" w:history="1">
        <w:r w:rsidRPr="006E10C8">
          <w:rPr>
            <w:rStyle w:val="Hyperlink"/>
            <w:rFonts w:cs="Arial"/>
            <w:sz w:val="22"/>
          </w:rPr>
          <w:t>http://www.ncd.gov/policy/health_care</w:t>
        </w:r>
      </w:hyperlink>
      <w:r w:rsidRPr="006E10C8">
        <w:rPr>
          <w:sz w:val="22"/>
        </w:rPr>
        <w:t>)</w:t>
      </w:r>
    </w:p>
  </w:endnote>
  <w:endnote w:id="8">
    <w:p w:rsidR="00492B7D" w:rsidRPr="008E1EB3" w:rsidRDefault="00492B7D" w:rsidP="00BD79E4">
      <w:pPr>
        <w:rPr>
          <w:rFonts w:cs="Arial"/>
          <w:sz w:val="22"/>
        </w:rPr>
      </w:pPr>
      <w:r w:rsidRPr="008E1EB3">
        <w:rPr>
          <w:rStyle w:val="EndnoteReference"/>
          <w:sz w:val="22"/>
        </w:rPr>
        <w:endnoteRef/>
      </w:r>
      <w:r w:rsidRPr="008E1EB3">
        <w:rPr>
          <w:sz w:val="22"/>
        </w:rPr>
        <w:t xml:space="preserve"> </w:t>
      </w:r>
      <w:proofErr w:type="gramStart"/>
      <w:r w:rsidRPr="008E1EB3">
        <w:rPr>
          <w:rFonts w:cs="Arial"/>
          <w:sz w:val="22"/>
        </w:rPr>
        <w:t>U.S. Department of Health and Human Services.</w:t>
      </w:r>
      <w:proofErr w:type="gramEnd"/>
      <w:r w:rsidRPr="008E1EB3">
        <w:rPr>
          <w:rFonts w:cs="Arial"/>
          <w:sz w:val="22"/>
        </w:rPr>
        <w:t xml:space="preserve"> (2011). </w:t>
      </w:r>
      <w:r w:rsidRPr="008E1EB3">
        <w:rPr>
          <w:rFonts w:cs="Arial"/>
          <w:i/>
          <w:iCs/>
          <w:sz w:val="22"/>
        </w:rPr>
        <w:t>Improving data for the LGBT community</w:t>
      </w:r>
      <w:r w:rsidRPr="008E1EB3">
        <w:rPr>
          <w:rFonts w:cs="Arial"/>
          <w:sz w:val="22"/>
        </w:rPr>
        <w:t xml:space="preserve">. </w:t>
      </w:r>
    </w:p>
    <w:p w:rsidR="00492B7D" w:rsidRPr="008E1EB3" w:rsidRDefault="003D15F0" w:rsidP="00BD79E4">
      <w:pPr>
        <w:pStyle w:val="EndnoteText"/>
        <w:rPr>
          <w:sz w:val="22"/>
        </w:rPr>
      </w:pPr>
      <w:hyperlink r:id="rId4" w:history="1">
        <w:r w:rsidR="00492B7D" w:rsidRPr="008E1EB3">
          <w:rPr>
            <w:rFonts w:cs="Arial"/>
            <w:color w:val="1221F9"/>
            <w:sz w:val="22"/>
          </w:rPr>
          <w:t>http://www.healthcare.gov/news/factsheets/2011/06/lgbt06292011a.html</w:t>
        </w:r>
      </w:hyperlink>
    </w:p>
  </w:endnote>
  <w:endnote w:id="9">
    <w:p w:rsidR="00492B7D" w:rsidRPr="006E10C8" w:rsidRDefault="00492B7D" w:rsidP="008B5CF7">
      <w:pPr>
        <w:rPr>
          <w:rFonts w:cs="Arial"/>
          <w:sz w:val="22"/>
        </w:rPr>
      </w:pPr>
      <w:r w:rsidRPr="006E10C8">
        <w:rPr>
          <w:rStyle w:val="EndnoteReference"/>
          <w:sz w:val="22"/>
        </w:rPr>
        <w:endnoteRef/>
      </w:r>
      <w:r w:rsidRPr="006E10C8">
        <w:rPr>
          <w:sz w:val="22"/>
        </w:rPr>
        <w:t xml:space="preserve"> </w:t>
      </w:r>
      <w:r w:rsidRPr="006E10C8">
        <w:rPr>
          <w:rFonts w:cs="Arial"/>
          <w:sz w:val="22"/>
        </w:rPr>
        <w:t xml:space="preserve">The Joint Commission: </w:t>
      </w:r>
      <w:r w:rsidRPr="006E10C8">
        <w:rPr>
          <w:rFonts w:cs="Arial"/>
          <w:i/>
          <w:sz w:val="22"/>
        </w:rPr>
        <w:t>Advancing Effective Communication, Cultural Competence, and Patient- and Family-Centered Care: A Roadmap for Hospitals</w:t>
      </w:r>
      <w:r w:rsidRPr="006E10C8">
        <w:rPr>
          <w:rFonts w:cs="Arial"/>
          <w:sz w:val="22"/>
        </w:rPr>
        <w:t>. Oakbrook Terrace, IL: The Joint Commission, 2010.</w:t>
      </w:r>
    </w:p>
  </w:endnote>
  <w:endnote w:id="10">
    <w:p w:rsidR="00492B7D" w:rsidRPr="006E10C8" w:rsidRDefault="00492B7D">
      <w:pPr>
        <w:pStyle w:val="EndnoteText"/>
        <w:rPr>
          <w:sz w:val="22"/>
        </w:rPr>
      </w:pPr>
      <w:r w:rsidRPr="006E10C8">
        <w:rPr>
          <w:rStyle w:val="EndnoteReference"/>
          <w:sz w:val="22"/>
        </w:rPr>
        <w:endnoteRef/>
      </w:r>
      <w:r w:rsidRPr="006E10C8">
        <w:rPr>
          <w:sz w:val="22"/>
        </w:rPr>
        <w:t xml:space="preserve"> </w:t>
      </w:r>
      <w:proofErr w:type="spellStart"/>
      <w:r w:rsidRPr="006E10C8">
        <w:rPr>
          <w:sz w:val="22"/>
        </w:rPr>
        <w:t>Kotter</w:t>
      </w:r>
      <w:proofErr w:type="spellEnd"/>
      <w:r w:rsidRPr="006E10C8">
        <w:rPr>
          <w:sz w:val="22"/>
        </w:rPr>
        <w:t xml:space="preserve">, J.P. </w:t>
      </w:r>
      <w:r w:rsidRPr="006E10C8">
        <w:rPr>
          <w:i/>
          <w:sz w:val="22"/>
        </w:rPr>
        <w:t>Leading Change</w:t>
      </w:r>
      <w:r w:rsidRPr="006E10C8">
        <w:rPr>
          <w:sz w:val="22"/>
        </w:rPr>
        <w:t>. Boston: Harvard Business School Press, 1996.</w:t>
      </w:r>
    </w:p>
  </w:endnote>
  <w:endnote w:id="11">
    <w:p w:rsidR="00492B7D" w:rsidRPr="006E10C8" w:rsidRDefault="00492B7D" w:rsidP="003F7E07">
      <w:pPr>
        <w:pStyle w:val="EndnoteText"/>
        <w:rPr>
          <w:sz w:val="22"/>
        </w:rPr>
      </w:pPr>
      <w:r w:rsidRPr="006E10C8">
        <w:rPr>
          <w:rStyle w:val="EndnoteReference"/>
          <w:sz w:val="22"/>
        </w:rPr>
        <w:endnoteRef/>
      </w:r>
      <w:r w:rsidRPr="006E10C8">
        <w:rPr>
          <w:sz w:val="22"/>
        </w:rPr>
        <w:t xml:space="preserve"> </w:t>
      </w:r>
      <w:proofErr w:type="gramStart"/>
      <w:r w:rsidRPr="006E10C8">
        <w:rPr>
          <w:sz w:val="22"/>
        </w:rPr>
        <w:t>U.S. Department of Health and Human Services.</w:t>
      </w:r>
      <w:proofErr w:type="gramEnd"/>
      <w:r w:rsidRPr="006E10C8">
        <w:rPr>
          <w:sz w:val="22"/>
        </w:rPr>
        <w:t xml:space="preserve"> Culturally and Linguistically Appropriate Services Standards. 2013. (</w:t>
      </w:r>
      <w:hyperlink r:id="rId5" w:history="1">
        <w:r w:rsidRPr="006E10C8">
          <w:rPr>
            <w:rStyle w:val="Hyperlink"/>
            <w:sz w:val="22"/>
          </w:rPr>
          <w:t>http://www.thinkculturalhealth.hhs.gov/content/clas</w:t>
        </w:r>
      </w:hyperlink>
      <w:r w:rsidRPr="006E10C8">
        <w:rPr>
          <w:sz w:val="22"/>
        </w:rPr>
        <w:t>)</w:t>
      </w:r>
    </w:p>
  </w:endnote>
  <w:endnote w:id="12">
    <w:p w:rsidR="00492B7D" w:rsidRPr="006E10C8" w:rsidRDefault="00492B7D" w:rsidP="00554699">
      <w:pPr>
        <w:pStyle w:val="EndnoteText"/>
        <w:rPr>
          <w:sz w:val="22"/>
        </w:rPr>
      </w:pPr>
      <w:r w:rsidRPr="006E10C8">
        <w:rPr>
          <w:rStyle w:val="EndnoteReference"/>
          <w:sz w:val="22"/>
        </w:rPr>
        <w:endnoteRef/>
      </w:r>
      <w:r w:rsidRPr="006E10C8">
        <w:rPr>
          <w:sz w:val="22"/>
        </w:rPr>
        <w:t xml:space="preserve"> </w:t>
      </w:r>
      <w:proofErr w:type="gramStart"/>
      <w:r w:rsidRPr="006E10C8">
        <w:rPr>
          <w:sz w:val="22"/>
        </w:rPr>
        <w:t>Institute of Medicine.</w:t>
      </w:r>
      <w:proofErr w:type="gramEnd"/>
      <w:r w:rsidRPr="006E10C8">
        <w:rPr>
          <w:sz w:val="22"/>
        </w:rPr>
        <w:t xml:space="preserve"> </w:t>
      </w:r>
      <w:r w:rsidRPr="006E10C8">
        <w:rPr>
          <w:i/>
          <w:sz w:val="22"/>
        </w:rPr>
        <w:t>Health Literacy: A Prescription to End Confusion</w:t>
      </w:r>
      <w:r w:rsidRPr="006E10C8">
        <w:rPr>
          <w:sz w:val="22"/>
        </w:rPr>
        <w:t>. Washington, DC: National Academies Press, 2004.</w:t>
      </w:r>
    </w:p>
  </w:endnote>
  <w:endnote w:id="13">
    <w:p w:rsidR="00492B7D" w:rsidRPr="006E10C8" w:rsidRDefault="00492B7D" w:rsidP="003F7E07">
      <w:pPr>
        <w:pStyle w:val="EndnoteText"/>
        <w:rPr>
          <w:sz w:val="22"/>
        </w:rPr>
      </w:pPr>
      <w:r w:rsidRPr="006E10C8">
        <w:rPr>
          <w:rStyle w:val="EndnoteReference"/>
          <w:sz w:val="22"/>
        </w:rPr>
        <w:endnoteRef/>
      </w:r>
      <w:r w:rsidRPr="006E10C8">
        <w:rPr>
          <w:sz w:val="22"/>
        </w:rPr>
        <w:t xml:space="preserve"> </w:t>
      </w:r>
      <w:proofErr w:type="gramStart"/>
      <w:r w:rsidRPr="006E10C8">
        <w:rPr>
          <w:rFonts w:cs="Arial"/>
          <w:sz w:val="22"/>
        </w:rPr>
        <w:t>U.S. Department of Health and Human Services.</w:t>
      </w:r>
      <w:proofErr w:type="gramEnd"/>
      <w:r w:rsidRPr="006E10C8">
        <w:rPr>
          <w:rFonts w:cs="Arial"/>
          <w:sz w:val="22"/>
        </w:rPr>
        <w:t xml:space="preserve"> </w:t>
      </w:r>
      <w:r w:rsidRPr="006E10C8">
        <w:rPr>
          <w:rFonts w:cs="Arial"/>
          <w:i/>
          <w:sz w:val="22"/>
        </w:rPr>
        <w:t>Healthy People 2010</w:t>
      </w:r>
      <w:r w:rsidRPr="006E10C8">
        <w:rPr>
          <w:rFonts w:cs="Arial"/>
          <w:sz w:val="22"/>
        </w:rPr>
        <w:t xml:space="preserve"> (2</w:t>
      </w:r>
      <w:r w:rsidRPr="006E10C8">
        <w:rPr>
          <w:rFonts w:cs="Arial"/>
          <w:sz w:val="22"/>
          <w:vertAlign w:val="superscript"/>
        </w:rPr>
        <w:t>nd</w:t>
      </w:r>
      <w:r w:rsidRPr="006E10C8">
        <w:rPr>
          <w:rFonts w:cs="Arial"/>
          <w:sz w:val="22"/>
        </w:rPr>
        <w:t xml:space="preserve"> ed.) [</w:t>
      </w:r>
      <w:proofErr w:type="gramStart"/>
      <w:r w:rsidRPr="006E10C8">
        <w:rPr>
          <w:rFonts w:cs="Arial"/>
          <w:sz w:val="22"/>
        </w:rPr>
        <w:t>with</w:t>
      </w:r>
      <w:proofErr w:type="gramEnd"/>
      <w:r w:rsidRPr="006E10C8">
        <w:rPr>
          <w:rFonts w:cs="Arial"/>
          <w:sz w:val="22"/>
        </w:rPr>
        <w:t xml:space="preserve"> Understanding and Improving Health (vol. 1) and Objectives for Improving Health (vol. 2)]. Washington, DC: U.S. Government Printing Office, 2000.</w:t>
      </w:r>
    </w:p>
  </w:endnote>
  <w:endnote w:id="14">
    <w:p w:rsidR="00492B7D" w:rsidRPr="006E10C8" w:rsidRDefault="00492B7D" w:rsidP="00E21E25">
      <w:pPr>
        <w:pStyle w:val="EndnoteText"/>
        <w:rPr>
          <w:sz w:val="22"/>
        </w:rPr>
      </w:pPr>
      <w:r w:rsidRPr="006E10C8">
        <w:rPr>
          <w:rStyle w:val="EndnoteReference"/>
          <w:sz w:val="22"/>
        </w:rPr>
        <w:endnoteRef/>
      </w:r>
      <w:r w:rsidRPr="006E10C8">
        <w:rPr>
          <w:sz w:val="22"/>
        </w:rPr>
        <w:t xml:space="preserve"> Kirsch J, et al. </w:t>
      </w:r>
      <w:r w:rsidRPr="006E10C8">
        <w:rPr>
          <w:i/>
          <w:sz w:val="22"/>
        </w:rPr>
        <w:t>Adult Literacy in America: A First Look at the Results of the National Adult Literacy Survey (NALS)</w:t>
      </w:r>
      <w:r w:rsidRPr="006E10C8">
        <w:rPr>
          <w:sz w:val="22"/>
        </w:rPr>
        <w:t xml:space="preserve">. </w:t>
      </w:r>
      <w:proofErr w:type="gramStart"/>
      <w:r w:rsidRPr="006E10C8">
        <w:rPr>
          <w:sz w:val="22"/>
        </w:rPr>
        <w:t>U.S. Department of Education, 1993.</w:t>
      </w:r>
      <w:proofErr w:type="gramEnd"/>
    </w:p>
  </w:endnote>
  <w:endnote w:id="15">
    <w:p w:rsidR="00492B7D" w:rsidRPr="006E10C8" w:rsidRDefault="00492B7D" w:rsidP="00E21E25">
      <w:pPr>
        <w:pStyle w:val="EndnoteText"/>
        <w:rPr>
          <w:sz w:val="22"/>
        </w:rPr>
      </w:pPr>
      <w:r w:rsidRPr="006E10C8">
        <w:rPr>
          <w:rStyle w:val="EndnoteReference"/>
          <w:sz w:val="22"/>
        </w:rPr>
        <w:endnoteRef/>
      </w:r>
      <w:r w:rsidRPr="006E10C8">
        <w:rPr>
          <w:sz w:val="22"/>
        </w:rPr>
        <w:t xml:space="preserve"> </w:t>
      </w:r>
      <w:proofErr w:type="gramStart"/>
      <w:r w:rsidRPr="006E10C8">
        <w:rPr>
          <w:sz w:val="22"/>
        </w:rPr>
        <w:t>Institute of Medicine.</w:t>
      </w:r>
      <w:proofErr w:type="gramEnd"/>
      <w:r w:rsidRPr="006E10C8">
        <w:rPr>
          <w:sz w:val="22"/>
        </w:rPr>
        <w:t xml:space="preserve"> </w:t>
      </w:r>
      <w:r w:rsidRPr="006E10C8">
        <w:rPr>
          <w:i/>
          <w:sz w:val="22"/>
        </w:rPr>
        <w:t>Health Literacy: A Prescription to End Confusion</w:t>
      </w:r>
      <w:r w:rsidRPr="006E10C8">
        <w:rPr>
          <w:sz w:val="22"/>
        </w:rPr>
        <w:t>. Washington, DC: National Academies Press, 2004.</w:t>
      </w:r>
    </w:p>
  </w:endnote>
  <w:endnote w:id="16">
    <w:p w:rsidR="00492B7D" w:rsidRPr="006E10C8" w:rsidRDefault="00492B7D" w:rsidP="00E21E25">
      <w:pPr>
        <w:pStyle w:val="EndnoteText"/>
        <w:rPr>
          <w:sz w:val="22"/>
        </w:rPr>
      </w:pPr>
      <w:r w:rsidRPr="006E10C8">
        <w:rPr>
          <w:rStyle w:val="EndnoteReference"/>
          <w:sz w:val="22"/>
        </w:rPr>
        <w:endnoteRef/>
      </w:r>
      <w:r w:rsidRPr="006E10C8">
        <w:rPr>
          <w:sz w:val="22"/>
        </w:rPr>
        <w:t xml:space="preserve"> </w:t>
      </w:r>
      <w:proofErr w:type="spellStart"/>
      <w:r w:rsidRPr="006E10C8">
        <w:rPr>
          <w:sz w:val="22"/>
        </w:rPr>
        <w:t>Doak</w:t>
      </w:r>
      <w:proofErr w:type="spellEnd"/>
      <w:r w:rsidRPr="006E10C8">
        <w:rPr>
          <w:sz w:val="22"/>
        </w:rPr>
        <w:t xml:space="preserve">, C.C., </w:t>
      </w:r>
      <w:proofErr w:type="spellStart"/>
      <w:r w:rsidRPr="006E10C8">
        <w:rPr>
          <w:sz w:val="22"/>
        </w:rPr>
        <w:t>Doak</w:t>
      </w:r>
      <w:proofErr w:type="spellEnd"/>
      <w:r w:rsidRPr="006E10C8">
        <w:rPr>
          <w:sz w:val="22"/>
        </w:rPr>
        <w:t xml:space="preserve">, L.G., and Root J.H. 1996. </w:t>
      </w:r>
      <w:proofErr w:type="gramStart"/>
      <w:r w:rsidRPr="006E10C8">
        <w:rPr>
          <w:sz w:val="22"/>
        </w:rPr>
        <w:t>The literacy problem.</w:t>
      </w:r>
      <w:proofErr w:type="gramEnd"/>
      <w:r w:rsidRPr="006E10C8">
        <w:rPr>
          <w:sz w:val="22"/>
        </w:rPr>
        <w:t xml:space="preserve"> </w:t>
      </w:r>
      <w:r w:rsidRPr="006E10C8">
        <w:rPr>
          <w:i/>
          <w:sz w:val="22"/>
        </w:rPr>
        <w:t>Teaching Patients with Low Literacy Skills.</w:t>
      </w:r>
      <w:r w:rsidRPr="006E10C8">
        <w:rPr>
          <w:sz w:val="22"/>
        </w:rPr>
        <w:t xml:space="preserve"> 2</w:t>
      </w:r>
      <w:r w:rsidRPr="006E10C8">
        <w:rPr>
          <w:sz w:val="22"/>
          <w:vertAlign w:val="superscript"/>
        </w:rPr>
        <w:t>nd</w:t>
      </w:r>
      <w:r w:rsidRPr="006E10C8">
        <w:rPr>
          <w:sz w:val="22"/>
        </w:rPr>
        <w:t xml:space="preserve"> edition. Philadelphia: JB Lippincott Company: 1-9.</w:t>
      </w:r>
    </w:p>
  </w:endnote>
  <w:endnote w:id="17">
    <w:p w:rsidR="00492B7D" w:rsidRPr="006E10C8" w:rsidRDefault="00492B7D" w:rsidP="00E21E25">
      <w:pPr>
        <w:rPr>
          <w:sz w:val="22"/>
          <w:szCs w:val="19"/>
        </w:rPr>
      </w:pPr>
      <w:r w:rsidRPr="006E10C8">
        <w:rPr>
          <w:rStyle w:val="EndnoteReference"/>
          <w:sz w:val="22"/>
        </w:rPr>
        <w:endnoteRef/>
      </w:r>
      <w:r w:rsidRPr="006E10C8">
        <w:rPr>
          <w:sz w:val="22"/>
        </w:rPr>
        <w:t xml:space="preserve"> </w:t>
      </w:r>
      <w:r w:rsidRPr="006E10C8">
        <w:rPr>
          <w:sz w:val="22"/>
          <w:szCs w:val="19"/>
        </w:rPr>
        <w:t xml:space="preserve">Weiss, B.D. Health Literacy: A Manual for Clinicians. 2003. American Medical Association/American Medical Association Foundation, p. 7. </w:t>
      </w:r>
    </w:p>
  </w:endnote>
  <w:endnote w:id="18">
    <w:p w:rsidR="00492B7D" w:rsidRPr="006E10C8" w:rsidRDefault="00492B7D" w:rsidP="00E21E25">
      <w:pPr>
        <w:rPr>
          <w:sz w:val="22"/>
          <w:szCs w:val="19"/>
        </w:rPr>
      </w:pPr>
      <w:r w:rsidRPr="006E10C8">
        <w:rPr>
          <w:rStyle w:val="EndnoteReference"/>
          <w:sz w:val="22"/>
        </w:rPr>
        <w:endnoteRef/>
      </w:r>
      <w:r w:rsidRPr="006E10C8">
        <w:rPr>
          <w:sz w:val="22"/>
        </w:rPr>
        <w:t xml:space="preserve"> </w:t>
      </w:r>
      <w:proofErr w:type="gramStart"/>
      <w:r w:rsidRPr="006E10C8">
        <w:rPr>
          <w:sz w:val="22"/>
          <w:szCs w:val="19"/>
        </w:rPr>
        <w:t>Baker, D.W., Parker, R.M., Williams M.V., and Clark W.S. 1998.</w:t>
      </w:r>
      <w:proofErr w:type="gramEnd"/>
      <w:r w:rsidRPr="006E10C8">
        <w:rPr>
          <w:sz w:val="22"/>
          <w:szCs w:val="19"/>
        </w:rPr>
        <w:t xml:space="preserve"> </w:t>
      </w:r>
      <w:proofErr w:type="gramStart"/>
      <w:r w:rsidRPr="006E10C8">
        <w:rPr>
          <w:sz w:val="22"/>
          <w:szCs w:val="19"/>
        </w:rPr>
        <w:t>Health literacy and the risk of hospital admission.</w:t>
      </w:r>
      <w:proofErr w:type="gramEnd"/>
      <w:r w:rsidRPr="006E10C8">
        <w:rPr>
          <w:sz w:val="22"/>
          <w:szCs w:val="19"/>
        </w:rPr>
        <w:t xml:space="preserve"> </w:t>
      </w:r>
      <w:r w:rsidRPr="006E10C8">
        <w:rPr>
          <w:i/>
          <w:sz w:val="22"/>
          <w:szCs w:val="19"/>
        </w:rPr>
        <w:t>Journal of General Internal Medicine</w:t>
      </w:r>
      <w:r w:rsidRPr="006E10C8">
        <w:rPr>
          <w:sz w:val="22"/>
          <w:szCs w:val="19"/>
        </w:rPr>
        <w:t xml:space="preserve"> 13: 791-798. </w:t>
      </w:r>
    </w:p>
  </w:endnote>
  <w:endnote w:id="19">
    <w:p w:rsidR="00492B7D" w:rsidRPr="006E10C8" w:rsidRDefault="00492B7D" w:rsidP="00E21E25">
      <w:pPr>
        <w:rPr>
          <w:sz w:val="22"/>
          <w:szCs w:val="19"/>
        </w:rPr>
      </w:pPr>
      <w:r w:rsidRPr="006E10C8">
        <w:rPr>
          <w:rStyle w:val="EndnoteReference"/>
          <w:sz w:val="22"/>
        </w:rPr>
        <w:endnoteRef/>
      </w:r>
      <w:r w:rsidRPr="006E10C8">
        <w:rPr>
          <w:sz w:val="22"/>
        </w:rPr>
        <w:t xml:space="preserve"> </w:t>
      </w:r>
      <w:r w:rsidRPr="006E10C8">
        <w:rPr>
          <w:sz w:val="22"/>
          <w:szCs w:val="19"/>
        </w:rPr>
        <w:t xml:space="preserve">Baker, D.W., Parker, R.M., Williams, M.V., et al. 1996. </w:t>
      </w:r>
      <w:proofErr w:type="gramStart"/>
      <w:r w:rsidRPr="006E10C8">
        <w:rPr>
          <w:sz w:val="22"/>
          <w:szCs w:val="19"/>
        </w:rPr>
        <w:t>The health care experience of patients with low literacy.</w:t>
      </w:r>
      <w:proofErr w:type="gramEnd"/>
      <w:r w:rsidRPr="006E10C8">
        <w:rPr>
          <w:sz w:val="22"/>
          <w:szCs w:val="19"/>
        </w:rPr>
        <w:t xml:space="preserve"> </w:t>
      </w:r>
      <w:r w:rsidRPr="006E10C8">
        <w:rPr>
          <w:i/>
          <w:sz w:val="22"/>
          <w:szCs w:val="19"/>
        </w:rPr>
        <w:t>Archives of Family Medicine</w:t>
      </w:r>
      <w:r w:rsidRPr="006E10C8">
        <w:rPr>
          <w:sz w:val="22"/>
          <w:szCs w:val="19"/>
        </w:rPr>
        <w:t xml:space="preserve"> 5(6): 329-334. </w:t>
      </w:r>
    </w:p>
  </w:endnote>
  <w:endnote w:id="20">
    <w:p w:rsidR="00492B7D" w:rsidRPr="006E10C8" w:rsidRDefault="00492B7D" w:rsidP="00E21E25">
      <w:pPr>
        <w:rPr>
          <w:sz w:val="22"/>
          <w:szCs w:val="19"/>
        </w:rPr>
      </w:pPr>
      <w:r w:rsidRPr="006E10C8">
        <w:rPr>
          <w:rStyle w:val="EndnoteReference"/>
          <w:sz w:val="22"/>
        </w:rPr>
        <w:endnoteRef/>
      </w:r>
      <w:r w:rsidRPr="006E10C8">
        <w:rPr>
          <w:sz w:val="22"/>
        </w:rPr>
        <w:t xml:space="preserve"> </w:t>
      </w:r>
      <w:r w:rsidRPr="006E10C8">
        <w:rPr>
          <w:sz w:val="22"/>
          <w:szCs w:val="19"/>
        </w:rPr>
        <w:t xml:space="preserve">Weiss, B.D. </w:t>
      </w:r>
      <w:r w:rsidRPr="006E10C8">
        <w:rPr>
          <w:i/>
          <w:sz w:val="22"/>
          <w:szCs w:val="19"/>
        </w:rPr>
        <w:t>20 Common Problems in Primary Care</w:t>
      </w:r>
      <w:r w:rsidRPr="006E10C8">
        <w:rPr>
          <w:sz w:val="22"/>
          <w:szCs w:val="19"/>
        </w:rPr>
        <w:t xml:space="preserve">. New York: McGraw Hill, 1999. </w:t>
      </w:r>
    </w:p>
  </w:endnote>
  <w:endnote w:id="21">
    <w:p w:rsidR="00492B7D" w:rsidRPr="006E10C8" w:rsidRDefault="00492B7D" w:rsidP="00E21E25">
      <w:pPr>
        <w:rPr>
          <w:rFonts w:cs="Arial"/>
          <w:sz w:val="22"/>
        </w:rPr>
      </w:pPr>
      <w:r w:rsidRPr="006E10C8">
        <w:rPr>
          <w:rStyle w:val="EndnoteReference"/>
          <w:sz w:val="22"/>
        </w:rPr>
        <w:endnoteRef/>
      </w:r>
      <w:r w:rsidRPr="006E10C8">
        <w:rPr>
          <w:sz w:val="22"/>
        </w:rPr>
        <w:t xml:space="preserve"> </w:t>
      </w:r>
      <w:r w:rsidRPr="006E10C8">
        <w:rPr>
          <w:rFonts w:cs="Arial"/>
          <w:sz w:val="22"/>
        </w:rPr>
        <w:t xml:space="preserve">Herndon, J., Chaney, M., and </w:t>
      </w:r>
      <w:proofErr w:type="spellStart"/>
      <w:r w:rsidRPr="006E10C8">
        <w:rPr>
          <w:rFonts w:cs="Arial"/>
          <w:sz w:val="22"/>
        </w:rPr>
        <w:t>Carden</w:t>
      </w:r>
      <w:proofErr w:type="spellEnd"/>
      <w:r w:rsidRPr="006E10C8">
        <w:rPr>
          <w:rFonts w:cs="Arial"/>
          <w:sz w:val="22"/>
        </w:rPr>
        <w:t xml:space="preserve">, D. 2011. Health literacy and emergency department outcomes: A systematic review. </w:t>
      </w:r>
      <w:r w:rsidRPr="006E10C8">
        <w:rPr>
          <w:rFonts w:cs="Arial"/>
          <w:i/>
          <w:sz w:val="22"/>
        </w:rPr>
        <w:t>Annals of Emergency Medicine</w:t>
      </w:r>
      <w:r w:rsidRPr="006E10C8">
        <w:rPr>
          <w:rFonts w:cs="Arial"/>
          <w:sz w:val="22"/>
        </w:rPr>
        <w:t xml:space="preserve"> 57(4): 334-345. </w:t>
      </w:r>
    </w:p>
  </w:endnote>
  <w:endnote w:id="22">
    <w:p w:rsidR="00492B7D" w:rsidRPr="008E1EB3" w:rsidRDefault="00492B7D" w:rsidP="00EE670D">
      <w:pPr>
        <w:rPr>
          <w:sz w:val="22"/>
        </w:rPr>
      </w:pPr>
      <w:r w:rsidRPr="008E1EB3">
        <w:rPr>
          <w:rStyle w:val="EndnoteReference"/>
          <w:sz w:val="22"/>
        </w:rPr>
        <w:endnoteRef/>
      </w:r>
      <w:r w:rsidRPr="008E1EB3">
        <w:rPr>
          <w:sz w:val="22"/>
        </w:rPr>
        <w:t xml:space="preserve"> Lavelle-Jones</w:t>
      </w:r>
      <w:r>
        <w:rPr>
          <w:sz w:val="22"/>
        </w:rPr>
        <w:t>,</w:t>
      </w:r>
      <w:r w:rsidRPr="008E1EB3">
        <w:rPr>
          <w:sz w:val="22"/>
        </w:rPr>
        <w:t xml:space="preserve"> C</w:t>
      </w:r>
      <w:r>
        <w:rPr>
          <w:sz w:val="22"/>
        </w:rPr>
        <w:t>.</w:t>
      </w:r>
      <w:r w:rsidRPr="008E1EB3">
        <w:rPr>
          <w:sz w:val="22"/>
        </w:rPr>
        <w:t xml:space="preserve">, </w:t>
      </w:r>
      <w:proofErr w:type="spellStart"/>
      <w:r w:rsidRPr="008E1EB3">
        <w:rPr>
          <w:sz w:val="22"/>
        </w:rPr>
        <w:t>Byrnce</w:t>
      </w:r>
      <w:proofErr w:type="spellEnd"/>
      <w:r w:rsidRPr="008E1EB3">
        <w:rPr>
          <w:sz w:val="22"/>
        </w:rPr>
        <w:t xml:space="preserve"> D</w:t>
      </w:r>
      <w:r>
        <w:rPr>
          <w:sz w:val="22"/>
        </w:rPr>
        <w:t>.</w:t>
      </w:r>
      <w:r w:rsidRPr="008E1EB3">
        <w:rPr>
          <w:sz w:val="22"/>
        </w:rPr>
        <w:t>J</w:t>
      </w:r>
      <w:r>
        <w:rPr>
          <w:sz w:val="22"/>
        </w:rPr>
        <w:t>.</w:t>
      </w:r>
      <w:r w:rsidRPr="008E1EB3">
        <w:rPr>
          <w:sz w:val="22"/>
        </w:rPr>
        <w:t>, Rice P</w:t>
      </w:r>
      <w:r>
        <w:rPr>
          <w:sz w:val="22"/>
        </w:rPr>
        <w:t>., and</w:t>
      </w:r>
      <w:r w:rsidRPr="008E1EB3">
        <w:rPr>
          <w:sz w:val="22"/>
        </w:rPr>
        <w:t xml:space="preserve"> </w:t>
      </w:r>
      <w:proofErr w:type="spellStart"/>
      <w:r w:rsidRPr="008E1EB3">
        <w:rPr>
          <w:sz w:val="22"/>
        </w:rPr>
        <w:t>Cushchieri</w:t>
      </w:r>
      <w:proofErr w:type="spellEnd"/>
      <w:r w:rsidRPr="008E1EB3">
        <w:rPr>
          <w:sz w:val="22"/>
        </w:rPr>
        <w:t xml:space="preserve"> A. </w:t>
      </w:r>
      <w:r>
        <w:rPr>
          <w:sz w:val="22"/>
        </w:rPr>
        <w:t xml:space="preserve">1993. </w:t>
      </w:r>
      <w:r w:rsidRPr="008E1EB3">
        <w:rPr>
          <w:sz w:val="22"/>
        </w:rPr>
        <w:t xml:space="preserve">Factors affecting quality of informed consent. </w:t>
      </w:r>
      <w:r w:rsidRPr="008E1EB3">
        <w:rPr>
          <w:i/>
          <w:sz w:val="22"/>
        </w:rPr>
        <w:t>BMJ</w:t>
      </w:r>
      <w:r>
        <w:rPr>
          <w:sz w:val="22"/>
        </w:rPr>
        <w:t xml:space="preserve"> </w:t>
      </w:r>
      <w:r w:rsidRPr="008E1EB3">
        <w:rPr>
          <w:sz w:val="22"/>
        </w:rPr>
        <w:t>306(6882):</w:t>
      </w:r>
      <w:r>
        <w:rPr>
          <w:sz w:val="22"/>
        </w:rPr>
        <w:t xml:space="preserve"> </w:t>
      </w:r>
      <w:r w:rsidRPr="008E1EB3">
        <w:rPr>
          <w:sz w:val="22"/>
        </w:rPr>
        <w:t>885-890.</w:t>
      </w:r>
    </w:p>
  </w:endnote>
  <w:endnote w:id="23">
    <w:p w:rsidR="00492B7D" w:rsidRPr="008E1EB3" w:rsidRDefault="00492B7D" w:rsidP="00EE670D">
      <w:pPr>
        <w:pStyle w:val="EndnoteText"/>
        <w:rPr>
          <w:sz w:val="22"/>
        </w:rPr>
      </w:pPr>
      <w:r w:rsidRPr="008E1EB3">
        <w:rPr>
          <w:rStyle w:val="EndnoteReference"/>
          <w:sz w:val="22"/>
        </w:rPr>
        <w:endnoteRef/>
      </w:r>
      <w:r w:rsidRPr="008E1EB3">
        <w:rPr>
          <w:sz w:val="22"/>
        </w:rPr>
        <w:t xml:space="preserve"> </w:t>
      </w:r>
      <w:proofErr w:type="gramStart"/>
      <w:r w:rsidRPr="008E1EB3">
        <w:rPr>
          <w:sz w:val="22"/>
        </w:rPr>
        <w:t>Parker</w:t>
      </w:r>
      <w:r>
        <w:rPr>
          <w:sz w:val="22"/>
        </w:rPr>
        <w:t>,</w:t>
      </w:r>
      <w:r w:rsidRPr="008E1EB3">
        <w:rPr>
          <w:sz w:val="22"/>
        </w:rPr>
        <w:t xml:space="preserve"> R. </w:t>
      </w:r>
      <w:r>
        <w:rPr>
          <w:sz w:val="22"/>
        </w:rPr>
        <w:t>2000.</w:t>
      </w:r>
      <w:proofErr w:type="gramEnd"/>
      <w:r>
        <w:rPr>
          <w:sz w:val="22"/>
        </w:rPr>
        <w:t xml:space="preserve"> </w:t>
      </w:r>
      <w:r w:rsidRPr="008E1EB3">
        <w:rPr>
          <w:sz w:val="22"/>
        </w:rPr>
        <w:t xml:space="preserve">Health literacy: A challenge for American patients and their health care providers. </w:t>
      </w:r>
      <w:r w:rsidRPr="008E1EB3">
        <w:rPr>
          <w:i/>
          <w:sz w:val="22"/>
        </w:rPr>
        <w:t>Health Promot</w:t>
      </w:r>
      <w:r>
        <w:rPr>
          <w:i/>
          <w:sz w:val="22"/>
        </w:rPr>
        <w:t>ion International</w:t>
      </w:r>
      <w:r w:rsidRPr="008E1EB3">
        <w:rPr>
          <w:i/>
          <w:sz w:val="22"/>
        </w:rPr>
        <w:t xml:space="preserve"> </w:t>
      </w:r>
      <w:r w:rsidRPr="008E1EB3">
        <w:rPr>
          <w:sz w:val="22"/>
        </w:rPr>
        <w:t>15(4):277-283.</w:t>
      </w:r>
    </w:p>
  </w:endnote>
  <w:endnote w:id="24">
    <w:p w:rsidR="00492B7D" w:rsidRPr="008E1EB3" w:rsidRDefault="00492B7D" w:rsidP="00C11C03">
      <w:pPr>
        <w:pStyle w:val="EndnoteText"/>
        <w:rPr>
          <w:sz w:val="22"/>
        </w:rPr>
      </w:pPr>
      <w:r w:rsidRPr="008E1EB3">
        <w:rPr>
          <w:rStyle w:val="EndnoteReference"/>
          <w:sz w:val="22"/>
        </w:rPr>
        <w:endnoteRef/>
      </w:r>
      <w:r>
        <w:rPr>
          <w:sz w:val="22"/>
        </w:rPr>
        <w:t xml:space="preserve"> </w:t>
      </w:r>
      <w:proofErr w:type="spellStart"/>
      <w:r>
        <w:rPr>
          <w:sz w:val="22"/>
        </w:rPr>
        <w:t>Doak</w:t>
      </w:r>
      <w:proofErr w:type="spellEnd"/>
      <w:r>
        <w:rPr>
          <w:sz w:val="22"/>
        </w:rPr>
        <w:t xml:space="preserve">, </w:t>
      </w:r>
      <w:r w:rsidRPr="008E1EB3">
        <w:rPr>
          <w:sz w:val="22"/>
        </w:rPr>
        <w:t>C</w:t>
      </w:r>
      <w:r>
        <w:rPr>
          <w:sz w:val="22"/>
        </w:rPr>
        <w:t>.</w:t>
      </w:r>
      <w:r w:rsidRPr="008E1EB3">
        <w:rPr>
          <w:sz w:val="22"/>
        </w:rPr>
        <w:t>C</w:t>
      </w:r>
      <w:r>
        <w:rPr>
          <w:sz w:val="22"/>
        </w:rPr>
        <w:t>.</w:t>
      </w:r>
      <w:r w:rsidRPr="008E1EB3">
        <w:rPr>
          <w:sz w:val="22"/>
        </w:rPr>
        <w:t xml:space="preserve">, </w:t>
      </w:r>
      <w:proofErr w:type="spellStart"/>
      <w:r w:rsidRPr="008E1EB3">
        <w:rPr>
          <w:sz w:val="22"/>
        </w:rPr>
        <w:t>Doak</w:t>
      </w:r>
      <w:proofErr w:type="spellEnd"/>
      <w:r w:rsidRPr="008E1EB3">
        <w:rPr>
          <w:sz w:val="22"/>
        </w:rPr>
        <w:t xml:space="preserve"> L</w:t>
      </w:r>
      <w:r>
        <w:rPr>
          <w:sz w:val="22"/>
        </w:rPr>
        <w:t>.</w:t>
      </w:r>
      <w:r w:rsidRPr="008E1EB3">
        <w:rPr>
          <w:sz w:val="22"/>
        </w:rPr>
        <w:t>G</w:t>
      </w:r>
      <w:r>
        <w:rPr>
          <w:sz w:val="22"/>
        </w:rPr>
        <w:t>.</w:t>
      </w:r>
      <w:r w:rsidRPr="008E1EB3">
        <w:rPr>
          <w:sz w:val="22"/>
        </w:rPr>
        <w:t>, Root J</w:t>
      </w:r>
      <w:r>
        <w:rPr>
          <w:sz w:val="22"/>
        </w:rPr>
        <w:t>.</w:t>
      </w:r>
      <w:r w:rsidRPr="008E1EB3">
        <w:rPr>
          <w:sz w:val="22"/>
        </w:rPr>
        <w:t xml:space="preserve">H. </w:t>
      </w:r>
      <w:proofErr w:type="gramStart"/>
      <w:r w:rsidRPr="008E1EB3">
        <w:rPr>
          <w:sz w:val="22"/>
        </w:rPr>
        <w:t>The literacy problem.</w:t>
      </w:r>
      <w:proofErr w:type="gramEnd"/>
      <w:r w:rsidRPr="008E1EB3">
        <w:rPr>
          <w:sz w:val="22"/>
        </w:rPr>
        <w:t xml:space="preserve"> </w:t>
      </w:r>
      <w:r w:rsidRPr="008E1EB3">
        <w:rPr>
          <w:i/>
          <w:sz w:val="22"/>
        </w:rPr>
        <w:t>Teaching Patients with Low Literacy Skills.</w:t>
      </w:r>
      <w:r w:rsidRPr="008E1EB3">
        <w:rPr>
          <w:sz w:val="22"/>
        </w:rPr>
        <w:t xml:space="preserve"> 2</w:t>
      </w:r>
      <w:r w:rsidRPr="008E1EB3">
        <w:rPr>
          <w:sz w:val="22"/>
          <w:vertAlign w:val="superscript"/>
        </w:rPr>
        <w:t>nd</w:t>
      </w:r>
      <w:r w:rsidRPr="008E1EB3">
        <w:rPr>
          <w:sz w:val="22"/>
        </w:rPr>
        <w:t xml:space="preserve"> ed. Phil</w:t>
      </w:r>
      <w:r>
        <w:rPr>
          <w:sz w:val="22"/>
        </w:rPr>
        <w:t>adelphia: JB Lippincott Company,</w:t>
      </w:r>
      <w:r w:rsidRPr="008E1EB3">
        <w:rPr>
          <w:sz w:val="22"/>
        </w:rPr>
        <w:t xml:space="preserve"> 1996: 1-9.</w:t>
      </w:r>
    </w:p>
  </w:endnote>
  <w:endnote w:id="25">
    <w:p w:rsidR="00492B7D" w:rsidRPr="008E1EB3" w:rsidRDefault="00492B7D" w:rsidP="00C11C03">
      <w:pPr>
        <w:rPr>
          <w:rFonts w:cs="Arial"/>
          <w:sz w:val="22"/>
        </w:rPr>
      </w:pPr>
      <w:r w:rsidRPr="008E1EB3">
        <w:rPr>
          <w:rStyle w:val="EndnoteReference"/>
          <w:sz w:val="22"/>
        </w:rPr>
        <w:endnoteRef/>
      </w:r>
      <w:r w:rsidRPr="008E1EB3">
        <w:rPr>
          <w:sz w:val="22"/>
        </w:rPr>
        <w:t xml:space="preserve"> </w:t>
      </w:r>
      <w:r w:rsidRPr="008E1EB3">
        <w:rPr>
          <w:rFonts w:cs="Arial"/>
          <w:sz w:val="22"/>
        </w:rPr>
        <w:t>Herndon</w:t>
      </w:r>
      <w:r>
        <w:rPr>
          <w:rFonts w:cs="Arial"/>
          <w:sz w:val="22"/>
        </w:rPr>
        <w:t xml:space="preserve">, J., Chaney, M., &amp; </w:t>
      </w:r>
      <w:proofErr w:type="spellStart"/>
      <w:r>
        <w:rPr>
          <w:rFonts w:cs="Arial"/>
          <w:sz w:val="22"/>
        </w:rPr>
        <w:t>Carden</w:t>
      </w:r>
      <w:proofErr w:type="spellEnd"/>
      <w:r>
        <w:rPr>
          <w:rFonts w:cs="Arial"/>
          <w:sz w:val="22"/>
        </w:rPr>
        <w:t>, D. 2011</w:t>
      </w:r>
      <w:r w:rsidRPr="008E1EB3">
        <w:rPr>
          <w:rFonts w:cs="Arial"/>
          <w:sz w:val="22"/>
        </w:rPr>
        <w:t xml:space="preserve">. Health literacy and emergency department outcomes: A systematic review. </w:t>
      </w:r>
      <w:r w:rsidRPr="006E10C8">
        <w:rPr>
          <w:rFonts w:cs="Arial"/>
          <w:i/>
          <w:sz w:val="22"/>
        </w:rPr>
        <w:t>Annals of Emergency Medicine</w:t>
      </w:r>
      <w:r w:rsidRPr="008E1EB3">
        <w:rPr>
          <w:rFonts w:cs="Arial"/>
          <w:sz w:val="22"/>
        </w:rPr>
        <w:t xml:space="preserve">, 57(4), 334-345. </w:t>
      </w:r>
    </w:p>
  </w:endnote>
  <w:endnote w:id="26">
    <w:p w:rsidR="00492B7D" w:rsidRPr="008E1EB3" w:rsidRDefault="00492B7D" w:rsidP="00C11C03">
      <w:pPr>
        <w:pStyle w:val="EndnoteText"/>
        <w:rPr>
          <w:sz w:val="22"/>
        </w:rPr>
      </w:pPr>
      <w:r w:rsidRPr="008E1EB3">
        <w:rPr>
          <w:rStyle w:val="EndnoteReference"/>
          <w:sz w:val="22"/>
        </w:rPr>
        <w:endnoteRef/>
      </w:r>
      <w:r w:rsidRPr="008E1EB3">
        <w:rPr>
          <w:sz w:val="22"/>
        </w:rPr>
        <w:t xml:space="preserve"> Bass</w:t>
      </w:r>
      <w:r>
        <w:rPr>
          <w:sz w:val="22"/>
        </w:rPr>
        <w:t>,</w:t>
      </w:r>
      <w:r w:rsidRPr="008E1EB3">
        <w:rPr>
          <w:sz w:val="22"/>
        </w:rPr>
        <w:t xml:space="preserve"> P</w:t>
      </w:r>
      <w:r>
        <w:rPr>
          <w:sz w:val="22"/>
        </w:rPr>
        <w:t>.</w:t>
      </w:r>
      <w:r w:rsidRPr="008E1EB3">
        <w:rPr>
          <w:sz w:val="22"/>
        </w:rPr>
        <w:t>F</w:t>
      </w:r>
      <w:r>
        <w:rPr>
          <w:sz w:val="22"/>
        </w:rPr>
        <w:t>.</w:t>
      </w:r>
      <w:r w:rsidRPr="008E1EB3">
        <w:rPr>
          <w:sz w:val="22"/>
        </w:rPr>
        <w:t xml:space="preserve"> 3</w:t>
      </w:r>
      <w:r>
        <w:rPr>
          <w:sz w:val="22"/>
          <w:vertAlign w:val="superscript"/>
        </w:rPr>
        <w:t>rd</w:t>
      </w:r>
      <w:r w:rsidRPr="008E1EB3">
        <w:rPr>
          <w:sz w:val="22"/>
        </w:rPr>
        <w:t>, Wilson</w:t>
      </w:r>
      <w:r>
        <w:rPr>
          <w:sz w:val="22"/>
        </w:rPr>
        <w:t>,</w:t>
      </w:r>
      <w:r w:rsidRPr="008E1EB3">
        <w:rPr>
          <w:sz w:val="22"/>
        </w:rPr>
        <w:t xml:space="preserve"> J</w:t>
      </w:r>
      <w:r>
        <w:rPr>
          <w:sz w:val="22"/>
        </w:rPr>
        <w:t>.</w:t>
      </w:r>
      <w:r w:rsidRPr="008E1EB3">
        <w:rPr>
          <w:sz w:val="22"/>
        </w:rPr>
        <w:t>F</w:t>
      </w:r>
      <w:r>
        <w:rPr>
          <w:sz w:val="22"/>
        </w:rPr>
        <w:t>.</w:t>
      </w:r>
      <w:r w:rsidRPr="008E1EB3">
        <w:rPr>
          <w:sz w:val="22"/>
        </w:rPr>
        <w:t>, Griffith</w:t>
      </w:r>
      <w:r>
        <w:rPr>
          <w:sz w:val="22"/>
        </w:rPr>
        <w:t>,</w:t>
      </w:r>
      <w:r w:rsidRPr="008E1EB3">
        <w:rPr>
          <w:sz w:val="22"/>
        </w:rPr>
        <w:t xml:space="preserve"> C</w:t>
      </w:r>
      <w:r>
        <w:rPr>
          <w:sz w:val="22"/>
        </w:rPr>
        <w:t>.</w:t>
      </w:r>
      <w:r w:rsidRPr="008E1EB3">
        <w:rPr>
          <w:sz w:val="22"/>
        </w:rPr>
        <w:t>H</w:t>
      </w:r>
      <w:r>
        <w:rPr>
          <w:sz w:val="22"/>
        </w:rPr>
        <w:t>.</w:t>
      </w:r>
      <w:r w:rsidRPr="008E1EB3">
        <w:rPr>
          <w:sz w:val="22"/>
        </w:rPr>
        <w:t xml:space="preserve">, et al. </w:t>
      </w:r>
      <w:r>
        <w:rPr>
          <w:sz w:val="22"/>
        </w:rPr>
        <w:t>2002.</w:t>
      </w:r>
      <w:r w:rsidRPr="008E1EB3">
        <w:rPr>
          <w:sz w:val="22"/>
        </w:rPr>
        <w:t xml:space="preserve">Residents’ ability to identify patients with poor literacy skills. </w:t>
      </w:r>
      <w:r w:rsidRPr="006E10C8">
        <w:rPr>
          <w:i/>
          <w:sz w:val="22"/>
        </w:rPr>
        <w:t>Academy of Medicine</w:t>
      </w:r>
      <w:r w:rsidRPr="008E1EB3">
        <w:rPr>
          <w:sz w:val="22"/>
        </w:rPr>
        <w:t xml:space="preserve"> 77(10): 1039-1041.</w:t>
      </w:r>
    </w:p>
  </w:endnote>
  <w:endnote w:id="27">
    <w:p w:rsidR="00492B7D" w:rsidRPr="008E1EB3" w:rsidRDefault="00492B7D">
      <w:pPr>
        <w:pStyle w:val="EndnoteText"/>
        <w:rPr>
          <w:sz w:val="22"/>
        </w:rPr>
      </w:pPr>
      <w:r w:rsidRPr="008E1EB3">
        <w:rPr>
          <w:rStyle w:val="EndnoteReference"/>
          <w:sz w:val="22"/>
        </w:rPr>
        <w:endnoteRef/>
      </w:r>
      <w:r w:rsidRPr="008E1EB3">
        <w:rPr>
          <w:sz w:val="22"/>
        </w:rPr>
        <w:t xml:space="preserve"> Public Law 111-148. Mar. 23, 2010 124 STAT. 119 As summarized in http://nnlm.gov/outreach/consumer/hlthlit.html</w:t>
      </w:r>
    </w:p>
  </w:endnote>
  <w:endnote w:id="28">
    <w:p w:rsidR="00492B7D" w:rsidRPr="008E1EB3" w:rsidRDefault="00492B7D">
      <w:pPr>
        <w:pStyle w:val="EndnoteText"/>
        <w:rPr>
          <w:sz w:val="22"/>
        </w:rPr>
      </w:pPr>
      <w:r w:rsidRPr="008E1EB3">
        <w:rPr>
          <w:rStyle w:val="EndnoteReference"/>
          <w:sz w:val="22"/>
        </w:rPr>
        <w:endnoteRef/>
      </w:r>
      <w:r>
        <w:rPr>
          <w:sz w:val="22"/>
        </w:rPr>
        <w:t xml:space="preserve"> </w:t>
      </w:r>
      <w:proofErr w:type="gramStart"/>
      <w:r>
        <w:rPr>
          <w:sz w:val="22"/>
        </w:rPr>
        <w:t>Institute of Medicine</w:t>
      </w:r>
      <w:r w:rsidRPr="008E1EB3">
        <w:rPr>
          <w:sz w:val="22"/>
        </w:rPr>
        <w:t>.</w:t>
      </w:r>
      <w:proofErr w:type="gramEnd"/>
      <w:r w:rsidRPr="008E1EB3">
        <w:rPr>
          <w:sz w:val="22"/>
        </w:rPr>
        <w:t xml:space="preserve"> </w:t>
      </w:r>
      <w:r w:rsidRPr="00DF2EB6">
        <w:rPr>
          <w:i/>
          <w:sz w:val="22"/>
        </w:rPr>
        <w:t>Priority Areas for National Action: Transforming Health Care Quality</w:t>
      </w:r>
      <w:r w:rsidRPr="008E1EB3">
        <w:rPr>
          <w:sz w:val="22"/>
        </w:rPr>
        <w:t xml:space="preserve">. </w:t>
      </w:r>
      <w:r>
        <w:rPr>
          <w:sz w:val="22"/>
        </w:rPr>
        <w:t xml:space="preserve">Washington, DC: </w:t>
      </w:r>
      <w:r w:rsidRPr="008E1EB3">
        <w:rPr>
          <w:sz w:val="22"/>
        </w:rPr>
        <w:t>The National Ac</w:t>
      </w:r>
      <w:r>
        <w:rPr>
          <w:sz w:val="22"/>
        </w:rPr>
        <w:t>ademies Press, 2003</w:t>
      </w:r>
    </w:p>
  </w:endnote>
  <w:endnote w:id="29">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Pr>
          <w:sz w:val="22"/>
        </w:rPr>
        <w:t>U.S. Department of Health and Human Services.</w:t>
      </w:r>
      <w:proofErr w:type="gramEnd"/>
      <w:r>
        <w:rPr>
          <w:sz w:val="22"/>
        </w:rPr>
        <w:t xml:space="preserve"> Healthy People 2020: Topics &amp; Objectives--</w:t>
      </w:r>
      <w:proofErr w:type="spellStart"/>
      <w:r>
        <w:rPr>
          <w:sz w:val="22"/>
        </w:rPr>
        <w:t>Objectives</w:t>
      </w:r>
      <w:proofErr w:type="spellEnd"/>
      <w:r>
        <w:rPr>
          <w:sz w:val="22"/>
        </w:rPr>
        <w:t xml:space="preserve"> A-Z (</w:t>
      </w:r>
      <w:hyperlink r:id="rId6" w:history="1">
        <w:r w:rsidRPr="004C51D2">
          <w:rPr>
            <w:rStyle w:val="Hyperlink"/>
            <w:sz w:val="22"/>
          </w:rPr>
          <w:t>http://www.healthypeople.gov</w:t>
        </w:r>
      </w:hyperlink>
      <w:r>
        <w:rPr>
          <w:sz w:val="22"/>
        </w:rPr>
        <w:t>)</w:t>
      </w:r>
    </w:p>
  </w:endnote>
  <w:endnote w:id="30">
    <w:p w:rsidR="00492B7D" w:rsidRPr="008E1EB3" w:rsidRDefault="00492B7D" w:rsidP="00B9737F">
      <w:pPr>
        <w:rPr>
          <w:rFonts w:cs="Arial"/>
          <w:sz w:val="22"/>
        </w:rPr>
      </w:pPr>
      <w:r w:rsidRPr="008E1EB3">
        <w:rPr>
          <w:rStyle w:val="EndnoteReference"/>
          <w:sz w:val="22"/>
        </w:rPr>
        <w:endnoteRef/>
      </w:r>
      <w:r w:rsidRPr="008E1EB3">
        <w:rPr>
          <w:sz w:val="22"/>
        </w:rPr>
        <w:t xml:space="preserve"> </w:t>
      </w:r>
      <w:proofErr w:type="gramStart"/>
      <w:r>
        <w:rPr>
          <w:rFonts w:cs="Arial"/>
          <w:sz w:val="22"/>
        </w:rPr>
        <w:t>U.S. Department of Health and Human Services, Office of Disease Prevention and Health Promotion.</w:t>
      </w:r>
      <w:proofErr w:type="gramEnd"/>
      <w:r w:rsidRPr="008E1EB3">
        <w:rPr>
          <w:rFonts w:cs="Arial"/>
          <w:sz w:val="22"/>
        </w:rPr>
        <w:t xml:space="preserve"> </w:t>
      </w:r>
      <w:proofErr w:type="gramStart"/>
      <w:r w:rsidRPr="008E1EB3">
        <w:rPr>
          <w:rFonts w:cs="Arial"/>
          <w:i/>
          <w:iCs/>
          <w:sz w:val="22"/>
        </w:rPr>
        <w:t>National action plan to improve health literacy</w:t>
      </w:r>
      <w:r w:rsidRPr="008E1EB3">
        <w:rPr>
          <w:rFonts w:cs="Arial"/>
          <w:sz w:val="22"/>
        </w:rPr>
        <w:t>.</w:t>
      </w:r>
      <w:proofErr w:type="gramEnd"/>
      <w:r w:rsidRPr="008E1EB3">
        <w:rPr>
          <w:rFonts w:cs="Arial"/>
          <w:sz w:val="22"/>
        </w:rPr>
        <w:t xml:space="preserve"> </w:t>
      </w:r>
      <w:r>
        <w:rPr>
          <w:rFonts w:cs="Arial"/>
          <w:sz w:val="22"/>
        </w:rPr>
        <w:t>Washington, DC: U.S. Department of Health and Human Services, 2010 (</w:t>
      </w:r>
      <w:hyperlink r:id="rId7" w:history="1">
        <w:r w:rsidRPr="004C51D2">
          <w:rPr>
            <w:rStyle w:val="Hyperlink"/>
            <w:rFonts w:cs="Arial"/>
            <w:sz w:val="22"/>
          </w:rPr>
          <w:t>http://www.health.gov/communication/hlactionplan</w:t>
        </w:r>
      </w:hyperlink>
      <w:r>
        <w:rPr>
          <w:rFonts w:cs="Arial"/>
          <w:sz w:val="22"/>
        </w:rPr>
        <w:t>)</w:t>
      </w:r>
    </w:p>
  </w:endnote>
  <w:endnote w:id="31">
    <w:p w:rsidR="00492B7D" w:rsidRPr="008E1EB3" w:rsidRDefault="00492B7D" w:rsidP="00B9737F">
      <w:pPr>
        <w:pStyle w:val="EndnoteText"/>
        <w:rPr>
          <w:sz w:val="22"/>
        </w:rPr>
      </w:pPr>
      <w:r w:rsidRPr="008E1EB3">
        <w:rPr>
          <w:rStyle w:val="EndnoteReference"/>
          <w:sz w:val="22"/>
        </w:rPr>
        <w:endnoteRef/>
      </w:r>
      <w:r w:rsidRPr="008E1EB3">
        <w:rPr>
          <w:sz w:val="22"/>
        </w:rPr>
        <w:t xml:space="preserve"> </w:t>
      </w:r>
      <w:r w:rsidRPr="008E1EB3">
        <w:rPr>
          <w:rFonts w:cs="Arial"/>
          <w:sz w:val="22"/>
        </w:rPr>
        <w:t>Nielsen-</w:t>
      </w:r>
      <w:proofErr w:type="spellStart"/>
      <w:r w:rsidRPr="008E1EB3">
        <w:rPr>
          <w:rFonts w:cs="Arial"/>
          <w:sz w:val="22"/>
        </w:rPr>
        <w:t>Bohlman</w:t>
      </w:r>
      <w:proofErr w:type="spellEnd"/>
      <w:r w:rsidRPr="008E1EB3">
        <w:rPr>
          <w:rFonts w:cs="Arial"/>
          <w:sz w:val="22"/>
        </w:rPr>
        <w:t>, L.</w:t>
      </w:r>
      <w:r>
        <w:rPr>
          <w:rFonts w:cs="Arial"/>
          <w:sz w:val="22"/>
        </w:rPr>
        <w:t xml:space="preserve">, Panzer, A.M., and </w:t>
      </w:r>
      <w:proofErr w:type="spellStart"/>
      <w:r>
        <w:rPr>
          <w:rFonts w:cs="Arial"/>
          <w:sz w:val="22"/>
        </w:rPr>
        <w:t>Kindig</w:t>
      </w:r>
      <w:proofErr w:type="spellEnd"/>
      <w:r>
        <w:rPr>
          <w:rFonts w:cs="Arial"/>
          <w:sz w:val="22"/>
        </w:rPr>
        <w:t xml:space="preserve">, D.A. </w:t>
      </w:r>
      <w:r w:rsidRPr="008E1EB3">
        <w:rPr>
          <w:rFonts w:cs="Arial"/>
          <w:i/>
          <w:sz w:val="22"/>
        </w:rPr>
        <w:t>Health literacy: A prescription to end confusion</w:t>
      </w:r>
      <w:r w:rsidRPr="008E1EB3">
        <w:rPr>
          <w:rFonts w:cs="Arial"/>
          <w:sz w:val="22"/>
        </w:rPr>
        <w:t>. Washingto</w:t>
      </w:r>
      <w:r>
        <w:rPr>
          <w:rFonts w:cs="Arial"/>
          <w:sz w:val="22"/>
        </w:rPr>
        <w:t>n, DC: National Academies Press, 2004.</w:t>
      </w:r>
    </w:p>
  </w:endnote>
  <w:endnote w:id="32">
    <w:p w:rsidR="00492B7D" w:rsidRPr="008E1EB3" w:rsidRDefault="00492B7D">
      <w:pPr>
        <w:pStyle w:val="EndnoteText"/>
        <w:rPr>
          <w:sz w:val="22"/>
        </w:rPr>
      </w:pPr>
      <w:r w:rsidRPr="008E1EB3">
        <w:rPr>
          <w:rStyle w:val="EndnoteReference"/>
          <w:sz w:val="22"/>
        </w:rPr>
        <w:endnoteRef/>
      </w:r>
      <w:r w:rsidRPr="008E1EB3">
        <w:rPr>
          <w:sz w:val="22"/>
        </w:rPr>
        <w:t xml:space="preserve"> </w:t>
      </w:r>
      <w:r>
        <w:rPr>
          <w:sz w:val="22"/>
        </w:rPr>
        <w:t xml:space="preserve">The Plain Language Action and Information Network (PLAIN). </w:t>
      </w:r>
      <w:proofErr w:type="gramStart"/>
      <w:r>
        <w:rPr>
          <w:sz w:val="22"/>
        </w:rPr>
        <w:t xml:space="preserve">Federal </w:t>
      </w:r>
      <w:r w:rsidRPr="008E1EB3">
        <w:rPr>
          <w:sz w:val="22"/>
        </w:rPr>
        <w:t>Plain Language</w:t>
      </w:r>
      <w:r>
        <w:rPr>
          <w:sz w:val="22"/>
        </w:rPr>
        <w:t xml:space="preserve"> Guidelines</w:t>
      </w:r>
      <w:r w:rsidRPr="008E1EB3">
        <w:rPr>
          <w:sz w:val="22"/>
        </w:rPr>
        <w:t>.</w:t>
      </w:r>
      <w:proofErr w:type="gramEnd"/>
      <w:r>
        <w:rPr>
          <w:sz w:val="22"/>
        </w:rPr>
        <w:t xml:space="preserve"> 2011.</w:t>
      </w:r>
      <w:r w:rsidRPr="008E1EB3">
        <w:rPr>
          <w:sz w:val="22"/>
        </w:rPr>
        <w:t xml:space="preserve"> </w:t>
      </w:r>
      <w:hyperlink r:id="rId8" w:history="1">
        <w:r w:rsidRPr="004C51D2">
          <w:rPr>
            <w:rStyle w:val="Hyperlink"/>
            <w:sz w:val="22"/>
          </w:rPr>
          <w:t>http://www.plainlanguage.gov/howto/guidelines/FederalPLGuidelines/index.cfm</w:t>
        </w:r>
      </w:hyperlink>
      <w:r>
        <w:rPr>
          <w:sz w:val="22"/>
        </w:rPr>
        <w:t xml:space="preserve"> </w:t>
      </w:r>
    </w:p>
  </w:endnote>
  <w:endnote w:id="33">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sidRPr="008E1EB3">
        <w:rPr>
          <w:sz w:val="22"/>
        </w:rPr>
        <w:t>Agency for Healthcare Research and Quality.</w:t>
      </w:r>
      <w:proofErr w:type="gramEnd"/>
      <w:r w:rsidRPr="008E1EB3">
        <w:rPr>
          <w:sz w:val="22"/>
        </w:rPr>
        <w:t xml:space="preserve"> Rapid Estimate of Adult Literacy in Medicine: revised, shorter version (REALM-R). http://www.ahrq.gov/legacy/pharmhealthlit/documents/realm-r.htm</w:t>
      </w:r>
    </w:p>
  </w:endnote>
  <w:endnote w:id="34">
    <w:p w:rsidR="00492B7D" w:rsidRPr="008E1EB3" w:rsidRDefault="00492B7D">
      <w:pPr>
        <w:pStyle w:val="EndnoteText"/>
        <w:rPr>
          <w:sz w:val="22"/>
        </w:rPr>
      </w:pPr>
      <w:r w:rsidRPr="008E1EB3">
        <w:rPr>
          <w:rStyle w:val="EndnoteReference"/>
          <w:sz w:val="22"/>
        </w:rPr>
        <w:endnoteRef/>
      </w:r>
      <w:r>
        <w:rPr>
          <w:sz w:val="22"/>
        </w:rPr>
        <w:t xml:space="preserve"> Bass, P.F., Wilson, J.F., Griffith, C.</w:t>
      </w:r>
      <w:r w:rsidRPr="008E1EB3">
        <w:rPr>
          <w:sz w:val="22"/>
        </w:rPr>
        <w:t xml:space="preserve">H. </w:t>
      </w:r>
      <w:r>
        <w:rPr>
          <w:sz w:val="22"/>
        </w:rPr>
        <w:t xml:space="preserve">2003. </w:t>
      </w:r>
      <w:proofErr w:type="gramStart"/>
      <w:r>
        <w:rPr>
          <w:sz w:val="22"/>
        </w:rPr>
        <w:t>A shortened instrument for literacy s</w:t>
      </w:r>
      <w:r w:rsidRPr="008E1EB3">
        <w:rPr>
          <w:sz w:val="22"/>
        </w:rPr>
        <w:t>creening.</w:t>
      </w:r>
      <w:proofErr w:type="gramEnd"/>
      <w:r w:rsidRPr="008E1EB3">
        <w:rPr>
          <w:sz w:val="22"/>
        </w:rPr>
        <w:t xml:space="preserve"> </w:t>
      </w:r>
      <w:r w:rsidRPr="008E1EB3">
        <w:rPr>
          <w:i/>
          <w:sz w:val="22"/>
        </w:rPr>
        <w:t>Journal of General Internal Medicine</w:t>
      </w:r>
      <w:r>
        <w:rPr>
          <w:sz w:val="22"/>
        </w:rPr>
        <w:t xml:space="preserve"> 18(</w:t>
      </w:r>
      <w:r w:rsidRPr="008E1EB3">
        <w:rPr>
          <w:sz w:val="22"/>
        </w:rPr>
        <w:t>12</w:t>
      </w:r>
      <w:r>
        <w:rPr>
          <w:sz w:val="22"/>
        </w:rPr>
        <w:t>):</w:t>
      </w:r>
      <w:r w:rsidRPr="008E1EB3">
        <w:rPr>
          <w:sz w:val="22"/>
        </w:rPr>
        <w:t xml:space="preserve">1036-1038. </w:t>
      </w:r>
    </w:p>
  </w:endnote>
  <w:endnote w:id="35">
    <w:p w:rsidR="00492B7D" w:rsidRPr="008E1EB3" w:rsidRDefault="00492B7D" w:rsidP="004D619D">
      <w:pPr>
        <w:widowControl w:val="0"/>
        <w:autoSpaceDE w:val="0"/>
        <w:autoSpaceDN w:val="0"/>
        <w:adjustRightInd w:val="0"/>
        <w:rPr>
          <w:rFonts w:cs="Arial"/>
          <w:sz w:val="22"/>
          <w:szCs w:val="22"/>
        </w:rPr>
      </w:pPr>
      <w:r w:rsidRPr="008E1EB3">
        <w:rPr>
          <w:rStyle w:val="EndnoteReference"/>
          <w:sz w:val="22"/>
        </w:rPr>
        <w:endnoteRef/>
      </w:r>
      <w:r w:rsidRPr="008E1EB3">
        <w:rPr>
          <w:sz w:val="22"/>
        </w:rPr>
        <w:t xml:space="preserve"> </w:t>
      </w:r>
      <w:proofErr w:type="gramStart"/>
      <w:r>
        <w:rPr>
          <w:rFonts w:cs="Arial"/>
          <w:sz w:val="22"/>
          <w:szCs w:val="22"/>
        </w:rPr>
        <w:t>Baker, D.</w:t>
      </w:r>
      <w:r w:rsidRPr="008E1EB3">
        <w:rPr>
          <w:rFonts w:cs="Arial"/>
          <w:sz w:val="22"/>
          <w:szCs w:val="22"/>
        </w:rPr>
        <w:t>W.; Will</w:t>
      </w:r>
      <w:r>
        <w:rPr>
          <w:rFonts w:cs="Arial"/>
          <w:sz w:val="22"/>
          <w:szCs w:val="22"/>
        </w:rPr>
        <w:t>iams, M.V.; Parker, R.M. et al. 1999.</w:t>
      </w:r>
      <w:proofErr w:type="gramEnd"/>
      <w:r>
        <w:rPr>
          <w:rFonts w:cs="Arial"/>
          <w:sz w:val="22"/>
          <w:szCs w:val="22"/>
        </w:rPr>
        <w:t xml:space="preserve"> </w:t>
      </w:r>
      <w:proofErr w:type="gramStart"/>
      <w:r>
        <w:rPr>
          <w:rFonts w:cs="Arial"/>
          <w:sz w:val="22"/>
          <w:szCs w:val="22"/>
        </w:rPr>
        <w:t>Development of a brief test to measure functional health literacy.</w:t>
      </w:r>
      <w:proofErr w:type="gramEnd"/>
      <w:r>
        <w:rPr>
          <w:rFonts w:cs="Arial"/>
          <w:sz w:val="22"/>
          <w:szCs w:val="22"/>
        </w:rPr>
        <w:t xml:space="preserve"> </w:t>
      </w:r>
      <w:r w:rsidRPr="00063835">
        <w:rPr>
          <w:rFonts w:cs="Arial"/>
          <w:i/>
          <w:sz w:val="22"/>
          <w:szCs w:val="22"/>
        </w:rPr>
        <w:t>Patient Education and Counseling</w:t>
      </w:r>
      <w:r>
        <w:rPr>
          <w:rFonts w:cs="Arial"/>
          <w:sz w:val="22"/>
          <w:szCs w:val="22"/>
        </w:rPr>
        <w:t xml:space="preserve"> 38(1):</w:t>
      </w:r>
      <w:r w:rsidRPr="008E1EB3">
        <w:rPr>
          <w:rFonts w:cs="Arial"/>
          <w:sz w:val="22"/>
          <w:szCs w:val="22"/>
        </w:rPr>
        <w:t xml:space="preserve"> 33-42. </w:t>
      </w:r>
    </w:p>
  </w:endnote>
  <w:endnote w:id="36">
    <w:p w:rsidR="00492B7D" w:rsidRPr="008F60D9" w:rsidRDefault="00492B7D">
      <w:pPr>
        <w:pStyle w:val="EndnoteText"/>
        <w:rPr>
          <w:sz w:val="20"/>
        </w:rPr>
      </w:pPr>
      <w:r>
        <w:rPr>
          <w:rStyle w:val="EndnoteReference"/>
        </w:rPr>
        <w:endnoteRef/>
      </w:r>
      <w:r>
        <w:t xml:space="preserve"> </w:t>
      </w:r>
      <w:r>
        <w:rPr>
          <w:sz w:val="20"/>
        </w:rPr>
        <w:t xml:space="preserve">Cecil G. </w:t>
      </w:r>
      <w:proofErr w:type="spellStart"/>
      <w:r>
        <w:rPr>
          <w:sz w:val="20"/>
        </w:rPr>
        <w:t>Sheps</w:t>
      </w:r>
      <w:proofErr w:type="spellEnd"/>
      <w:r>
        <w:rPr>
          <w:sz w:val="20"/>
        </w:rPr>
        <w:t xml:space="preserve"> Center for Health Services Research. </w:t>
      </w:r>
      <w:proofErr w:type="gramStart"/>
      <w:r>
        <w:rPr>
          <w:sz w:val="20"/>
        </w:rPr>
        <w:t>NC Program on Health Literacy.</w:t>
      </w:r>
      <w:proofErr w:type="gramEnd"/>
      <w:r>
        <w:rPr>
          <w:sz w:val="20"/>
        </w:rPr>
        <w:t xml:space="preserve"> “Literacy Assessment Instruments.” </w:t>
      </w:r>
      <w:proofErr w:type="gramStart"/>
      <w:r>
        <w:rPr>
          <w:sz w:val="20"/>
        </w:rPr>
        <w:t>University of North Carolina at Chapel Hill.</w:t>
      </w:r>
      <w:proofErr w:type="gramEnd"/>
      <w:r>
        <w:rPr>
          <w:sz w:val="20"/>
        </w:rPr>
        <w:t xml:space="preserve"> </w:t>
      </w:r>
      <w:r w:rsidRPr="008F60D9">
        <w:rPr>
          <w:sz w:val="20"/>
        </w:rPr>
        <w:t>http://www.nchealthliteracy.org/instruments.html</w:t>
      </w:r>
    </w:p>
  </w:endnote>
  <w:endnote w:id="37">
    <w:p w:rsidR="00492B7D" w:rsidRPr="00063835" w:rsidRDefault="00492B7D">
      <w:pPr>
        <w:pStyle w:val="EndnoteText"/>
        <w:rPr>
          <w:sz w:val="22"/>
        </w:rPr>
      </w:pPr>
      <w:r w:rsidRPr="008E1EB3">
        <w:rPr>
          <w:rStyle w:val="EndnoteReference"/>
          <w:sz w:val="22"/>
        </w:rPr>
        <w:endnoteRef/>
      </w:r>
      <w:r w:rsidRPr="008E1EB3">
        <w:rPr>
          <w:sz w:val="22"/>
        </w:rPr>
        <w:t xml:space="preserve"> </w:t>
      </w:r>
      <w:proofErr w:type="spellStart"/>
      <w:r>
        <w:rPr>
          <w:rFonts w:cs="Arial"/>
          <w:sz w:val="22"/>
        </w:rPr>
        <w:t>Andrulis</w:t>
      </w:r>
      <w:proofErr w:type="spellEnd"/>
      <w:r>
        <w:rPr>
          <w:rFonts w:cs="Arial"/>
          <w:sz w:val="22"/>
        </w:rPr>
        <w:t>, D.P. and Brach, C. 2007</w:t>
      </w:r>
      <w:r w:rsidRPr="008E1EB3">
        <w:rPr>
          <w:rFonts w:cs="Arial"/>
          <w:sz w:val="22"/>
        </w:rPr>
        <w:t xml:space="preserve">. Integrating literacy, culture, and language to improve health care quality for diverse populations. </w:t>
      </w:r>
      <w:r w:rsidRPr="008E1EB3">
        <w:rPr>
          <w:rFonts w:cs="Arial"/>
          <w:i/>
          <w:sz w:val="22"/>
        </w:rPr>
        <w:t>Amer</w:t>
      </w:r>
      <w:r>
        <w:rPr>
          <w:rFonts w:cs="Arial"/>
          <w:i/>
          <w:sz w:val="22"/>
        </w:rPr>
        <w:t>ican Journal of Health Behavior</w:t>
      </w:r>
      <w:r w:rsidRPr="008E1EB3">
        <w:rPr>
          <w:rFonts w:cs="Arial"/>
          <w:i/>
          <w:sz w:val="22"/>
        </w:rPr>
        <w:t xml:space="preserve"> </w:t>
      </w:r>
      <w:r>
        <w:rPr>
          <w:rFonts w:cs="Arial"/>
          <w:sz w:val="22"/>
        </w:rPr>
        <w:t>31:</w:t>
      </w:r>
      <w:r w:rsidRPr="00063835">
        <w:rPr>
          <w:rFonts w:cs="Arial"/>
          <w:sz w:val="22"/>
        </w:rPr>
        <w:t xml:space="preserve">S122-S133. </w:t>
      </w:r>
    </w:p>
  </w:endnote>
  <w:endnote w:id="38">
    <w:p w:rsidR="00492B7D" w:rsidRPr="008E1EB3" w:rsidRDefault="00492B7D" w:rsidP="005C0B20">
      <w:pPr>
        <w:pStyle w:val="EndnoteText"/>
        <w:rPr>
          <w:sz w:val="22"/>
        </w:rPr>
      </w:pPr>
      <w:r w:rsidRPr="008E1EB3">
        <w:rPr>
          <w:rStyle w:val="EndnoteReference"/>
          <w:sz w:val="22"/>
        </w:rPr>
        <w:endnoteRef/>
      </w:r>
      <w:r w:rsidRPr="008E1EB3">
        <w:rPr>
          <w:sz w:val="22"/>
        </w:rPr>
        <w:t xml:space="preserve"> </w:t>
      </w:r>
      <w:proofErr w:type="gramStart"/>
      <w:r w:rsidRPr="008E1EB3">
        <w:rPr>
          <w:rFonts w:cs="Arial"/>
          <w:sz w:val="22"/>
        </w:rPr>
        <w:t>Rudd</w:t>
      </w:r>
      <w:r>
        <w:rPr>
          <w:rFonts w:cs="Arial"/>
          <w:sz w:val="22"/>
        </w:rPr>
        <w:t>,</w:t>
      </w:r>
      <w:r w:rsidRPr="008E1EB3">
        <w:rPr>
          <w:rFonts w:cs="Arial"/>
          <w:sz w:val="22"/>
        </w:rPr>
        <w:t xml:space="preserve"> R. </w:t>
      </w:r>
      <w:r>
        <w:rPr>
          <w:rFonts w:cs="Arial"/>
          <w:sz w:val="22"/>
        </w:rPr>
        <w:t>2004.</w:t>
      </w:r>
      <w:proofErr w:type="gramEnd"/>
      <w:r>
        <w:rPr>
          <w:rFonts w:cs="Arial"/>
          <w:sz w:val="22"/>
        </w:rPr>
        <w:t xml:space="preserve"> </w:t>
      </w:r>
      <w:r w:rsidRPr="008E1EB3">
        <w:rPr>
          <w:rFonts w:cs="Arial"/>
          <w:sz w:val="22"/>
        </w:rPr>
        <w:t xml:space="preserve">Navigating hospitals: literacy barriers. </w:t>
      </w:r>
      <w:r>
        <w:rPr>
          <w:rFonts w:cs="Arial"/>
          <w:i/>
          <w:sz w:val="22"/>
        </w:rPr>
        <w:t xml:space="preserve">Literacy Harvest, </w:t>
      </w:r>
      <w:proofErr w:type="gramStart"/>
      <w:r w:rsidRPr="008E1EB3">
        <w:rPr>
          <w:rFonts w:cs="Arial"/>
          <w:sz w:val="22"/>
        </w:rPr>
        <w:t>Fall</w:t>
      </w:r>
      <w:proofErr w:type="gramEnd"/>
      <w:r>
        <w:rPr>
          <w:rFonts w:cs="Arial"/>
          <w:sz w:val="22"/>
        </w:rPr>
        <w:t>:</w:t>
      </w:r>
      <w:r w:rsidRPr="008E1EB3">
        <w:rPr>
          <w:rFonts w:cs="Arial"/>
          <w:sz w:val="22"/>
        </w:rPr>
        <w:t xml:space="preserve"> 19-24.</w:t>
      </w:r>
    </w:p>
  </w:endnote>
  <w:endnote w:id="39">
    <w:p w:rsidR="00492B7D" w:rsidRPr="008E1EB3" w:rsidRDefault="00492B7D" w:rsidP="004B0F24">
      <w:pPr>
        <w:rPr>
          <w:rFonts w:cs="Arial"/>
          <w:sz w:val="22"/>
        </w:rPr>
      </w:pPr>
      <w:r w:rsidRPr="008E1EB3">
        <w:rPr>
          <w:rStyle w:val="EndnoteReference"/>
          <w:sz w:val="22"/>
        </w:rPr>
        <w:endnoteRef/>
      </w:r>
      <w:r w:rsidRPr="008E1EB3">
        <w:rPr>
          <w:sz w:val="22"/>
        </w:rPr>
        <w:t xml:space="preserve"> </w:t>
      </w:r>
      <w:proofErr w:type="spellStart"/>
      <w:r>
        <w:rPr>
          <w:rFonts w:cs="Arial"/>
          <w:sz w:val="22"/>
        </w:rPr>
        <w:t>Andrulis</w:t>
      </w:r>
      <w:proofErr w:type="spellEnd"/>
      <w:r>
        <w:rPr>
          <w:rFonts w:cs="Arial"/>
          <w:sz w:val="22"/>
        </w:rPr>
        <w:t>, D.P. &amp; Brach, C. 2007</w:t>
      </w:r>
      <w:r w:rsidRPr="008E1EB3">
        <w:rPr>
          <w:rFonts w:cs="Arial"/>
          <w:sz w:val="22"/>
        </w:rPr>
        <w:t xml:space="preserve">. Integrating literacy, culture, and language to improve health care quality for diverse populations. </w:t>
      </w:r>
      <w:proofErr w:type="gramStart"/>
      <w:r w:rsidRPr="008E1EB3">
        <w:rPr>
          <w:rFonts w:cs="Arial"/>
          <w:i/>
          <w:sz w:val="22"/>
        </w:rPr>
        <w:t xml:space="preserve">American Journal of Health Behavior, 31, </w:t>
      </w:r>
      <w:r w:rsidRPr="008E1EB3">
        <w:rPr>
          <w:rFonts w:cs="Arial"/>
          <w:sz w:val="22"/>
        </w:rPr>
        <w:t>S122-S133.</w:t>
      </w:r>
      <w:proofErr w:type="gramEnd"/>
      <w:r w:rsidRPr="008E1EB3">
        <w:rPr>
          <w:rFonts w:cs="Arial"/>
          <w:sz w:val="22"/>
        </w:rPr>
        <w:t xml:space="preserve"> </w:t>
      </w:r>
    </w:p>
  </w:endnote>
  <w:endnote w:id="40">
    <w:p w:rsidR="00492B7D" w:rsidRPr="008E1EB3" w:rsidRDefault="00492B7D" w:rsidP="006835C8">
      <w:pPr>
        <w:pStyle w:val="EndnoteText"/>
        <w:rPr>
          <w:sz w:val="22"/>
        </w:rPr>
      </w:pPr>
      <w:r w:rsidRPr="008E1EB3">
        <w:rPr>
          <w:rStyle w:val="EndnoteReference"/>
          <w:sz w:val="22"/>
        </w:rPr>
        <w:endnoteRef/>
      </w:r>
      <w:r w:rsidRPr="008E1EB3">
        <w:rPr>
          <w:sz w:val="22"/>
        </w:rPr>
        <w:t xml:space="preserve"> </w:t>
      </w:r>
      <w:proofErr w:type="spellStart"/>
      <w:r w:rsidRPr="008E1EB3">
        <w:rPr>
          <w:sz w:val="22"/>
        </w:rPr>
        <w:t>Doak</w:t>
      </w:r>
      <w:proofErr w:type="spellEnd"/>
      <w:r>
        <w:rPr>
          <w:sz w:val="22"/>
        </w:rPr>
        <w:t xml:space="preserve">, </w:t>
      </w:r>
      <w:r w:rsidRPr="008E1EB3">
        <w:rPr>
          <w:sz w:val="22"/>
        </w:rPr>
        <w:t>C</w:t>
      </w:r>
      <w:r>
        <w:rPr>
          <w:sz w:val="22"/>
        </w:rPr>
        <w:t>.</w:t>
      </w:r>
      <w:r w:rsidRPr="008E1EB3">
        <w:rPr>
          <w:sz w:val="22"/>
        </w:rPr>
        <w:t>C</w:t>
      </w:r>
      <w:r>
        <w:rPr>
          <w:sz w:val="22"/>
        </w:rPr>
        <w:t>.</w:t>
      </w:r>
      <w:r w:rsidRPr="008E1EB3">
        <w:rPr>
          <w:sz w:val="22"/>
        </w:rPr>
        <w:t xml:space="preserve">, </w:t>
      </w:r>
      <w:proofErr w:type="spellStart"/>
      <w:r w:rsidRPr="008E1EB3">
        <w:rPr>
          <w:sz w:val="22"/>
        </w:rPr>
        <w:t>Doak</w:t>
      </w:r>
      <w:proofErr w:type="spellEnd"/>
      <w:r>
        <w:rPr>
          <w:sz w:val="22"/>
        </w:rPr>
        <w:t>,</w:t>
      </w:r>
      <w:r w:rsidRPr="008E1EB3">
        <w:rPr>
          <w:sz w:val="22"/>
        </w:rPr>
        <w:t xml:space="preserve"> L</w:t>
      </w:r>
      <w:r>
        <w:rPr>
          <w:sz w:val="22"/>
        </w:rPr>
        <w:t>.</w:t>
      </w:r>
      <w:r w:rsidRPr="008E1EB3">
        <w:rPr>
          <w:sz w:val="22"/>
        </w:rPr>
        <w:t>G</w:t>
      </w:r>
      <w:r>
        <w:rPr>
          <w:sz w:val="22"/>
        </w:rPr>
        <w:t>.</w:t>
      </w:r>
      <w:r w:rsidRPr="008E1EB3">
        <w:rPr>
          <w:sz w:val="22"/>
        </w:rPr>
        <w:t>, Root</w:t>
      </w:r>
      <w:r>
        <w:rPr>
          <w:sz w:val="22"/>
        </w:rPr>
        <w:t>,</w:t>
      </w:r>
      <w:r w:rsidRPr="008E1EB3">
        <w:rPr>
          <w:sz w:val="22"/>
        </w:rPr>
        <w:t xml:space="preserve"> J</w:t>
      </w:r>
      <w:r>
        <w:rPr>
          <w:sz w:val="22"/>
        </w:rPr>
        <w:t>.</w:t>
      </w:r>
      <w:r w:rsidRPr="008E1EB3">
        <w:rPr>
          <w:sz w:val="22"/>
        </w:rPr>
        <w:t xml:space="preserve">H. </w:t>
      </w:r>
      <w:r w:rsidRPr="008E1EB3">
        <w:rPr>
          <w:i/>
          <w:sz w:val="22"/>
        </w:rPr>
        <w:t>Teaching Patients with Low Literacy Skills.</w:t>
      </w:r>
      <w:r w:rsidRPr="008E1EB3">
        <w:rPr>
          <w:sz w:val="22"/>
        </w:rPr>
        <w:t xml:space="preserve"> 2</w:t>
      </w:r>
      <w:r w:rsidRPr="008E1EB3">
        <w:rPr>
          <w:sz w:val="22"/>
          <w:vertAlign w:val="superscript"/>
        </w:rPr>
        <w:t>nd</w:t>
      </w:r>
      <w:r w:rsidRPr="008E1EB3">
        <w:rPr>
          <w:sz w:val="22"/>
        </w:rPr>
        <w:t xml:space="preserve"> ed. Phil</w:t>
      </w:r>
      <w:r>
        <w:rPr>
          <w:sz w:val="22"/>
        </w:rPr>
        <w:t>adelphia: JB Lippincott Company, 1996:</w:t>
      </w:r>
      <w:r w:rsidRPr="008E1EB3">
        <w:rPr>
          <w:sz w:val="22"/>
        </w:rPr>
        <w:t xml:space="preserve"> 24. </w:t>
      </w:r>
    </w:p>
  </w:endnote>
  <w:endnote w:id="41">
    <w:p w:rsidR="00492B7D" w:rsidRPr="008E1EB3" w:rsidRDefault="00492B7D" w:rsidP="006835C8">
      <w:pPr>
        <w:pStyle w:val="EndnoteText"/>
        <w:rPr>
          <w:sz w:val="22"/>
        </w:rPr>
      </w:pPr>
      <w:r w:rsidRPr="008E1EB3">
        <w:rPr>
          <w:rStyle w:val="EndnoteReference"/>
          <w:sz w:val="22"/>
        </w:rPr>
        <w:endnoteRef/>
      </w:r>
      <w:r w:rsidRPr="008E1EB3">
        <w:rPr>
          <w:sz w:val="22"/>
        </w:rPr>
        <w:t xml:space="preserve"> </w:t>
      </w:r>
      <w:proofErr w:type="gramStart"/>
      <w:r w:rsidRPr="008E1EB3">
        <w:rPr>
          <w:rFonts w:cs="Arial"/>
          <w:sz w:val="22"/>
        </w:rPr>
        <w:t xml:space="preserve">National Quality </w:t>
      </w:r>
      <w:r>
        <w:rPr>
          <w:rFonts w:cs="Arial"/>
          <w:sz w:val="22"/>
        </w:rPr>
        <w:t>Forum.</w:t>
      </w:r>
      <w:proofErr w:type="gramEnd"/>
      <w:r>
        <w:rPr>
          <w:rFonts w:cs="Arial"/>
          <w:sz w:val="22"/>
        </w:rPr>
        <w:t xml:space="preserve"> 2005</w:t>
      </w:r>
      <w:r w:rsidRPr="008E1EB3">
        <w:rPr>
          <w:rFonts w:cs="Arial"/>
          <w:sz w:val="22"/>
        </w:rPr>
        <w:t xml:space="preserve">. </w:t>
      </w:r>
      <w:r w:rsidRPr="00F00208">
        <w:rPr>
          <w:rFonts w:cs="Arial"/>
          <w:i/>
          <w:sz w:val="22"/>
        </w:rPr>
        <w:t>Improving patient safety through informed consent for patients with limited health literacy</w:t>
      </w:r>
      <w:r w:rsidRPr="008E1EB3">
        <w:rPr>
          <w:rFonts w:cs="Arial"/>
          <w:sz w:val="22"/>
        </w:rPr>
        <w:t>. Retrieved from http://www.qualityforum.org/Publications/2005/09/Improving_Patient_Safety_Through_Informed_Consent_for_Patients_with_Limited_Health_Literacy.aspx</w:t>
      </w:r>
    </w:p>
  </w:endnote>
  <w:endnote w:id="42">
    <w:p w:rsidR="00492B7D" w:rsidRPr="008E1EB3" w:rsidRDefault="00492B7D">
      <w:pPr>
        <w:pStyle w:val="EndnoteText"/>
        <w:rPr>
          <w:sz w:val="22"/>
        </w:rPr>
      </w:pPr>
      <w:r w:rsidRPr="008E1EB3">
        <w:rPr>
          <w:rStyle w:val="EndnoteReference"/>
          <w:sz w:val="22"/>
        </w:rPr>
        <w:endnoteRef/>
      </w:r>
      <w:r w:rsidRPr="008E1EB3">
        <w:rPr>
          <w:sz w:val="22"/>
        </w:rPr>
        <w:t xml:space="preserve"> Princeton University. WorldNet</w:t>
      </w:r>
      <w:r>
        <w:rPr>
          <w:sz w:val="22"/>
        </w:rPr>
        <w:t>:</w:t>
      </w:r>
      <w:r w:rsidRPr="008E1EB3">
        <w:rPr>
          <w:sz w:val="22"/>
        </w:rPr>
        <w:t xml:space="preserve"> A lexical database for English</w:t>
      </w:r>
      <w:r>
        <w:rPr>
          <w:sz w:val="22"/>
        </w:rPr>
        <w:t xml:space="preserve">: informed consent. </w:t>
      </w:r>
      <w:hyperlink r:id="rId9" w:history="1">
        <w:r w:rsidRPr="008E1EB3">
          <w:rPr>
            <w:rStyle w:val="Hyperlink"/>
            <w:sz w:val="22"/>
          </w:rPr>
          <w:t>http://wordnetweb.princeton.edu/perl/webwn?s=informed%20consent</w:t>
        </w:r>
      </w:hyperlink>
      <w:r>
        <w:rPr>
          <w:sz w:val="22"/>
        </w:rPr>
        <w:t xml:space="preserve">. </w:t>
      </w:r>
    </w:p>
  </w:endnote>
  <w:endnote w:id="43">
    <w:p w:rsidR="00492B7D" w:rsidRPr="008E1EB3" w:rsidRDefault="00492B7D" w:rsidP="004B0F24">
      <w:pPr>
        <w:pStyle w:val="EndnoteText"/>
        <w:rPr>
          <w:sz w:val="22"/>
        </w:rPr>
      </w:pPr>
      <w:r w:rsidRPr="008E1EB3">
        <w:rPr>
          <w:rStyle w:val="EndnoteReference"/>
          <w:sz w:val="22"/>
        </w:rPr>
        <w:endnoteRef/>
      </w:r>
      <w:r w:rsidRPr="008E1EB3">
        <w:rPr>
          <w:sz w:val="22"/>
        </w:rPr>
        <w:t xml:space="preserve"> </w:t>
      </w:r>
      <w:proofErr w:type="gramStart"/>
      <w:r w:rsidRPr="008E1EB3">
        <w:rPr>
          <w:rStyle w:val="st"/>
          <w:sz w:val="22"/>
        </w:rPr>
        <w:t>National Quality Forum (NQF).</w:t>
      </w:r>
      <w:proofErr w:type="gramEnd"/>
      <w:r w:rsidRPr="008E1EB3">
        <w:rPr>
          <w:rStyle w:val="st"/>
          <w:sz w:val="22"/>
        </w:rPr>
        <w:t xml:space="preserve"> </w:t>
      </w:r>
      <w:r w:rsidRPr="008E1EB3">
        <w:rPr>
          <w:rStyle w:val="Emphasis"/>
          <w:sz w:val="22"/>
        </w:rPr>
        <w:t>Safe Practices for Better</w:t>
      </w:r>
      <w:r w:rsidRPr="008E1EB3">
        <w:rPr>
          <w:rStyle w:val="st"/>
          <w:sz w:val="22"/>
        </w:rPr>
        <w:t xml:space="preserve"> </w:t>
      </w:r>
      <w:r w:rsidRPr="008E1EB3">
        <w:rPr>
          <w:rStyle w:val="Emphasis"/>
          <w:sz w:val="22"/>
        </w:rPr>
        <w:t>Healthcare</w:t>
      </w:r>
      <w:r w:rsidRPr="008E1EB3">
        <w:rPr>
          <w:rStyle w:val="st"/>
          <w:sz w:val="22"/>
        </w:rPr>
        <w:t>–2010 Update: A Consen</w:t>
      </w:r>
      <w:r>
        <w:rPr>
          <w:rStyle w:val="st"/>
          <w:sz w:val="22"/>
        </w:rPr>
        <w:t>sus Report. Washington, DC: NQF,</w:t>
      </w:r>
      <w:r w:rsidRPr="008E1EB3">
        <w:rPr>
          <w:rStyle w:val="st"/>
          <w:sz w:val="22"/>
        </w:rPr>
        <w:t xml:space="preserve"> 2010.</w:t>
      </w:r>
    </w:p>
  </w:endnote>
  <w:endnote w:id="44">
    <w:p w:rsidR="00492B7D" w:rsidRPr="008E1EB3" w:rsidRDefault="00492B7D" w:rsidP="004B0F24">
      <w:pPr>
        <w:pStyle w:val="EndnoteText"/>
        <w:rPr>
          <w:sz w:val="22"/>
        </w:rPr>
      </w:pPr>
      <w:r w:rsidRPr="008E1EB3">
        <w:rPr>
          <w:rStyle w:val="EndnoteReference"/>
          <w:sz w:val="22"/>
        </w:rPr>
        <w:endnoteRef/>
      </w:r>
      <w:r w:rsidRPr="008E1EB3">
        <w:rPr>
          <w:sz w:val="22"/>
        </w:rPr>
        <w:t xml:space="preserve"> </w:t>
      </w:r>
      <w:proofErr w:type="gramStart"/>
      <w:r w:rsidRPr="008E1EB3">
        <w:rPr>
          <w:sz w:val="22"/>
        </w:rPr>
        <w:t>U.S. Agency for Healthcare Research and Quality (AHRQ).</w:t>
      </w:r>
      <w:proofErr w:type="gramEnd"/>
      <w:r w:rsidRPr="008E1EB3">
        <w:rPr>
          <w:sz w:val="22"/>
        </w:rPr>
        <w:t xml:space="preserve"> </w:t>
      </w:r>
      <w:r w:rsidRPr="008E1EB3">
        <w:rPr>
          <w:i/>
          <w:sz w:val="22"/>
        </w:rPr>
        <w:t xml:space="preserve">Making Health Care Safer: A Critical Analysis of Patient Safety Practices. </w:t>
      </w:r>
      <w:proofErr w:type="gramStart"/>
      <w:r w:rsidRPr="008E1EB3">
        <w:rPr>
          <w:sz w:val="22"/>
        </w:rPr>
        <w:t>Evidence Report/Technology Assessment No. 43.</w:t>
      </w:r>
      <w:proofErr w:type="gramEnd"/>
      <w:r w:rsidRPr="008E1EB3">
        <w:rPr>
          <w:sz w:val="22"/>
        </w:rPr>
        <w:t xml:space="preserve"> </w:t>
      </w:r>
      <w:proofErr w:type="gramStart"/>
      <w:r w:rsidRPr="008E1EB3">
        <w:rPr>
          <w:sz w:val="22"/>
        </w:rPr>
        <w:t>AHRQ Publication No. 01-E058; 2001.</w:t>
      </w:r>
      <w:proofErr w:type="gramEnd"/>
      <w:r w:rsidRPr="008E1EB3">
        <w:rPr>
          <w:sz w:val="22"/>
        </w:rPr>
        <w:t xml:space="preserve"> Ch. 48. </w:t>
      </w:r>
      <w:r>
        <w:rPr>
          <w:sz w:val="22"/>
        </w:rPr>
        <w:t>Retrieved from:</w:t>
      </w:r>
      <w:r w:rsidRPr="008E1EB3">
        <w:rPr>
          <w:sz w:val="22"/>
        </w:rPr>
        <w:t xml:space="preserve"> </w:t>
      </w:r>
      <w:hyperlink r:id="rId10" w:history="1">
        <w:r w:rsidRPr="008E1EB3">
          <w:rPr>
            <w:rStyle w:val="Hyperlink"/>
            <w:sz w:val="22"/>
          </w:rPr>
          <w:t>http://www.ahrq.gov/clinic/ptsafety</w:t>
        </w:r>
      </w:hyperlink>
      <w:r w:rsidRPr="008E1EB3">
        <w:rPr>
          <w:sz w:val="22"/>
        </w:rPr>
        <w:t xml:space="preserve">. </w:t>
      </w:r>
    </w:p>
  </w:endnote>
  <w:endnote w:id="45">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sidRPr="008E1EB3">
        <w:rPr>
          <w:rStyle w:val="st"/>
          <w:sz w:val="22"/>
        </w:rPr>
        <w:t>National Quality Forum (NQF).</w:t>
      </w:r>
      <w:proofErr w:type="gramEnd"/>
      <w:r w:rsidRPr="008E1EB3">
        <w:rPr>
          <w:rStyle w:val="st"/>
          <w:sz w:val="22"/>
        </w:rPr>
        <w:t xml:space="preserve"> </w:t>
      </w:r>
      <w:r w:rsidRPr="008E1EB3">
        <w:rPr>
          <w:rStyle w:val="Emphasis"/>
          <w:sz w:val="22"/>
        </w:rPr>
        <w:t>Safe Practices for Better</w:t>
      </w:r>
      <w:r w:rsidRPr="008E1EB3">
        <w:rPr>
          <w:rStyle w:val="st"/>
          <w:sz w:val="22"/>
        </w:rPr>
        <w:t xml:space="preserve"> </w:t>
      </w:r>
      <w:r w:rsidRPr="008E1EB3">
        <w:rPr>
          <w:rStyle w:val="Emphasis"/>
          <w:sz w:val="22"/>
        </w:rPr>
        <w:t>Healthcare</w:t>
      </w:r>
      <w:r w:rsidRPr="008E1EB3">
        <w:rPr>
          <w:rStyle w:val="st"/>
          <w:sz w:val="22"/>
        </w:rPr>
        <w:t>–2010 Update: A Consen</w:t>
      </w:r>
      <w:r>
        <w:rPr>
          <w:rStyle w:val="st"/>
          <w:sz w:val="22"/>
        </w:rPr>
        <w:t>sus Report. Washington, DC: NQF,</w:t>
      </w:r>
      <w:r w:rsidRPr="008E1EB3">
        <w:rPr>
          <w:rStyle w:val="st"/>
          <w:sz w:val="22"/>
        </w:rPr>
        <w:t xml:space="preserve"> 2010.</w:t>
      </w:r>
    </w:p>
  </w:endnote>
  <w:endnote w:id="46">
    <w:p w:rsidR="00492B7D" w:rsidRDefault="00492B7D">
      <w:pPr>
        <w:pStyle w:val="EndnoteText"/>
      </w:pPr>
      <w:r>
        <w:rPr>
          <w:rStyle w:val="EndnoteReference"/>
        </w:rPr>
        <w:endnoteRef/>
      </w:r>
      <w:r>
        <w:t xml:space="preserve"> </w:t>
      </w:r>
      <w:proofErr w:type="gramStart"/>
      <w:r w:rsidRPr="008E1EB3">
        <w:rPr>
          <w:rFonts w:cs="Arial"/>
          <w:sz w:val="22"/>
        </w:rPr>
        <w:t>National Quality Forum.</w:t>
      </w:r>
      <w:proofErr w:type="gramEnd"/>
      <w:r w:rsidRPr="008E1EB3">
        <w:rPr>
          <w:rFonts w:cs="Arial"/>
          <w:sz w:val="22"/>
        </w:rPr>
        <w:t xml:space="preserve"> (2005). </w:t>
      </w:r>
      <w:r w:rsidRPr="00F00208">
        <w:rPr>
          <w:rFonts w:cs="Arial"/>
          <w:i/>
          <w:sz w:val="22"/>
        </w:rPr>
        <w:t>Improving patient safety through informed consent for patients with limited health literacy</w:t>
      </w:r>
      <w:r w:rsidRPr="008E1EB3">
        <w:rPr>
          <w:rFonts w:cs="Arial"/>
          <w:sz w:val="22"/>
        </w:rPr>
        <w:t xml:space="preserve">. </w:t>
      </w:r>
      <w:r>
        <w:rPr>
          <w:rFonts w:cs="Arial"/>
          <w:sz w:val="22"/>
        </w:rPr>
        <w:t xml:space="preserve">Washington, DC: NQF. </w:t>
      </w:r>
      <w:r w:rsidRPr="008E1EB3">
        <w:rPr>
          <w:rFonts w:cs="Arial"/>
          <w:sz w:val="22"/>
        </w:rPr>
        <w:t>Retrieved from http://www.qualityforum.org/Publications/2005/09/Improving_Patient_Safety_Through_Informed_Consent_for_Patients_with_Limited_Health_Literacy.aspx</w:t>
      </w:r>
    </w:p>
  </w:endnote>
  <w:endnote w:id="47">
    <w:p w:rsidR="00492B7D" w:rsidRPr="008E1EB3" w:rsidRDefault="00492B7D">
      <w:pPr>
        <w:pStyle w:val="EndnoteText"/>
        <w:rPr>
          <w:sz w:val="22"/>
        </w:rPr>
      </w:pPr>
      <w:r w:rsidRPr="008E1EB3">
        <w:rPr>
          <w:rStyle w:val="EndnoteReference"/>
          <w:sz w:val="22"/>
        </w:rPr>
        <w:endnoteRef/>
      </w:r>
      <w:r w:rsidRPr="008E1EB3">
        <w:rPr>
          <w:sz w:val="22"/>
        </w:rPr>
        <w:t xml:space="preserve"> </w:t>
      </w:r>
      <w:r>
        <w:rPr>
          <w:sz w:val="22"/>
        </w:rPr>
        <w:t xml:space="preserve">The Plain Language Action and Information Network (PLAIN). </w:t>
      </w:r>
      <w:proofErr w:type="gramStart"/>
      <w:r>
        <w:rPr>
          <w:sz w:val="22"/>
        </w:rPr>
        <w:t xml:space="preserve">Federal </w:t>
      </w:r>
      <w:r w:rsidRPr="008E1EB3">
        <w:rPr>
          <w:sz w:val="22"/>
        </w:rPr>
        <w:t>Plain Language</w:t>
      </w:r>
      <w:r>
        <w:rPr>
          <w:sz w:val="22"/>
        </w:rPr>
        <w:t xml:space="preserve"> Guidelines</w:t>
      </w:r>
      <w:r w:rsidRPr="008E1EB3">
        <w:rPr>
          <w:sz w:val="22"/>
        </w:rPr>
        <w:t>.</w:t>
      </w:r>
      <w:proofErr w:type="gramEnd"/>
      <w:r>
        <w:rPr>
          <w:sz w:val="22"/>
        </w:rPr>
        <w:t xml:space="preserve"> 2011.</w:t>
      </w:r>
      <w:r w:rsidRPr="008E1EB3">
        <w:rPr>
          <w:sz w:val="22"/>
        </w:rPr>
        <w:t xml:space="preserve"> </w:t>
      </w:r>
      <w:hyperlink r:id="rId11" w:history="1">
        <w:r w:rsidRPr="004C51D2">
          <w:rPr>
            <w:rStyle w:val="Hyperlink"/>
            <w:sz w:val="22"/>
          </w:rPr>
          <w:t>http://www.plainlanguage.gov/howto/guidelines/FederalPLGuidelines/index.cfm</w:t>
        </w:r>
      </w:hyperlink>
      <w:r>
        <w:rPr>
          <w:sz w:val="22"/>
        </w:rPr>
        <w:t xml:space="preserve"> </w:t>
      </w:r>
    </w:p>
  </w:endnote>
  <w:endnote w:id="48">
    <w:p w:rsidR="00492B7D" w:rsidRPr="008E1EB3" w:rsidRDefault="00492B7D" w:rsidP="00246073">
      <w:pPr>
        <w:pStyle w:val="EndnoteText"/>
        <w:rPr>
          <w:sz w:val="22"/>
        </w:rPr>
      </w:pPr>
      <w:r w:rsidRPr="008E1EB3">
        <w:rPr>
          <w:rStyle w:val="EndnoteReference"/>
          <w:sz w:val="22"/>
        </w:rPr>
        <w:endnoteRef/>
      </w:r>
      <w:r w:rsidRPr="008E1EB3">
        <w:rPr>
          <w:sz w:val="22"/>
        </w:rPr>
        <w:t xml:space="preserve"> The National Work Group on Literacy and Health. </w:t>
      </w:r>
      <w:r>
        <w:rPr>
          <w:sz w:val="22"/>
        </w:rPr>
        <w:t>1998. Communicating with patients who have limited literacy s</w:t>
      </w:r>
      <w:r w:rsidRPr="008E1EB3">
        <w:rPr>
          <w:sz w:val="22"/>
        </w:rPr>
        <w:t xml:space="preserve">kills: Report of the National Work Group on Literacy and Health. </w:t>
      </w:r>
      <w:r w:rsidRPr="008E1EB3">
        <w:rPr>
          <w:i/>
          <w:sz w:val="22"/>
        </w:rPr>
        <w:t>J</w:t>
      </w:r>
      <w:r>
        <w:rPr>
          <w:i/>
          <w:sz w:val="22"/>
        </w:rPr>
        <w:t>ournal of</w:t>
      </w:r>
      <w:r w:rsidRPr="008E1EB3">
        <w:rPr>
          <w:i/>
          <w:sz w:val="22"/>
        </w:rPr>
        <w:t xml:space="preserve"> Fam</w:t>
      </w:r>
      <w:r>
        <w:rPr>
          <w:i/>
          <w:sz w:val="22"/>
        </w:rPr>
        <w:t>ily</w:t>
      </w:r>
      <w:r w:rsidRPr="008E1EB3">
        <w:rPr>
          <w:i/>
          <w:sz w:val="22"/>
        </w:rPr>
        <w:t xml:space="preserve"> Pract</w:t>
      </w:r>
      <w:r>
        <w:rPr>
          <w:i/>
          <w:sz w:val="22"/>
        </w:rPr>
        <w:t xml:space="preserve">ice </w:t>
      </w:r>
      <w:r w:rsidRPr="008E1EB3">
        <w:rPr>
          <w:sz w:val="22"/>
        </w:rPr>
        <w:t>46(2):168-176.</w:t>
      </w:r>
    </w:p>
  </w:endnote>
  <w:endnote w:id="49">
    <w:p w:rsidR="00492B7D" w:rsidRPr="00F00208" w:rsidRDefault="00492B7D" w:rsidP="00F00208">
      <w:pPr>
        <w:rPr>
          <w:rFonts w:cs="Arial"/>
          <w:sz w:val="22"/>
        </w:rPr>
      </w:pPr>
      <w:r w:rsidRPr="008E1EB3">
        <w:rPr>
          <w:rStyle w:val="EndnoteReference"/>
          <w:sz w:val="22"/>
        </w:rPr>
        <w:endnoteRef/>
      </w:r>
      <w:r w:rsidRPr="008E1EB3">
        <w:rPr>
          <w:sz w:val="22"/>
        </w:rPr>
        <w:t xml:space="preserve"> </w:t>
      </w:r>
      <w:r>
        <w:rPr>
          <w:rFonts w:cs="Arial"/>
          <w:sz w:val="22"/>
        </w:rPr>
        <w:t>Nielsen-</w:t>
      </w:r>
      <w:proofErr w:type="spellStart"/>
      <w:r>
        <w:rPr>
          <w:rFonts w:cs="Arial"/>
          <w:sz w:val="22"/>
        </w:rPr>
        <w:t>Bohlman</w:t>
      </w:r>
      <w:proofErr w:type="spellEnd"/>
      <w:r>
        <w:rPr>
          <w:rFonts w:cs="Arial"/>
          <w:sz w:val="22"/>
        </w:rPr>
        <w:t>, P., Allison, K., and</w:t>
      </w:r>
      <w:r w:rsidRPr="008E1EB3">
        <w:rPr>
          <w:rFonts w:cs="Arial"/>
          <w:sz w:val="22"/>
        </w:rPr>
        <w:t xml:space="preserve"> David</w:t>
      </w:r>
      <w:r>
        <w:rPr>
          <w:rFonts w:cs="Arial"/>
          <w:sz w:val="22"/>
        </w:rPr>
        <w:t>,</w:t>
      </w:r>
      <w:r w:rsidRPr="008E1EB3">
        <w:rPr>
          <w:rFonts w:cs="Arial"/>
          <w:sz w:val="22"/>
        </w:rPr>
        <w:t xml:space="preserve"> A. </w:t>
      </w:r>
      <w:r w:rsidRPr="008E1EB3">
        <w:rPr>
          <w:rFonts w:cs="Arial"/>
          <w:i/>
          <w:sz w:val="22"/>
        </w:rPr>
        <w:t xml:space="preserve">Health Literacy: A Prescription to End Confusion. </w:t>
      </w:r>
      <w:r w:rsidRPr="008E1EB3">
        <w:rPr>
          <w:rFonts w:cs="Arial"/>
          <w:sz w:val="22"/>
        </w:rPr>
        <w:t xml:space="preserve">Washington, DC, National Academies Press, 2004. </w:t>
      </w:r>
    </w:p>
  </w:endnote>
  <w:endnote w:id="50">
    <w:p w:rsidR="00492B7D" w:rsidRPr="008E1EB3" w:rsidRDefault="00492B7D" w:rsidP="008F1604">
      <w:pPr>
        <w:pStyle w:val="EndnoteText"/>
        <w:rPr>
          <w:sz w:val="22"/>
        </w:rPr>
      </w:pPr>
      <w:r w:rsidRPr="008E1EB3">
        <w:rPr>
          <w:rStyle w:val="EndnoteReference"/>
          <w:sz w:val="22"/>
        </w:rPr>
        <w:endnoteRef/>
      </w:r>
      <w:r w:rsidRPr="008E1EB3">
        <w:rPr>
          <w:sz w:val="22"/>
        </w:rPr>
        <w:t xml:space="preserve"> </w:t>
      </w:r>
      <w:proofErr w:type="spellStart"/>
      <w:r>
        <w:rPr>
          <w:rFonts w:cs="Arial"/>
          <w:sz w:val="22"/>
        </w:rPr>
        <w:t>Karliner</w:t>
      </w:r>
      <w:proofErr w:type="spellEnd"/>
      <w:r>
        <w:rPr>
          <w:rFonts w:cs="Arial"/>
          <w:sz w:val="22"/>
        </w:rPr>
        <w:t xml:space="preserve">, </w:t>
      </w:r>
      <w:r w:rsidRPr="008E1EB3">
        <w:rPr>
          <w:rFonts w:cs="Arial"/>
          <w:sz w:val="22"/>
        </w:rPr>
        <w:t>L</w:t>
      </w:r>
      <w:r>
        <w:rPr>
          <w:rFonts w:cs="Arial"/>
          <w:sz w:val="22"/>
        </w:rPr>
        <w:t>.</w:t>
      </w:r>
      <w:r w:rsidRPr="008E1EB3">
        <w:rPr>
          <w:rFonts w:cs="Arial"/>
          <w:sz w:val="22"/>
        </w:rPr>
        <w:t>S</w:t>
      </w:r>
      <w:r>
        <w:rPr>
          <w:rFonts w:cs="Arial"/>
          <w:sz w:val="22"/>
        </w:rPr>
        <w:t>.</w:t>
      </w:r>
      <w:r w:rsidRPr="008E1EB3">
        <w:rPr>
          <w:rFonts w:cs="Arial"/>
          <w:sz w:val="22"/>
        </w:rPr>
        <w:t>, Perez-Stable</w:t>
      </w:r>
      <w:r>
        <w:rPr>
          <w:rFonts w:cs="Arial"/>
          <w:sz w:val="22"/>
        </w:rPr>
        <w:t>,</w:t>
      </w:r>
      <w:r w:rsidRPr="008E1EB3">
        <w:rPr>
          <w:rFonts w:cs="Arial"/>
          <w:sz w:val="22"/>
        </w:rPr>
        <w:t xml:space="preserve"> E</w:t>
      </w:r>
      <w:r>
        <w:rPr>
          <w:rFonts w:cs="Arial"/>
          <w:sz w:val="22"/>
        </w:rPr>
        <w:t>.</w:t>
      </w:r>
      <w:r w:rsidRPr="008E1EB3">
        <w:rPr>
          <w:rFonts w:cs="Arial"/>
          <w:sz w:val="22"/>
        </w:rPr>
        <w:t>J</w:t>
      </w:r>
      <w:r>
        <w:rPr>
          <w:rFonts w:cs="Arial"/>
          <w:sz w:val="22"/>
        </w:rPr>
        <w:t>.</w:t>
      </w:r>
      <w:r w:rsidRPr="008E1EB3">
        <w:rPr>
          <w:rFonts w:cs="Arial"/>
          <w:sz w:val="22"/>
        </w:rPr>
        <w:t xml:space="preserve">, </w:t>
      </w:r>
      <w:r>
        <w:rPr>
          <w:rFonts w:cs="Arial"/>
          <w:sz w:val="22"/>
        </w:rPr>
        <w:t xml:space="preserve">and </w:t>
      </w:r>
      <w:proofErr w:type="spellStart"/>
      <w:r w:rsidRPr="008E1EB3">
        <w:rPr>
          <w:rFonts w:cs="Arial"/>
          <w:sz w:val="22"/>
        </w:rPr>
        <w:t>Gildengorin</w:t>
      </w:r>
      <w:proofErr w:type="spellEnd"/>
      <w:r>
        <w:rPr>
          <w:rFonts w:cs="Arial"/>
          <w:sz w:val="22"/>
        </w:rPr>
        <w:t>,</w:t>
      </w:r>
      <w:r w:rsidRPr="008E1EB3">
        <w:rPr>
          <w:rFonts w:cs="Arial"/>
          <w:sz w:val="22"/>
        </w:rPr>
        <w:t xml:space="preserve"> G. </w:t>
      </w:r>
      <w:r>
        <w:rPr>
          <w:rFonts w:cs="Arial"/>
          <w:sz w:val="22"/>
        </w:rPr>
        <w:t xml:space="preserve">2004. </w:t>
      </w:r>
      <w:r w:rsidRPr="008E1EB3">
        <w:rPr>
          <w:rFonts w:cs="Arial"/>
          <w:sz w:val="22"/>
        </w:rPr>
        <w:t xml:space="preserve">The language divide. </w:t>
      </w:r>
      <w:proofErr w:type="gramStart"/>
      <w:r w:rsidRPr="008E1EB3">
        <w:rPr>
          <w:rFonts w:cs="Arial"/>
          <w:sz w:val="22"/>
        </w:rPr>
        <w:t>The importance of training in the use of interpreters for outpatient practice.</w:t>
      </w:r>
      <w:proofErr w:type="gramEnd"/>
      <w:r w:rsidRPr="008E1EB3">
        <w:rPr>
          <w:rFonts w:cs="Arial"/>
          <w:i/>
          <w:sz w:val="22"/>
        </w:rPr>
        <w:t xml:space="preserve"> J</w:t>
      </w:r>
      <w:r>
        <w:rPr>
          <w:rFonts w:cs="Arial"/>
          <w:i/>
          <w:sz w:val="22"/>
        </w:rPr>
        <w:t>ournal of</w:t>
      </w:r>
      <w:r w:rsidRPr="008E1EB3">
        <w:rPr>
          <w:rFonts w:cs="Arial"/>
          <w:i/>
          <w:sz w:val="22"/>
        </w:rPr>
        <w:t xml:space="preserve"> Gen</w:t>
      </w:r>
      <w:r>
        <w:rPr>
          <w:rFonts w:cs="Arial"/>
          <w:i/>
          <w:sz w:val="22"/>
        </w:rPr>
        <w:t>eral</w:t>
      </w:r>
      <w:r w:rsidRPr="008E1EB3">
        <w:rPr>
          <w:rFonts w:cs="Arial"/>
          <w:i/>
          <w:sz w:val="22"/>
        </w:rPr>
        <w:t xml:space="preserve"> Intern</w:t>
      </w:r>
      <w:r>
        <w:rPr>
          <w:rFonts w:cs="Arial"/>
          <w:i/>
          <w:sz w:val="22"/>
        </w:rPr>
        <w:t>al Medicine</w:t>
      </w:r>
      <w:r>
        <w:rPr>
          <w:rFonts w:cs="Arial"/>
          <w:sz w:val="22"/>
        </w:rPr>
        <w:t xml:space="preserve"> </w:t>
      </w:r>
      <w:r w:rsidRPr="008E1EB3">
        <w:rPr>
          <w:rFonts w:cs="Arial"/>
          <w:sz w:val="22"/>
        </w:rPr>
        <w:t>19(2):175-183.</w:t>
      </w:r>
    </w:p>
  </w:endnote>
  <w:endnote w:id="51">
    <w:p w:rsidR="00492B7D" w:rsidRPr="008E1EB3" w:rsidRDefault="00492B7D" w:rsidP="005C564F">
      <w:pPr>
        <w:pStyle w:val="EndnoteText"/>
        <w:rPr>
          <w:sz w:val="22"/>
        </w:rPr>
      </w:pPr>
      <w:r w:rsidRPr="008E1EB3">
        <w:rPr>
          <w:rStyle w:val="EndnoteReference"/>
          <w:sz w:val="22"/>
        </w:rPr>
        <w:endnoteRef/>
      </w:r>
      <w:r w:rsidRPr="008E1EB3">
        <w:rPr>
          <w:sz w:val="22"/>
        </w:rPr>
        <w:t xml:space="preserve"> </w:t>
      </w:r>
      <w:r w:rsidRPr="008E1EB3">
        <w:rPr>
          <w:rFonts w:cs="Arial"/>
          <w:sz w:val="22"/>
        </w:rPr>
        <w:t>Rothschild</w:t>
      </w:r>
      <w:r>
        <w:rPr>
          <w:rFonts w:cs="Arial"/>
          <w:sz w:val="22"/>
        </w:rPr>
        <w:t>,</w:t>
      </w:r>
      <w:r w:rsidRPr="008E1EB3">
        <w:rPr>
          <w:rFonts w:cs="Arial"/>
          <w:sz w:val="22"/>
        </w:rPr>
        <w:t xml:space="preserve"> B</w:t>
      </w:r>
      <w:r>
        <w:rPr>
          <w:rFonts w:cs="Arial"/>
          <w:sz w:val="22"/>
        </w:rPr>
        <w:t>.;</w:t>
      </w:r>
      <w:r w:rsidRPr="008E1EB3">
        <w:rPr>
          <w:rFonts w:cs="Arial"/>
          <w:sz w:val="22"/>
        </w:rPr>
        <w:t xml:space="preserve"> Bergstrom</w:t>
      </w:r>
      <w:r>
        <w:rPr>
          <w:rFonts w:cs="Arial"/>
          <w:sz w:val="22"/>
        </w:rPr>
        <w:t>,</w:t>
      </w:r>
      <w:r w:rsidRPr="008E1EB3">
        <w:rPr>
          <w:rFonts w:cs="Arial"/>
          <w:sz w:val="22"/>
        </w:rPr>
        <w:t xml:space="preserve"> M. </w:t>
      </w:r>
      <w:r>
        <w:rPr>
          <w:rFonts w:cs="Arial"/>
          <w:sz w:val="22"/>
        </w:rPr>
        <w:t>2004.</w:t>
      </w:r>
      <w:r w:rsidRPr="008E1EB3">
        <w:rPr>
          <w:rFonts w:cs="Arial"/>
          <w:sz w:val="22"/>
        </w:rPr>
        <w:t xml:space="preserve">The California Health Literacy Initiative: a statewide response to an invisible problem. </w:t>
      </w:r>
      <w:r w:rsidRPr="008E1EB3">
        <w:rPr>
          <w:rFonts w:cs="Arial"/>
          <w:i/>
          <w:sz w:val="22"/>
        </w:rPr>
        <w:t>Literacy Harvest</w:t>
      </w:r>
      <w:r>
        <w:rPr>
          <w:rFonts w:cs="Arial"/>
          <w:sz w:val="22"/>
        </w:rPr>
        <w:t xml:space="preserve"> </w:t>
      </w:r>
      <w:r w:rsidRPr="008E1EB3">
        <w:rPr>
          <w:rFonts w:cs="Arial"/>
          <w:sz w:val="22"/>
        </w:rPr>
        <w:t>11(1):25-29.</w:t>
      </w:r>
    </w:p>
  </w:endnote>
  <w:endnote w:id="52">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spellStart"/>
      <w:r>
        <w:rPr>
          <w:rFonts w:cs="Arial"/>
          <w:sz w:val="22"/>
        </w:rPr>
        <w:t>Andrulis</w:t>
      </w:r>
      <w:proofErr w:type="spellEnd"/>
      <w:r>
        <w:rPr>
          <w:rFonts w:cs="Arial"/>
          <w:sz w:val="22"/>
        </w:rPr>
        <w:t>, D.P. and Brach, C. 2007</w:t>
      </w:r>
      <w:r w:rsidRPr="008E1EB3">
        <w:rPr>
          <w:rFonts w:cs="Arial"/>
          <w:sz w:val="22"/>
        </w:rPr>
        <w:t xml:space="preserve">. Integrating literacy, culture, and language to improve health care quality for diverse populations. </w:t>
      </w:r>
      <w:r w:rsidRPr="008E1EB3">
        <w:rPr>
          <w:rFonts w:cs="Arial"/>
          <w:i/>
          <w:sz w:val="22"/>
        </w:rPr>
        <w:t>Ameri</w:t>
      </w:r>
      <w:r>
        <w:rPr>
          <w:rFonts w:cs="Arial"/>
          <w:i/>
          <w:sz w:val="22"/>
        </w:rPr>
        <w:t>can Journal of Health Behavior 31:</w:t>
      </w:r>
      <w:r w:rsidRPr="008E1EB3">
        <w:rPr>
          <w:rFonts w:cs="Arial"/>
          <w:i/>
          <w:sz w:val="22"/>
        </w:rPr>
        <w:t xml:space="preserve"> </w:t>
      </w:r>
      <w:r w:rsidRPr="008E1EB3">
        <w:rPr>
          <w:rFonts w:cs="Arial"/>
          <w:sz w:val="22"/>
        </w:rPr>
        <w:t xml:space="preserve">S122-S133. </w:t>
      </w:r>
    </w:p>
  </w:endnote>
  <w:endnote w:id="53">
    <w:p w:rsidR="00492B7D" w:rsidRPr="008E1EB3" w:rsidRDefault="00492B7D" w:rsidP="00264F7B">
      <w:pPr>
        <w:rPr>
          <w:rFonts w:cs="Arial"/>
          <w:sz w:val="22"/>
        </w:rPr>
      </w:pPr>
      <w:r w:rsidRPr="008E1EB3">
        <w:rPr>
          <w:rStyle w:val="EndnoteReference"/>
          <w:sz w:val="22"/>
        </w:rPr>
        <w:endnoteRef/>
      </w:r>
      <w:r w:rsidRPr="008E1EB3">
        <w:rPr>
          <w:sz w:val="22"/>
        </w:rPr>
        <w:t xml:space="preserve"> </w:t>
      </w:r>
      <w:r>
        <w:rPr>
          <w:rFonts w:cs="Arial"/>
          <w:sz w:val="22"/>
        </w:rPr>
        <w:t>Nielsen-</w:t>
      </w:r>
      <w:proofErr w:type="spellStart"/>
      <w:r>
        <w:rPr>
          <w:rFonts w:cs="Arial"/>
          <w:sz w:val="22"/>
        </w:rPr>
        <w:t>Bohlman</w:t>
      </w:r>
      <w:proofErr w:type="spellEnd"/>
      <w:r>
        <w:rPr>
          <w:rFonts w:cs="Arial"/>
          <w:sz w:val="22"/>
        </w:rPr>
        <w:t>, P., Allison, K., and</w:t>
      </w:r>
      <w:r w:rsidRPr="008E1EB3">
        <w:rPr>
          <w:rFonts w:cs="Arial"/>
          <w:sz w:val="22"/>
        </w:rPr>
        <w:t xml:space="preserve"> David</w:t>
      </w:r>
      <w:r>
        <w:rPr>
          <w:rFonts w:cs="Arial"/>
          <w:sz w:val="22"/>
        </w:rPr>
        <w:t>,</w:t>
      </w:r>
      <w:r w:rsidRPr="008E1EB3">
        <w:rPr>
          <w:rFonts w:cs="Arial"/>
          <w:sz w:val="22"/>
        </w:rPr>
        <w:t xml:space="preserve"> A. </w:t>
      </w:r>
      <w:r w:rsidRPr="008E1EB3">
        <w:rPr>
          <w:rFonts w:cs="Arial"/>
          <w:i/>
          <w:sz w:val="22"/>
        </w:rPr>
        <w:t xml:space="preserve">Health Literacy: A Prescription to End Confusion. </w:t>
      </w:r>
      <w:r w:rsidRPr="008E1EB3">
        <w:rPr>
          <w:rFonts w:cs="Arial"/>
          <w:sz w:val="22"/>
        </w:rPr>
        <w:t xml:space="preserve">Washington, DC, National Academies Press, 2004. </w:t>
      </w:r>
    </w:p>
  </w:endnote>
  <w:endnote w:id="54">
    <w:p w:rsidR="00492B7D" w:rsidRPr="008E1EB3" w:rsidRDefault="00492B7D" w:rsidP="006515D9">
      <w:pPr>
        <w:pStyle w:val="EndnoteText"/>
        <w:rPr>
          <w:sz w:val="22"/>
        </w:rPr>
      </w:pPr>
      <w:r w:rsidRPr="008E1EB3">
        <w:rPr>
          <w:rStyle w:val="EndnoteReference"/>
          <w:sz w:val="22"/>
        </w:rPr>
        <w:endnoteRef/>
      </w:r>
      <w:r>
        <w:rPr>
          <w:sz w:val="22"/>
        </w:rPr>
        <w:t xml:space="preserve"> </w:t>
      </w:r>
      <w:proofErr w:type="gramStart"/>
      <w:r>
        <w:rPr>
          <w:sz w:val="22"/>
        </w:rPr>
        <w:t>The Joint Commission.</w:t>
      </w:r>
      <w:proofErr w:type="gramEnd"/>
      <w:r>
        <w:rPr>
          <w:sz w:val="22"/>
        </w:rPr>
        <w:t xml:space="preserve"> </w:t>
      </w:r>
      <w:r w:rsidRPr="00F00208">
        <w:rPr>
          <w:i/>
          <w:sz w:val="22"/>
        </w:rPr>
        <w:t>Advancing Effective Communication, Cultural Competence and Patient- and Family-Centered Care: A Roadmap for Hospitals</w:t>
      </w:r>
      <w:r>
        <w:rPr>
          <w:sz w:val="22"/>
        </w:rPr>
        <w:t xml:space="preserve">. </w:t>
      </w:r>
      <w:proofErr w:type="gramStart"/>
      <w:r>
        <w:rPr>
          <w:sz w:val="22"/>
        </w:rPr>
        <w:t>The Joint Commission, 2010.</w:t>
      </w:r>
      <w:proofErr w:type="gramEnd"/>
    </w:p>
  </w:endnote>
  <w:endnote w:id="55">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Pr>
          <w:sz w:val="22"/>
        </w:rPr>
        <w:t>U.S. Department of Health and Human Services.</w:t>
      </w:r>
      <w:proofErr w:type="gramEnd"/>
      <w:r>
        <w:rPr>
          <w:sz w:val="22"/>
        </w:rPr>
        <w:t xml:space="preserve"> </w:t>
      </w:r>
      <w:r w:rsidRPr="008E1EB3">
        <w:rPr>
          <w:rFonts w:cs="Arial"/>
          <w:i/>
          <w:iCs/>
          <w:sz w:val="22"/>
        </w:rPr>
        <w:t>Final data collection standards for race, ethnicity, primary language, sex, and disability status required by Section 4302 of the Affordable Care Act</w:t>
      </w:r>
      <w:r w:rsidRPr="008E1EB3">
        <w:rPr>
          <w:rFonts w:cs="Arial"/>
          <w:sz w:val="22"/>
        </w:rPr>
        <w:t xml:space="preserve">. </w:t>
      </w:r>
      <w:r>
        <w:rPr>
          <w:sz w:val="22"/>
        </w:rPr>
        <w:t xml:space="preserve"> Rockville, MD: U.S. Department of Human Services, 2011. </w:t>
      </w:r>
      <w:proofErr w:type="gramStart"/>
      <w:r w:rsidRPr="00A73F0B">
        <w:rPr>
          <w:sz w:val="22"/>
        </w:rPr>
        <w:t>http://minorityhealth.hhs.gov/templates/browse.aspx?lvl=2&amp;lvlid=208</w:t>
      </w:r>
      <w:r>
        <w:rPr>
          <w:sz w:val="22"/>
        </w:rPr>
        <w:t>November 19, 2009.</w:t>
      </w:r>
      <w:proofErr w:type="gramEnd"/>
    </w:p>
  </w:endnote>
  <w:endnote w:id="56">
    <w:p w:rsidR="00492B7D" w:rsidRPr="008E1EB3" w:rsidRDefault="00492B7D" w:rsidP="00B97D0C">
      <w:pPr>
        <w:rPr>
          <w:rFonts w:cs="Arial"/>
          <w:sz w:val="22"/>
        </w:rPr>
      </w:pPr>
      <w:r w:rsidRPr="008E1EB3">
        <w:rPr>
          <w:rStyle w:val="EndnoteReference"/>
          <w:sz w:val="22"/>
        </w:rPr>
        <w:endnoteRef/>
      </w:r>
      <w:r w:rsidRPr="008E1EB3">
        <w:rPr>
          <w:sz w:val="22"/>
        </w:rPr>
        <w:t xml:space="preserve"> </w:t>
      </w:r>
      <w:proofErr w:type="gramStart"/>
      <w:r w:rsidRPr="008E1EB3">
        <w:rPr>
          <w:rFonts w:cs="Arial"/>
          <w:sz w:val="22"/>
        </w:rPr>
        <w:t>U.S. Department of H</w:t>
      </w:r>
      <w:r>
        <w:rPr>
          <w:rFonts w:cs="Arial"/>
          <w:sz w:val="22"/>
        </w:rPr>
        <w:t>ealth and Human Services</w:t>
      </w:r>
      <w:r w:rsidRPr="008E1EB3">
        <w:rPr>
          <w:rFonts w:cs="Arial"/>
          <w:sz w:val="22"/>
        </w:rPr>
        <w:t>.</w:t>
      </w:r>
      <w:proofErr w:type="gramEnd"/>
      <w:r w:rsidRPr="008E1EB3">
        <w:rPr>
          <w:rFonts w:cs="Arial"/>
          <w:sz w:val="22"/>
        </w:rPr>
        <w:t xml:space="preserve"> </w:t>
      </w:r>
      <w:r w:rsidRPr="008E1EB3">
        <w:rPr>
          <w:rFonts w:cs="Arial"/>
          <w:i/>
          <w:iCs/>
          <w:sz w:val="22"/>
        </w:rPr>
        <w:t>Improving data for the LGBT community</w:t>
      </w:r>
      <w:r w:rsidRPr="008E1EB3">
        <w:rPr>
          <w:rFonts w:cs="Arial"/>
          <w:sz w:val="22"/>
        </w:rPr>
        <w:t xml:space="preserve">. </w:t>
      </w:r>
      <w:r>
        <w:rPr>
          <w:rFonts w:cs="Arial"/>
          <w:sz w:val="22"/>
        </w:rPr>
        <w:t>Rockville, MD: U.S. Department of Health and Human Services, 2011.</w:t>
      </w:r>
    </w:p>
    <w:p w:rsidR="00492B7D" w:rsidRPr="008E1EB3" w:rsidRDefault="003D15F0" w:rsidP="00B97D0C">
      <w:pPr>
        <w:rPr>
          <w:rFonts w:cs="Arial"/>
          <w:sz w:val="22"/>
        </w:rPr>
      </w:pPr>
      <w:hyperlink r:id="rId12" w:history="1">
        <w:r w:rsidR="00492B7D" w:rsidRPr="008E1EB3">
          <w:rPr>
            <w:rFonts w:cs="Arial"/>
            <w:color w:val="1221F9"/>
            <w:sz w:val="22"/>
          </w:rPr>
          <w:t>http://www.healthcare.gov/news/factsheets/2011/06/lgbt06292011a.html</w:t>
        </w:r>
      </w:hyperlink>
    </w:p>
  </w:endnote>
  <w:endnote w:id="57">
    <w:p w:rsidR="00492B7D" w:rsidRPr="008E1EB3" w:rsidRDefault="00492B7D" w:rsidP="006412FA">
      <w:pPr>
        <w:pStyle w:val="EndnoteText"/>
        <w:rPr>
          <w:sz w:val="22"/>
        </w:rPr>
      </w:pPr>
      <w:r w:rsidRPr="008E1EB3">
        <w:rPr>
          <w:rStyle w:val="EndnoteReference"/>
          <w:sz w:val="22"/>
        </w:rPr>
        <w:endnoteRef/>
      </w:r>
      <w:r w:rsidRPr="008E1EB3">
        <w:rPr>
          <w:sz w:val="22"/>
        </w:rPr>
        <w:t xml:space="preserve"> </w:t>
      </w:r>
      <w:r w:rsidRPr="008E1EB3">
        <w:rPr>
          <w:rFonts w:cs="Arial"/>
          <w:sz w:val="22"/>
        </w:rPr>
        <w:t xml:space="preserve">The Joint Commission: </w:t>
      </w:r>
      <w:r w:rsidRPr="008E1EB3">
        <w:rPr>
          <w:rFonts w:cs="Arial"/>
          <w:i/>
          <w:sz w:val="22"/>
        </w:rPr>
        <w:t>Advancing Effective Communication, Cultural Competence, and Patient- and Family-Centered Care: A Roadmap for Hospitals</w:t>
      </w:r>
      <w:r w:rsidRPr="008E1EB3">
        <w:rPr>
          <w:rFonts w:cs="Arial"/>
          <w:sz w:val="22"/>
        </w:rPr>
        <w:t>. Oakbrook Terrace, IL: The Joint Commission, 2010.</w:t>
      </w:r>
    </w:p>
  </w:endnote>
  <w:endnote w:id="58">
    <w:p w:rsidR="00492B7D" w:rsidRPr="008E1EB3" w:rsidRDefault="00492B7D">
      <w:pPr>
        <w:pStyle w:val="EndnoteText"/>
        <w:rPr>
          <w:sz w:val="22"/>
        </w:rPr>
      </w:pPr>
      <w:r w:rsidRPr="008E1EB3">
        <w:rPr>
          <w:rStyle w:val="EndnoteReference"/>
          <w:sz w:val="22"/>
        </w:rPr>
        <w:endnoteRef/>
      </w:r>
      <w:r w:rsidRPr="008E1EB3">
        <w:rPr>
          <w:sz w:val="22"/>
        </w:rPr>
        <w:t xml:space="preserve"> National Center for Education Statistics. </w:t>
      </w:r>
      <w:proofErr w:type="gramStart"/>
      <w:r w:rsidRPr="00B97D0C">
        <w:rPr>
          <w:i/>
          <w:sz w:val="22"/>
        </w:rPr>
        <w:t>National Assessment of Adult Literacy</w:t>
      </w:r>
      <w:r>
        <w:rPr>
          <w:sz w:val="22"/>
        </w:rPr>
        <w:t>.</w:t>
      </w:r>
      <w:proofErr w:type="gramEnd"/>
      <w:r w:rsidRPr="008E1EB3">
        <w:rPr>
          <w:sz w:val="22"/>
        </w:rPr>
        <w:t xml:space="preserve"> </w:t>
      </w:r>
      <w:r>
        <w:rPr>
          <w:sz w:val="22"/>
        </w:rPr>
        <w:t xml:space="preserve">Washington, DC: National Center for Education Statistics, 2003. </w:t>
      </w:r>
      <w:hyperlink r:id="rId13" w:history="1">
        <w:r w:rsidRPr="008E1EB3">
          <w:rPr>
            <w:rStyle w:val="Hyperlink"/>
            <w:sz w:val="22"/>
          </w:rPr>
          <w:t>http://nces.ed.gov/naal/</w:t>
        </w:r>
      </w:hyperlink>
    </w:p>
  </w:endnote>
  <w:endnote w:id="59">
    <w:p w:rsidR="00492B7D" w:rsidRPr="008E1EB3" w:rsidRDefault="00492B7D">
      <w:pPr>
        <w:pStyle w:val="EndnoteText"/>
        <w:rPr>
          <w:sz w:val="22"/>
        </w:rPr>
      </w:pPr>
      <w:r w:rsidRPr="008E1EB3">
        <w:rPr>
          <w:rStyle w:val="EndnoteReference"/>
          <w:sz w:val="22"/>
        </w:rPr>
        <w:endnoteRef/>
      </w:r>
      <w:r w:rsidRPr="008E1EB3">
        <w:rPr>
          <w:sz w:val="22"/>
        </w:rPr>
        <w:t xml:space="preserve"> </w:t>
      </w:r>
      <w:r>
        <w:rPr>
          <w:sz w:val="22"/>
        </w:rPr>
        <w:t xml:space="preserve">U.S. Department of Health and Human Services: </w:t>
      </w:r>
      <w:r w:rsidRPr="008E1EB3">
        <w:rPr>
          <w:sz w:val="22"/>
        </w:rPr>
        <w:t xml:space="preserve">National Committee on Vital and Health Statistics. </w:t>
      </w:r>
      <w:proofErr w:type="gramStart"/>
      <w:r>
        <w:rPr>
          <w:i/>
          <w:sz w:val="22"/>
        </w:rPr>
        <w:t>Development of standards for the collection of socioeconomic status in health surveys c</w:t>
      </w:r>
      <w:r w:rsidRPr="00B97D0C">
        <w:rPr>
          <w:i/>
          <w:sz w:val="22"/>
        </w:rPr>
        <w:t>onducted by the Department of Health and Human Services</w:t>
      </w:r>
      <w:r w:rsidRPr="008E1EB3">
        <w:rPr>
          <w:sz w:val="22"/>
        </w:rPr>
        <w:t>.</w:t>
      </w:r>
      <w:proofErr w:type="gramEnd"/>
      <w:r w:rsidRPr="008E1EB3">
        <w:rPr>
          <w:sz w:val="22"/>
        </w:rPr>
        <w:t xml:space="preserve"> </w:t>
      </w:r>
      <w:proofErr w:type="gramStart"/>
      <w:r>
        <w:rPr>
          <w:sz w:val="22"/>
        </w:rPr>
        <w:t>National Committee on Vital Health Statistics, 2012.</w:t>
      </w:r>
      <w:proofErr w:type="gramEnd"/>
      <w:r>
        <w:rPr>
          <w:sz w:val="22"/>
        </w:rPr>
        <w:t xml:space="preserve"> </w:t>
      </w:r>
      <w:r w:rsidRPr="008E1EB3">
        <w:rPr>
          <w:sz w:val="22"/>
        </w:rPr>
        <w:t>http://ncvhs.hhs.gov/120622lt.pdf</w:t>
      </w:r>
    </w:p>
  </w:endnote>
  <w:endnote w:id="60">
    <w:p w:rsidR="00492B7D" w:rsidRPr="008E1EB3" w:rsidRDefault="00492B7D" w:rsidP="007B019E">
      <w:pPr>
        <w:pStyle w:val="EndnoteText"/>
        <w:rPr>
          <w:sz w:val="22"/>
        </w:rPr>
      </w:pPr>
      <w:r w:rsidRPr="008E1EB3">
        <w:rPr>
          <w:rStyle w:val="EndnoteReference"/>
          <w:sz w:val="22"/>
        </w:rPr>
        <w:endnoteRef/>
      </w:r>
      <w:r w:rsidRPr="008E1EB3">
        <w:rPr>
          <w:sz w:val="22"/>
        </w:rPr>
        <w:t xml:space="preserve"> </w:t>
      </w:r>
      <w:proofErr w:type="gramStart"/>
      <w:r w:rsidRPr="00B97D0C">
        <w:rPr>
          <w:sz w:val="22"/>
        </w:rPr>
        <w:t>Centers for Disease Control and Prevention (CDC).</w:t>
      </w:r>
      <w:proofErr w:type="gramEnd"/>
      <w:r w:rsidRPr="00B97D0C">
        <w:rPr>
          <w:sz w:val="22"/>
        </w:rPr>
        <w:t xml:space="preserve"> </w:t>
      </w:r>
      <w:r>
        <w:rPr>
          <w:sz w:val="22"/>
        </w:rPr>
        <w:t xml:space="preserve">2010. </w:t>
      </w:r>
      <w:r w:rsidRPr="00F00208">
        <w:rPr>
          <w:i/>
          <w:sz w:val="22"/>
        </w:rPr>
        <w:t>Lesbian, Gay, Bisexual and Transgender Health</w:t>
      </w:r>
      <w:r w:rsidRPr="00B97D0C">
        <w:rPr>
          <w:sz w:val="22"/>
        </w:rPr>
        <w:t>.</w:t>
      </w:r>
      <w:r>
        <w:rPr>
          <w:sz w:val="22"/>
        </w:rPr>
        <w:t xml:space="preserve"> </w:t>
      </w:r>
      <w:hyperlink r:id="rId14" w:history="1">
        <w:r w:rsidRPr="004C51D2">
          <w:rPr>
            <w:rStyle w:val="Hyperlink"/>
            <w:sz w:val="22"/>
          </w:rPr>
          <w:t>http://www.cdc.gov/lgbthealth</w:t>
        </w:r>
      </w:hyperlink>
      <w:r>
        <w:rPr>
          <w:sz w:val="22"/>
        </w:rPr>
        <w:t xml:space="preserve">. </w:t>
      </w:r>
    </w:p>
  </w:endnote>
  <w:endnote w:id="61">
    <w:p w:rsidR="00492B7D" w:rsidRPr="008E1EB3" w:rsidRDefault="00492B7D" w:rsidP="00863334">
      <w:pPr>
        <w:rPr>
          <w:rFonts w:cs="Arial"/>
          <w:sz w:val="22"/>
        </w:rPr>
      </w:pPr>
      <w:r w:rsidRPr="008E1EB3">
        <w:rPr>
          <w:rStyle w:val="EndnoteReference"/>
          <w:sz w:val="22"/>
        </w:rPr>
        <w:endnoteRef/>
      </w:r>
      <w:r w:rsidRPr="008E1EB3">
        <w:rPr>
          <w:sz w:val="22"/>
        </w:rPr>
        <w:t xml:space="preserve"> </w:t>
      </w:r>
      <w:proofErr w:type="gramStart"/>
      <w:r>
        <w:rPr>
          <w:rFonts w:cs="Arial"/>
          <w:sz w:val="22"/>
        </w:rPr>
        <w:t>Institute of Medicine.</w:t>
      </w:r>
      <w:proofErr w:type="gramEnd"/>
      <w:r>
        <w:rPr>
          <w:rFonts w:cs="Arial"/>
          <w:sz w:val="22"/>
        </w:rPr>
        <w:t xml:space="preserve"> </w:t>
      </w:r>
      <w:r w:rsidRPr="008E1EB3">
        <w:rPr>
          <w:rFonts w:cs="Arial"/>
          <w:i/>
          <w:iCs/>
          <w:sz w:val="22"/>
        </w:rPr>
        <w:t>The health of lesbian, gay, bisexual, and transgender people: Building a foundation for better understanding.</w:t>
      </w:r>
      <w:r w:rsidRPr="008E1EB3">
        <w:rPr>
          <w:rFonts w:cs="Arial"/>
          <w:sz w:val="22"/>
        </w:rPr>
        <w:t xml:space="preserve"> Washington, D</w:t>
      </w:r>
      <w:r>
        <w:rPr>
          <w:rFonts w:cs="Arial"/>
          <w:sz w:val="22"/>
        </w:rPr>
        <w:t>C: The National Academies Press, 2011</w:t>
      </w:r>
    </w:p>
  </w:endnote>
  <w:endnote w:id="62">
    <w:p w:rsidR="00492B7D" w:rsidRPr="007B019E" w:rsidRDefault="00492B7D" w:rsidP="007B019E">
      <w:pPr>
        <w:pStyle w:val="ListParagraph"/>
        <w:ind w:left="0"/>
        <w:rPr>
          <w:rFonts w:cs="Verdana"/>
          <w:sz w:val="22"/>
          <w:szCs w:val="20"/>
        </w:rPr>
      </w:pPr>
      <w:r w:rsidRPr="008E1EB3">
        <w:rPr>
          <w:rStyle w:val="EndnoteReference"/>
          <w:sz w:val="22"/>
        </w:rPr>
        <w:endnoteRef/>
      </w:r>
      <w:r w:rsidRPr="008E1EB3">
        <w:rPr>
          <w:sz w:val="22"/>
        </w:rPr>
        <w:t xml:space="preserve"> </w:t>
      </w:r>
      <w:proofErr w:type="gramStart"/>
      <w:r w:rsidRPr="008E1EB3">
        <w:rPr>
          <w:rFonts w:cs="Verdana"/>
          <w:sz w:val="22"/>
          <w:szCs w:val="20"/>
        </w:rPr>
        <w:t>Mayer</w:t>
      </w:r>
      <w:r>
        <w:rPr>
          <w:rFonts w:cs="Verdana"/>
          <w:sz w:val="22"/>
          <w:szCs w:val="20"/>
        </w:rPr>
        <w:t>,</w:t>
      </w:r>
      <w:r w:rsidRPr="008E1EB3">
        <w:rPr>
          <w:rFonts w:cs="Verdana"/>
          <w:sz w:val="22"/>
          <w:szCs w:val="20"/>
        </w:rPr>
        <w:t xml:space="preserve"> K</w:t>
      </w:r>
      <w:r>
        <w:rPr>
          <w:rFonts w:cs="Verdana"/>
          <w:sz w:val="22"/>
          <w:szCs w:val="20"/>
        </w:rPr>
        <w:t>.</w:t>
      </w:r>
      <w:r w:rsidRPr="008E1EB3">
        <w:rPr>
          <w:rFonts w:cs="Verdana"/>
          <w:sz w:val="22"/>
          <w:szCs w:val="20"/>
        </w:rPr>
        <w:t>H</w:t>
      </w:r>
      <w:r>
        <w:rPr>
          <w:rFonts w:cs="Verdana"/>
          <w:sz w:val="22"/>
          <w:szCs w:val="20"/>
        </w:rPr>
        <w:t>.;</w:t>
      </w:r>
      <w:r w:rsidRPr="008E1EB3">
        <w:rPr>
          <w:rFonts w:cs="Verdana"/>
          <w:sz w:val="22"/>
          <w:szCs w:val="20"/>
        </w:rPr>
        <w:t xml:space="preserve"> Bradford</w:t>
      </w:r>
      <w:r>
        <w:rPr>
          <w:rFonts w:cs="Verdana"/>
          <w:sz w:val="22"/>
          <w:szCs w:val="20"/>
        </w:rPr>
        <w:t>,</w:t>
      </w:r>
      <w:r w:rsidRPr="008E1EB3">
        <w:rPr>
          <w:rFonts w:cs="Verdana"/>
          <w:sz w:val="22"/>
          <w:szCs w:val="20"/>
        </w:rPr>
        <w:t xml:space="preserve"> J</w:t>
      </w:r>
      <w:r>
        <w:rPr>
          <w:rFonts w:cs="Verdana"/>
          <w:sz w:val="22"/>
          <w:szCs w:val="20"/>
        </w:rPr>
        <w:t>.</w:t>
      </w:r>
      <w:r w:rsidRPr="008E1EB3">
        <w:rPr>
          <w:rFonts w:cs="Verdana"/>
          <w:sz w:val="22"/>
          <w:szCs w:val="20"/>
        </w:rPr>
        <w:t>B</w:t>
      </w:r>
      <w:r>
        <w:rPr>
          <w:rFonts w:cs="Verdana"/>
          <w:sz w:val="22"/>
          <w:szCs w:val="20"/>
        </w:rPr>
        <w:t>.;</w:t>
      </w:r>
      <w:r w:rsidRPr="008E1EB3">
        <w:rPr>
          <w:rFonts w:cs="Verdana"/>
          <w:sz w:val="22"/>
          <w:szCs w:val="20"/>
        </w:rPr>
        <w:t xml:space="preserve"> </w:t>
      </w:r>
      <w:proofErr w:type="spellStart"/>
      <w:r w:rsidRPr="008E1EB3">
        <w:rPr>
          <w:rFonts w:cs="Verdana"/>
          <w:sz w:val="22"/>
          <w:szCs w:val="20"/>
        </w:rPr>
        <w:t>Makadon</w:t>
      </w:r>
      <w:proofErr w:type="spellEnd"/>
      <w:r>
        <w:rPr>
          <w:rFonts w:cs="Verdana"/>
          <w:sz w:val="22"/>
          <w:szCs w:val="20"/>
        </w:rPr>
        <w:t>,</w:t>
      </w:r>
      <w:r w:rsidRPr="008E1EB3">
        <w:rPr>
          <w:rFonts w:cs="Verdana"/>
          <w:sz w:val="22"/>
          <w:szCs w:val="20"/>
        </w:rPr>
        <w:t xml:space="preserve"> H</w:t>
      </w:r>
      <w:r>
        <w:rPr>
          <w:rFonts w:cs="Verdana"/>
          <w:sz w:val="22"/>
          <w:szCs w:val="20"/>
        </w:rPr>
        <w:t>.</w:t>
      </w:r>
      <w:r w:rsidRPr="008E1EB3">
        <w:rPr>
          <w:rFonts w:cs="Verdana"/>
          <w:sz w:val="22"/>
          <w:szCs w:val="20"/>
        </w:rPr>
        <w:t>J</w:t>
      </w:r>
      <w:r>
        <w:rPr>
          <w:rFonts w:cs="Verdana"/>
          <w:sz w:val="22"/>
          <w:szCs w:val="20"/>
        </w:rPr>
        <w:t>., et al.</w:t>
      </w:r>
      <w:r w:rsidRPr="008E1EB3">
        <w:rPr>
          <w:rFonts w:cs="Verdana"/>
          <w:sz w:val="22"/>
          <w:szCs w:val="20"/>
        </w:rPr>
        <w:t xml:space="preserve"> </w:t>
      </w:r>
      <w:r>
        <w:rPr>
          <w:rFonts w:cs="Verdana"/>
          <w:sz w:val="22"/>
          <w:szCs w:val="20"/>
        </w:rPr>
        <w:t>2008.</w:t>
      </w:r>
      <w:proofErr w:type="gramEnd"/>
      <w:r>
        <w:rPr>
          <w:rFonts w:cs="Verdana"/>
          <w:sz w:val="22"/>
          <w:szCs w:val="20"/>
        </w:rPr>
        <w:t xml:space="preserve"> </w:t>
      </w:r>
      <w:r w:rsidRPr="008E1EB3">
        <w:rPr>
          <w:rFonts w:cs="Verdana"/>
          <w:sz w:val="22"/>
          <w:szCs w:val="20"/>
        </w:rPr>
        <w:t xml:space="preserve">Sexual and gender minority health: What we know and what needs to be done. </w:t>
      </w:r>
      <w:r w:rsidRPr="008E1EB3">
        <w:rPr>
          <w:rFonts w:cs="Verdana"/>
          <w:i/>
          <w:iCs/>
          <w:sz w:val="22"/>
          <w:szCs w:val="20"/>
        </w:rPr>
        <w:t>American Journal of Public Health</w:t>
      </w:r>
      <w:r>
        <w:rPr>
          <w:rFonts w:cs="Verdana"/>
          <w:sz w:val="22"/>
          <w:szCs w:val="20"/>
        </w:rPr>
        <w:t xml:space="preserve"> 98: 989-995.</w:t>
      </w:r>
    </w:p>
  </w:endnote>
  <w:endnote w:id="63">
    <w:p w:rsidR="00492B7D" w:rsidRPr="008E1EB3" w:rsidRDefault="00492B7D" w:rsidP="00863334">
      <w:pPr>
        <w:pStyle w:val="ListParagraph"/>
        <w:ind w:left="0"/>
        <w:rPr>
          <w:rFonts w:cs="Verdana"/>
          <w:sz w:val="22"/>
          <w:szCs w:val="20"/>
        </w:rPr>
      </w:pPr>
      <w:r w:rsidRPr="008E1EB3">
        <w:rPr>
          <w:rStyle w:val="EndnoteReference"/>
          <w:sz w:val="22"/>
        </w:rPr>
        <w:endnoteRef/>
      </w:r>
      <w:r w:rsidRPr="008E1EB3">
        <w:rPr>
          <w:sz w:val="22"/>
        </w:rPr>
        <w:t xml:space="preserve">  </w:t>
      </w:r>
      <w:r w:rsidRPr="008E1EB3">
        <w:rPr>
          <w:rFonts w:cs="Verdana"/>
          <w:sz w:val="22"/>
          <w:szCs w:val="20"/>
        </w:rPr>
        <w:t>Meyer</w:t>
      </w:r>
      <w:r>
        <w:rPr>
          <w:rFonts w:cs="Verdana"/>
          <w:sz w:val="22"/>
          <w:szCs w:val="20"/>
        </w:rPr>
        <w:t>,</w:t>
      </w:r>
      <w:r w:rsidRPr="008E1EB3">
        <w:rPr>
          <w:rFonts w:cs="Verdana"/>
          <w:sz w:val="22"/>
          <w:szCs w:val="20"/>
        </w:rPr>
        <w:t xml:space="preserve"> I</w:t>
      </w:r>
      <w:r>
        <w:rPr>
          <w:rFonts w:cs="Verdana"/>
          <w:sz w:val="22"/>
          <w:szCs w:val="20"/>
        </w:rPr>
        <w:t>.</w:t>
      </w:r>
      <w:r w:rsidRPr="008E1EB3">
        <w:rPr>
          <w:rFonts w:cs="Verdana"/>
          <w:sz w:val="22"/>
          <w:szCs w:val="20"/>
        </w:rPr>
        <w:t>L</w:t>
      </w:r>
      <w:r>
        <w:rPr>
          <w:rFonts w:cs="Verdana"/>
          <w:sz w:val="22"/>
          <w:szCs w:val="20"/>
        </w:rPr>
        <w:t xml:space="preserve">. and </w:t>
      </w:r>
      <w:r w:rsidRPr="008E1EB3">
        <w:rPr>
          <w:rFonts w:cs="Verdana"/>
          <w:sz w:val="22"/>
          <w:szCs w:val="20"/>
        </w:rPr>
        <w:t>Northridge</w:t>
      </w:r>
      <w:r>
        <w:rPr>
          <w:rFonts w:cs="Verdana"/>
          <w:sz w:val="22"/>
          <w:szCs w:val="20"/>
        </w:rPr>
        <w:t>,</w:t>
      </w:r>
      <w:r w:rsidRPr="008E1EB3">
        <w:rPr>
          <w:rFonts w:cs="Verdana"/>
          <w:sz w:val="22"/>
          <w:szCs w:val="20"/>
        </w:rPr>
        <w:t xml:space="preserve"> M</w:t>
      </w:r>
      <w:r>
        <w:rPr>
          <w:rFonts w:cs="Verdana"/>
          <w:sz w:val="22"/>
          <w:szCs w:val="20"/>
        </w:rPr>
        <w:t>.E.</w:t>
      </w:r>
      <w:r w:rsidRPr="008E1EB3">
        <w:rPr>
          <w:rFonts w:cs="Verdana"/>
          <w:sz w:val="22"/>
          <w:szCs w:val="20"/>
        </w:rPr>
        <w:t xml:space="preserve"> </w:t>
      </w:r>
      <w:r w:rsidRPr="008E1EB3">
        <w:rPr>
          <w:rFonts w:cs="Verdana"/>
          <w:i/>
          <w:iCs/>
          <w:sz w:val="22"/>
          <w:szCs w:val="20"/>
        </w:rPr>
        <w:t>The Health of Sexual Minorities: Public Health Perspectives on Lesbian, Gay, Bisexual and Transgender Populations</w:t>
      </w:r>
      <w:r>
        <w:rPr>
          <w:rFonts w:cs="Verdana"/>
          <w:sz w:val="22"/>
          <w:szCs w:val="20"/>
        </w:rPr>
        <w:t>. New York: Springer,</w:t>
      </w:r>
      <w:r w:rsidRPr="008E1EB3">
        <w:rPr>
          <w:rFonts w:cs="Verdana"/>
          <w:sz w:val="22"/>
          <w:szCs w:val="20"/>
        </w:rPr>
        <w:t xml:space="preserve"> 2007.</w:t>
      </w:r>
    </w:p>
  </w:endnote>
  <w:endnote w:id="64">
    <w:p w:rsidR="00492B7D" w:rsidRPr="008E1EB3" w:rsidRDefault="00492B7D">
      <w:pPr>
        <w:pStyle w:val="EndnoteText"/>
        <w:rPr>
          <w:i/>
          <w:sz w:val="22"/>
        </w:rPr>
      </w:pPr>
      <w:r w:rsidRPr="008E1EB3">
        <w:rPr>
          <w:rStyle w:val="EndnoteReference"/>
          <w:sz w:val="22"/>
        </w:rPr>
        <w:endnoteRef/>
      </w:r>
      <w:r w:rsidRPr="008E1EB3">
        <w:rPr>
          <w:sz w:val="22"/>
        </w:rPr>
        <w:t xml:space="preserve"> </w:t>
      </w:r>
      <w:proofErr w:type="gramStart"/>
      <w:r>
        <w:rPr>
          <w:rFonts w:cs="Arial"/>
          <w:sz w:val="22"/>
        </w:rPr>
        <w:t>Institute of Medicine.</w:t>
      </w:r>
      <w:proofErr w:type="gramEnd"/>
      <w:r>
        <w:rPr>
          <w:rFonts w:cs="Arial"/>
          <w:sz w:val="22"/>
        </w:rPr>
        <w:t xml:space="preserve"> </w:t>
      </w:r>
      <w:r w:rsidRPr="008E1EB3">
        <w:rPr>
          <w:rFonts w:cs="Arial"/>
          <w:i/>
          <w:iCs/>
          <w:sz w:val="22"/>
        </w:rPr>
        <w:t>The health of lesbian, gay, bisexual, and transgender people: Building a foundation for better understanding.</w:t>
      </w:r>
      <w:r w:rsidRPr="008E1EB3">
        <w:rPr>
          <w:rFonts w:cs="Arial"/>
          <w:sz w:val="22"/>
        </w:rPr>
        <w:t xml:space="preserve"> Washington, D</w:t>
      </w:r>
      <w:r>
        <w:rPr>
          <w:rFonts w:cs="Arial"/>
          <w:sz w:val="22"/>
        </w:rPr>
        <w:t>C: The National Academies Press, 2011.</w:t>
      </w:r>
    </w:p>
  </w:endnote>
  <w:endnote w:id="65">
    <w:p w:rsidR="00492B7D" w:rsidRPr="00A41204" w:rsidRDefault="00492B7D" w:rsidP="00492B7D">
      <w:pPr>
        <w:pStyle w:val="EndnoteText"/>
        <w:rPr>
          <w:sz w:val="20"/>
        </w:rPr>
      </w:pPr>
      <w:r>
        <w:rPr>
          <w:rStyle w:val="EndnoteReference"/>
        </w:rPr>
        <w:endnoteRef/>
      </w:r>
      <w:r>
        <w:t xml:space="preserve"> </w:t>
      </w:r>
      <w:r w:rsidRPr="00A41204">
        <w:rPr>
          <w:sz w:val="20"/>
        </w:rPr>
        <w:t xml:space="preserve">Harrison, A.E. 1996. Primary care of lesbian and gay patients: educating ourselves and our students. </w:t>
      </w:r>
      <w:r w:rsidRPr="00A41204">
        <w:rPr>
          <w:i/>
          <w:sz w:val="20"/>
        </w:rPr>
        <w:t>Family Medicine</w:t>
      </w:r>
      <w:r w:rsidRPr="00A41204">
        <w:rPr>
          <w:sz w:val="20"/>
        </w:rPr>
        <w:t xml:space="preserve"> 28 (1): 10-23.</w:t>
      </w:r>
    </w:p>
  </w:endnote>
  <w:endnote w:id="66">
    <w:p w:rsidR="00492B7D" w:rsidRDefault="00492B7D" w:rsidP="002F56D6">
      <w:pPr>
        <w:rPr>
          <w:rFonts w:cs="Arial"/>
          <w:sz w:val="22"/>
        </w:rPr>
      </w:pPr>
      <w:r w:rsidRPr="008E1EB3">
        <w:rPr>
          <w:rStyle w:val="EndnoteReference"/>
          <w:sz w:val="22"/>
        </w:rPr>
        <w:endnoteRef/>
      </w:r>
      <w:r w:rsidRPr="008E1EB3">
        <w:rPr>
          <w:sz w:val="22"/>
        </w:rPr>
        <w:t xml:space="preserve"> </w:t>
      </w:r>
      <w:r w:rsidRPr="008E1EB3">
        <w:rPr>
          <w:rFonts w:cs="Arial"/>
          <w:sz w:val="22"/>
        </w:rPr>
        <w:t>Gay and Lesbian Medical Association</w:t>
      </w:r>
      <w:r>
        <w:rPr>
          <w:rFonts w:cs="Arial"/>
          <w:sz w:val="22"/>
        </w:rPr>
        <w:t xml:space="preserve"> (GLMA)</w:t>
      </w:r>
      <w:r w:rsidRPr="008E1EB3">
        <w:rPr>
          <w:rFonts w:cs="Arial"/>
          <w:sz w:val="22"/>
        </w:rPr>
        <w:t xml:space="preserve">: </w:t>
      </w:r>
      <w:r w:rsidRPr="008E1EB3">
        <w:rPr>
          <w:rFonts w:cs="Arial"/>
          <w:i/>
          <w:sz w:val="22"/>
        </w:rPr>
        <w:t>Guidelines for Care of Lesbian, Gay, Bisexual and Transgender Patients</w:t>
      </w:r>
      <w:r w:rsidRPr="008E1EB3">
        <w:rPr>
          <w:rFonts w:cs="Arial"/>
          <w:sz w:val="22"/>
        </w:rPr>
        <w:t xml:space="preserve">. </w:t>
      </w:r>
      <w:r>
        <w:rPr>
          <w:rFonts w:cs="Arial"/>
          <w:sz w:val="22"/>
        </w:rPr>
        <w:t>Washington, DC: GLMA, 2006.</w:t>
      </w:r>
    </w:p>
    <w:p w:rsidR="00492B7D" w:rsidRPr="008E1EB3" w:rsidRDefault="00492B7D" w:rsidP="002F56D6">
      <w:pPr>
        <w:rPr>
          <w:rFonts w:cs="Arial"/>
          <w:sz w:val="22"/>
        </w:rPr>
      </w:pPr>
      <w:r w:rsidRPr="007B019E">
        <w:rPr>
          <w:rFonts w:cs="Arial"/>
          <w:sz w:val="22"/>
        </w:rPr>
        <w:t>http://glma.org/_data/n_0001/resources/live/GLMA%20guidelines%202006%20FINAL.pdf</w:t>
      </w:r>
    </w:p>
  </w:endnote>
  <w:endnote w:id="67">
    <w:p w:rsidR="00492B7D" w:rsidRPr="008E1EB3" w:rsidRDefault="00492B7D">
      <w:pPr>
        <w:pStyle w:val="EndnoteText"/>
        <w:rPr>
          <w:sz w:val="22"/>
        </w:rPr>
      </w:pPr>
      <w:r w:rsidRPr="008E1EB3">
        <w:rPr>
          <w:rStyle w:val="EndnoteReference"/>
          <w:sz w:val="22"/>
        </w:rPr>
        <w:endnoteRef/>
      </w:r>
      <w:r w:rsidRPr="008E1EB3">
        <w:rPr>
          <w:sz w:val="22"/>
        </w:rPr>
        <w:t xml:space="preserve"> The Joint Commission: </w:t>
      </w:r>
      <w:r>
        <w:rPr>
          <w:i/>
          <w:sz w:val="22"/>
        </w:rPr>
        <w:t>Advancing Effec</w:t>
      </w:r>
      <w:r w:rsidRPr="008E1EB3">
        <w:rPr>
          <w:i/>
          <w:sz w:val="22"/>
        </w:rPr>
        <w:t>t</w:t>
      </w:r>
      <w:r>
        <w:rPr>
          <w:i/>
          <w:sz w:val="22"/>
        </w:rPr>
        <w:t>i</w:t>
      </w:r>
      <w:r w:rsidRPr="008E1EB3">
        <w:rPr>
          <w:i/>
          <w:sz w:val="22"/>
        </w:rPr>
        <w:t>ve Communication, Cultural Competence, and Patient- and Family-Centered Care for the Lesbian, Gay, Bisexual, and Transgender (LGBT) Community: A Field Guide</w:t>
      </w:r>
      <w:r>
        <w:rPr>
          <w:sz w:val="22"/>
        </w:rPr>
        <w:t xml:space="preserve">. Oak Brook, IL, </w:t>
      </w:r>
      <w:r w:rsidRPr="008E1EB3">
        <w:rPr>
          <w:sz w:val="22"/>
        </w:rPr>
        <w:t xml:space="preserve">2011. </w:t>
      </w:r>
    </w:p>
  </w:endnote>
  <w:endnote w:id="68">
    <w:p w:rsidR="00492B7D" w:rsidRPr="007B019E" w:rsidRDefault="00492B7D" w:rsidP="007B019E">
      <w:pPr>
        <w:rPr>
          <w:rFonts w:cs="Arial"/>
          <w:sz w:val="22"/>
        </w:rPr>
      </w:pPr>
      <w:r w:rsidRPr="008E1EB3">
        <w:rPr>
          <w:rStyle w:val="EndnoteReference"/>
          <w:sz w:val="22"/>
        </w:rPr>
        <w:endnoteRef/>
      </w:r>
      <w:r w:rsidRPr="008E1EB3">
        <w:rPr>
          <w:sz w:val="22"/>
        </w:rPr>
        <w:t xml:space="preserve"> </w:t>
      </w:r>
      <w:proofErr w:type="gramStart"/>
      <w:r>
        <w:rPr>
          <w:rFonts w:cs="Arial"/>
          <w:sz w:val="22"/>
        </w:rPr>
        <w:t>Institute of Medicine.</w:t>
      </w:r>
      <w:proofErr w:type="gramEnd"/>
      <w:r>
        <w:rPr>
          <w:rFonts w:cs="Arial"/>
          <w:sz w:val="22"/>
        </w:rPr>
        <w:t xml:space="preserve"> </w:t>
      </w:r>
      <w:r w:rsidRPr="008E1EB3">
        <w:rPr>
          <w:rFonts w:cs="Arial"/>
          <w:i/>
          <w:iCs/>
          <w:sz w:val="22"/>
        </w:rPr>
        <w:t>The health of lesbian, gay, bisexual, and transgender people: Building a foundation for better understanding.</w:t>
      </w:r>
      <w:r w:rsidRPr="008E1EB3">
        <w:rPr>
          <w:rFonts w:cs="Arial"/>
          <w:sz w:val="22"/>
        </w:rPr>
        <w:t xml:space="preserve"> Washington, D</w:t>
      </w:r>
      <w:r>
        <w:rPr>
          <w:rFonts w:cs="Arial"/>
          <w:sz w:val="22"/>
        </w:rPr>
        <w:t>C: The National Academies Press, 2011.</w:t>
      </w:r>
    </w:p>
  </w:endnote>
  <w:endnote w:id="69">
    <w:p w:rsidR="00492B7D" w:rsidRPr="008E1EB3" w:rsidRDefault="00492B7D" w:rsidP="004B19EB">
      <w:pPr>
        <w:rPr>
          <w:rFonts w:cs="Arial"/>
          <w:sz w:val="22"/>
        </w:rPr>
      </w:pPr>
      <w:r w:rsidRPr="008E1EB3">
        <w:rPr>
          <w:rStyle w:val="EndnoteReference"/>
          <w:sz w:val="22"/>
        </w:rPr>
        <w:endnoteRef/>
      </w:r>
      <w:r w:rsidRPr="008E1EB3">
        <w:rPr>
          <w:sz w:val="22"/>
        </w:rPr>
        <w:t xml:space="preserve"> </w:t>
      </w:r>
      <w:proofErr w:type="gramStart"/>
      <w:r w:rsidRPr="008E1EB3">
        <w:rPr>
          <w:rFonts w:cs="Arial"/>
          <w:sz w:val="22"/>
        </w:rPr>
        <w:t>U.S. Department of Health and Human Services.</w:t>
      </w:r>
      <w:proofErr w:type="gramEnd"/>
      <w:r w:rsidRPr="008E1EB3">
        <w:rPr>
          <w:rFonts w:cs="Arial"/>
          <w:sz w:val="22"/>
        </w:rPr>
        <w:t xml:space="preserve"> (2011). </w:t>
      </w:r>
      <w:r w:rsidRPr="008E1EB3">
        <w:rPr>
          <w:rFonts w:cs="Arial"/>
          <w:i/>
          <w:iCs/>
          <w:sz w:val="22"/>
        </w:rPr>
        <w:t>Improving data for the LGBT community</w:t>
      </w:r>
      <w:r w:rsidRPr="008E1EB3">
        <w:rPr>
          <w:rFonts w:cs="Arial"/>
          <w:sz w:val="22"/>
        </w:rPr>
        <w:t xml:space="preserve">. </w:t>
      </w:r>
    </w:p>
    <w:p w:rsidR="00492B7D" w:rsidRPr="008E1EB3" w:rsidRDefault="003D15F0" w:rsidP="004B19EB">
      <w:pPr>
        <w:pStyle w:val="EndnoteText"/>
        <w:rPr>
          <w:sz w:val="22"/>
        </w:rPr>
      </w:pPr>
      <w:hyperlink r:id="rId15" w:history="1">
        <w:r w:rsidR="00492B7D" w:rsidRPr="008E1EB3">
          <w:rPr>
            <w:rFonts w:cs="Arial"/>
            <w:color w:val="1221F9"/>
            <w:sz w:val="22"/>
          </w:rPr>
          <w:t>http://www.healthcare.gov/news/factsheets/2011/06/lgbt06292011a.html</w:t>
        </w:r>
      </w:hyperlink>
    </w:p>
  </w:endnote>
  <w:endnote w:id="70">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Pr>
          <w:sz w:val="22"/>
        </w:rPr>
        <w:t>U.S. Department of Health and Human Services.</w:t>
      </w:r>
      <w:proofErr w:type="gramEnd"/>
      <w:r>
        <w:rPr>
          <w:sz w:val="22"/>
        </w:rPr>
        <w:t xml:space="preserve"> </w:t>
      </w:r>
      <w:r w:rsidRPr="008E1EB3">
        <w:rPr>
          <w:rFonts w:cs="Arial"/>
          <w:i/>
          <w:iCs/>
          <w:sz w:val="22"/>
        </w:rPr>
        <w:t>Final data collection standards for race, ethnicity, primary language, sex, and disability status required by Section 4302 of the Affordable Care Act</w:t>
      </w:r>
      <w:r w:rsidRPr="008E1EB3">
        <w:rPr>
          <w:rFonts w:cs="Arial"/>
          <w:sz w:val="22"/>
        </w:rPr>
        <w:t xml:space="preserve">. </w:t>
      </w:r>
      <w:r>
        <w:rPr>
          <w:sz w:val="22"/>
        </w:rPr>
        <w:t xml:space="preserve"> Rockville, MD: U.S. Department of Human Services, 2011. </w:t>
      </w:r>
      <w:proofErr w:type="gramStart"/>
      <w:r w:rsidRPr="00A73F0B">
        <w:rPr>
          <w:sz w:val="22"/>
        </w:rPr>
        <w:t>http://minorityhealth.hhs.gov/templates/browse.aspx?lvl=2&amp;lvlid=208</w:t>
      </w:r>
      <w:r>
        <w:rPr>
          <w:sz w:val="22"/>
        </w:rPr>
        <w:t>November 19, 2009.</w:t>
      </w:r>
      <w:proofErr w:type="gramEnd"/>
    </w:p>
  </w:endnote>
  <w:endnote w:id="71">
    <w:p w:rsidR="00492B7D" w:rsidRPr="008E1EB3" w:rsidRDefault="00492B7D" w:rsidP="002F56D6">
      <w:pPr>
        <w:rPr>
          <w:rFonts w:cs="Arial"/>
          <w:sz w:val="22"/>
        </w:rPr>
      </w:pPr>
      <w:r w:rsidRPr="008E1EB3">
        <w:rPr>
          <w:rStyle w:val="EndnoteReference"/>
          <w:sz w:val="22"/>
        </w:rPr>
        <w:endnoteRef/>
      </w:r>
      <w:r w:rsidRPr="008E1EB3">
        <w:rPr>
          <w:sz w:val="22"/>
        </w:rPr>
        <w:t xml:space="preserve"> </w:t>
      </w:r>
      <w:r w:rsidRPr="008E1EB3">
        <w:rPr>
          <w:rFonts w:cs="Arial"/>
          <w:sz w:val="22"/>
        </w:rPr>
        <w:t xml:space="preserve">American College of Physicians: </w:t>
      </w:r>
      <w:r w:rsidRPr="008E1EB3">
        <w:rPr>
          <w:rFonts w:cs="Arial"/>
          <w:i/>
          <w:sz w:val="22"/>
        </w:rPr>
        <w:t>The Fenway Guide to Lesbian, Gay, Bisexual and Transgender Health</w:t>
      </w:r>
      <w:r w:rsidRPr="008E1EB3">
        <w:rPr>
          <w:rFonts w:cs="Arial"/>
          <w:sz w:val="22"/>
        </w:rPr>
        <w:t>. Philadelphia: ACP, 2008.</w:t>
      </w:r>
    </w:p>
  </w:endnote>
  <w:endnote w:id="72">
    <w:p w:rsidR="00492B7D" w:rsidRPr="008E1EB3" w:rsidRDefault="00492B7D">
      <w:pPr>
        <w:pStyle w:val="EndnoteText"/>
        <w:rPr>
          <w:sz w:val="22"/>
        </w:rPr>
      </w:pPr>
      <w:r w:rsidRPr="008E1EB3">
        <w:rPr>
          <w:rStyle w:val="EndnoteReference"/>
          <w:sz w:val="22"/>
        </w:rPr>
        <w:endnoteRef/>
      </w:r>
      <w:r w:rsidRPr="008E1EB3">
        <w:rPr>
          <w:sz w:val="22"/>
        </w:rPr>
        <w:t xml:space="preserve"> The Joint Commission: </w:t>
      </w:r>
      <w:r>
        <w:rPr>
          <w:i/>
          <w:sz w:val="22"/>
        </w:rPr>
        <w:t>Advancing Effec</w:t>
      </w:r>
      <w:r w:rsidRPr="008E1EB3">
        <w:rPr>
          <w:i/>
          <w:sz w:val="22"/>
        </w:rPr>
        <w:t>t</w:t>
      </w:r>
      <w:r>
        <w:rPr>
          <w:i/>
          <w:sz w:val="22"/>
        </w:rPr>
        <w:t>i</w:t>
      </w:r>
      <w:r w:rsidRPr="008E1EB3">
        <w:rPr>
          <w:i/>
          <w:sz w:val="22"/>
        </w:rPr>
        <w:t>ve Communication, Cultural Competence, and Patient- and Family-Centered Care for the Lesbian, Gay, Bisexual, and Transgender (LGBT) Community: A Field Guide</w:t>
      </w:r>
      <w:r>
        <w:rPr>
          <w:sz w:val="22"/>
        </w:rPr>
        <w:t xml:space="preserve">. Oak Brook, IL, </w:t>
      </w:r>
      <w:r w:rsidRPr="008E1EB3">
        <w:rPr>
          <w:sz w:val="22"/>
        </w:rPr>
        <w:t xml:space="preserve">2011. </w:t>
      </w:r>
    </w:p>
  </w:endnote>
  <w:endnote w:id="73">
    <w:p w:rsidR="00492B7D" w:rsidRPr="008E1EB3" w:rsidRDefault="00492B7D" w:rsidP="00EC7EC7">
      <w:pPr>
        <w:rPr>
          <w:rFonts w:cs="Arial"/>
          <w:sz w:val="22"/>
        </w:rPr>
      </w:pPr>
      <w:r w:rsidRPr="008E1EB3">
        <w:rPr>
          <w:rStyle w:val="EndnoteReference"/>
          <w:sz w:val="22"/>
        </w:rPr>
        <w:endnoteRef/>
      </w:r>
      <w:r w:rsidRPr="008E1EB3">
        <w:rPr>
          <w:sz w:val="22"/>
        </w:rPr>
        <w:t xml:space="preserve"> </w:t>
      </w:r>
      <w:proofErr w:type="gramStart"/>
      <w:r>
        <w:rPr>
          <w:rFonts w:cs="Arial"/>
          <w:sz w:val="22"/>
        </w:rPr>
        <w:t>Institute of Medicine</w:t>
      </w:r>
      <w:r w:rsidRPr="008E1EB3">
        <w:rPr>
          <w:rFonts w:cs="Arial"/>
          <w:sz w:val="22"/>
        </w:rPr>
        <w:t>.</w:t>
      </w:r>
      <w:proofErr w:type="gramEnd"/>
      <w:r w:rsidRPr="008E1EB3">
        <w:rPr>
          <w:rFonts w:cs="Arial"/>
          <w:sz w:val="22"/>
        </w:rPr>
        <w:t xml:space="preserve"> </w:t>
      </w:r>
      <w:r w:rsidRPr="008E1EB3">
        <w:rPr>
          <w:rFonts w:cs="Arial"/>
          <w:i/>
          <w:iCs/>
          <w:sz w:val="22"/>
        </w:rPr>
        <w:t>The health of lesbian, gay, bisexual, and transgender people: Building a foundation for better understanding.</w:t>
      </w:r>
      <w:r w:rsidRPr="008E1EB3">
        <w:rPr>
          <w:rFonts w:cs="Arial"/>
          <w:sz w:val="22"/>
        </w:rPr>
        <w:t xml:space="preserve"> Washington, DC: The National Academies Press</w:t>
      </w:r>
      <w:r>
        <w:rPr>
          <w:rFonts w:cs="Arial"/>
          <w:sz w:val="22"/>
        </w:rPr>
        <w:t>, 2011</w:t>
      </w:r>
      <w:r w:rsidRPr="008E1EB3">
        <w:rPr>
          <w:rFonts w:cs="Arial"/>
          <w:sz w:val="22"/>
        </w:rPr>
        <w:t>.</w:t>
      </w:r>
    </w:p>
  </w:endnote>
  <w:endnote w:id="74">
    <w:p w:rsidR="00492B7D" w:rsidRPr="008E1EB3" w:rsidRDefault="00492B7D" w:rsidP="00046D70">
      <w:pPr>
        <w:pStyle w:val="EndnoteText"/>
        <w:rPr>
          <w:sz w:val="22"/>
        </w:rPr>
      </w:pPr>
      <w:r w:rsidRPr="008E1EB3">
        <w:rPr>
          <w:rStyle w:val="EndnoteReference"/>
          <w:sz w:val="22"/>
        </w:rPr>
        <w:endnoteRef/>
      </w:r>
      <w:r w:rsidRPr="008E1EB3">
        <w:rPr>
          <w:sz w:val="22"/>
        </w:rPr>
        <w:t xml:space="preserve"> The Joint Commission: </w:t>
      </w:r>
      <w:r w:rsidRPr="008E1EB3">
        <w:rPr>
          <w:i/>
          <w:sz w:val="22"/>
        </w:rPr>
        <w:t>Advancing Effective Communication, Cultural Competence, and Patient- and Family-Centered Care for the Lesbian, Gay, Bisexual, and Transgender (LGBT) Community: A Field Guide</w:t>
      </w:r>
      <w:r w:rsidRPr="008E1EB3">
        <w:rPr>
          <w:sz w:val="22"/>
        </w:rPr>
        <w:t xml:space="preserve">. Oak Brook, IL, Oct. 2011. </w:t>
      </w:r>
    </w:p>
  </w:endnote>
  <w:endnote w:id="75">
    <w:p w:rsidR="00492B7D" w:rsidRPr="008E1EB3" w:rsidRDefault="00492B7D" w:rsidP="002E0BA5">
      <w:pPr>
        <w:rPr>
          <w:b/>
          <w:bCs/>
          <w:sz w:val="22"/>
        </w:rPr>
      </w:pPr>
      <w:r>
        <w:rPr>
          <w:rStyle w:val="EndnoteReference"/>
        </w:rPr>
        <w:endnoteRef/>
      </w:r>
      <w:r>
        <w:t xml:space="preserve"> </w:t>
      </w:r>
      <w:proofErr w:type="spellStart"/>
      <w:r w:rsidRPr="008E1EB3">
        <w:rPr>
          <w:sz w:val="22"/>
        </w:rPr>
        <w:t>Kailes</w:t>
      </w:r>
      <w:proofErr w:type="spellEnd"/>
      <w:r w:rsidRPr="008E1EB3">
        <w:rPr>
          <w:sz w:val="22"/>
        </w:rPr>
        <w:t xml:space="preserve">, J., </w:t>
      </w:r>
      <w:r w:rsidRPr="002E0BA5">
        <w:rPr>
          <w:bCs/>
          <w:i/>
          <w:sz w:val="22"/>
        </w:rPr>
        <w:t>Tips for Interacting with People with Disabilities</w:t>
      </w:r>
      <w:r w:rsidRPr="008E1EB3">
        <w:rPr>
          <w:bCs/>
          <w:sz w:val="22"/>
        </w:rPr>
        <w:t>,</w:t>
      </w:r>
    </w:p>
    <w:p w:rsidR="00492B7D" w:rsidRDefault="00492B7D" w:rsidP="002E0BA5">
      <w:pPr>
        <w:pStyle w:val="EndnoteText"/>
      </w:pPr>
      <w:r>
        <w:rPr>
          <w:sz w:val="22"/>
        </w:rPr>
        <w:t xml:space="preserve">Pomona, CA: </w:t>
      </w:r>
      <w:r w:rsidRPr="002E0BA5">
        <w:rPr>
          <w:sz w:val="22"/>
        </w:rPr>
        <w:t xml:space="preserve">Harris Family Center </w:t>
      </w:r>
      <w:r>
        <w:rPr>
          <w:sz w:val="22"/>
        </w:rPr>
        <w:t>for Disability and Health Policy, 2011.</w:t>
      </w:r>
    </w:p>
  </w:endnote>
  <w:endnote w:id="76">
    <w:p w:rsidR="00492B7D" w:rsidRPr="008E1EB3" w:rsidRDefault="00492B7D" w:rsidP="00633ADC">
      <w:pPr>
        <w:rPr>
          <w:sz w:val="22"/>
          <w:szCs w:val="20"/>
        </w:rPr>
      </w:pPr>
      <w:r w:rsidRPr="002E0BA5">
        <w:rPr>
          <w:rStyle w:val="EndnoteReference"/>
          <w:sz w:val="22"/>
        </w:rPr>
        <w:endnoteRef/>
      </w:r>
      <w:r w:rsidRPr="002E0BA5">
        <w:rPr>
          <w:sz w:val="22"/>
        </w:rPr>
        <w:t xml:space="preserve"> </w:t>
      </w:r>
      <w:r w:rsidRPr="002E0BA5">
        <w:rPr>
          <w:sz w:val="22"/>
          <w:szCs w:val="20"/>
        </w:rPr>
        <w:t>Collins</w:t>
      </w:r>
      <w:r>
        <w:rPr>
          <w:sz w:val="22"/>
          <w:szCs w:val="20"/>
        </w:rPr>
        <w:t>,</w:t>
      </w:r>
      <w:r w:rsidRPr="002E0BA5">
        <w:rPr>
          <w:sz w:val="22"/>
          <w:szCs w:val="20"/>
        </w:rPr>
        <w:t xml:space="preserve"> J</w:t>
      </w:r>
      <w:r>
        <w:rPr>
          <w:sz w:val="22"/>
          <w:szCs w:val="20"/>
        </w:rPr>
        <w:t>.</w:t>
      </w:r>
      <w:r w:rsidRPr="002E0BA5">
        <w:rPr>
          <w:sz w:val="22"/>
          <w:szCs w:val="20"/>
        </w:rPr>
        <w:t>G.</w:t>
      </w:r>
      <w:r>
        <w:rPr>
          <w:sz w:val="22"/>
          <w:szCs w:val="20"/>
        </w:rPr>
        <w:t>1997.</w:t>
      </w:r>
      <w:r w:rsidRPr="008E1EB3">
        <w:rPr>
          <w:i/>
          <w:sz w:val="22"/>
          <w:szCs w:val="20"/>
        </w:rPr>
        <w:t xml:space="preserve"> </w:t>
      </w:r>
      <w:r w:rsidRPr="002E0BA5">
        <w:rPr>
          <w:sz w:val="22"/>
          <w:szCs w:val="20"/>
        </w:rPr>
        <w:t>Prevalence of selected chronic conditions: United States, 1990–199</w:t>
      </w:r>
      <w:r w:rsidRPr="008E1EB3">
        <w:rPr>
          <w:i/>
          <w:sz w:val="22"/>
          <w:szCs w:val="20"/>
        </w:rPr>
        <w:t>2. Vital Health Stat</w:t>
      </w:r>
      <w:r>
        <w:rPr>
          <w:i/>
          <w:sz w:val="22"/>
          <w:szCs w:val="20"/>
        </w:rPr>
        <w:t>istics</w:t>
      </w:r>
      <w:r w:rsidRPr="008E1EB3">
        <w:rPr>
          <w:i/>
          <w:sz w:val="22"/>
          <w:szCs w:val="20"/>
        </w:rPr>
        <w:t xml:space="preserve"> 10 (194): 1–89.</w:t>
      </w:r>
    </w:p>
  </w:endnote>
  <w:endnote w:id="77">
    <w:p w:rsidR="00492B7D" w:rsidRPr="008E1EB3" w:rsidRDefault="00492B7D" w:rsidP="00633ADC">
      <w:pPr>
        <w:pStyle w:val="EndnoteText"/>
        <w:rPr>
          <w:sz w:val="22"/>
        </w:rPr>
      </w:pPr>
      <w:r w:rsidRPr="008E1EB3">
        <w:rPr>
          <w:rStyle w:val="EndnoteReference"/>
          <w:sz w:val="22"/>
        </w:rPr>
        <w:endnoteRef/>
      </w:r>
      <w:r>
        <w:rPr>
          <w:sz w:val="22"/>
        </w:rPr>
        <w:t xml:space="preserve"> Meador, H.</w:t>
      </w:r>
      <w:r w:rsidRPr="008E1EB3">
        <w:rPr>
          <w:sz w:val="22"/>
        </w:rPr>
        <w:t>E</w:t>
      </w:r>
      <w:r>
        <w:rPr>
          <w:sz w:val="22"/>
        </w:rPr>
        <w:t>. and</w:t>
      </w:r>
      <w:r w:rsidRPr="008E1EB3">
        <w:rPr>
          <w:sz w:val="22"/>
        </w:rPr>
        <w:t xml:space="preserve"> </w:t>
      </w:r>
      <w:proofErr w:type="spellStart"/>
      <w:r w:rsidRPr="008E1EB3">
        <w:rPr>
          <w:sz w:val="22"/>
        </w:rPr>
        <w:t>Zazove</w:t>
      </w:r>
      <w:proofErr w:type="spellEnd"/>
      <w:r>
        <w:rPr>
          <w:sz w:val="22"/>
        </w:rPr>
        <w:t xml:space="preserve">, P. 2005. </w:t>
      </w:r>
      <w:proofErr w:type="gramStart"/>
      <w:r>
        <w:rPr>
          <w:sz w:val="22"/>
        </w:rPr>
        <w:t>Health care interactions with deaf culture.</w:t>
      </w:r>
      <w:proofErr w:type="gramEnd"/>
      <w:r w:rsidRPr="008E1EB3">
        <w:rPr>
          <w:sz w:val="22"/>
        </w:rPr>
        <w:t xml:space="preserve"> </w:t>
      </w:r>
      <w:r w:rsidRPr="00F11149">
        <w:rPr>
          <w:i/>
          <w:sz w:val="22"/>
        </w:rPr>
        <w:t>Journal of the American Board of Family Medicine</w:t>
      </w:r>
      <w:r>
        <w:rPr>
          <w:sz w:val="22"/>
        </w:rPr>
        <w:t xml:space="preserve"> 18 (</w:t>
      </w:r>
      <w:r w:rsidRPr="008E1EB3">
        <w:rPr>
          <w:sz w:val="22"/>
        </w:rPr>
        <w:t>3</w:t>
      </w:r>
      <w:r>
        <w:rPr>
          <w:sz w:val="22"/>
        </w:rPr>
        <w:t>):</w:t>
      </w:r>
      <w:r w:rsidRPr="008E1EB3">
        <w:rPr>
          <w:sz w:val="22"/>
        </w:rPr>
        <w:t xml:space="preserve"> 218-222</w:t>
      </w:r>
      <w:r>
        <w:rPr>
          <w:sz w:val="22"/>
        </w:rPr>
        <w:t>.</w:t>
      </w:r>
    </w:p>
  </w:endnote>
  <w:endnote w:id="78">
    <w:p w:rsidR="00492B7D" w:rsidRPr="008E1EB3" w:rsidRDefault="00492B7D" w:rsidP="00633ADC">
      <w:pPr>
        <w:pStyle w:val="EndnoteText"/>
        <w:rPr>
          <w:sz w:val="22"/>
        </w:rPr>
      </w:pPr>
      <w:r w:rsidRPr="008E1EB3">
        <w:rPr>
          <w:rStyle w:val="EndnoteReference"/>
          <w:sz w:val="22"/>
        </w:rPr>
        <w:endnoteRef/>
      </w:r>
      <w:r w:rsidRPr="008E1EB3">
        <w:rPr>
          <w:sz w:val="22"/>
        </w:rPr>
        <w:t xml:space="preserve"> Massachusetts Department of Public Health. </w:t>
      </w:r>
      <w:proofErr w:type="gramStart"/>
      <w:r w:rsidRPr="008E1EB3">
        <w:rPr>
          <w:i/>
          <w:sz w:val="22"/>
        </w:rPr>
        <w:t>Introduction to Deaf Culture for Behavioral Health Practitioners</w:t>
      </w:r>
      <w:r w:rsidRPr="008E1EB3">
        <w:rPr>
          <w:sz w:val="22"/>
        </w:rPr>
        <w:t>.</w:t>
      </w:r>
      <w:proofErr w:type="gramEnd"/>
      <w:r w:rsidRPr="008E1EB3">
        <w:rPr>
          <w:sz w:val="22"/>
        </w:rPr>
        <w:t xml:space="preserve"> </w:t>
      </w:r>
      <w:r>
        <w:rPr>
          <w:sz w:val="22"/>
        </w:rPr>
        <w:t xml:space="preserve">Boston: Massachusetts Department of Public Health, </w:t>
      </w:r>
      <w:r w:rsidRPr="008E1EB3">
        <w:rPr>
          <w:sz w:val="22"/>
        </w:rPr>
        <w:t>2013.</w:t>
      </w:r>
    </w:p>
  </w:endnote>
  <w:endnote w:id="79">
    <w:p w:rsidR="00492B7D" w:rsidRPr="008E1EB3" w:rsidRDefault="00492B7D" w:rsidP="00633ADC">
      <w:pPr>
        <w:pStyle w:val="EndnoteText"/>
        <w:rPr>
          <w:sz w:val="22"/>
        </w:rPr>
      </w:pPr>
      <w:r w:rsidRPr="008E1EB3">
        <w:rPr>
          <w:rStyle w:val="EndnoteReference"/>
          <w:sz w:val="22"/>
        </w:rPr>
        <w:endnoteRef/>
      </w:r>
      <w:r w:rsidRPr="008E1EB3">
        <w:rPr>
          <w:sz w:val="22"/>
        </w:rPr>
        <w:t xml:space="preserve"> </w:t>
      </w:r>
      <w:proofErr w:type="gramStart"/>
      <w:r w:rsidRPr="00F11149">
        <w:rPr>
          <w:rStyle w:val="HTMLCite"/>
          <w:i w:val="0"/>
          <w:sz w:val="22"/>
        </w:rPr>
        <w:t>Lass</w:t>
      </w:r>
      <w:r>
        <w:rPr>
          <w:rStyle w:val="HTMLCite"/>
          <w:i w:val="0"/>
          <w:sz w:val="22"/>
        </w:rPr>
        <w:t>,</w:t>
      </w:r>
      <w:r w:rsidRPr="00F11149">
        <w:rPr>
          <w:rStyle w:val="HTMLCite"/>
          <w:i w:val="0"/>
          <w:sz w:val="22"/>
        </w:rPr>
        <w:t xml:space="preserve"> G</w:t>
      </w:r>
      <w:r>
        <w:rPr>
          <w:rStyle w:val="HTMLCite"/>
          <w:i w:val="0"/>
          <w:sz w:val="22"/>
        </w:rPr>
        <w:t>.;</w:t>
      </w:r>
      <w:r w:rsidRPr="00F11149">
        <w:rPr>
          <w:rStyle w:val="HTMLCite"/>
          <w:i w:val="0"/>
          <w:sz w:val="22"/>
        </w:rPr>
        <w:t xml:space="preserve"> Franklin</w:t>
      </w:r>
      <w:r>
        <w:rPr>
          <w:rStyle w:val="HTMLCite"/>
          <w:i w:val="0"/>
          <w:sz w:val="22"/>
        </w:rPr>
        <w:t>,</w:t>
      </w:r>
      <w:r w:rsidRPr="00F11149">
        <w:rPr>
          <w:rStyle w:val="HTMLCite"/>
          <w:i w:val="0"/>
          <w:sz w:val="22"/>
        </w:rPr>
        <w:t xml:space="preserve"> R</w:t>
      </w:r>
      <w:r>
        <w:rPr>
          <w:rStyle w:val="HTMLCite"/>
          <w:i w:val="0"/>
          <w:sz w:val="22"/>
        </w:rPr>
        <w:t xml:space="preserve">.; </w:t>
      </w:r>
      <w:r w:rsidRPr="00F11149">
        <w:rPr>
          <w:rStyle w:val="HTMLCite"/>
          <w:i w:val="0"/>
          <w:sz w:val="22"/>
        </w:rPr>
        <w:t>Bertrand</w:t>
      </w:r>
      <w:r>
        <w:rPr>
          <w:rStyle w:val="HTMLCite"/>
          <w:i w:val="0"/>
          <w:sz w:val="22"/>
        </w:rPr>
        <w:t>,</w:t>
      </w:r>
      <w:r w:rsidRPr="00F11149">
        <w:rPr>
          <w:rStyle w:val="HTMLCite"/>
          <w:i w:val="0"/>
          <w:sz w:val="22"/>
        </w:rPr>
        <w:t xml:space="preserve"> W</w:t>
      </w:r>
      <w:r>
        <w:rPr>
          <w:rStyle w:val="HTMLCite"/>
          <w:i w:val="0"/>
          <w:sz w:val="22"/>
        </w:rPr>
        <w:t>.;</w:t>
      </w:r>
      <w:r w:rsidRPr="00F11149">
        <w:rPr>
          <w:rStyle w:val="HTMLCite"/>
          <w:i w:val="0"/>
          <w:sz w:val="22"/>
        </w:rPr>
        <w:t xml:space="preserve"> </w:t>
      </w:r>
      <w:r>
        <w:rPr>
          <w:rStyle w:val="HTMLCite"/>
          <w:i w:val="0"/>
          <w:sz w:val="22"/>
        </w:rPr>
        <w:t xml:space="preserve">and </w:t>
      </w:r>
      <w:r w:rsidRPr="00F11149">
        <w:rPr>
          <w:rStyle w:val="HTMLCite"/>
          <w:i w:val="0"/>
          <w:sz w:val="22"/>
        </w:rPr>
        <w:t>Baker J</w:t>
      </w:r>
      <w:r w:rsidRPr="00F11149">
        <w:rPr>
          <w:rStyle w:val="HTMLCite"/>
          <w:sz w:val="22"/>
        </w:rPr>
        <w:t xml:space="preserve">. </w:t>
      </w:r>
      <w:r>
        <w:rPr>
          <w:rStyle w:val="HTMLCite"/>
          <w:sz w:val="22"/>
        </w:rPr>
        <w:t>1978.</w:t>
      </w:r>
      <w:proofErr w:type="gramEnd"/>
      <w:r>
        <w:rPr>
          <w:rStyle w:val="HTMLCite"/>
          <w:sz w:val="22"/>
        </w:rPr>
        <w:t xml:space="preserve"> </w:t>
      </w:r>
      <w:r w:rsidRPr="00F11149">
        <w:rPr>
          <w:rStyle w:val="HTMLCite"/>
          <w:i w:val="0"/>
          <w:sz w:val="22"/>
        </w:rPr>
        <w:t>Health knowledge, attitudes and practices of the deaf population in greater New Orleans—a pilot study</w:t>
      </w:r>
      <w:r w:rsidRPr="008E1EB3">
        <w:rPr>
          <w:rStyle w:val="HTMLCite"/>
          <w:sz w:val="22"/>
        </w:rPr>
        <w:t xml:space="preserve">. </w:t>
      </w:r>
      <w:r w:rsidRPr="008E1EB3">
        <w:rPr>
          <w:rStyle w:val="cit-source"/>
          <w:i/>
          <w:sz w:val="22"/>
        </w:rPr>
        <w:t>Am</w:t>
      </w:r>
      <w:r>
        <w:rPr>
          <w:rStyle w:val="cit-source"/>
          <w:i/>
          <w:sz w:val="22"/>
        </w:rPr>
        <w:t>erican</w:t>
      </w:r>
      <w:r w:rsidRPr="008E1EB3">
        <w:rPr>
          <w:rStyle w:val="cit-source"/>
          <w:i/>
          <w:sz w:val="22"/>
        </w:rPr>
        <w:t xml:space="preserve"> Ann</w:t>
      </w:r>
      <w:r>
        <w:rPr>
          <w:rStyle w:val="cit-source"/>
          <w:i/>
          <w:sz w:val="22"/>
        </w:rPr>
        <w:t>als of the</w:t>
      </w:r>
      <w:r w:rsidRPr="008E1EB3">
        <w:rPr>
          <w:rStyle w:val="cit-source"/>
          <w:i/>
          <w:sz w:val="22"/>
        </w:rPr>
        <w:t xml:space="preserve"> Deaf</w:t>
      </w:r>
      <w:r w:rsidRPr="008E1EB3">
        <w:rPr>
          <w:rStyle w:val="HTMLCite"/>
          <w:sz w:val="22"/>
        </w:rPr>
        <w:t xml:space="preserve"> </w:t>
      </w:r>
      <w:r w:rsidRPr="008E1EB3">
        <w:rPr>
          <w:rStyle w:val="cit-pub-date"/>
          <w:i/>
          <w:sz w:val="22"/>
        </w:rPr>
        <w:t>1978</w:t>
      </w:r>
      <w:r w:rsidRPr="008E1EB3">
        <w:rPr>
          <w:rStyle w:val="HTMLCite"/>
          <w:sz w:val="22"/>
        </w:rPr>
        <w:t xml:space="preserve">; </w:t>
      </w:r>
      <w:r w:rsidRPr="008E1EB3">
        <w:rPr>
          <w:rStyle w:val="cit-vol"/>
          <w:i/>
          <w:sz w:val="22"/>
        </w:rPr>
        <w:t>123</w:t>
      </w:r>
      <w:r w:rsidRPr="008E1EB3">
        <w:rPr>
          <w:rStyle w:val="HTMLCite"/>
          <w:sz w:val="22"/>
        </w:rPr>
        <w:t xml:space="preserve">: </w:t>
      </w:r>
      <w:r w:rsidRPr="008E1EB3">
        <w:rPr>
          <w:rStyle w:val="cit-fpage"/>
          <w:i/>
          <w:sz w:val="22"/>
        </w:rPr>
        <w:t>960</w:t>
      </w:r>
      <w:r w:rsidRPr="008E1EB3">
        <w:rPr>
          <w:rStyle w:val="HTMLCite"/>
          <w:sz w:val="22"/>
        </w:rPr>
        <w:t>–7</w:t>
      </w:r>
    </w:p>
  </w:endnote>
  <w:endnote w:id="80">
    <w:p w:rsidR="00492B7D" w:rsidRPr="008E1EB3" w:rsidRDefault="00492B7D" w:rsidP="00633ADC">
      <w:pPr>
        <w:rPr>
          <w:sz w:val="22"/>
          <w:szCs w:val="20"/>
        </w:rPr>
      </w:pPr>
      <w:r w:rsidRPr="008E1EB3">
        <w:rPr>
          <w:rStyle w:val="EndnoteReference"/>
          <w:sz w:val="22"/>
        </w:rPr>
        <w:endnoteRef/>
      </w:r>
      <w:r w:rsidRPr="008E1EB3">
        <w:rPr>
          <w:sz w:val="22"/>
        </w:rPr>
        <w:t xml:space="preserve"> </w:t>
      </w:r>
      <w:proofErr w:type="spellStart"/>
      <w:r w:rsidRPr="00F11149">
        <w:rPr>
          <w:sz w:val="22"/>
          <w:szCs w:val="20"/>
        </w:rPr>
        <w:t>Tamaskar</w:t>
      </w:r>
      <w:proofErr w:type="spellEnd"/>
      <w:r w:rsidRPr="00F11149">
        <w:rPr>
          <w:sz w:val="22"/>
          <w:szCs w:val="20"/>
        </w:rPr>
        <w:t xml:space="preserve"> P, Stern C, </w:t>
      </w:r>
      <w:proofErr w:type="spellStart"/>
      <w:r w:rsidRPr="00F11149">
        <w:rPr>
          <w:sz w:val="22"/>
          <w:szCs w:val="20"/>
        </w:rPr>
        <w:t>Gorenflo</w:t>
      </w:r>
      <w:proofErr w:type="spellEnd"/>
      <w:r w:rsidRPr="00F11149">
        <w:rPr>
          <w:sz w:val="22"/>
          <w:szCs w:val="20"/>
        </w:rPr>
        <w:t xml:space="preserve"> DW, Meador H, </w:t>
      </w:r>
      <w:proofErr w:type="spellStart"/>
      <w:r w:rsidRPr="00F11149">
        <w:rPr>
          <w:sz w:val="22"/>
          <w:szCs w:val="20"/>
        </w:rPr>
        <w:t>Zazove</w:t>
      </w:r>
      <w:proofErr w:type="spellEnd"/>
      <w:r w:rsidRPr="00F11149">
        <w:rPr>
          <w:sz w:val="22"/>
          <w:szCs w:val="20"/>
        </w:rPr>
        <w:t xml:space="preserve"> P. </w:t>
      </w:r>
      <w:r>
        <w:rPr>
          <w:sz w:val="22"/>
          <w:szCs w:val="20"/>
        </w:rPr>
        <w:t xml:space="preserve">2000. </w:t>
      </w:r>
      <w:proofErr w:type="gramStart"/>
      <w:r w:rsidRPr="00F11149">
        <w:rPr>
          <w:sz w:val="22"/>
          <w:szCs w:val="20"/>
        </w:rPr>
        <w:t>Preventive attitudes and beliefs of deaf and hard of hearing individuals</w:t>
      </w:r>
      <w:r w:rsidRPr="008E1EB3">
        <w:rPr>
          <w:i/>
          <w:sz w:val="22"/>
          <w:szCs w:val="20"/>
        </w:rPr>
        <w:t>.</w:t>
      </w:r>
      <w:proofErr w:type="gramEnd"/>
      <w:r w:rsidRPr="008E1EB3">
        <w:rPr>
          <w:i/>
          <w:sz w:val="22"/>
          <w:szCs w:val="20"/>
        </w:rPr>
        <w:t xml:space="preserve"> Arch</w:t>
      </w:r>
      <w:r>
        <w:rPr>
          <w:i/>
          <w:sz w:val="22"/>
          <w:szCs w:val="20"/>
        </w:rPr>
        <w:t>ives of</w:t>
      </w:r>
      <w:r w:rsidRPr="008E1EB3">
        <w:rPr>
          <w:i/>
          <w:sz w:val="22"/>
          <w:szCs w:val="20"/>
        </w:rPr>
        <w:t xml:space="preserve"> Fam</w:t>
      </w:r>
      <w:r>
        <w:rPr>
          <w:i/>
          <w:sz w:val="22"/>
          <w:szCs w:val="20"/>
        </w:rPr>
        <w:t>ily</w:t>
      </w:r>
      <w:r w:rsidRPr="008E1EB3">
        <w:rPr>
          <w:i/>
          <w:sz w:val="22"/>
          <w:szCs w:val="20"/>
        </w:rPr>
        <w:t xml:space="preserve"> Med</w:t>
      </w:r>
      <w:r>
        <w:rPr>
          <w:i/>
          <w:sz w:val="22"/>
          <w:szCs w:val="20"/>
        </w:rPr>
        <w:t xml:space="preserve">icine </w:t>
      </w:r>
      <w:r w:rsidRPr="008E1EB3">
        <w:rPr>
          <w:i/>
          <w:sz w:val="22"/>
          <w:szCs w:val="20"/>
        </w:rPr>
        <w:t>9: 518–25.</w:t>
      </w:r>
    </w:p>
  </w:endnote>
  <w:endnote w:id="81">
    <w:p w:rsidR="00492B7D" w:rsidRPr="008E1EB3" w:rsidRDefault="00492B7D" w:rsidP="00633ADC">
      <w:pPr>
        <w:pStyle w:val="EndnoteText"/>
        <w:rPr>
          <w:sz w:val="22"/>
        </w:rPr>
      </w:pPr>
      <w:r w:rsidRPr="008E1EB3">
        <w:rPr>
          <w:rStyle w:val="EndnoteReference"/>
          <w:sz w:val="22"/>
        </w:rPr>
        <w:endnoteRef/>
      </w:r>
      <w:r w:rsidRPr="008E1EB3">
        <w:rPr>
          <w:sz w:val="22"/>
        </w:rPr>
        <w:t xml:space="preserve"> </w:t>
      </w:r>
      <w:r w:rsidRPr="00F11149">
        <w:rPr>
          <w:rStyle w:val="HTMLCite"/>
          <w:i w:val="0"/>
          <w:sz w:val="22"/>
        </w:rPr>
        <w:t>Witte, T</w:t>
      </w:r>
      <w:r>
        <w:rPr>
          <w:rStyle w:val="HTMLCite"/>
          <w:i w:val="0"/>
          <w:sz w:val="22"/>
        </w:rPr>
        <w:t>.</w:t>
      </w:r>
      <w:r w:rsidRPr="00F11149">
        <w:rPr>
          <w:rStyle w:val="HTMLCite"/>
          <w:i w:val="0"/>
          <w:sz w:val="22"/>
        </w:rPr>
        <w:t>N</w:t>
      </w:r>
      <w:r>
        <w:rPr>
          <w:rStyle w:val="HTMLCite"/>
          <w:i w:val="0"/>
          <w:sz w:val="22"/>
        </w:rPr>
        <w:t>.</w:t>
      </w:r>
      <w:r w:rsidRPr="00F11149">
        <w:rPr>
          <w:rStyle w:val="HTMLCite"/>
          <w:i w:val="0"/>
          <w:sz w:val="22"/>
        </w:rPr>
        <w:t xml:space="preserve">, </w:t>
      </w:r>
      <w:proofErr w:type="spellStart"/>
      <w:r w:rsidRPr="00F11149">
        <w:rPr>
          <w:rStyle w:val="HTMLCite"/>
          <w:i w:val="0"/>
          <w:sz w:val="22"/>
        </w:rPr>
        <w:t>Kuzel</w:t>
      </w:r>
      <w:proofErr w:type="spellEnd"/>
      <w:r>
        <w:rPr>
          <w:rStyle w:val="HTMLCite"/>
          <w:i w:val="0"/>
          <w:sz w:val="22"/>
        </w:rPr>
        <w:t>,</w:t>
      </w:r>
      <w:r w:rsidRPr="00F11149">
        <w:rPr>
          <w:rStyle w:val="HTMLCite"/>
          <w:i w:val="0"/>
          <w:sz w:val="22"/>
        </w:rPr>
        <w:t xml:space="preserve"> A</w:t>
      </w:r>
      <w:r>
        <w:rPr>
          <w:rStyle w:val="HTMLCite"/>
          <w:i w:val="0"/>
          <w:sz w:val="22"/>
        </w:rPr>
        <w:t>.</w:t>
      </w:r>
      <w:r w:rsidRPr="00F11149">
        <w:rPr>
          <w:rStyle w:val="HTMLCite"/>
          <w:i w:val="0"/>
          <w:sz w:val="22"/>
        </w:rPr>
        <w:t>J</w:t>
      </w:r>
      <w:r w:rsidRPr="008E1EB3">
        <w:rPr>
          <w:rStyle w:val="HTMLCite"/>
          <w:sz w:val="22"/>
        </w:rPr>
        <w:t>.</w:t>
      </w:r>
      <w:r>
        <w:rPr>
          <w:rStyle w:val="HTMLCite"/>
          <w:sz w:val="22"/>
        </w:rPr>
        <w:t xml:space="preserve"> </w:t>
      </w:r>
      <w:r>
        <w:rPr>
          <w:rStyle w:val="HTMLCite"/>
          <w:i w:val="0"/>
          <w:sz w:val="22"/>
        </w:rPr>
        <w:t>2000.</w:t>
      </w:r>
      <w:r w:rsidRPr="008E1EB3">
        <w:rPr>
          <w:rStyle w:val="HTMLCite"/>
          <w:sz w:val="22"/>
        </w:rPr>
        <w:t xml:space="preserve"> </w:t>
      </w:r>
      <w:proofErr w:type="gramStart"/>
      <w:r w:rsidRPr="00F11149">
        <w:rPr>
          <w:rStyle w:val="HTMLCite"/>
          <w:i w:val="0"/>
          <w:sz w:val="22"/>
        </w:rPr>
        <w:t>Elderly deaf patients’ health care experiences</w:t>
      </w:r>
      <w:r w:rsidRPr="008E1EB3">
        <w:rPr>
          <w:rStyle w:val="HTMLCite"/>
          <w:sz w:val="22"/>
        </w:rPr>
        <w:t>.</w:t>
      </w:r>
      <w:proofErr w:type="gramEnd"/>
      <w:r w:rsidRPr="008E1EB3">
        <w:rPr>
          <w:rStyle w:val="HTMLCite"/>
          <w:sz w:val="22"/>
        </w:rPr>
        <w:t xml:space="preserve"> </w:t>
      </w:r>
      <w:r w:rsidRPr="008E1EB3">
        <w:rPr>
          <w:rStyle w:val="cit-source"/>
          <w:i/>
          <w:sz w:val="22"/>
        </w:rPr>
        <w:t>J</w:t>
      </w:r>
      <w:r>
        <w:rPr>
          <w:rStyle w:val="cit-source"/>
          <w:i/>
          <w:sz w:val="22"/>
        </w:rPr>
        <w:t>ournal of</w:t>
      </w:r>
      <w:r w:rsidRPr="008E1EB3">
        <w:rPr>
          <w:rStyle w:val="cit-source"/>
          <w:i/>
          <w:sz w:val="22"/>
        </w:rPr>
        <w:t xml:space="preserve"> </w:t>
      </w:r>
      <w:r>
        <w:rPr>
          <w:rStyle w:val="cit-source"/>
          <w:i/>
          <w:sz w:val="22"/>
        </w:rPr>
        <w:t xml:space="preserve">the </w:t>
      </w:r>
      <w:r w:rsidRPr="008E1EB3">
        <w:rPr>
          <w:rStyle w:val="cit-source"/>
          <w:i/>
          <w:sz w:val="22"/>
        </w:rPr>
        <w:t>Am</w:t>
      </w:r>
      <w:r>
        <w:rPr>
          <w:rStyle w:val="cit-source"/>
          <w:i/>
          <w:sz w:val="22"/>
        </w:rPr>
        <w:t>erican</w:t>
      </w:r>
      <w:r w:rsidRPr="008E1EB3">
        <w:rPr>
          <w:rStyle w:val="cit-source"/>
          <w:i/>
          <w:sz w:val="22"/>
        </w:rPr>
        <w:t xml:space="preserve"> Board </w:t>
      </w:r>
      <w:r>
        <w:rPr>
          <w:rStyle w:val="cit-source"/>
          <w:i/>
          <w:sz w:val="22"/>
        </w:rPr>
        <w:t xml:space="preserve">of </w:t>
      </w:r>
      <w:r w:rsidRPr="008E1EB3">
        <w:rPr>
          <w:rStyle w:val="cit-source"/>
          <w:i/>
          <w:sz w:val="22"/>
        </w:rPr>
        <w:t>Fam</w:t>
      </w:r>
      <w:r>
        <w:rPr>
          <w:rStyle w:val="cit-source"/>
          <w:i/>
          <w:sz w:val="22"/>
        </w:rPr>
        <w:t>ily</w:t>
      </w:r>
      <w:r w:rsidRPr="008E1EB3">
        <w:rPr>
          <w:rStyle w:val="cit-source"/>
          <w:i/>
          <w:sz w:val="22"/>
        </w:rPr>
        <w:t xml:space="preserve"> Pract</w:t>
      </w:r>
      <w:r>
        <w:rPr>
          <w:rStyle w:val="cit-source"/>
          <w:i/>
          <w:sz w:val="22"/>
        </w:rPr>
        <w:t>ice</w:t>
      </w:r>
      <w:r w:rsidRPr="008E1EB3">
        <w:rPr>
          <w:rStyle w:val="HTMLCite"/>
          <w:sz w:val="22"/>
        </w:rPr>
        <w:t xml:space="preserve"> </w:t>
      </w:r>
      <w:r w:rsidRPr="00F11149">
        <w:rPr>
          <w:rStyle w:val="cit-vol"/>
          <w:sz w:val="22"/>
        </w:rPr>
        <w:t>13</w:t>
      </w:r>
      <w:r w:rsidRPr="00F11149">
        <w:rPr>
          <w:rStyle w:val="HTMLCite"/>
          <w:sz w:val="22"/>
        </w:rPr>
        <w:t xml:space="preserve">: </w:t>
      </w:r>
      <w:r w:rsidRPr="00F11149">
        <w:rPr>
          <w:rStyle w:val="cit-fpage"/>
          <w:sz w:val="22"/>
        </w:rPr>
        <w:t>17</w:t>
      </w:r>
      <w:r w:rsidRPr="00F11149">
        <w:rPr>
          <w:rStyle w:val="HTMLCite"/>
          <w:sz w:val="22"/>
        </w:rPr>
        <w:t>–21.</w:t>
      </w:r>
    </w:p>
  </w:endnote>
  <w:endnote w:id="82">
    <w:p w:rsidR="00492B7D" w:rsidRPr="008E1EB3" w:rsidRDefault="00492B7D" w:rsidP="00633ADC">
      <w:pPr>
        <w:pStyle w:val="EndnoteText"/>
        <w:rPr>
          <w:sz w:val="22"/>
        </w:rPr>
      </w:pPr>
      <w:r w:rsidRPr="008E1EB3">
        <w:rPr>
          <w:rStyle w:val="EndnoteReference"/>
          <w:sz w:val="22"/>
        </w:rPr>
        <w:endnoteRef/>
      </w:r>
      <w:r w:rsidRPr="008E1EB3">
        <w:rPr>
          <w:sz w:val="22"/>
        </w:rPr>
        <w:t xml:space="preserve"> </w:t>
      </w:r>
      <w:proofErr w:type="spellStart"/>
      <w:r w:rsidRPr="008E1EB3">
        <w:rPr>
          <w:sz w:val="22"/>
        </w:rPr>
        <w:t>Dolnick</w:t>
      </w:r>
      <w:proofErr w:type="spellEnd"/>
      <w:r w:rsidRPr="008E1EB3">
        <w:rPr>
          <w:sz w:val="22"/>
        </w:rPr>
        <w:t xml:space="preserve"> E. </w:t>
      </w:r>
      <w:r>
        <w:rPr>
          <w:sz w:val="22"/>
        </w:rPr>
        <w:t xml:space="preserve">1993. </w:t>
      </w:r>
      <w:proofErr w:type="gramStart"/>
      <w:r w:rsidRPr="008E1EB3">
        <w:rPr>
          <w:sz w:val="22"/>
        </w:rPr>
        <w:t>Deafness as culture.</w:t>
      </w:r>
      <w:proofErr w:type="gramEnd"/>
      <w:r w:rsidRPr="008E1EB3">
        <w:rPr>
          <w:sz w:val="22"/>
        </w:rPr>
        <w:t xml:space="preserve"> </w:t>
      </w:r>
      <w:r w:rsidRPr="008E1EB3">
        <w:rPr>
          <w:i/>
          <w:sz w:val="22"/>
        </w:rPr>
        <w:t xml:space="preserve">The Atlantic Monthly </w:t>
      </w:r>
      <w:r w:rsidRPr="008E1EB3">
        <w:rPr>
          <w:sz w:val="22"/>
        </w:rPr>
        <w:t>272: 37-53</w:t>
      </w:r>
      <w:r>
        <w:rPr>
          <w:sz w:val="22"/>
        </w:rPr>
        <w:t>.</w:t>
      </w:r>
    </w:p>
  </w:endnote>
  <w:endnote w:id="83">
    <w:p w:rsidR="00492B7D" w:rsidRPr="008E1EB3" w:rsidRDefault="00492B7D" w:rsidP="00633ADC">
      <w:pPr>
        <w:pStyle w:val="EndnoteText"/>
        <w:rPr>
          <w:sz w:val="22"/>
        </w:rPr>
      </w:pPr>
      <w:r w:rsidRPr="008E1EB3">
        <w:rPr>
          <w:rStyle w:val="EndnoteReference"/>
          <w:sz w:val="22"/>
        </w:rPr>
        <w:endnoteRef/>
      </w:r>
      <w:r>
        <w:rPr>
          <w:sz w:val="22"/>
        </w:rPr>
        <w:t xml:space="preserve"> Meador, H.E; </w:t>
      </w:r>
      <w:proofErr w:type="spellStart"/>
      <w:r>
        <w:rPr>
          <w:sz w:val="22"/>
        </w:rPr>
        <w:t>Zazove</w:t>
      </w:r>
      <w:proofErr w:type="spellEnd"/>
      <w:r>
        <w:rPr>
          <w:sz w:val="22"/>
        </w:rPr>
        <w:t>, P. 2005. Health care interactions with deaf c</w:t>
      </w:r>
      <w:r w:rsidRPr="008E1EB3">
        <w:rPr>
          <w:sz w:val="22"/>
        </w:rPr>
        <w:t xml:space="preserve">ulture </w:t>
      </w:r>
      <w:r w:rsidRPr="008E1EB3">
        <w:rPr>
          <w:rStyle w:val="HTMLCite"/>
          <w:sz w:val="22"/>
        </w:rPr>
        <w:t>J</w:t>
      </w:r>
      <w:r>
        <w:rPr>
          <w:rStyle w:val="HTMLCite"/>
          <w:sz w:val="22"/>
        </w:rPr>
        <w:t>ournal of the</w:t>
      </w:r>
      <w:r w:rsidRPr="008E1EB3">
        <w:rPr>
          <w:rStyle w:val="HTMLCite"/>
          <w:sz w:val="22"/>
        </w:rPr>
        <w:t xml:space="preserve"> Am</w:t>
      </w:r>
      <w:r>
        <w:rPr>
          <w:rStyle w:val="HTMLCite"/>
          <w:sz w:val="22"/>
        </w:rPr>
        <w:t>erican</w:t>
      </w:r>
      <w:r w:rsidRPr="008E1EB3">
        <w:rPr>
          <w:rStyle w:val="HTMLCite"/>
          <w:sz w:val="22"/>
        </w:rPr>
        <w:t xml:space="preserve"> Board</w:t>
      </w:r>
      <w:r>
        <w:rPr>
          <w:rStyle w:val="HTMLCite"/>
          <w:sz w:val="22"/>
        </w:rPr>
        <w:t xml:space="preserve"> of</w:t>
      </w:r>
      <w:r w:rsidRPr="008E1EB3">
        <w:rPr>
          <w:rStyle w:val="HTMLCite"/>
          <w:sz w:val="22"/>
        </w:rPr>
        <w:t xml:space="preserve"> Fam</w:t>
      </w:r>
      <w:r>
        <w:rPr>
          <w:rStyle w:val="HTMLCite"/>
          <w:sz w:val="22"/>
        </w:rPr>
        <w:t>ily</w:t>
      </w:r>
      <w:r w:rsidRPr="008E1EB3">
        <w:rPr>
          <w:rStyle w:val="HTMLCite"/>
          <w:sz w:val="22"/>
        </w:rPr>
        <w:t xml:space="preserve"> Med</w:t>
      </w:r>
      <w:r>
        <w:rPr>
          <w:rStyle w:val="HTMLCite"/>
          <w:sz w:val="22"/>
        </w:rPr>
        <w:t xml:space="preserve">icine </w:t>
      </w:r>
      <w:r w:rsidRPr="00F11149">
        <w:rPr>
          <w:rStyle w:val="slug-vol"/>
          <w:sz w:val="22"/>
        </w:rPr>
        <w:t xml:space="preserve">18 </w:t>
      </w:r>
      <w:r w:rsidRPr="00F11149">
        <w:rPr>
          <w:rStyle w:val="slug-issue"/>
          <w:sz w:val="22"/>
        </w:rPr>
        <w:t xml:space="preserve">(3): </w:t>
      </w:r>
      <w:r w:rsidRPr="00F11149">
        <w:rPr>
          <w:rStyle w:val="slug-pages"/>
          <w:sz w:val="22"/>
        </w:rPr>
        <w:t>218-222</w:t>
      </w:r>
      <w:r>
        <w:rPr>
          <w:rStyle w:val="slug-pages"/>
          <w:i/>
          <w:sz w:val="22"/>
        </w:rPr>
        <w:t>.</w:t>
      </w:r>
      <w:r w:rsidRPr="008E1EB3">
        <w:rPr>
          <w:rStyle w:val="slug-pages"/>
          <w:i/>
          <w:sz w:val="22"/>
        </w:rPr>
        <w:t xml:space="preserve"> </w:t>
      </w:r>
    </w:p>
  </w:endnote>
  <w:endnote w:id="84">
    <w:p w:rsidR="00492B7D" w:rsidRPr="008E1EB3" w:rsidRDefault="00492B7D">
      <w:pPr>
        <w:pStyle w:val="EndnoteText"/>
        <w:rPr>
          <w:sz w:val="22"/>
        </w:rPr>
      </w:pPr>
      <w:r w:rsidRPr="008E1EB3">
        <w:rPr>
          <w:rStyle w:val="EndnoteReference"/>
          <w:sz w:val="22"/>
        </w:rPr>
        <w:endnoteRef/>
      </w:r>
      <w:r w:rsidRPr="008E1EB3">
        <w:rPr>
          <w:sz w:val="22"/>
        </w:rPr>
        <w:t xml:space="preserve"> </w:t>
      </w:r>
      <w:r w:rsidRPr="008E1EB3">
        <w:rPr>
          <w:rFonts w:cs="Arial"/>
          <w:sz w:val="22"/>
        </w:rPr>
        <w:t xml:space="preserve">National Council on Disability: </w:t>
      </w:r>
      <w:r w:rsidRPr="008E1EB3">
        <w:rPr>
          <w:rFonts w:cs="Arial"/>
          <w:i/>
          <w:sz w:val="22"/>
        </w:rPr>
        <w:t>The Current State of Health Care for People with Disabilities</w:t>
      </w:r>
      <w:r w:rsidRPr="008E1EB3">
        <w:rPr>
          <w:rFonts w:cs="Arial"/>
          <w:sz w:val="22"/>
        </w:rPr>
        <w:t xml:space="preserve">. Washington, DC: National Council on Disability, 2009. </w:t>
      </w:r>
      <w:hyperlink r:id="rId16" w:history="1">
        <w:r w:rsidRPr="008E1EB3">
          <w:rPr>
            <w:rStyle w:val="Hyperlink"/>
            <w:rFonts w:cs="Arial"/>
            <w:sz w:val="22"/>
          </w:rPr>
          <w:t>http://www.ncd.gov/policy/health_care</w:t>
        </w:r>
      </w:hyperlink>
    </w:p>
  </w:endnote>
  <w:endnote w:id="85">
    <w:p w:rsidR="00492B7D" w:rsidRPr="008E1EB3" w:rsidRDefault="00492B7D" w:rsidP="0092614D">
      <w:pPr>
        <w:pStyle w:val="EndnoteText"/>
        <w:rPr>
          <w:sz w:val="22"/>
        </w:rPr>
      </w:pPr>
      <w:r w:rsidRPr="008E1EB3">
        <w:rPr>
          <w:rStyle w:val="EndnoteReference"/>
          <w:sz w:val="22"/>
        </w:rPr>
        <w:endnoteRef/>
      </w:r>
      <w:r w:rsidRPr="008E1EB3">
        <w:rPr>
          <w:sz w:val="22"/>
        </w:rPr>
        <w:t xml:space="preserve"> </w:t>
      </w:r>
      <w:r>
        <w:rPr>
          <w:sz w:val="22"/>
        </w:rPr>
        <w:t>National Association of the Deaf:</w:t>
      </w:r>
      <w:r w:rsidRPr="008E1EB3">
        <w:rPr>
          <w:sz w:val="22"/>
        </w:rPr>
        <w:t xml:space="preserve"> </w:t>
      </w:r>
      <w:r w:rsidRPr="00F11149">
        <w:rPr>
          <w:i/>
          <w:sz w:val="22"/>
        </w:rPr>
        <w:t>ADA Questions and Answers for Health Care Providers</w:t>
      </w:r>
      <w:r>
        <w:rPr>
          <w:sz w:val="22"/>
        </w:rPr>
        <w:t>: Auxiliary Aids and Services. Silver Spring, MD: National Association of the Deaf. (</w:t>
      </w:r>
      <w:r w:rsidRPr="00F11149">
        <w:rPr>
          <w:sz w:val="22"/>
        </w:rPr>
        <w:t>http://www.nad.org/issues/health-care/providers/questions-and-answers</w:t>
      </w:r>
      <w:r>
        <w:rPr>
          <w:sz w:val="22"/>
        </w:rPr>
        <w:t>)</w:t>
      </w:r>
    </w:p>
  </w:endnote>
  <w:endnote w:id="86">
    <w:p w:rsidR="00492B7D" w:rsidRPr="004318EB" w:rsidRDefault="00492B7D" w:rsidP="004318EB">
      <w:pPr>
        <w:rPr>
          <w:rFonts w:cs="Arial"/>
          <w:sz w:val="22"/>
        </w:rPr>
      </w:pPr>
      <w:r w:rsidRPr="008E1EB3">
        <w:rPr>
          <w:rStyle w:val="EndnoteReference"/>
          <w:sz w:val="22"/>
        </w:rPr>
        <w:endnoteRef/>
      </w:r>
      <w:r w:rsidRPr="008E1EB3">
        <w:rPr>
          <w:sz w:val="22"/>
        </w:rPr>
        <w:t xml:space="preserve"> </w:t>
      </w:r>
      <w:r w:rsidRPr="008E1EB3">
        <w:rPr>
          <w:rFonts w:cs="Arial"/>
          <w:sz w:val="22"/>
        </w:rPr>
        <w:t xml:space="preserve">The Center for Universal Design: </w:t>
      </w:r>
      <w:r w:rsidRPr="008E1EB3">
        <w:rPr>
          <w:rFonts w:cs="Arial"/>
          <w:i/>
          <w:sz w:val="22"/>
        </w:rPr>
        <w:t>The Principles of Universal Design</w:t>
      </w:r>
      <w:r w:rsidRPr="008E1EB3">
        <w:rPr>
          <w:rFonts w:cs="Arial"/>
          <w:sz w:val="22"/>
        </w:rPr>
        <w:t>, Version 2.0. Raleigh, NC: North Carolina State University, 1997. http://www.design.ncsu.edu/cud/about_ud/u</w:t>
      </w:r>
      <w:r>
        <w:rPr>
          <w:rFonts w:cs="Arial"/>
          <w:sz w:val="22"/>
        </w:rPr>
        <w:t>dprincipleshtmlformat.html#top.</w:t>
      </w:r>
    </w:p>
  </w:endnote>
  <w:endnote w:id="87">
    <w:p w:rsidR="00492B7D" w:rsidRPr="008E1EB3" w:rsidRDefault="00492B7D" w:rsidP="004318EB">
      <w:pPr>
        <w:rPr>
          <w:b/>
          <w:bCs/>
          <w:sz w:val="22"/>
        </w:rPr>
      </w:pPr>
      <w:r w:rsidRPr="008E1EB3">
        <w:rPr>
          <w:rStyle w:val="EndnoteReference"/>
          <w:sz w:val="22"/>
        </w:rPr>
        <w:endnoteRef/>
      </w:r>
      <w:r w:rsidRPr="008E1EB3">
        <w:rPr>
          <w:sz w:val="22"/>
        </w:rPr>
        <w:t xml:space="preserve"> </w:t>
      </w:r>
      <w:proofErr w:type="spellStart"/>
      <w:r w:rsidRPr="008E1EB3">
        <w:rPr>
          <w:sz w:val="22"/>
        </w:rPr>
        <w:t>Kailes</w:t>
      </w:r>
      <w:proofErr w:type="spellEnd"/>
      <w:r w:rsidRPr="008E1EB3">
        <w:rPr>
          <w:sz w:val="22"/>
        </w:rPr>
        <w:t xml:space="preserve">, J., </w:t>
      </w:r>
      <w:r w:rsidRPr="002E0BA5">
        <w:rPr>
          <w:bCs/>
          <w:i/>
          <w:sz w:val="22"/>
        </w:rPr>
        <w:t>Tips for Interacting with People with Disabilities</w:t>
      </w:r>
      <w:r w:rsidRPr="008E1EB3">
        <w:rPr>
          <w:bCs/>
          <w:sz w:val="22"/>
        </w:rPr>
        <w:t>,</w:t>
      </w:r>
    </w:p>
    <w:p w:rsidR="00492B7D" w:rsidRPr="008E1EB3" w:rsidRDefault="00492B7D" w:rsidP="004318EB">
      <w:pPr>
        <w:rPr>
          <w:sz w:val="22"/>
        </w:rPr>
      </w:pPr>
      <w:r>
        <w:rPr>
          <w:sz w:val="22"/>
        </w:rPr>
        <w:t xml:space="preserve">Pomona, CA: </w:t>
      </w:r>
      <w:r w:rsidRPr="002E0BA5">
        <w:rPr>
          <w:sz w:val="22"/>
        </w:rPr>
        <w:t xml:space="preserve">Harris Family Center </w:t>
      </w:r>
      <w:r>
        <w:rPr>
          <w:sz w:val="22"/>
        </w:rPr>
        <w:t>for Disability and Health Policy, 2011.</w:t>
      </w:r>
    </w:p>
  </w:endnote>
  <w:endnote w:id="88">
    <w:p w:rsidR="00492B7D" w:rsidRPr="008E1EB3" w:rsidRDefault="00492B7D" w:rsidP="0018161B">
      <w:pPr>
        <w:pStyle w:val="EndnoteText"/>
        <w:rPr>
          <w:sz w:val="22"/>
        </w:rPr>
      </w:pPr>
      <w:r w:rsidRPr="008E1EB3">
        <w:rPr>
          <w:rStyle w:val="EndnoteReference"/>
          <w:sz w:val="22"/>
        </w:rPr>
        <w:endnoteRef/>
      </w:r>
      <w:r w:rsidRPr="008E1EB3">
        <w:rPr>
          <w:sz w:val="22"/>
        </w:rPr>
        <w:t xml:space="preserve"> </w:t>
      </w:r>
      <w:proofErr w:type="gramStart"/>
      <w:r w:rsidRPr="008E1EB3">
        <w:rPr>
          <w:rFonts w:cs="Arial"/>
          <w:sz w:val="22"/>
        </w:rPr>
        <w:t>U.S. Department of Justice.</w:t>
      </w:r>
      <w:proofErr w:type="gramEnd"/>
      <w:r w:rsidRPr="008E1EB3">
        <w:rPr>
          <w:rFonts w:cs="Arial"/>
          <w:sz w:val="22"/>
        </w:rPr>
        <w:t xml:space="preserve"> Civil Rights Division, Disability Rights Section. ADA Business Brief: </w:t>
      </w:r>
      <w:r w:rsidRPr="008E1EB3">
        <w:rPr>
          <w:rFonts w:cs="Arial"/>
          <w:i/>
          <w:sz w:val="22"/>
        </w:rPr>
        <w:t xml:space="preserve">Communicating with People </w:t>
      </w:r>
      <w:proofErr w:type="gramStart"/>
      <w:r w:rsidRPr="008E1EB3">
        <w:rPr>
          <w:rFonts w:cs="Arial"/>
          <w:i/>
          <w:sz w:val="22"/>
        </w:rPr>
        <w:t>Who</w:t>
      </w:r>
      <w:proofErr w:type="gramEnd"/>
      <w:r w:rsidRPr="008E1EB3">
        <w:rPr>
          <w:rFonts w:cs="Arial"/>
          <w:i/>
          <w:sz w:val="22"/>
        </w:rPr>
        <w:t xml:space="preserve"> are Deaf or Hard of Hearing in Hospital Settings.</w:t>
      </w:r>
      <w:r w:rsidRPr="008E1EB3">
        <w:rPr>
          <w:rFonts w:cs="Arial"/>
          <w:sz w:val="22"/>
        </w:rPr>
        <w:t xml:space="preserve"> Washington, D.C.: DOJ Civil Rights Division, 2003. </w:t>
      </w:r>
      <w:r>
        <w:rPr>
          <w:rFonts w:cs="Arial"/>
          <w:sz w:val="22"/>
        </w:rPr>
        <w:t>(</w:t>
      </w:r>
      <w:hyperlink r:id="rId17" w:history="1">
        <w:r w:rsidRPr="008E1EB3">
          <w:rPr>
            <w:rStyle w:val="Hyperlink"/>
            <w:rFonts w:cs="Arial"/>
            <w:sz w:val="22"/>
          </w:rPr>
          <w:t>http://www.ada.gov/hospcombrscr.pdf</w:t>
        </w:r>
      </w:hyperlink>
      <w:r>
        <w:rPr>
          <w:sz w:val="22"/>
        </w:rPr>
        <w:t>)</w:t>
      </w:r>
    </w:p>
  </w:endnote>
  <w:endnote w:id="89">
    <w:p w:rsidR="00492B7D" w:rsidRPr="004318EB" w:rsidRDefault="00492B7D">
      <w:pPr>
        <w:pStyle w:val="EndnoteText"/>
        <w:rPr>
          <w:sz w:val="22"/>
        </w:rPr>
      </w:pPr>
      <w:r w:rsidRPr="008E1EB3">
        <w:rPr>
          <w:rStyle w:val="EndnoteReference"/>
          <w:sz w:val="22"/>
        </w:rPr>
        <w:endnoteRef/>
      </w:r>
      <w:r w:rsidRPr="008E1EB3">
        <w:rPr>
          <w:sz w:val="22"/>
        </w:rPr>
        <w:t xml:space="preserve"> </w:t>
      </w:r>
      <w:r w:rsidRPr="008E1EB3">
        <w:rPr>
          <w:rFonts w:cs="Arial"/>
          <w:sz w:val="22"/>
        </w:rPr>
        <w:t xml:space="preserve">The Joint Commission: </w:t>
      </w:r>
      <w:r w:rsidRPr="008E1EB3">
        <w:rPr>
          <w:rFonts w:cs="Arial"/>
          <w:i/>
          <w:sz w:val="22"/>
        </w:rPr>
        <w:t>Advancing Effective Communication, Cultural Competence, and Patient- and Family-Centered Care: A Roadmap for Hospitals</w:t>
      </w:r>
      <w:r w:rsidRPr="008E1EB3">
        <w:rPr>
          <w:rFonts w:cs="Arial"/>
          <w:sz w:val="22"/>
        </w:rPr>
        <w:t>. Oakbrook Terrace, IL: The Joint Commission, 2010.</w:t>
      </w:r>
    </w:p>
  </w:endnote>
  <w:endnote w:id="90">
    <w:p w:rsidR="00492B7D" w:rsidRPr="008E1EB3" w:rsidRDefault="00492B7D">
      <w:pPr>
        <w:pStyle w:val="EndnoteText"/>
        <w:rPr>
          <w:sz w:val="22"/>
        </w:rPr>
      </w:pPr>
      <w:r w:rsidRPr="008E1EB3">
        <w:rPr>
          <w:rStyle w:val="EndnoteReference"/>
          <w:sz w:val="22"/>
        </w:rPr>
        <w:endnoteRef/>
      </w:r>
      <w:r>
        <w:rPr>
          <w:sz w:val="22"/>
        </w:rPr>
        <w:t xml:space="preserve"> Meador, H.</w:t>
      </w:r>
      <w:r w:rsidRPr="008E1EB3">
        <w:rPr>
          <w:sz w:val="22"/>
        </w:rPr>
        <w:t>E</w:t>
      </w:r>
      <w:r>
        <w:rPr>
          <w:sz w:val="22"/>
        </w:rPr>
        <w:t xml:space="preserve">. and </w:t>
      </w:r>
      <w:proofErr w:type="spellStart"/>
      <w:r>
        <w:rPr>
          <w:sz w:val="22"/>
        </w:rPr>
        <w:t>Zazove</w:t>
      </w:r>
      <w:proofErr w:type="spellEnd"/>
      <w:r>
        <w:rPr>
          <w:sz w:val="22"/>
        </w:rPr>
        <w:t>, P.</w:t>
      </w:r>
      <w:r w:rsidRPr="008E1EB3">
        <w:rPr>
          <w:sz w:val="22"/>
        </w:rPr>
        <w:t xml:space="preserve"> </w:t>
      </w:r>
      <w:r>
        <w:rPr>
          <w:sz w:val="22"/>
        </w:rPr>
        <w:t xml:space="preserve">2005. </w:t>
      </w:r>
      <w:proofErr w:type="gramStart"/>
      <w:r>
        <w:rPr>
          <w:sz w:val="22"/>
        </w:rPr>
        <w:t>Health care interactions with deaf c</w:t>
      </w:r>
      <w:r w:rsidRPr="008E1EB3">
        <w:rPr>
          <w:sz w:val="22"/>
        </w:rPr>
        <w:t>ulture</w:t>
      </w:r>
      <w:r w:rsidRPr="004318EB">
        <w:rPr>
          <w:i/>
          <w:sz w:val="22"/>
        </w:rPr>
        <w:t>.</w:t>
      </w:r>
      <w:proofErr w:type="gramEnd"/>
      <w:r w:rsidRPr="004318EB">
        <w:rPr>
          <w:i/>
          <w:sz w:val="22"/>
        </w:rPr>
        <w:t xml:space="preserve"> Journal of the American Board of Family Medicine</w:t>
      </w:r>
      <w:r>
        <w:rPr>
          <w:sz w:val="22"/>
        </w:rPr>
        <w:t xml:space="preserve"> 18(</w:t>
      </w:r>
      <w:r w:rsidRPr="008E1EB3">
        <w:rPr>
          <w:sz w:val="22"/>
        </w:rPr>
        <w:t>3</w:t>
      </w:r>
      <w:r>
        <w:rPr>
          <w:sz w:val="22"/>
        </w:rPr>
        <w:t>):</w:t>
      </w:r>
      <w:r w:rsidRPr="008E1EB3">
        <w:rPr>
          <w:sz w:val="22"/>
        </w:rPr>
        <w:t xml:space="preserve"> 218-222.</w:t>
      </w:r>
    </w:p>
  </w:endnote>
  <w:endnote w:id="91">
    <w:p w:rsidR="00492B7D" w:rsidRPr="008E1EB3" w:rsidRDefault="00492B7D" w:rsidP="00255829">
      <w:pPr>
        <w:rPr>
          <w:rFonts w:cs="Arial"/>
          <w:sz w:val="22"/>
        </w:rPr>
      </w:pPr>
      <w:r w:rsidRPr="008E1EB3">
        <w:rPr>
          <w:rStyle w:val="EndnoteReference"/>
          <w:sz w:val="22"/>
        </w:rPr>
        <w:endnoteRef/>
      </w:r>
      <w:r>
        <w:rPr>
          <w:sz w:val="22"/>
        </w:rPr>
        <w:t xml:space="preserve"> National Institutes of Health: U.S. National Library of Medicine. Medline Plus. </w:t>
      </w:r>
      <w:proofErr w:type="gramStart"/>
      <w:r>
        <w:rPr>
          <w:i/>
          <w:sz w:val="22"/>
        </w:rPr>
        <w:t>Veterans and Military Health</w:t>
      </w:r>
      <w:r>
        <w:rPr>
          <w:sz w:val="22"/>
        </w:rPr>
        <w:t>.</w:t>
      </w:r>
      <w:proofErr w:type="gramEnd"/>
      <w:r>
        <w:rPr>
          <w:sz w:val="22"/>
        </w:rPr>
        <w:t xml:space="preserve"> Bethesda, MD: National Institutes of Health, 2012. (</w:t>
      </w:r>
      <w:hyperlink r:id="rId18" w:history="1">
        <w:r w:rsidRPr="008E1EB3">
          <w:rPr>
            <w:rStyle w:val="Hyperlink"/>
            <w:rFonts w:cs="Arial"/>
            <w:sz w:val="22"/>
          </w:rPr>
          <w:t>http://www.nlm.nih.gov/medlineplus/veteransandmilitaryhealth.html</w:t>
        </w:r>
      </w:hyperlink>
      <w:r>
        <w:rPr>
          <w:sz w:val="22"/>
        </w:rPr>
        <w:t>)</w:t>
      </w:r>
    </w:p>
  </w:endnote>
  <w:endnote w:id="92">
    <w:p w:rsidR="00492B7D" w:rsidRPr="004318EB" w:rsidRDefault="00492B7D" w:rsidP="005B1957">
      <w:pPr>
        <w:rPr>
          <w:rFonts w:cs="Arial"/>
          <w:i/>
          <w:sz w:val="22"/>
        </w:rPr>
      </w:pPr>
      <w:r w:rsidRPr="008E1EB3">
        <w:rPr>
          <w:rStyle w:val="EndnoteReference"/>
          <w:sz w:val="22"/>
        </w:rPr>
        <w:endnoteRef/>
      </w:r>
      <w:r w:rsidRPr="008E1EB3">
        <w:rPr>
          <w:sz w:val="22"/>
        </w:rPr>
        <w:t xml:space="preserve"> </w:t>
      </w:r>
      <w:r w:rsidRPr="008E1EB3">
        <w:rPr>
          <w:rFonts w:cs="Arial"/>
          <w:sz w:val="22"/>
        </w:rPr>
        <w:t>U.S. Department of Veterans Affairs</w:t>
      </w:r>
      <w:r>
        <w:rPr>
          <w:rFonts w:cs="Arial"/>
          <w:sz w:val="22"/>
        </w:rPr>
        <w:t xml:space="preserve">: Veterans Health Services. </w:t>
      </w:r>
      <w:r>
        <w:rPr>
          <w:rFonts w:cs="Arial"/>
          <w:i/>
          <w:sz w:val="22"/>
        </w:rPr>
        <w:t>Military Exposures.</w:t>
      </w:r>
    </w:p>
    <w:p w:rsidR="00492B7D" w:rsidRPr="004318EB" w:rsidRDefault="003D15F0" w:rsidP="004318EB">
      <w:pPr>
        <w:rPr>
          <w:rFonts w:cs="Arial"/>
          <w:sz w:val="22"/>
        </w:rPr>
      </w:pPr>
      <w:hyperlink r:id="rId19" w:history="1">
        <w:r w:rsidR="00492B7D" w:rsidRPr="004C51D2">
          <w:rPr>
            <w:rStyle w:val="Hyperlink"/>
            <w:rFonts w:cs="Arial"/>
            <w:sz w:val="22"/>
          </w:rPr>
          <w:t>http://www.va.gov/health</w:t>
        </w:r>
      </w:hyperlink>
      <w:r w:rsidR="00492B7D">
        <w:rPr>
          <w:rFonts w:cs="Arial"/>
          <w:sz w:val="22"/>
        </w:rPr>
        <w:t xml:space="preserve"> (Viewed July 2, 2013)</w:t>
      </w:r>
    </w:p>
  </w:endnote>
  <w:endnote w:id="93">
    <w:p w:rsidR="00492B7D" w:rsidRPr="008E1EB3" w:rsidRDefault="00492B7D" w:rsidP="005B1957">
      <w:pPr>
        <w:rPr>
          <w:rFonts w:cs="Arial"/>
          <w:sz w:val="22"/>
        </w:rPr>
      </w:pPr>
      <w:r w:rsidRPr="008E1EB3">
        <w:rPr>
          <w:rStyle w:val="EndnoteReference"/>
          <w:sz w:val="22"/>
        </w:rPr>
        <w:endnoteRef/>
      </w:r>
      <w:r w:rsidRPr="008E1EB3">
        <w:rPr>
          <w:sz w:val="22"/>
        </w:rPr>
        <w:t xml:space="preserve"> </w:t>
      </w:r>
      <w:proofErr w:type="gramStart"/>
      <w:r>
        <w:rPr>
          <w:sz w:val="22"/>
        </w:rPr>
        <w:t>Veterans Health Administration.</w:t>
      </w:r>
      <w:proofErr w:type="gramEnd"/>
      <w:r>
        <w:rPr>
          <w:sz w:val="22"/>
        </w:rPr>
        <w:t xml:space="preserve"> </w:t>
      </w:r>
      <w:proofErr w:type="gramStart"/>
      <w:r w:rsidRPr="004318EB">
        <w:rPr>
          <w:rFonts w:cs="Arial"/>
          <w:i/>
          <w:sz w:val="22"/>
        </w:rPr>
        <w:t>Clinical Practice Guideline for Post-Deployment Health Evaluation and Management</w:t>
      </w:r>
      <w:r>
        <w:rPr>
          <w:rFonts w:cs="Arial"/>
          <w:sz w:val="22"/>
        </w:rPr>
        <w:t>.</w:t>
      </w:r>
      <w:proofErr w:type="gramEnd"/>
      <w:r>
        <w:rPr>
          <w:rFonts w:cs="Arial"/>
          <w:sz w:val="22"/>
        </w:rPr>
        <w:t xml:space="preserve"> Washington, DC: Department of Defense, 2000.</w:t>
      </w:r>
    </w:p>
    <w:p w:rsidR="00492B7D" w:rsidRPr="00BE1CCD" w:rsidRDefault="00492B7D" w:rsidP="00BE1CCD">
      <w:pPr>
        <w:rPr>
          <w:rFonts w:cs="Arial"/>
          <w:sz w:val="22"/>
        </w:rPr>
      </w:pPr>
      <w:r>
        <w:rPr>
          <w:rFonts w:cs="Arial"/>
          <w:sz w:val="22"/>
        </w:rPr>
        <w:t>(http://www.h</w:t>
      </w:r>
      <w:r w:rsidRPr="008E1EB3">
        <w:rPr>
          <w:rFonts w:cs="Arial"/>
          <w:sz w:val="22"/>
        </w:rPr>
        <w:t>ealthquality.va.gov/pdh/PDH_cpg.pdf</w:t>
      </w:r>
      <w:r>
        <w:rPr>
          <w:rFonts w:cs="Arial"/>
          <w:sz w:val="22"/>
        </w:rPr>
        <w:t>)</w:t>
      </w:r>
    </w:p>
  </w:endnote>
  <w:endnote w:id="94">
    <w:p w:rsidR="00492B7D" w:rsidRPr="008E1EB3" w:rsidRDefault="00492B7D" w:rsidP="005B1957">
      <w:pPr>
        <w:rPr>
          <w:rFonts w:cs="Helvetica"/>
          <w:sz w:val="22"/>
        </w:rPr>
      </w:pPr>
      <w:r w:rsidRPr="008E1EB3">
        <w:rPr>
          <w:rStyle w:val="EndnoteReference"/>
          <w:sz w:val="22"/>
        </w:rPr>
        <w:endnoteRef/>
      </w:r>
      <w:r w:rsidRPr="008E1EB3">
        <w:rPr>
          <w:sz w:val="22"/>
        </w:rPr>
        <w:t xml:space="preserve"> </w:t>
      </w:r>
      <w:proofErr w:type="gramStart"/>
      <w:r w:rsidRPr="008E1EB3">
        <w:rPr>
          <w:rFonts w:cs="Helvetica"/>
          <w:sz w:val="22"/>
        </w:rPr>
        <w:t xml:space="preserve">Richardson, J.D., St Cyr K.C., McIntyre-Smith, </w:t>
      </w:r>
      <w:r>
        <w:rPr>
          <w:rFonts w:cs="Helvetica"/>
          <w:sz w:val="22"/>
        </w:rPr>
        <w:t xml:space="preserve">A.M., </w:t>
      </w:r>
      <w:proofErr w:type="spellStart"/>
      <w:r>
        <w:rPr>
          <w:rFonts w:cs="Helvetica"/>
          <w:sz w:val="22"/>
        </w:rPr>
        <w:t>Haslam</w:t>
      </w:r>
      <w:proofErr w:type="spellEnd"/>
      <w:r>
        <w:rPr>
          <w:rFonts w:cs="Helvetica"/>
          <w:sz w:val="22"/>
        </w:rPr>
        <w:t xml:space="preserve">, D., </w:t>
      </w:r>
      <w:proofErr w:type="spellStart"/>
      <w:r>
        <w:rPr>
          <w:rFonts w:cs="Helvetica"/>
          <w:sz w:val="22"/>
        </w:rPr>
        <w:t>Elhai</w:t>
      </w:r>
      <w:proofErr w:type="spellEnd"/>
      <w:r>
        <w:rPr>
          <w:rFonts w:cs="Helvetica"/>
          <w:sz w:val="22"/>
        </w:rPr>
        <w:t xml:space="preserve">, J.D., and </w:t>
      </w:r>
      <w:proofErr w:type="spellStart"/>
      <w:r>
        <w:rPr>
          <w:rFonts w:cs="Helvetica"/>
          <w:sz w:val="22"/>
        </w:rPr>
        <w:t>Sareen</w:t>
      </w:r>
      <w:proofErr w:type="spellEnd"/>
      <w:r>
        <w:rPr>
          <w:rFonts w:cs="Helvetica"/>
          <w:sz w:val="22"/>
        </w:rPr>
        <w:t xml:space="preserve">, J. </w:t>
      </w:r>
      <w:r w:rsidRPr="008E1EB3">
        <w:rPr>
          <w:rFonts w:cs="Helvetica"/>
          <w:sz w:val="22"/>
        </w:rPr>
        <w:t>2012</w:t>
      </w:r>
      <w:r>
        <w:rPr>
          <w:rFonts w:cs="Helvetica"/>
          <w:sz w:val="22"/>
        </w:rPr>
        <w:t>.</w:t>
      </w:r>
      <w:proofErr w:type="gramEnd"/>
      <w:r>
        <w:rPr>
          <w:rFonts w:cs="Helvetica"/>
          <w:sz w:val="22"/>
        </w:rPr>
        <w:t xml:space="preserve"> </w:t>
      </w:r>
      <w:r w:rsidRPr="008E1EB3">
        <w:rPr>
          <w:rFonts w:cs="Helvetica"/>
          <w:sz w:val="22"/>
        </w:rPr>
        <w:t xml:space="preserve">Examining the association between psychiatric illness and suicidal ideation in a sample of treatment-seeking Canadian peacekeeping and combat veterans with posttraumatic stress disorder </w:t>
      </w:r>
      <w:r>
        <w:rPr>
          <w:rFonts w:cs="Helvetica"/>
          <w:sz w:val="22"/>
        </w:rPr>
        <w:t>(</w:t>
      </w:r>
      <w:r w:rsidRPr="008E1EB3">
        <w:rPr>
          <w:rFonts w:cs="Helvetica"/>
          <w:sz w:val="22"/>
        </w:rPr>
        <w:t>PTSD</w:t>
      </w:r>
      <w:r>
        <w:rPr>
          <w:rFonts w:cs="Helvetica"/>
          <w:sz w:val="22"/>
        </w:rPr>
        <w:t xml:space="preserve">). </w:t>
      </w:r>
      <w:r w:rsidRPr="00BE1CCD">
        <w:rPr>
          <w:rFonts w:cs="Helvetica"/>
          <w:i/>
          <w:sz w:val="22"/>
        </w:rPr>
        <w:t>Canadian Journal Of Psychiatry</w:t>
      </w:r>
      <w:r>
        <w:rPr>
          <w:rFonts w:cs="Helvetica"/>
          <w:sz w:val="22"/>
        </w:rPr>
        <w:t xml:space="preserve"> 57(8):</w:t>
      </w:r>
      <w:r w:rsidRPr="008E1EB3">
        <w:rPr>
          <w:rFonts w:cs="Helvetica"/>
          <w:sz w:val="22"/>
        </w:rPr>
        <w:t xml:space="preserve"> 496-504.</w:t>
      </w:r>
    </w:p>
  </w:endnote>
  <w:endnote w:id="95">
    <w:p w:rsidR="00492B7D" w:rsidRPr="008E1EB3" w:rsidRDefault="00492B7D" w:rsidP="007E732E">
      <w:pPr>
        <w:rPr>
          <w:sz w:val="22"/>
          <w:szCs w:val="21"/>
        </w:rPr>
      </w:pPr>
      <w:r w:rsidRPr="008E1EB3">
        <w:rPr>
          <w:rStyle w:val="EndnoteReference"/>
          <w:sz w:val="22"/>
        </w:rPr>
        <w:endnoteRef/>
      </w:r>
      <w:r w:rsidRPr="008E1EB3">
        <w:rPr>
          <w:sz w:val="22"/>
        </w:rPr>
        <w:t xml:space="preserve"> </w:t>
      </w:r>
      <w:proofErr w:type="gramStart"/>
      <w:r w:rsidRPr="008E1EB3">
        <w:rPr>
          <w:sz w:val="22"/>
          <w:szCs w:val="21"/>
        </w:rPr>
        <w:t>Institute of Medicine.</w:t>
      </w:r>
      <w:proofErr w:type="gramEnd"/>
      <w:r w:rsidRPr="008E1EB3">
        <w:rPr>
          <w:sz w:val="22"/>
          <w:szCs w:val="21"/>
        </w:rPr>
        <w:t xml:space="preserve"> </w:t>
      </w:r>
      <w:r w:rsidRPr="008E1EB3">
        <w:rPr>
          <w:i/>
          <w:sz w:val="22"/>
          <w:szCs w:val="21"/>
        </w:rPr>
        <w:t>Protecting Those Who Serve: Strategies To Protect the Health of Deployed U.S. Forces.</w:t>
      </w:r>
      <w:r w:rsidRPr="008E1EB3">
        <w:rPr>
          <w:sz w:val="22"/>
          <w:szCs w:val="21"/>
        </w:rPr>
        <w:t xml:space="preserve"> </w:t>
      </w:r>
      <w:r>
        <w:rPr>
          <w:sz w:val="22"/>
          <w:szCs w:val="21"/>
        </w:rPr>
        <w:t xml:space="preserve">Washington, DC: </w:t>
      </w:r>
      <w:r w:rsidRPr="008E1EB3">
        <w:rPr>
          <w:sz w:val="22"/>
          <w:szCs w:val="21"/>
        </w:rPr>
        <w:t>National Academy Press</w:t>
      </w:r>
      <w:r>
        <w:rPr>
          <w:sz w:val="22"/>
          <w:szCs w:val="21"/>
        </w:rPr>
        <w:t xml:space="preserve">, </w:t>
      </w:r>
      <w:r w:rsidRPr="008E1EB3">
        <w:rPr>
          <w:sz w:val="22"/>
          <w:szCs w:val="21"/>
        </w:rPr>
        <w:t>2000.</w:t>
      </w:r>
    </w:p>
  </w:endnote>
  <w:endnote w:id="96">
    <w:p w:rsidR="00492B7D" w:rsidRPr="00BE1CCD" w:rsidRDefault="00492B7D" w:rsidP="00554259">
      <w:pPr>
        <w:rPr>
          <w:rFonts w:cs="Arial"/>
          <w:sz w:val="22"/>
        </w:rPr>
      </w:pPr>
      <w:r w:rsidRPr="008E1EB3">
        <w:rPr>
          <w:rStyle w:val="EndnoteReference"/>
          <w:sz w:val="22"/>
        </w:rPr>
        <w:endnoteRef/>
      </w:r>
      <w:r w:rsidRPr="008E1EB3">
        <w:rPr>
          <w:sz w:val="22"/>
        </w:rPr>
        <w:t xml:space="preserve"> </w:t>
      </w:r>
      <w:proofErr w:type="gramStart"/>
      <w:r>
        <w:rPr>
          <w:sz w:val="22"/>
        </w:rPr>
        <w:t>Veterans Health Administration.</w:t>
      </w:r>
      <w:proofErr w:type="gramEnd"/>
      <w:r>
        <w:rPr>
          <w:sz w:val="22"/>
        </w:rPr>
        <w:t xml:space="preserve"> </w:t>
      </w:r>
      <w:proofErr w:type="gramStart"/>
      <w:r w:rsidRPr="00BE1CCD">
        <w:rPr>
          <w:rFonts w:cs="Arial"/>
          <w:i/>
          <w:sz w:val="22"/>
        </w:rPr>
        <w:t>Clinical Practice Guideline for the Management of Medically Unexplained Symptoms</w:t>
      </w:r>
      <w:r>
        <w:rPr>
          <w:rFonts w:cs="Arial"/>
          <w:sz w:val="22"/>
        </w:rPr>
        <w:t>.</w:t>
      </w:r>
      <w:proofErr w:type="gramEnd"/>
      <w:r>
        <w:rPr>
          <w:rFonts w:cs="Arial"/>
          <w:sz w:val="22"/>
        </w:rPr>
        <w:t xml:space="preserve"> Washington, DC: Department of Defense, 2001.</w:t>
      </w:r>
    </w:p>
    <w:p w:rsidR="00492B7D" w:rsidRPr="008E1EB3" w:rsidRDefault="00492B7D" w:rsidP="00554259">
      <w:pPr>
        <w:rPr>
          <w:rFonts w:cs="Arial"/>
          <w:sz w:val="22"/>
        </w:rPr>
      </w:pPr>
      <w:r w:rsidRPr="008E1EB3">
        <w:rPr>
          <w:rFonts w:cs="Arial"/>
          <w:sz w:val="22"/>
        </w:rPr>
        <w:t>http:www.healthquality.va.gov/mus</w:t>
      </w:r>
    </w:p>
  </w:endnote>
  <w:endnote w:id="97">
    <w:p w:rsidR="00492B7D" w:rsidRPr="00BE1CCD" w:rsidRDefault="00492B7D" w:rsidP="00BE1CCD">
      <w:pPr>
        <w:widowControl w:val="0"/>
        <w:autoSpaceDE w:val="0"/>
        <w:autoSpaceDN w:val="0"/>
        <w:adjustRightInd w:val="0"/>
        <w:rPr>
          <w:rFonts w:cs="Helvetica"/>
          <w:color w:val="262626"/>
          <w:sz w:val="22"/>
          <w:szCs w:val="26"/>
        </w:rPr>
      </w:pPr>
      <w:r w:rsidRPr="008E1EB3">
        <w:rPr>
          <w:rStyle w:val="EndnoteReference"/>
          <w:sz w:val="22"/>
        </w:rPr>
        <w:endnoteRef/>
      </w:r>
      <w:r w:rsidRPr="008E1EB3">
        <w:rPr>
          <w:sz w:val="22"/>
        </w:rPr>
        <w:t xml:space="preserve"> </w:t>
      </w:r>
      <w:proofErr w:type="gramStart"/>
      <w:r>
        <w:rPr>
          <w:sz w:val="22"/>
        </w:rPr>
        <w:t>The Kaiser Family Foundation.</w:t>
      </w:r>
      <w:proofErr w:type="gramEnd"/>
      <w:r>
        <w:rPr>
          <w:sz w:val="22"/>
        </w:rPr>
        <w:t xml:space="preserve"> KaiserEDU.org. Military and Veterans’ Health Care, 2011, available at </w:t>
      </w:r>
      <w:r w:rsidRPr="008E1EB3">
        <w:rPr>
          <w:rFonts w:cs="Helvetica"/>
          <w:color w:val="262626"/>
          <w:sz w:val="22"/>
          <w:szCs w:val="26"/>
        </w:rPr>
        <w:t>http://www.kaiseredu.org/Issue-Modules/Military-and-Veterans-He</w:t>
      </w:r>
      <w:r>
        <w:rPr>
          <w:rFonts w:cs="Helvetica"/>
          <w:color w:val="262626"/>
          <w:sz w:val="22"/>
          <w:szCs w:val="26"/>
        </w:rPr>
        <w:t>alth-Care/Background-Brief.aspx</w:t>
      </w:r>
    </w:p>
  </w:endnote>
  <w:endnote w:id="98">
    <w:p w:rsidR="00492B7D" w:rsidRPr="008E1EB3" w:rsidRDefault="00492B7D">
      <w:pPr>
        <w:pStyle w:val="EndnoteText"/>
        <w:rPr>
          <w:sz w:val="22"/>
        </w:rPr>
      </w:pPr>
      <w:r w:rsidRPr="008E1EB3">
        <w:rPr>
          <w:rStyle w:val="EndnoteReference"/>
          <w:sz w:val="22"/>
        </w:rPr>
        <w:endnoteRef/>
      </w:r>
      <w:r w:rsidRPr="008E1EB3">
        <w:rPr>
          <w:sz w:val="22"/>
        </w:rPr>
        <w:t xml:space="preserve"> Essential Learning. </w:t>
      </w:r>
      <w:proofErr w:type="gramStart"/>
      <w:r w:rsidRPr="00BE1CCD">
        <w:rPr>
          <w:i/>
          <w:sz w:val="22"/>
        </w:rPr>
        <w:t>Military Cultural Competence</w:t>
      </w:r>
      <w:r w:rsidRPr="008E1EB3">
        <w:rPr>
          <w:sz w:val="22"/>
        </w:rPr>
        <w:t>.</w:t>
      </w:r>
      <w:proofErr w:type="gramEnd"/>
      <w:r w:rsidRPr="008E1EB3">
        <w:rPr>
          <w:sz w:val="22"/>
        </w:rPr>
        <w:t xml:space="preserve"> 2011. http://www.essentiallearning.net/student/content/sections/Lectora/MilitaryCultureCompetence/index.html</w:t>
      </w:r>
    </w:p>
  </w:endnote>
  <w:endnote w:id="99">
    <w:p w:rsidR="00492B7D" w:rsidRPr="00BE1CCD" w:rsidRDefault="00492B7D" w:rsidP="00BE1CCD">
      <w:pPr>
        <w:rPr>
          <w:rFonts w:cs="Arial"/>
          <w:sz w:val="22"/>
        </w:rPr>
      </w:pPr>
      <w:r w:rsidRPr="008E1EB3">
        <w:rPr>
          <w:rStyle w:val="EndnoteReference"/>
          <w:sz w:val="22"/>
        </w:rPr>
        <w:endnoteRef/>
      </w:r>
      <w:r w:rsidRPr="008E1EB3">
        <w:rPr>
          <w:sz w:val="22"/>
        </w:rPr>
        <w:t xml:space="preserve"> </w:t>
      </w:r>
      <w:r>
        <w:rPr>
          <w:sz w:val="22"/>
        </w:rPr>
        <w:t>Defense Centers of Excellence.</w:t>
      </w:r>
      <w:r w:rsidRPr="008E1EB3">
        <w:rPr>
          <w:sz w:val="22"/>
        </w:rPr>
        <w:t xml:space="preserve"> </w:t>
      </w:r>
      <w:proofErr w:type="gramStart"/>
      <w:r w:rsidRPr="00BE1CCD">
        <w:rPr>
          <w:rFonts w:cs="Arial"/>
          <w:i/>
          <w:sz w:val="22"/>
        </w:rPr>
        <w:t>Guidance for Training, Education on Clinical Practice Guidelines for Psychological Health &amp; Traumatic Brain Injury</w:t>
      </w:r>
      <w:r>
        <w:rPr>
          <w:rFonts w:cs="Arial"/>
          <w:sz w:val="22"/>
        </w:rPr>
        <w:t>.</w:t>
      </w:r>
      <w:proofErr w:type="gramEnd"/>
      <w:r>
        <w:rPr>
          <w:rFonts w:cs="Arial"/>
          <w:sz w:val="22"/>
        </w:rPr>
        <w:t xml:space="preserve"> Arlington, Virginia: Defense Centers of Excellence, 2011. Available at http://</w:t>
      </w:r>
      <w:hyperlink r:id="rId20" w:history="1">
        <w:r w:rsidRPr="008E1EB3">
          <w:rPr>
            <w:rStyle w:val="Hyperlink"/>
            <w:rFonts w:cs="Arial"/>
            <w:sz w:val="22"/>
          </w:rPr>
          <w:t>www.dcoe.health.mil</w:t>
        </w:r>
      </w:hyperlink>
    </w:p>
  </w:endnote>
  <w:endnote w:id="100">
    <w:p w:rsidR="00492B7D" w:rsidRPr="008E1EB3" w:rsidRDefault="00492B7D">
      <w:pPr>
        <w:pStyle w:val="EndnoteText"/>
        <w:rPr>
          <w:sz w:val="22"/>
        </w:rPr>
      </w:pPr>
      <w:r w:rsidRPr="008E1EB3">
        <w:rPr>
          <w:rStyle w:val="EndnoteReference"/>
          <w:sz w:val="22"/>
        </w:rPr>
        <w:endnoteRef/>
      </w:r>
      <w:r w:rsidRPr="008E1EB3">
        <w:rPr>
          <w:sz w:val="22"/>
        </w:rPr>
        <w:t xml:space="preserve"> Defense Centers of Excellence. </w:t>
      </w:r>
      <w:proofErr w:type="gramStart"/>
      <w:r w:rsidRPr="00BE1CCD">
        <w:rPr>
          <w:i/>
          <w:sz w:val="22"/>
        </w:rPr>
        <w:t>Guidance for Training, Education on Clinical Practice Guidelines.</w:t>
      </w:r>
      <w:proofErr w:type="gramEnd"/>
      <w:r w:rsidRPr="008E1EB3">
        <w:rPr>
          <w:sz w:val="22"/>
        </w:rPr>
        <w:t xml:space="preserve"> </w:t>
      </w:r>
      <w:r>
        <w:rPr>
          <w:sz w:val="22"/>
        </w:rPr>
        <w:t>Arlington, Virginia: Defense Centers of Excellence, 2011.</w:t>
      </w:r>
      <w:r w:rsidRPr="008E1EB3">
        <w:rPr>
          <w:sz w:val="22"/>
        </w:rPr>
        <w:t xml:space="preserve"> Available at </w:t>
      </w:r>
      <w:hyperlink r:id="rId21" w:history="1">
        <w:r w:rsidRPr="008E1EB3">
          <w:rPr>
            <w:rStyle w:val="Hyperlink"/>
            <w:sz w:val="22"/>
          </w:rPr>
          <w:t>http://www.dcoe.health.mil</w:t>
        </w:r>
      </w:hyperlink>
      <w:r w:rsidRPr="008E1EB3">
        <w:rPr>
          <w:sz w:val="22"/>
        </w:rPr>
        <w:t xml:space="preserve"> </w:t>
      </w:r>
    </w:p>
  </w:endnote>
  <w:endnote w:id="101">
    <w:p w:rsidR="00492B7D" w:rsidRPr="008E1EB3" w:rsidRDefault="00492B7D">
      <w:pPr>
        <w:pStyle w:val="EndnoteText"/>
        <w:rPr>
          <w:sz w:val="22"/>
        </w:rPr>
      </w:pPr>
      <w:r w:rsidRPr="008E1EB3">
        <w:rPr>
          <w:rStyle w:val="EndnoteReference"/>
          <w:sz w:val="22"/>
        </w:rPr>
        <w:endnoteRef/>
      </w:r>
      <w:r w:rsidRPr="008E1EB3">
        <w:rPr>
          <w:sz w:val="22"/>
        </w:rPr>
        <w:t xml:space="preserve"> </w:t>
      </w:r>
      <w:proofErr w:type="gramStart"/>
      <w:r w:rsidRPr="008E1EB3">
        <w:rPr>
          <w:sz w:val="22"/>
        </w:rPr>
        <w:t>U.S. Department of Veterans Affairs.</w:t>
      </w:r>
      <w:proofErr w:type="gramEnd"/>
      <w:r w:rsidRPr="008E1EB3">
        <w:rPr>
          <w:sz w:val="22"/>
        </w:rPr>
        <w:t xml:space="preserve"> </w:t>
      </w:r>
      <w:r w:rsidRPr="00BE1CCD">
        <w:rPr>
          <w:i/>
          <w:sz w:val="22"/>
        </w:rPr>
        <w:t>Putting Clinical Practice Guidelines to Work in VHA</w:t>
      </w:r>
      <w:r w:rsidRPr="008E1EB3">
        <w:rPr>
          <w:sz w:val="22"/>
        </w:rPr>
        <w:t>. Washington, DC</w:t>
      </w:r>
      <w:r>
        <w:rPr>
          <w:sz w:val="22"/>
        </w:rPr>
        <w:t>: U.S. Department of Veterans Affairs, 2001</w:t>
      </w:r>
      <w:r w:rsidRPr="008E1EB3">
        <w:rPr>
          <w:sz w:val="22"/>
        </w:rPr>
        <w:t>.</w:t>
      </w:r>
      <w:r>
        <w:rPr>
          <w:sz w:val="22"/>
        </w:rPr>
        <w:t xml:space="preserve"> Available at</w:t>
      </w:r>
      <w:r w:rsidRPr="008E1EB3">
        <w:rPr>
          <w:sz w:val="22"/>
        </w:rPr>
        <w:t xml:space="preserve"> http://www.healthquality.va.gov/VA_Manual.pdf</w:t>
      </w:r>
    </w:p>
  </w:endnote>
  <w:endnote w:id="102">
    <w:p w:rsidR="00492B7D" w:rsidRPr="008E1EB3" w:rsidRDefault="00492B7D" w:rsidP="004F3B41">
      <w:pPr>
        <w:pStyle w:val="EndnoteText"/>
        <w:rPr>
          <w:sz w:val="22"/>
        </w:rPr>
      </w:pPr>
      <w:r w:rsidRPr="008E1EB3">
        <w:rPr>
          <w:rStyle w:val="EndnoteReference"/>
          <w:sz w:val="22"/>
        </w:rPr>
        <w:endnoteRef/>
      </w:r>
      <w:r w:rsidRPr="008E1EB3">
        <w:rPr>
          <w:sz w:val="22"/>
        </w:rPr>
        <w:t xml:space="preserve"> </w:t>
      </w:r>
      <w:proofErr w:type="gramStart"/>
      <w:r w:rsidRPr="008E1EB3">
        <w:rPr>
          <w:sz w:val="22"/>
        </w:rPr>
        <w:t>U.S. Department of Veterans Affairs.</w:t>
      </w:r>
      <w:proofErr w:type="gramEnd"/>
      <w:r w:rsidRPr="008E1EB3">
        <w:rPr>
          <w:sz w:val="22"/>
        </w:rPr>
        <w:t xml:space="preserve"> </w:t>
      </w:r>
      <w:proofErr w:type="gramStart"/>
      <w:r w:rsidRPr="008E1EB3">
        <w:rPr>
          <w:i/>
          <w:sz w:val="22"/>
        </w:rPr>
        <w:t>Clinical Practice Guidelines for the Management of Medically Unexplained Symptoms</w:t>
      </w:r>
      <w:r>
        <w:rPr>
          <w:sz w:val="22"/>
        </w:rPr>
        <w:t>.</w:t>
      </w:r>
      <w:proofErr w:type="gramEnd"/>
      <w:r>
        <w:rPr>
          <w:sz w:val="22"/>
        </w:rPr>
        <w:t xml:space="preserve"> Washington, DC: U.S. Department of Veterans Affairs, 2001. Available at </w:t>
      </w:r>
      <w:r w:rsidRPr="008E1EB3">
        <w:rPr>
          <w:sz w:val="22"/>
        </w:rPr>
        <w:t>http://www.healthquality.va.gov/Medically_Unexplained_Symptoms_MUS.asp</w:t>
      </w:r>
    </w:p>
  </w:endnote>
  <w:endnote w:id="103">
    <w:p w:rsidR="00492B7D" w:rsidRPr="008E1EB3" w:rsidRDefault="00492B7D" w:rsidP="004F3B41">
      <w:pPr>
        <w:rPr>
          <w:rFonts w:cs="Arial"/>
          <w:sz w:val="22"/>
        </w:rPr>
      </w:pPr>
      <w:r w:rsidRPr="008E1EB3">
        <w:rPr>
          <w:rStyle w:val="EndnoteReference"/>
          <w:sz w:val="22"/>
        </w:rPr>
        <w:endnoteRef/>
      </w:r>
      <w:r w:rsidRPr="008E1EB3">
        <w:rPr>
          <w:sz w:val="22"/>
        </w:rPr>
        <w:t xml:space="preserve"> </w:t>
      </w:r>
      <w:proofErr w:type="gramStart"/>
      <w:r w:rsidRPr="008E1EB3">
        <w:rPr>
          <w:sz w:val="22"/>
        </w:rPr>
        <w:t>U.S. Department of Veterans Affairs.</w:t>
      </w:r>
      <w:proofErr w:type="gramEnd"/>
      <w:r w:rsidRPr="008E1EB3">
        <w:rPr>
          <w:sz w:val="22"/>
        </w:rPr>
        <w:t xml:space="preserve"> </w:t>
      </w:r>
      <w:proofErr w:type="gramStart"/>
      <w:r w:rsidRPr="00BE1CCD">
        <w:rPr>
          <w:rFonts w:cs="Arial"/>
          <w:i/>
          <w:sz w:val="22"/>
        </w:rPr>
        <w:t>Clinical Practice Guideline for Post-Deployment Health Evaluation and Management</w:t>
      </w:r>
      <w:r>
        <w:rPr>
          <w:rFonts w:cs="Arial"/>
          <w:sz w:val="22"/>
        </w:rPr>
        <w:t>.</w:t>
      </w:r>
      <w:proofErr w:type="gramEnd"/>
      <w:r>
        <w:rPr>
          <w:rFonts w:cs="Arial"/>
          <w:sz w:val="22"/>
        </w:rPr>
        <w:t xml:space="preserve"> Washington, DC: U.S. Department of Veterans Affairs, 2001.</w:t>
      </w:r>
    </w:p>
    <w:p w:rsidR="00492B7D" w:rsidRPr="008E1EB3" w:rsidRDefault="00492B7D" w:rsidP="004F3B41">
      <w:pPr>
        <w:pStyle w:val="EndnoteText"/>
        <w:rPr>
          <w:sz w:val="22"/>
        </w:rPr>
      </w:pPr>
      <w:r>
        <w:rPr>
          <w:rFonts w:cs="Arial"/>
          <w:sz w:val="22"/>
        </w:rPr>
        <w:t xml:space="preserve">Available at </w:t>
      </w:r>
      <w:hyperlink r:id="rId22" w:history="1">
        <w:r w:rsidRPr="004C51D2">
          <w:rPr>
            <w:rStyle w:val="Hyperlink"/>
            <w:rFonts w:cs="Arial"/>
            <w:sz w:val="22"/>
          </w:rPr>
          <w:t>http://www.healthquality.va.gov/pdh/PDH_cpg.pdf</w:t>
        </w:r>
      </w:hyperlink>
      <w:r>
        <w:rPr>
          <w:rFonts w:cs="Arial"/>
          <w:sz w:val="22"/>
        </w:rPr>
        <w:t xml:space="preserve"> </w:t>
      </w:r>
    </w:p>
  </w:endnote>
  <w:endnote w:id="104">
    <w:p w:rsidR="00492B7D" w:rsidRPr="008E1EB3" w:rsidRDefault="00492B7D" w:rsidP="0010495A">
      <w:pPr>
        <w:rPr>
          <w:sz w:val="22"/>
          <w:szCs w:val="21"/>
        </w:rPr>
      </w:pPr>
      <w:r w:rsidRPr="008E1EB3">
        <w:rPr>
          <w:rStyle w:val="EndnoteReference"/>
          <w:sz w:val="22"/>
        </w:rPr>
        <w:endnoteRef/>
      </w:r>
      <w:r w:rsidRPr="008E1EB3">
        <w:rPr>
          <w:sz w:val="22"/>
        </w:rPr>
        <w:t xml:space="preserve"> </w:t>
      </w:r>
      <w:proofErr w:type="gramStart"/>
      <w:r w:rsidRPr="008E1EB3">
        <w:rPr>
          <w:sz w:val="22"/>
          <w:szCs w:val="21"/>
        </w:rPr>
        <w:t>Institute of Medicine.</w:t>
      </w:r>
      <w:proofErr w:type="gramEnd"/>
      <w:r w:rsidRPr="008E1EB3">
        <w:rPr>
          <w:sz w:val="22"/>
          <w:szCs w:val="21"/>
        </w:rPr>
        <w:t xml:space="preserve"> </w:t>
      </w:r>
      <w:r w:rsidRPr="008E1EB3">
        <w:rPr>
          <w:i/>
          <w:sz w:val="22"/>
          <w:szCs w:val="21"/>
        </w:rPr>
        <w:t>Protecting Those Who Serve: Strategies To Protect the Health of Deployed U.S. Forces.</w:t>
      </w:r>
      <w:r w:rsidRPr="008E1EB3">
        <w:rPr>
          <w:sz w:val="22"/>
          <w:szCs w:val="21"/>
        </w:rPr>
        <w:t xml:space="preserve"> National Academy Press: Washington, DC. 2000.</w:t>
      </w:r>
    </w:p>
    <w:p w:rsidR="00492B7D" w:rsidRDefault="00492B7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bb">
    <w:altName w:val="Lucida Sans Typewriter"/>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32" w:rsidRDefault="00F53732" w:rsidP="00F53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3732" w:rsidRDefault="00F53732" w:rsidP="00F537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32" w:rsidRPr="00F53732" w:rsidRDefault="00F53732" w:rsidP="00424D84">
    <w:pPr>
      <w:pStyle w:val="Footer"/>
      <w:framePr w:wrap="around" w:vAnchor="text" w:hAnchor="margin" w:xAlign="right" w:y="1"/>
      <w:rPr>
        <w:rStyle w:val="PageNumber"/>
        <w:sz w:val="20"/>
      </w:rPr>
    </w:pPr>
    <w:r w:rsidRPr="00F53732">
      <w:rPr>
        <w:rStyle w:val="PageNumber"/>
        <w:sz w:val="20"/>
      </w:rPr>
      <w:fldChar w:fldCharType="begin"/>
    </w:r>
    <w:r w:rsidRPr="00F53732">
      <w:rPr>
        <w:rStyle w:val="PageNumber"/>
        <w:sz w:val="20"/>
      </w:rPr>
      <w:instrText xml:space="preserve">PAGE  </w:instrText>
    </w:r>
    <w:r w:rsidRPr="00F53732">
      <w:rPr>
        <w:rStyle w:val="PageNumber"/>
        <w:sz w:val="20"/>
      </w:rPr>
      <w:fldChar w:fldCharType="separate"/>
    </w:r>
    <w:r w:rsidR="00B842CC">
      <w:rPr>
        <w:rStyle w:val="PageNumber"/>
        <w:noProof/>
        <w:sz w:val="20"/>
      </w:rPr>
      <w:t>5</w:t>
    </w:r>
    <w:r w:rsidRPr="00F53732">
      <w:rPr>
        <w:rStyle w:val="PageNumber"/>
        <w:sz w:val="20"/>
      </w:rPr>
      <w:fldChar w:fldCharType="end"/>
    </w:r>
  </w:p>
  <w:p w:rsidR="00F53732" w:rsidRPr="00F53732" w:rsidRDefault="00F53732" w:rsidP="00F53732">
    <w:pPr>
      <w:pStyle w:val="Footer"/>
      <w:ind w:right="360"/>
      <w:rPr>
        <w:sz w:val="20"/>
      </w:rPr>
    </w:pPr>
    <w:r w:rsidRPr="00F53732">
      <w:rPr>
        <w:sz w:val="20"/>
      </w:rPr>
      <w:t xml:space="preserve">Literature Review to inform </w:t>
    </w:r>
    <w:r w:rsidRPr="00F53732">
      <w:rPr>
        <w:i/>
        <w:sz w:val="20"/>
      </w:rPr>
      <w:t>Making CLAS Happen</w:t>
    </w:r>
    <w:r w:rsidRPr="00F53732">
      <w:rPr>
        <w:sz w:val="20"/>
      </w:rPr>
      <w:t>, 2013</w:t>
    </w:r>
    <w:r w:rsidRPr="00F53732">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5F0" w:rsidRDefault="003D15F0">
      <w:r>
        <w:separator/>
      </w:r>
    </w:p>
  </w:footnote>
  <w:footnote w:type="continuationSeparator" w:id="0">
    <w:p w:rsidR="003D15F0" w:rsidRDefault="003D15F0">
      <w:r>
        <w:continuationSeparator/>
      </w:r>
    </w:p>
  </w:footnote>
  <w:footnote w:id="1">
    <w:p w:rsidR="00492B7D" w:rsidRPr="005B6913" w:rsidRDefault="00492B7D" w:rsidP="00046D70">
      <w:pPr>
        <w:spacing w:after="120"/>
      </w:pPr>
      <w:r>
        <w:rPr>
          <w:rStyle w:val="FootnoteReference"/>
        </w:rPr>
        <w:footnoteRef/>
      </w:r>
      <w:r>
        <w:t xml:space="preserve"> </w:t>
      </w:r>
      <w:r w:rsidRPr="001160B5">
        <w:rPr>
          <w:sz w:val="20"/>
        </w:rPr>
        <w:t>On April 15, 2010, President Obama released a presidential memorandum for the secretary of the Department of Health and Human Services respecting the rights of</w:t>
      </w:r>
      <w:r>
        <w:t xml:space="preserve"> hospital patients to receive </w:t>
      </w:r>
      <w:r w:rsidRPr="001160B5">
        <w:rPr>
          <w:sz w:val="20"/>
        </w:rPr>
        <w:t>visitors and to designate surrogate decision-makers for medical emergencies regardless of their status of legally recognized immediate family members.</w:t>
      </w:r>
      <w:r w:rsidRPr="001160B5">
        <w:rPr>
          <w:rStyle w:val="EndnoteReference"/>
          <w:sz w:val="20"/>
        </w:rPr>
        <w:footnoteRef/>
      </w:r>
    </w:p>
    <w:p w:rsidR="00492B7D" w:rsidRDefault="00492B7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949"/>
    <w:multiLevelType w:val="hybridMultilevel"/>
    <w:tmpl w:val="A86E0422"/>
    <w:lvl w:ilvl="0" w:tplc="D276AE76">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F2875"/>
    <w:multiLevelType w:val="hybridMultilevel"/>
    <w:tmpl w:val="8E62E994"/>
    <w:lvl w:ilvl="0" w:tplc="92D212C2">
      <w:start w:val="6"/>
      <w:numFmt w:val="bullet"/>
      <w:lvlText w:val="-"/>
      <w:lvlJc w:val="left"/>
      <w:pPr>
        <w:ind w:left="768" w:hanging="360"/>
      </w:pPr>
      <w:rPr>
        <w:rFonts w:ascii="Cambria" w:eastAsiaTheme="minorHAnsi" w:hAnsi="Cambria" w:cstheme="minorBidi"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AE02BA3"/>
    <w:multiLevelType w:val="hybridMultilevel"/>
    <w:tmpl w:val="1E74B9F2"/>
    <w:lvl w:ilvl="0" w:tplc="2930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262FE"/>
    <w:multiLevelType w:val="hybridMultilevel"/>
    <w:tmpl w:val="04D0F58A"/>
    <w:lvl w:ilvl="0" w:tplc="F9945E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866BCE"/>
    <w:multiLevelType w:val="hybridMultilevel"/>
    <w:tmpl w:val="171862CE"/>
    <w:lvl w:ilvl="0" w:tplc="F9945E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022F9"/>
    <w:multiLevelType w:val="hybridMultilevel"/>
    <w:tmpl w:val="D80A949A"/>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76674"/>
    <w:multiLevelType w:val="hybridMultilevel"/>
    <w:tmpl w:val="7A50F0C8"/>
    <w:lvl w:ilvl="0" w:tplc="F9945E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D73AB"/>
    <w:multiLevelType w:val="hybridMultilevel"/>
    <w:tmpl w:val="60C4C4D8"/>
    <w:lvl w:ilvl="0" w:tplc="29308C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F23FE9"/>
    <w:multiLevelType w:val="hybridMultilevel"/>
    <w:tmpl w:val="43C8C7EA"/>
    <w:lvl w:ilvl="0" w:tplc="F9945EB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950F0F"/>
    <w:multiLevelType w:val="hybridMultilevel"/>
    <w:tmpl w:val="D292CB24"/>
    <w:lvl w:ilvl="0" w:tplc="2930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A06B5"/>
    <w:multiLevelType w:val="hybridMultilevel"/>
    <w:tmpl w:val="DC72BE62"/>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D67CC"/>
    <w:multiLevelType w:val="hybridMultilevel"/>
    <w:tmpl w:val="DAD23D90"/>
    <w:lvl w:ilvl="0" w:tplc="92D212C2">
      <w:start w:val="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70B22"/>
    <w:multiLevelType w:val="hybridMultilevel"/>
    <w:tmpl w:val="AAC035C2"/>
    <w:lvl w:ilvl="0" w:tplc="92D212C2">
      <w:start w:val="6"/>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AA2142"/>
    <w:multiLevelType w:val="hybridMultilevel"/>
    <w:tmpl w:val="3856BAD6"/>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DC6F34"/>
    <w:multiLevelType w:val="hybridMultilevel"/>
    <w:tmpl w:val="E27406AE"/>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C16BF"/>
    <w:multiLevelType w:val="hybridMultilevel"/>
    <w:tmpl w:val="B0A6619E"/>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F00D2"/>
    <w:multiLevelType w:val="hybridMultilevel"/>
    <w:tmpl w:val="2E0E58D0"/>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D2942"/>
    <w:multiLevelType w:val="hybridMultilevel"/>
    <w:tmpl w:val="EF0AF330"/>
    <w:lvl w:ilvl="0" w:tplc="F9945E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412616"/>
    <w:multiLevelType w:val="hybridMultilevel"/>
    <w:tmpl w:val="3E6E5052"/>
    <w:lvl w:ilvl="0" w:tplc="D276AE76">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D26379"/>
    <w:multiLevelType w:val="hybridMultilevel"/>
    <w:tmpl w:val="D5606D4A"/>
    <w:lvl w:ilvl="0" w:tplc="92D212C2">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9"/>
  </w:num>
  <w:num w:numId="5">
    <w:abstractNumId w:val="12"/>
  </w:num>
  <w:num w:numId="6">
    <w:abstractNumId w:val="14"/>
  </w:num>
  <w:num w:numId="7">
    <w:abstractNumId w:val="18"/>
  </w:num>
  <w:num w:numId="8">
    <w:abstractNumId w:val="13"/>
  </w:num>
  <w:num w:numId="9">
    <w:abstractNumId w:val="9"/>
  </w:num>
  <w:num w:numId="10">
    <w:abstractNumId w:val="3"/>
  </w:num>
  <w:num w:numId="11">
    <w:abstractNumId w:val="2"/>
  </w:num>
  <w:num w:numId="12">
    <w:abstractNumId w:val="4"/>
  </w:num>
  <w:num w:numId="13">
    <w:abstractNumId w:val="10"/>
  </w:num>
  <w:num w:numId="14">
    <w:abstractNumId w:val="1"/>
  </w:num>
  <w:num w:numId="15">
    <w:abstractNumId w:val="15"/>
  </w:num>
  <w:num w:numId="16">
    <w:abstractNumId w:val="5"/>
  </w:num>
  <w:num w:numId="17">
    <w:abstractNumId w:val="17"/>
  </w:num>
  <w:num w:numId="18">
    <w:abstractNumId w:val="6"/>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3E"/>
    <w:rsid w:val="00011D64"/>
    <w:rsid w:val="00021D6A"/>
    <w:rsid w:val="00032E99"/>
    <w:rsid w:val="00046D70"/>
    <w:rsid w:val="00051C6B"/>
    <w:rsid w:val="00056B33"/>
    <w:rsid w:val="00062E00"/>
    <w:rsid w:val="00063291"/>
    <w:rsid w:val="00063835"/>
    <w:rsid w:val="000904BD"/>
    <w:rsid w:val="000938B6"/>
    <w:rsid w:val="000B7C44"/>
    <w:rsid w:val="000C47BA"/>
    <w:rsid w:val="000E724E"/>
    <w:rsid w:val="0010495A"/>
    <w:rsid w:val="001160B5"/>
    <w:rsid w:val="00133D6C"/>
    <w:rsid w:val="00150251"/>
    <w:rsid w:val="00157CC0"/>
    <w:rsid w:val="0018161B"/>
    <w:rsid w:val="00190B14"/>
    <w:rsid w:val="001A0D39"/>
    <w:rsid w:val="001A5D29"/>
    <w:rsid w:val="001B7675"/>
    <w:rsid w:val="001C387D"/>
    <w:rsid w:val="001D57A3"/>
    <w:rsid w:val="002001EC"/>
    <w:rsid w:val="002068A9"/>
    <w:rsid w:val="002271B5"/>
    <w:rsid w:val="0024206F"/>
    <w:rsid w:val="00246073"/>
    <w:rsid w:val="00253496"/>
    <w:rsid w:val="00255829"/>
    <w:rsid w:val="00264F7B"/>
    <w:rsid w:val="002B1F83"/>
    <w:rsid w:val="002C6D03"/>
    <w:rsid w:val="002D7EF0"/>
    <w:rsid w:val="002E0BA5"/>
    <w:rsid w:val="002F37EF"/>
    <w:rsid w:val="002F4666"/>
    <w:rsid w:val="002F56D6"/>
    <w:rsid w:val="002F6382"/>
    <w:rsid w:val="00323B3C"/>
    <w:rsid w:val="00324D70"/>
    <w:rsid w:val="00335678"/>
    <w:rsid w:val="003403DF"/>
    <w:rsid w:val="00354D30"/>
    <w:rsid w:val="00362DFC"/>
    <w:rsid w:val="00392633"/>
    <w:rsid w:val="0039472E"/>
    <w:rsid w:val="003D15F0"/>
    <w:rsid w:val="003D79D2"/>
    <w:rsid w:val="003E2386"/>
    <w:rsid w:val="003E6D53"/>
    <w:rsid w:val="003F7E07"/>
    <w:rsid w:val="004038B0"/>
    <w:rsid w:val="004211A4"/>
    <w:rsid w:val="00425E04"/>
    <w:rsid w:val="004318EB"/>
    <w:rsid w:val="004455AC"/>
    <w:rsid w:val="00447FB2"/>
    <w:rsid w:val="0047384D"/>
    <w:rsid w:val="0047668E"/>
    <w:rsid w:val="004917F4"/>
    <w:rsid w:val="00492B7D"/>
    <w:rsid w:val="004B0ED0"/>
    <w:rsid w:val="004B0F24"/>
    <w:rsid w:val="004B19EB"/>
    <w:rsid w:val="004D619D"/>
    <w:rsid w:val="004D6892"/>
    <w:rsid w:val="004D693C"/>
    <w:rsid w:val="004F3B41"/>
    <w:rsid w:val="00522752"/>
    <w:rsid w:val="00541C0E"/>
    <w:rsid w:val="00543079"/>
    <w:rsid w:val="005442B8"/>
    <w:rsid w:val="00554259"/>
    <w:rsid w:val="00554699"/>
    <w:rsid w:val="00560968"/>
    <w:rsid w:val="00575148"/>
    <w:rsid w:val="005A553E"/>
    <w:rsid w:val="005B1957"/>
    <w:rsid w:val="005B6913"/>
    <w:rsid w:val="005C0B20"/>
    <w:rsid w:val="005C1A1C"/>
    <w:rsid w:val="005C564F"/>
    <w:rsid w:val="005D71DD"/>
    <w:rsid w:val="005E355F"/>
    <w:rsid w:val="005F15DB"/>
    <w:rsid w:val="00600103"/>
    <w:rsid w:val="006055E7"/>
    <w:rsid w:val="00633ADC"/>
    <w:rsid w:val="006412FA"/>
    <w:rsid w:val="006515D9"/>
    <w:rsid w:val="0067447C"/>
    <w:rsid w:val="006835C8"/>
    <w:rsid w:val="006C31B1"/>
    <w:rsid w:val="006C4BEC"/>
    <w:rsid w:val="006E10C8"/>
    <w:rsid w:val="006F0DB9"/>
    <w:rsid w:val="00711C47"/>
    <w:rsid w:val="007130FB"/>
    <w:rsid w:val="007425E7"/>
    <w:rsid w:val="00751BAE"/>
    <w:rsid w:val="00760E14"/>
    <w:rsid w:val="00760FF8"/>
    <w:rsid w:val="00762AEC"/>
    <w:rsid w:val="007641BF"/>
    <w:rsid w:val="00766829"/>
    <w:rsid w:val="00777434"/>
    <w:rsid w:val="007B019E"/>
    <w:rsid w:val="007B4652"/>
    <w:rsid w:val="007B4A27"/>
    <w:rsid w:val="007C598D"/>
    <w:rsid w:val="007D4305"/>
    <w:rsid w:val="007E732E"/>
    <w:rsid w:val="007F32A9"/>
    <w:rsid w:val="00821C17"/>
    <w:rsid w:val="0085713A"/>
    <w:rsid w:val="00863334"/>
    <w:rsid w:val="00864DC0"/>
    <w:rsid w:val="0086772A"/>
    <w:rsid w:val="00893625"/>
    <w:rsid w:val="008A3BC6"/>
    <w:rsid w:val="008B5CF7"/>
    <w:rsid w:val="008C03D6"/>
    <w:rsid w:val="008E1EB3"/>
    <w:rsid w:val="008F1604"/>
    <w:rsid w:val="008F60D9"/>
    <w:rsid w:val="00906F6B"/>
    <w:rsid w:val="00923CB6"/>
    <w:rsid w:val="0092614D"/>
    <w:rsid w:val="00931C00"/>
    <w:rsid w:val="00981378"/>
    <w:rsid w:val="00995630"/>
    <w:rsid w:val="009A2302"/>
    <w:rsid w:val="009C4ED2"/>
    <w:rsid w:val="009F035E"/>
    <w:rsid w:val="009F2869"/>
    <w:rsid w:val="00A05F89"/>
    <w:rsid w:val="00A40013"/>
    <w:rsid w:val="00A721C8"/>
    <w:rsid w:val="00A72FA9"/>
    <w:rsid w:val="00A73F0B"/>
    <w:rsid w:val="00A83344"/>
    <w:rsid w:val="00A971EA"/>
    <w:rsid w:val="00AA5BDF"/>
    <w:rsid w:val="00AD4714"/>
    <w:rsid w:val="00AE57C4"/>
    <w:rsid w:val="00AF17E2"/>
    <w:rsid w:val="00B1012A"/>
    <w:rsid w:val="00B5413A"/>
    <w:rsid w:val="00B54712"/>
    <w:rsid w:val="00B639BD"/>
    <w:rsid w:val="00B64799"/>
    <w:rsid w:val="00B842CC"/>
    <w:rsid w:val="00B86E08"/>
    <w:rsid w:val="00B9737F"/>
    <w:rsid w:val="00B97D0C"/>
    <w:rsid w:val="00BB07C9"/>
    <w:rsid w:val="00BC3AB1"/>
    <w:rsid w:val="00BD79E4"/>
    <w:rsid w:val="00BE1CCD"/>
    <w:rsid w:val="00C11C03"/>
    <w:rsid w:val="00C228B3"/>
    <w:rsid w:val="00C37CAF"/>
    <w:rsid w:val="00C415E3"/>
    <w:rsid w:val="00C455CF"/>
    <w:rsid w:val="00C53A2B"/>
    <w:rsid w:val="00C76CE3"/>
    <w:rsid w:val="00C96C36"/>
    <w:rsid w:val="00CA0915"/>
    <w:rsid w:val="00CB417C"/>
    <w:rsid w:val="00CC1497"/>
    <w:rsid w:val="00CD0B99"/>
    <w:rsid w:val="00CD6BB4"/>
    <w:rsid w:val="00CD786F"/>
    <w:rsid w:val="00CE17D2"/>
    <w:rsid w:val="00D16B65"/>
    <w:rsid w:val="00D526C0"/>
    <w:rsid w:val="00D53256"/>
    <w:rsid w:val="00D714D9"/>
    <w:rsid w:val="00D84710"/>
    <w:rsid w:val="00D94E36"/>
    <w:rsid w:val="00DA6B92"/>
    <w:rsid w:val="00DB116C"/>
    <w:rsid w:val="00DF2EB6"/>
    <w:rsid w:val="00E21E25"/>
    <w:rsid w:val="00E628FA"/>
    <w:rsid w:val="00E70CF6"/>
    <w:rsid w:val="00E87D36"/>
    <w:rsid w:val="00EA6AFA"/>
    <w:rsid w:val="00EC7EC7"/>
    <w:rsid w:val="00EE670D"/>
    <w:rsid w:val="00EF39D7"/>
    <w:rsid w:val="00F00208"/>
    <w:rsid w:val="00F11149"/>
    <w:rsid w:val="00F1426F"/>
    <w:rsid w:val="00F3120B"/>
    <w:rsid w:val="00F447C6"/>
    <w:rsid w:val="00F53732"/>
    <w:rsid w:val="00F66D5F"/>
    <w:rsid w:val="00F9355C"/>
    <w:rsid w:val="00F93B49"/>
    <w:rsid w:val="00FB6F50"/>
    <w:rsid w:val="00FE123D"/>
    <w:rsid w:val="00FE36F5"/>
    <w:rsid w:val="00FE4B53"/>
    <w:rsid w:val="00FF0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FollowedHyperlink" w:uiPriority="99"/>
    <w:lsdException w:name="HTML Cite" w:uiPriority="99"/>
    <w:lsdException w:name="List Paragraph" w:uiPriority="34" w:qFormat="1"/>
  </w:latentStyles>
  <w:style w:type="paragraph" w:default="1" w:styleId="Normal">
    <w:name w:val="Normal"/>
    <w:qFormat/>
    <w:rsid w:val="007D1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1A4"/>
    <w:rPr>
      <w:color w:val="0000FF" w:themeColor="hyperlink"/>
      <w:u w:val="single"/>
    </w:rPr>
  </w:style>
  <w:style w:type="paragraph" w:styleId="ListParagraph">
    <w:name w:val="List Paragraph"/>
    <w:basedOn w:val="Normal"/>
    <w:uiPriority w:val="34"/>
    <w:qFormat/>
    <w:rsid w:val="007130FB"/>
    <w:pPr>
      <w:ind w:left="720"/>
      <w:contextualSpacing/>
    </w:pPr>
  </w:style>
  <w:style w:type="paragraph" w:styleId="EndnoteText">
    <w:name w:val="endnote text"/>
    <w:basedOn w:val="Normal"/>
    <w:link w:val="EndnoteTextChar"/>
    <w:uiPriority w:val="99"/>
    <w:semiHidden/>
    <w:unhideWhenUsed/>
    <w:rsid w:val="009F2869"/>
  </w:style>
  <w:style w:type="character" w:customStyle="1" w:styleId="EndnoteTextChar">
    <w:name w:val="Endnote Text Char"/>
    <w:basedOn w:val="DefaultParagraphFont"/>
    <w:link w:val="EndnoteText"/>
    <w:uiPriority w:val="99"/>
    <w:semiHidden/>
    <w:rsid w:val="009F2869"/>
  </w:style>
  <w:style w:type="character" w:styleId="EndnoteReference">
    <w:name w:val="endnote reference"/>
    <w:basedOn w:val="DefaultParagraphFont"/>
    <w:uiPriority w:val="99"/>
    <w:semiHidden/>
    <w:unhideWhenUsed/>
    <w:rsid w:val="009F2869"/>
    <w:rPr>
      <w:vertAlign w:val="superscript"/>
    </w:rPr>
  </w:style>
  <w:style w:type="character" w:customStyle="1" w:styleId="st">
    <w:name w:val="st"/>
    <w:basedOn w:val="DefaultParagraphFont"/>
    <w:rsid w:val="004B0ED0"/>
  </w:style>
  <w:style w:type="character" w:styleId="Emphasis">
    <w:name w:val="Emphasis"/>
    <w:basedOn w:val="DefaultParagraphFont"/>
    <w:uiPriority w:val="20"/>
    <w:rsid w:val="004B0ED0"/>
    <w:rPr>
      <w:i/>
    </w:rPr>
  </w:style>
  <w:style w:type="character" w:styleId="FollowedHyperlink">
    <w:name w:val="FollowedHyperlink"/>
    <w:basedOn w:val="DefaultParagraphFont"/>
    <w:uiPriority w:val="99"/>
    <w:semiHidden/>
    <w:unhideWhenUsed/>
    <w:rsid w:val="006C31B1"/>
    <w:rPr>
      <w:color w:val="800080" w:themeColor="followedHyperlink"/>
      <w:u w:val="single"/>
    </w:rPr>
  </w:style>
  <w:style w:type="paragraph" w:styleId="FootnoteText">
    <w:name w:val="footnote text"/>
    <w:basedOn w:val="Normal"/>
    <w:link w:val="FootnoteTextChar"/>
    <w:uiPriority w:val="99"/>
    <w:semiHidden/>
    <w:unhideWhenUsed/>
    <w:rsid w:val="00821C17"/>
  </w:style>
  <w:style w:type="character" w:customStyle="1" w:styleId="FootnoteTextChar">
    <w:name w:val="Footnote Text Char"/>
    <w:basedOn w:val="DefaultParagraphFont"/>
    <w:link w:val="FootnoteText"/>
    <w:uiPriority w:val="99"/>
    <w:semiHidden/>
    <w:rsid w:val="00821C17"/>
  </w:style>
  <w:style w:type="character" w:styleId="FootnoteReference">
    <w:name w:val="footnote reference"/>
    <w:basedOn w:val="DefaultParagraphFont"/>
    <w:uiPriority w:val="99"/>
    <w:semiHidden/>
    <w:unhideWhenUsed/>
    <w:rsid w:val="00821C17"/>
    <w:rPr>
      <w:vertAlign w:val="superscript"/>
    </w:rPr>
  </w:style>
  <w:style w:type="character" w:styleId="HTMLCite">
    <w:name w:val="HTML Cite"/>
    <w:basedOn w:val="DefaultParagraphFont"/>
    <w:uiPriority w:val="99"/>
    <w:rsid w:val="00541C0E"/>
    <w:rPr>
      <w:i/>
    </w:rPr>
  </w:style>
  <w:style w:type="character" w:customStyle="1" w:styleId="cit-source">
    <w:name w:val="cit-source"/>
    <w:basedOn w:val="DefaultParagraphFont"/>
    <w:rsid w:val="00541C0E"/>
  </w:style>
  <w:style w:type="character" w:customStyle="1" w:styleId="cit-pub-date">
    <w:name w:val="cit-pub-date"/>
    <w:basedOn w:val="DefaultParagraphFont"/>
    <w:rsid w:val="00541C0E"/>
  </w:style>
  <w:style w:type="character" w:customStyle="1" w:styleId="cit-vol">
    <w:name w:val="cit-vol"/>
    <w:basedOn w:val="DefaultParagraphFont"/>
    <w:rsid w:val="00541C0E"/>
  </w:style>
  <w:style w:type="character" w:customStyle="1" w:styleId="cit-fpage">
    <w:name w:val="cit-fpage"/>
    <w:basedOn w:val="DefaultParagraphFont"/>
    <w:rsid w:val="00541C0E"/>
  </w:style>
  <w:style w:type="character" w:customStyle="1" w:styleId="slug-pub-date">
    <w:name w:val="slug-pub-date"/>
    <w:basedOn w:val="DefaultParagraphFont"/>
    <w:rsid w:val="00C53A2B"/>
  </w:style>
  <w:style w:type="character" w:customStyle="1" w:styleId="slug-vol">
    <w:name w:val="slug-vol"/>
    <w:basedOn w:val="DefaultParagraphFont"/>
    <w:rsid w:val="00C53A2B"/>
  </w:style>
  <w:style w:type="character" w:customStyle="1" w:styleId="slug-issue">
    <w:name w:val="slug-issue"/>
    <w:basedOn w:val="DefaultParagraphFont"/>
    <w:rsid w:val="00C53A2B"/>
  </w:style>
  <w:style w:type="character" w:customStyle="1" w:styleId="slug-pages">
    <w:name w:val="slug-pages"/>
    <w:basedOn w:val="DefaultParagraphFont"/>
    <w:rsid w:val="00C53A2B"/>
  </w:style>
  <w:style w:type="paragraph" w:styleId="Header">
    <w:name w:val="header"/>
    <w:basedOn w:val="Normal"/>
    <w:link w:val="HeaderChar"/>
    <w:rsid w:val="00032E99"/>
    <w:pPr>
      <w:tabs>
        <w:tab w:val="center" w:pos="4320"/>
        <w:tab w:val="right" w:pos="8640"/>
      </w:tabs>
    </w:pPr>
  </w:style>
  <w:style w:type="character" w:customStyle="1" w:styleId="HeaderChar">
    <w:name w:val="Header Char"/>
    <w:basedOn w:val="DefaultParagraphFont"/>
    <w:link w:val="Header"/>
    <w:rsid w:val="00032E99"/>
  </w:style>
  <w:style w:type="paragraph" w:styleId="Footer">
    <w:name w:val="footer"/>
    <w:basedOn w:val="Normal"/>
    <w:link w:val="FooterChar"/>
    <w:rsid w:val="00032E99"/>
    <w:pPr>
      <w:tabs>
        <w:tab w:val="center" w:pos="4320"/>
        <w:tab w:val="right" w:pos="8640"/>
      </w:tabs>
    </w:pPr>
  </w:style>
  <w:style w:type="character" w:customStyle="1" w:styleId="FooterChar">
    <w:name w:val="Footer Char"/>
    <w:basedOn w:val="DefaultParagraphFont"/>
    <w:link w:val="Footer"/>
    <w:rsid w:val="00032E99"/>
  </w:style>
  <w:style w:type="paragraph" w:customStyle="1" w:styleId="1Paragraph">
    <w:name w:val="1Paragraph"/>
    <w:rsid w:val="00711C47"/>
    <w:pPr>
      <w:tabs>
        <w:tab w:val="left" w:pos="720"/>
      </w:tabs>
      <w:autoSpaceDE w:val="0"/>
      <w:autoSpaceDN w:val="0"/>
      <w:adjustRightInd w:val="0"/>
      <w:ind w:left="720" w:hanging="720"/>
    </w:pPr>
    <w:rPr>
      <w:rFonts w:ascii="Cobb" w:eastAsia="Times New Roman" w:hAnsi="Cobb" w:cs="Arial Unicode MS"/>
      <w:lang w:bidi="lo-LA"/>
    </w:rPr>
  </w:style>
  <w:style w:type="character" w:styleId="PageNumber">
    <w:name w:val="page number"/>
    <w:basedOn w:val="DefaultParagraphFont"/>
    <w:rsid w:val="00F5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FollowedHyperlink" w:uiPriority="99"/>
    <w:lsdException w:name="HTML Cite" w:uiPriority="99"/>
    <w:lsdException w:name="List Paragraph" w:uiPriority="34" w:qFormat="1"/>
  </w:latentStyles>
  <w:style w:type="paragraph" w:default="1" w:styleId="Normal">
    <w:name w:val="Normal"/>
    <w:qFormat/>
    <w:rsid w:val="007D1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1A4"/>
    <w:rPr>
      <w:color w:val="0000FF" w:themeColor="hyperlink"/>
      <w:u w:val="single"/>
    </w:rPr>
  </w:style>
  <w:style w:type="paragraph" w:styleId="ListParagraph">
    <w:name w:val="List Paragraph"/>
    <w:basedOn w:val="Normal"/>
    <w:uiPriority w:val="34"/>
    <w:qFormat/>
    <w:rsid w:val="007130FB"/>
    <w:pPr>
      <w:ind w:left="720"/>
      <w:contextualSpacing/>
    </w:pPr>
  </w:style>
  <w:style w:type="paragraph" w:styleId="EndnoteText">
    <w:name w:val="endnote text"/>
    <w:basedOn w:val="Normal"/>
    <w:link w:val="EndnoteTextChar"/>
    <w:uiPriority w:val="99"/>
    <w:semiHidden/>
    <w:unhideWhenUsed/>
    <w:rsid w:val="009F2869"/>
  </w:style>
  <w:style w:type="character" w:customStyle="1" w:styleId="EndnoteTextChar">
    <w:name w:val="Endnote Text Char"/>
    <w:basedOn w:val="DefaultParagraphFont"/>
    <w:link w:val="EndnoteText"/>
    <w:uiPriority w:val="99"/>
    <w:semiHidden/>
    <w:rsid w:val="009F2869"/>
  </w:style>
  <w:style w:type="character" w:styleId="EndnoteReference">
    <w:name w:val="endnote reference"/>
    <w:basedOn w:val="DefaultParagraphFont"/>
    <w:uiPriority w:val="99"/>
    <w:semiHidden/>
    <w:unhideWhenUsed/>
    <w:rsid w:val="009F2869"/>
    <w:rPr>
      <w:vertAlign w:val="superscript"/>
    </w:rPr>
  </w:style>
  <w:style w:type="character" w:customStyle="1" w:styleId="st">
    <w:name w:val="st"/>
    <w:basedOn w:val="DefaultParagraphFont"/>
    <w:rsid w:val="004B0ED0"/>
  </w:style>
  <w:style w:type="character" w:styleId="Emphasis">
    <w:name w:val="Emphasis"/>
    <w:basedOn w:val="DefaultParagraphFont"/>
    <w:uiPriority w:val="20"/>
    <w:rsid w:val="004B0ED0"/>
    <w:rPr>
      <w:i/>
    </w:rPr>
  </w:style>
  <w:style w:type="character" w:styleId="FollowedHyperlink">
    <w:name w:val="FollowedHyperlink"/>
    <w:basedOn w:val="DefaultParagraphFont"/>
    <w:uiPriority w:val="99"/>
    <w:semiHidden/>
    <w:unhideWhenUsed/>
    <w:rsid w:val="006C31B1"/>
    <w:rPr>
      <w:color w:val="800080" w:themeColor="followedHyperlink"/>
      <w:u w:val="single"/>
    </w:rPr>
  </w:style>
  <w:style w:type="paragraph" w:styleId="FootnoteText">
    <w:name w:val="footnote text"/>
    <w:basedOn w:val="Normal"/>
    <w:link w:val="FootnoteTextChar"/>
    <w:uiPriority w:val="99"/>
    <w:semiHidden/>
    <w:unhideWhenUsed/>
    <w:rsid w:val="00821C17"/>
  </w:style>
  <w:style w:type="character" w:customStyle="1" w:styleId="FootnoteTextChar">
    <w:name w:val="Footnote Text Char"/>
    <w:basedOn w:val="DefaultParagraphFont"/>
    <w:link w:val="FootnoteText"/>
    <w:uiPriority w:val="99"/>
    <w:semiHidden/>
    <w:rsid w:val="00821C17"/>
  </w:style>
  <w:style w:type="character" w:styleId="FootnoteReference">
    <w:name w:val="footnote reference"/>
    <w:basedOn w:val="DefaultParagraphFont"/>
    <w:uiPriority w:val="99"/>
    <w:semiHidden/>
    <w:unhideWhenUsed/>
    <w:rsid w:val="00821C17"/>
    <w:rPr>
      <w:vertAlign w:val="superscript"/>
    </w:rPr>
  </w:style>
  <w:style w:type="character" w:styleId="HTMLCite">
    <w:name w:val="HTML Cite"/>
    <w:basedOn w:val="DefaultParagraphFont"/>
    <w:uiPriority w:val="99"/>
    <w:rsid w:val="00541C0E"/>
    <w:rPr>
      <w:i/>
    </w:rPr>
  </w:style>
  <w:style w:type="character" w:customStyle="1" w:styleId="cit-source">
    <w:name w:val="cit-source"/>
    <w:basedOn w:val="DefaultParagraphFont"/>
    <w:rsid w:val="00541C0E"/>
  </w:style>
  <w:style w:type="character" w:customStyle="1" w:styleId="cit-pub-date">
    <w:name w:val="cit-pub-date"/>
    <w:basedOn w:val="DefaultParagraphFont"/>
    <w:rsid w:val="00541C0E"/>
  </w:style>
  <w:style w:type="character" w:customStyle="1" w:styleId="cit-vol">
    <w:name w:val="cit-vol"/>
    <w:basedOn w:val="DefaultParagraphFont"/>
    <w:rsid w:val="00541C0E"/>
  </w:style>
  <w:style w:type="character" w:customStyle="1" w:styleId="cit-fpage">
    <w:name w:val="cit-fpage"/>
    <w:basedOn w:val="DefaultParagraphFont"/>
    <w:rsid w:val="00541C0E"/>
  </w:style>
  <w:style w:type="character" w:customStyle="1" w:styleId="slug-pub-date">
    <w:name w:val="slug-pub-date"/>
    <w:basedOn w:val="DefaultParagraphFont"/>
    <w:rsid w:val="00C53A2B"/>
  </w:style>
  <w:style w:type="character" w:customStyle="1" w:styleId="slug-vol">
    <w:name w:val="slug-vol"/>
    <w:basedOn w:val="DefaultParagraphFont"/>
    <w:rsid w:val="00C53A2B"/>
  </w:style>
  <w:style w:type="character" w:customStyle="1" w:styleId="slug-issue">
    <w:name w:val="slug-issue"/>
    <w:basedOn w:val="DefaultParagraphFont"/>
    <w:rsid w:val="00C53A2B"/>
  </w:style>
  <w:style w:type="character" w:customStyle="1" w:styleId="slug-pages">
    <w:name w:val="slug-pages"/>
    <w:basedOn w:val="DefaultParagraphFont"/>
    <w:rsid w:val="00C53A2B"/>
  </w:style>
  <w:style w:type="paragraph" w:styleId="Header">
    <w:name w:val="header"/>
    <w:basedOn w:val="Normal"/>
    <w:link w:val="HeaderChar"/>
    <w:rsid w:val="00032E99"/>
    <w:pPr>
      <w:tabs>
        <w:tab w:val="center" w:pos="4320"/>
        <w:tab w:val="right" w:pos="8640"/>
      </w:tabs>
    </w:pPr>
  </w:style>
  <w:style w:type="character" w:customStyle="1" w:styleId="HeaderChar">
    <w:name w:val="Header Char"/>
    <w:basedOn w:val="DefaultParagraphFont"/>
    <w:link w:val="Header"/>
    <w:rsid w:val="00032E99"/>
  </w:style>
  <w:style w:type="paragraph" w:styleId="Footer">
    <w:name w:val="footer"/>
    <w:basedOn w:val="Normal"/>
    <w:link w:val="FooterChar"/>
    <w:rsid w:val="00032E99"/>
    <w:pPr>
      <w:tabs>
        <w:tab w:val="center" w:pos="4320"/>
        <w:tab w:val="right" w:pos="8640"/>
      </w:tabs>
    </w:pPr>
  </w:style>
  <w:style w:type="character" w:customStyle="1" w:styleId="FooterChar">
    <w:name w:val="Footer Char"/>
    <w:basedOn w:val="DefaultParagraphFont"/>
    <w:link w:val="Footer"/>
    <w:rsid w:val="00032E99"/>
  </w:style>
  <w:style w:type="paragraph" w:customStyle="1" w:styleId="1Paragraph">
    <w:name w:val="1Paragraph"/>
    <w:rsid w:val="00711C47"/>
    <w:pPr>
      <w:tabs>
        <w:tab w:val="left" w:pos="720"/>
      </w:tabs>
      <w:autoSpaceDE w:val="0"/>
      <w:autoSpaceDN w:val="0"/>
      <w:adjustRightInd w:val="0"/>
      <w:ind w:left="720" w:hanging="720"/>
    </w:pPr>
    <w:rPr>
      <w:rFonts w:ascii="Cobb" w:eastAsia="Times New Roman" w:hAnsi="Cobb" w:cs="Arial Unicode MS"/>
      <w:lang w:bidi="lo-LA"/>
    </w:rPr>
  </w:style>
  <w:style w:type="character" w:styleId="PageNumber">
    <w:name w:val="page number"/>
    <w:basedOn w:val="DefaultParagraphFont"/>
    <w:rsid w:val="00F5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4743">
      <w:bodyDiv w:val="1"/>
      <w:marLeft w:val="0"/>
      <w:marRight w:val="0"/>
      <w:marTop w:val="0"/>
      <w:marBottom w:val="0"/>
      <w:divBdr>
        <w:top w:val="none" w:sz="0" w:space="0" w:color="auto"/>
        <w:left w:val="none" w:sz="0" w:space="0" w:color="auto"/>
        <w:bottom w:val="none" w:sz="0" w:space="0" w:color="auto"/>
        <w:right w:val="none" w:sz="0" w:space="0" w:color="auto"/>
      </w:divBdr>
      <w:divsChild>
        <w:div w:id="47844327">
          <w:marLeft w:val="0"/>
          <w:marRight w:val="0"/>
          <w:marTop w:val="0"/>
          <w:marBottom w:val="0"/>
          <w:divBdr>
            <w:top w:val="none" w:sz="0" w:space="0" w:color="auto"/>
            <w:left w:val="none" w:sz="0" w:space="0" w:color="auto"/>
            <w:bottom w:val="none" w:sz="0" w:space="0" w:color="auto"/>
            <w:right w:val="none" w:sz="0" w:space="0" w:color="auto"/>
          </w:divBdr>
        </w:div>
        <w:div w:id="534928347">
          <w:marLeft w:val="0"/>
          <w:marRight w:val="0"/>
          <w:marTop w:val="0"/>
          <w:marBottom w:val="0"/>
          <w:divBdr>
            <w:top w:val="none" w:sz="0" w:space="0" w:color="auto"/>
            <w:left w:val="none" w:sz="0" w:space="0" w:color="auto"/>
            <w:bottom w:val="none" w:sz="0" w:space="0" w:color="auto"/>
            <w:right w:val="none" w:sz="0" w:space="0" w:color="auto"/>
          </w:divBdr>
        </w:div>
        <w:div w:id="2001999979">
          <w:marLeft w:val="0"/>
          <w:marRight w:val="0"/>
          <w:marTop w:val="0"/>
          <w:marBottom w:val="0"/>
          <w:divBdr>
            <w:top w:val="none" w:sz="0" w:space="0" w:color="auto"/>
            <w:left w:val="none" w:sz="0" w:space="0" w:color="auto"/>
            <w:bottom w:val="none" w:sz="0" w:space="0" w:color="auto"/>
            <w:right w:val="none" w:sz="0" w:space="0" w:color="auto"/>
          </w:divBdr>
        </w:div>
        <w:div w:id="1071198712">
          <w:marLeft w:val="0"/>
          <w:marRight w:val="0"/>
          <w:marTop w:val="0"/>
          <w:marBottom w:val="0"/>
          <w:divBdr>
            <w:top w:val="none" w:sz="0" w:space="0" w:color="auto"/>
            <w:left w:val="none" w:sz="0" w:space="0" w:color="auto"/>
            <w:bottom w:val="none" w:sz="0" w:space="0" w:color="auto"/>
            <w:right w:val="none" w:sz="0" w:space="0" w:color="auto"/>
          </w:divBdr>
        </w:div>
      </w:divsChild>
    </w:div>
    <w:div w:id="514273011">
      <w:bodyDiv w:val="1"/>
      <w:marLeft w:val="0"/>
      <w:marRight w:val="0"/>
      <w:marTop w:val="0"/>
      <w:marBottom w:val="0"/>
      <w:divBdr>
        <w:top w:val="none" w:sz="0" w:space="0" w:color="auto"/>
        <w:left w:val="none" w:sz="0" w:space="0" w:color="auto"/>
        <w:bottom w:val="none" w:sz="0" w:space="0" w:color="auto"/>
        <w:right w:val="none" w:sz="0" w:space="0" w:color="auto"/>
      </w:divBdr>
      <w:divsChild>
        <w:div w:id="662779671">
          <w:marLeft w:val="0"/>
          <w:marRight w:val="0"/>
          <w:marTop w:val="0"/>
          <w:marBottom w:val="0"/>
          <w:divBdr>
            <w:top w:val="none" w:sz="0" w:space="0" w:color="auto"/>
            <w:left w:val="none" w:sz="0" w:space="0" w:color="auto"/>
            <w:bottom w:val="none" w:sz="0" w:space="0" w:color="auto"/>
            <w:right w:val="none" w:sz="0" w:space="0" w:color="auto"/>
          </w:divBdr>
        </w:div>
        <w:div w:id="271087950">
          <w:marLeft w:val="0"/>
          <w:marRight w:val="0"/>
          <w:marTop w:val="0"/>
          <w:marBottom w:val="0"/>
          <w:divBdr>
            <w:top w:val="none" w:sz="0" w:space="0" w:color="auto"/>
            <w:left w:val="none" w:sz="0" w:space="0" w:color="auto"/>
            <w:bottom w:val="none" w:sz="0" w:space="0" w:color="auto"/>
            <w:right w:val="none" w:sz="0" w:space="0" w:color="auto"/>
          </w:divBdr>
        </w:div>
        <w:div w:id="1663046681">
          <w:marLeft w:val="0"/>
          <w:marRight w:val="0"/>
          <w:marTop w:val="0"/>
          <w:marBottom w:val="0"/>
          <w:divBdr>
            <w:top w:val="none" w:sz="0" w:space="0" w:color="auto"/>
            <w:left w:val="none" w:sz="0" w:space="0" w:color="auto"/>
            <w:bottom w:val="none" w:sz="0" w:space="0" w:color="auto"/>
            <w:right w:val="none" w:sz="0" w:space="0" w:color="auto"/>
          </w:divBdr>
        </w:div>
      </w:divsChild>
    </w:div>
    <w:div w:id="585845968">
      <w:bodyDiv w:val="1"/>
      <w:marLeft w:val="0"/>
      <w:marRight w:val="0"/>
      <w:marTop w:val="0"/>
      <w:marBottom w:val="0"/>
      <w:divBdr>
        <w:top w:val="none" w:sz="0" w:space="0" w:color="auto"/>
        <w:left w:val="none" w:sz="0" w:space="0" w:color="auto"/>
        <w:bottom w:val="none" w:sz="0" w:space="0" w:color="auto"/>
        <w:right w:val="none" w:sz="0" w:space="0" w:color="auto"/>
      </w:divBdr>
      <w:divsChild>
        <w:div w:id="327633968">
          <w:marLeft w:val="0"/>
          <w:marRight w:val="0"/>
          <w:marTop w:val="0"/>
          <w:marBottom w:val="0"/>
          <w:divBdr>
            <w:top w:val="none" w:sz="0" w:space="0" w:color="auto"/>
            <w:left w:val="none" w:sz="0" w:space="0" w:color="auto"/>
            <w:bottom w:val="none" w:sz="0" w:space="0" w:color="auto"/>
            <w:right w:val="none" w:sz="0" w:space="0" w:color="auto"/>
          </w:divBdr>
        </w:div>
        <w:div w:id="1520436519">
          <w:marLeft w:val="0"/>
          <w:marRight w:val="0"/>
          <w:marTop w:val="0"/>
          <w:marBottom w:val="0"/>
          <w:divBdr>
            <w:top w:val="none" w:sz="0" w:space="0" w:color="auto"/>
            <w:left w:val="none" w:sz="0" w:space="0" w:color="auto"/>
            <w:bottom w:val="none" w:sz="0" w:space="0" w:color="auto"/>
            <w:right w:val="none" w:sz="0" w:space="0" w:color="auto"/>
          </w:divBdr>
        </w:div>
      </w:divsChild>
    </w:div>
    <w:div w:id="702097090">
      <w:bodyDiv w:val="1"/>
      <w:marLeft w:val="0"/>
      <w:marRight w:val="0"/>
      <w:marTop w:val="0"/>
      <w:marBottom w:val="0"/>
      <w:divBdr>
        <w:top w:val="none" w:sz="0" w:space="0" w:color="auto"/>
        <w:left w:val="none" w:sz="0" w:space="0" w:color="auto"/>
        <w:bottom w:val="none" w:sz="0" w:space="0" w:color="auto"/>
        <w:right w:val="none" w:sz="0" w:space="0" w:color="auto"/>
      </w:divBdr>
      <w:divsChild>
        <w:div w:id="2131436391">
          <w:marLeft w:val="0"/>
          <w:marRight w:val="0"/>
          <w:marTop w:val="0"/>
          <w:marBottom w:val="0"/>
          <w:divBdr>
            <w:top w:val="none" w:sz="0" w:space="0" w:color="auto"/>
            <w:left w:val="none" w:sz="0" w:space="0" w:color="auto"/>
            <w:bottom w:val="none" w:sz="0" w:space="0" w:color="auto"/>
            <w:right w:val="none" w:sz="0" w:space="0" w:color="auto"/>
          </w:divBdr>
        </w:div>
      </w:divsChild>
    </w:div>
    <w:div w:id="730464898">
      <w:bodyDiv w:val="1"/>
      <w:marLeft w:val="0"/>
      <w:marRight w:val="0"/>
      <w:marTop w:val="0"/>
      <w:marBottom w:val="0"/>
      <w:divBdr>
        <w:top w:val="none" w:sz="0" w:space="0" w:color="auto"/>
        <w:left w:val="none" w:sz="0" w:space="0" w:color="auto"/>
        <w:bottom w:val="none" w:sz="0" w:space="0" w:color="auto"/>
        <w:right w:val="none" w:sz="0" w:space="0" w:color="auto"/>
      </w:divBdr>
      <w:divsChild>
        <w:div w:id="1863736402">
          <w:marLeft w:val="0"/>
          <w:marRight w:val="0"/>
          <w:marTop w:val="0"/>
          <w:marBottom w:val="0"/>
          <w:divBdr>
            <w:top w:val="none" w:sz="0" w:space="0" w:color="auto"/>
            <w:left w:val="none" w:sz="0" w:space="0" w:color="auto"/>
            <w:bottom w:val="none" w:sz="0" w:space="0" w:color="auto"/>
            <w:right w:val="none" w:sz="0" w:space="0" w:color="auto"/>
          </w:divBdr>
        </w:div>
        <w:div w:id="1267038225">
          <w:marLeft w:val="0"/>
          <w:marRight w:val="0"/>
          <w:marTop w:val="0"/>
          <w:marBottom w:val="0"/>
          <w:divBdr>
            <w:top w:val="none" w:sz="0" w:space="0" w:color="auto"/>
            <w:left w:val="none" w:sz="0" w:space="0" w:color="auto"/>
            <w:bottom w:val="none" w:sz="0" w:space="0" w:color="auto"/>
            <w:right w:val="none" w:sz="0" w:space="0" w:color="auto"/>
          </w:divBdr>
        </w:div>
        <w:div w:id="1557816114">
          <w:marLeft w:val="0"/>
          <w:marRight w:val="0"/>
          <w:marTop w:val="0"/>
          <w:marBottom w:val="0"/>
          <w:divBdr>
            <w:top w:val="none" w:sz="0" w:space="0" w:color="auto"/>
            <w:left w:val="none" w:sz="0" w:space="0" w:color="auto"/>
            <w:bottom w:val="none" w:sz="0" w:space="0" w:color="auto"/>
            <w:right w:val="none" w:sz="0" w:space="0" w:color="auto"/>
          </w:divBdr>
        </w:div>
      </w:divsChild>
    </w:div>
    <w:div w:id="1009989574">
      <w:bodyDiv w:val="1"/>
      <w:marLeft w:val="0"/>
      <w:marRight w:val="0"/>
      <w:marTop w:val="0"/>
      <w:marBottom w:val="0"/>
      <w:divBdr>
        <w:top w:val="none" w:sz="0" w:space="0" w:color="auto"/>
        <w:left w:val="none" w:sz="0" w:space="0" w:color="auto"/>
        <w:bottom w:val="none" w:sz="0" w:space="0" w:color="auto"/>
        <w:right w:val="none" w:sz="0" w:space="0" w:color="auto"/>
      </w:divBdr>
      <w:divsChild>
        <w:div w:id="2820793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glma.org"/>
  <Relationship Id="rId11" Type="http://schemas.openxmlformats.org/officeDocument/2006/relationships/hyperlink" TargetMode="External" Target="http://www.jointcommission.org"/>
  <Relationship Id="rId12" Type="http://schemas.openxmlformats.org/officeDocument/2006/relationships/hyperlink" TargetMode="External" Target="http://www.nad.org"/>
  <Relationship Id="rId13" Type="http://schemas.openxmlformats.org/officeDocument/2006/relationships/hyperlink" TargetMode="External" Target="http://www.ncd.gov"/>
  <Relationship Id="rId14" Type="http://schemas.openxmlformats.org/officeDocument/2006/relationships/hyperlink" TargetMode="External" Target="http://www.dcoe.health.mil"/>
  <Relationship Id="rId15" Type="http://schemas.openxmlformats.org/officeDocument/2006/relationships/hyperlink" TargetMode="External" Target="http://www.ahrq.gov"/>
  <Relationship Id="rId16" Type="http://schemas.openxmlformats.org/officeDocument/2006/relationships/hyperlink" TargetMode="External" Target="http://www.ada.gov"/>
  <Relationship Id="rId17" Type="http://schemas.openxmlformats.org/officeDocument/2006/relationships/hyperlink" TargetMode="External" Target="http://www.va.gov/health"/>
  <Relationship Id="rId18" Type="http://schemas.openxmlformats.org/officeDocument/2006/relationships/hyperlink" TargetMode="External" Target="http://www.thinkculturalhealth.hhs.gov/content/CLAS"/>
  <Relationship Id="rId19" Type="http://schemas.openxmlformats.org/officeDocument/2006/relationships/hyperlink" TargetMode="External" Target="http://nces.ed.gov/naal/"/>
  <Relationship Id="rId2" Type="http://schemas.openxmlformats.org/officeDocument/2006/relationships/styles" Target="styles.xml"/>
  <Relationship Id="rId20" Type="http://schemas.openxmlformats.org/officeDocument/2006/relationships/hyperlink" TargetMode="External" Target="http:///www.census.gov"/>
  <Relationship Id="rId21" Type="http://schemas.openxmlformats.org/officeDocument/2006/relationships/hyperlink" TargetMode="External" Target="http://www.lgbtdata.com"/>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fontTable" Target="fontTable.xml"/>
  <Relationship Id="rId25"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thinkculturalhealth.hhs.gov"/>
  <Relationship Id="rId9" Type="http://schemas.openxmlformats.org/officeDocument/2006/relationships/hyperlink" TargetMode="External" Target="http://www.thinkculturalhealth.hhs.gov"/>
</Relationships>

</file>

<file path=word/_rels/endnotes.xml.rels><?xml version="1.0" encoding="UTF-8"?>

<Relationships xmlns="http://schemas.openxmlformats.org/package/2006/relationships">
  <Relationship Id="rId1" Type="http://schemas.openxmlformats.org/officeDocument/2006/relationships/hyperlink" TargetMode="External" Target="http://www.thinkculturalhealth.hhs.gov/content/clas"/>
  <Relationship Id="rId10" Type="http://schemas.openxmlformats.org/officeDocument/2006/relationships/hyperlink" TargetMode="External" Target="http://www.ahrq.gov/clinic/ptsafety"/>
  <Relationship Id="rId11" Type="http://schemas.openxmlformats.org/officeDocument/2006/relationships/hyperlink" TargetMode="External" Target="http://www.plainlanguage.gov/howto/guidelines/FederalPLGuidelines/index.cfm"/>
  <Relationship Id="rId12" Type="http://schemas.openxmlformats.org/officeDocument/2006/relationships/hyperlink" TargetMode="External" Target="http://www.healthcare.gov/news/factsheets/2011/06/lgbt06292011a.html"/>
  <Relationship Id="rId13" Type="http://schemas.openxmlformats.org/officeDocument/2006/relationships/hyperlink" TargetMode="External" Target="http://nces.ed.gov/naal/"/>
  <Relationship Id="rId14" Type="http://schemas.openxmlformats.org/officeDocument/2006/relationships/hyperlink" TargetMode="External" Target="http://www.cdc.gov/lgbthealth"/>
  <Relationship Id="rId15" Type="http://schemas.openxmlformats.org/officeDocument/2006/relationships/hyperlink" TargetMode="External" Target="http://www.healthcare.gov/news/factsheets/2011/06/lgbt06292011a.html"/>
  <Relationship Id="rId16" Type="http://schemas.openxmlformats.org/officeDocument/2006/relationships/hyperlink" TargetMode="External" Target="http://www.ncd.gov/policy/health_care"/>
  <Relationship Id="rId17" Type="http://schemas.openxmlformats.org/officeDocument/2006/relationships/hyperlink" TargetMode="External" Target="http://www.ada.gov/hospcombrscr.pdf"/>
  <Relationship Id="rId18" Type="http://schemas.openxmlformats.org/officeDocument/2006/relationships/hyperlink" TargetMode="External" Target="http://www.nlm.nih.gov/medlineplus/veteransandmilitaryhealth.html"/>
  <Relationship Id="rId19" Type="http://schemas.openxmlformats.org/officeDocument/2006/relationships/hyperlink" TargetMode="External" Target="http://www.va.gov/health"/>
  <Relationship Id="rId2" Type="http://schemas.openxmlformats.org/officeDocument/2006/relationships/hyperlink" TargetMode="External" Target="http://www.ahrq.gov/qrdr11.htm"/>
  <Relationship Id="rId20" Type="http://schemas.openxmlformats.org/officeDocument/2006/relationships/hyperlink" TargetMode="External" Target="http://www.dcoe.health.mil"/>
  <Relationship Id="rId21" Type="http://schemas.openxmlformats.org/officeDocument/2006/relationships/hyperlink" TargetMode="External" Target="http://www.dcoe.health.mil"/>
  <Relationship Id="rId22" Type="http://schemas.openxmlformats.org/officeDocument/2006/relationships/hyperlink" TargetMode="External" Target="http://www.healthquality.va.gov/pdh/PDH_cpg.pdf"/>
  <Relationship Id="rId3" Type="http://schemas.openxmlformats.org/officeDocument/2006/relationships/hyperlink" TargetMode="External" Target="http://www.ncd.gov/policy/health_care"/>
  <Relationship Id="rId4" Type="http://schemas.openxmlformats.org/officeDocument/2006/relationships/hyperlink" TargetMode="External" Target="http://www.healthcare.gov/news/factsheets/2011/06/lgbt06292011a.html"/>
  <Relationship Id="rId5" Type="http://schemas.openxmlformats.org/officeDocument/2006/relationships/hyperlink" TargetMode="External" Target="http://www.thinkculturalhealth.hhs.gov/content/clas"/>
  <Relationship Id="rId6" Type="http://schemas.openxmlformats.org/officeDocument/2006/relationships/hyperlink" TargetMode="External" Target="http://www.healthypeople.gov"/>
  <Relationship Id="rId7" Type="http://schemas.openxmlformats.org/officeDocument/2006/relationships/hyperlink" TargetMode="External" Target="http://www.health.gov/communication/hlactionplan"/>
  <Relationship Id="rId8" Type="http://schemas.openxmlformats.org/officeDocument/2006/relationships/hyperlink" TargetMode="External" Target="http://www.plainlanguage.gov/howto/guidelines/FederalPLGuidelines/index.cfm"/>
  <Relationship Id="rId9" Type="http://schemas.openxmlformats.org/officeDocument/2006/relationships/hyperlink" TargetMode="External" Target="http://wordnetweb.princeton.edu/perl/webwn?s=informed%20conse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10298</Words>
  <Characters>58705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HernandezIverson</Company>
  <LinksUpToDate>false</LinksUpToDate>
  <CharactersWithSpaces>68866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2013-10-31T15:05:00Z</dcterms:created>
  <dc:creator>Emma Hernandez Iverson</dc:creator>
  <lastModifiedBy/>
  <lastPrinted>2013-10-29T17:17:00Z</lastPrinted>
  <dcterms:modified xsi:type="dcterms:W3CDTF">2013-10-31T15:05:00Z</dcterms:modified>
  <revision>2</revision>
</coreProperties>
</file>