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1C91B8E6" w:rsidR="000537DA" w:rsidRDefault="000537DA" w:rsidP="000F315B">
      <w:pPr>
        <w:pStyle w:val="ExecOffice"/>
        <w:framePr w:w="6926" w:wrap="notBeside" w:vAnchor="page" w:x="2884" w:y="711"/>
      </w:pPr>
      <w:r>
        <w:t>Department of Public Health</w:t>
      </w:r>
    </w:p>
    <w:p w14:paraId="1D6F026F" w14:textId="43421198" w:rsidR="00B66323" w:rsidRDefault="00B66323" w:rsidP="000F315B">
      <w:pPr>
        <w:pStyle w:val="ExecOffice"/>
        <w:framePr w:w="6926" w:wrap="notBeside" w:vAnchor="page" w:x="2884" w:y="711"/>
      </w:pPr>
      <w:r>
        <w:t>Bureau of Health Care Safety and Quality</w:t>
      </w:r>
    </w:p>
    <w:p w14:paraId="0958205A" w14:textId="1257A2ED" w:rsidR="006D06D9" w:rsidRDefault="00B66323" w:rsidP="000F315B">
      <w:pPr>
        <w:pStyle w:val="ExecOffice"/>
        <w:framePr w:w="6926" w:wrap="notBeside" w:vAnchor="page" w:x="2884" w:y="711"/>
      </w:pPr>
      <w:r>
        <w:t xml:space="preserve">67 Forest </w:t>
      </w:r>
      <w:r w:rsidR="000537DA">
        <w:t xml:space="preserve">Street, </w:t>
      </w:r>
      <w:r>
        <w:t>Marlborough</w:t>
      </w:r>
      <w:r w:rsidR="000537DA">
        <w:t>, MA 0</w:t>
      </w:r>
      <w:r>
        <w:t>1752</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1" behindDoc="0" locked="0" layoutInCell="1" allowOverlap="1" wp14:anchorId="593B8E20" wp14:editId="63DA3540">
                <wp:simplePos x="0" y="0"/>
                <wp:positionH relativeFrom="column">
                  <wp:posOffset>4947920</wp:posOffset>
                </wp:positionH>
                <wp:positionV relativeFrom="paragraph">
                  <wp:posOffset>539750</wp:posOffset>
                </wp:positionV>
                <wp:extent cx="1814195" cy="1136015"/>
                <wp:effectExtent l="0" t="0" r="0"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3" o:spid="_x0000_s1026" type="#_x0000_t202" style="position:absolute;margin-left:389.6pt;margin-top:42.5pt;width:142.85pt;height:89.4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Text Box 2" o:spid="_x0000_s1027" type="#_x0000_t202" style="position:absolute;margin-left:-51.35pt;margin-top:42.5pt;width:123.85pt;height:63.1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18D208C0" w14:textId="77777777" w:rsidR="00E46FA8" w:rsidRPr="00E46FA8" w:rsidRDefault="00E46FA8" w:rsidP="00E46FA8">
      <w:pPr>
        <w:jc w:val="center"/>
        <w:rPr>
          <w:szCs w:val="24"/>
        </w:rPr>
      </w:pPr>
      <w:r w:rsidRPr="00E46FA8">
        <w:rPr>
          <w:b/>
          <w:szCs w:val="24"/>
        </w:rPr>
        <w:t>Memorandum</w:t>
      </w:r>
    </w:p>
    <w:p w14:paraId="4CA667F8" w14:textId="77777777" w:rsidR="00E46FA8" w:rsidRPr="00E46FA8" w:rsidRDefault="00E46FA8" w:rsidP="00E46FA8">
      <w:pPr>
        <w:autoSpaceDE w:val="0"/>
        <w:autoSpaceDN w:val="0"/>
        <w:adjustRightInd w:val="0"/>
        <w:rPr>
          <w:rFonts w:eastAsia="@Batang"/>
          <w:szCs w:val="24"/>
        </w:rPr>
      </w:pPr>
    </w:p>
    <w:p w14:paraId="26EF741B" w14:textId="77777777" w:rsidR="00E46FA8" w:rsidRPr="00E46FA8" w:rsidRDefault="00E46FA8" w:rsidP="00E46FA8">
      <w:pPr>
        <w:autoSpaceDE w:val="0"/>
        <w:autoSpaceDN w:val="0"/>
        <w:adjustRightInd w:val="0"/>
        <w:rPr>
          <w:rFonts w:eastAsia="@Batang"/>
          <w:b/>
          <w:szCs w:val="24"/>
        </w:rPr>
      </w:pPr>
      <w:r w:rsidRPr="00E46FA8">
        <w:rPr>
          <w:rFonts w:eastAsia="@Batang"/>
          <w:b/>
          <w:szCs w:val="24"/>
        </w:rPr>
        <w:t>TO:</w:t>
      </w:r>
      <w:r w:rsidRPr="00E46FA8">
        <w:rPr>
          <w:rFonts w:eastAsia="@Batang"/>
          <w:szCs w:val="24"/>
        </w:rPr>
        <w:tab/>
      </w:r>
      <w:r w:rsidRPr="00E46FA8">
        <w:rPr>
          <w:rFonts w:eastAsia="@Batang"/>
          <w:szCs w:val="24"/>
        </w:rPr>
        <w:tab/>
        <w:t>Clinic Chief Executive Officers</w:t>
      </w:r>
    </w:p>
    <w:p w14:paraId="4B45EF92" w14:textId="77777777" w:rsidR="00E46FA8" w:rsidRPr="00E46FA8" w:rsidRDefault="00E46FA8" w:rsidP="00E46FA8">
      <w:pPr>
        <w:autoSpaceDE w:val="0"/>
        <w:autoSpaceDN w:val="0"/>
        <w:adjustRightInd w:val="0"/>
        <w:rPr>
          <w:rFonts w:eastAsia="@Batang"/>
          <w:b/>
          <w:szCs w:val="24"/>
        </w:rPr>
      </w:pPr>
    </w:p>
    <w:p w14:paraId="5504A3FB" w14:textId="77777777" w:rsidR="00E46FA8" w:rsidRPr="00E46FA8" w:rsidRDefault="00E46FA8" w:rsidP="00E46FA8">
      <w:pPr>
        <w:autoSpaceDE w:val="0"/>
        <w:autoSpaceDN w:val="0"/>
        <w:adjustRightInd w:val="0"/>
        <w:rPr>
          <w:rFonts w:eastAsia="@Batang"/>
          <w:szCs w:val="24"/>
        </w:rPr>
      </w:pPr>
      <w:r w:rsidRPr="00E46FA8">
        <w:rPr>
          <w:rFonts w:eastAsia="@Batang"/>
          <w:b/>
          <w:szCs w:val="24"/>
        </w:rPr>
        <w:t>FROM:</w:t>
      </w:r>
      <w:r w:rsidRPr="00E46FA8">
        <w:rPr>
          <w:rFonts w:eastAsia="@Batang"/>
          <w:szCs w:val="24"/>
        </w:rPr>
        <w:t xml:space="preserve">          </w:t>
      </w:r>
      <w:r w:rsidRPr="00E46FA8">
        <w:rPr>
          <w:rFonts w:eastAsia="@Batang"/>
          <w:szCs w:val="24"/>
        </w:rPr>
        <w:tab/>
        <w:t xml:space="preserve">Elizabeth </w:t>
      </w:r>
      <w:proofErr w:type="spellStart"/>
      <w:r w:rsidRPr="00E46FA8">
        <w:rPr>
          <w:rFonts w:eastAsia="@Batang"/>
          <w:szCs w:val="24"/>
        </w:rPr>
        <w:t>Daake</w:t>
      </w:r>
      <w:proofErr w:type="spellEnd"/>
      <w:r w:rsidRPr="00E46FA8">
        <w:rPr>
          <w:rFonts w:eastAsia="@Batang"/>
          <w:szCs w:val="24"/>
        </w:rPr>
        <w:t xml:space="preserve"> Kelley, MPH, MBA, Director</w:t>
      </w:r>
      <w:r w:rsidRPr="00E46FA8">
        <w:rPr>
          <w:color w:val="1F497D"/>
          <w:szCs w:val="24"/>
        </w:rPr>
        <w:t xml:space="preserve"> </w:t>
      </w:r>
    </w:p>
    <w:p w14:paraId="2E13BC43" w14:textId="77777777" w:rsidR="00E46FA8" w:rsidRPr="00E46FA8" w:rsidRDefault="00E46FA8" w:rsidP="00E46FA8">
      <w:pPr>
        <w:autoSpaceDE w:val="0"/>
        <w:autoSpaceDN w:val="0"/>
        <w:adjustRightInd w:val="0"/>
        <w:ind w:left="720" w:firstLine="720"/>
        <w:rPr>
          <w:rFonts w:eastAsia="@Batang"/>
          <w:szCs w:val="24"/>
        </w:rPr>
      </w:pPr>
      <w:r w:rsidRPr="00E46FA8">
        <w:rPr>
          <w:rFonts w:eastAsia="@Batang"/>
          <w:szCs w:val="24"/>
        </w:rPr>
        <w:t>Bureau of Health Care Safety and Quality</w:t>
      </w:r>
      <w:r w:rsidRPr="00E46FA8">
        <w:rPr>
          <w:rFonts w:eastAsia="@Batang"/>
          <w:szCs w:val="24"/>
        </w:rPr>
        <w:tab/>
      </w:r>
    </w:p>
    <w:p w14:paraId="462A1548" w14:textId="77777777" w:rsidR="00E46FA8" w:rsidRPr="00E46FA8" w:rsidRDefault="00E46FA8" w:rsidP="00E46FA8">
      <w:pPr>
        <w:autoSpaceDE w:val="0"/>
        <w:autoSpaceDN w:val="0"/>
        <w:adjustRightInd w:val="0"/>
        <w:rPr>
          <w:rFonts w:eastAsia="@Batang"/>
          <w:szCs w:val="24"/>
        </w:rPr>
      </w:pPr>
      <w:r w:rsidRPr="00E46FA8">
        <w:rPr>
          <w:rFonts w:eastAsia="@Batang"/>
          <w:szCs w:val="24"/>
        </w:rPr>
        <w:tab/>
      </w:r>
      <w:r w:rsidRPr="00E46FA8">
        <w:rPr>
          <w:rFonts w:eastAsia="@Batang"/>
          <w:szCs w:val="24"/>
        </w:rPr>
        <w:tab/>
      </w:r>
    </w:p>
    <w:p w14:paraId="577F34CF" w14:textId="77777777" w:rsidR="00E46FA8" w:rsidRPr="00E46FA8" w:rsidRDefault="00E46FA8" w:rsidP="00E46FA8">
      <w:pPr>
        <w:tabs>
          <w:tab w:val="left" w:pos="1440"/>
        </w:tabs>
        <w:autoSpaceDE w:val="0"/>
        <w:autoSpaceDN w:val="0"/>
        <w:adjustRightInd w:val="0"/>
        <w:ind w:left="1440" w:hanging="1440"/>
        <w:rPr>
          <w:szCs w:val="24"/>
        </w:rPr>
      </w:pPr>
      <w:r w:rsidRPr="00E46FA8">
        <w:rPr>
          <w:rFonts w:eastAsia="@Batang"/>
          <w:b/>
          <w:szCs w:val="24"/>
        </w:rPr>
        <w:t>SUBJECT:</w:t>
      </w:r>
      <w:r w:rsidRPr="00E46FA8">
        <w:rPr>
          <w:rFonts w:eastAsia="@Batang"/>
          <w:szCs w:val="24"/>
        </w:rPr>
        <w:t xml:space="preserve">   </w:t>
      </w:r>
      <w:r w:rsidRPr="00E46FA8">
        <w:rPr>
          <w:rFonts w:eastAsia="@Batang"/>
          <w:szCs w:val="24"/>
        </w:rPr>
        <w:tab/>
        <w:t>Clinic Space for Respiratory Virus Testing, Treatment and Vaccine Administration</w:t>
      </w:r>
    </w:p>
    <w:p w14:paraId="4619D83E" w14:textId="36CD9CA6" w:rsidR="00E46FA8" w:rsidRPr="00E46FA8" w:rsidRDefault="00E46FA8" w:rsidP="00E46FA8">
      <w:pPr>
        <w:autoSpaceDE w:val="0"/>
        <w:autoSpaceDN w:val="0"/>
        <w:adjustRightInd w:val="0"/>
        <w:rPr>
          <w:rFonts w:eastAsia="@Batang"/>
          <w:b/>
          <w:szCs w:val="24"/>
        </w:rPr>
      </w:pPr>
    </w:p>
    <w:p w14:paraId="6889A3B4" w14:textId="1753D600" w:rsidR="00E46FA8" w:rsidRPr="00E46FA8" w:rsidRDefault="00E46FA8" w:rsidP="00E46FA8">
      <w:pPr>
        <w:autoSpaceDE w:val="0"/>
        <w:autoSpaceDN w:val="0"/>
        <w:adjustRightInd w:val="0"/>
        <w:rPr>
          <w:rFonts w:eastAsia="@Batang"/>
          <w:szCs w:val="24"/>
        </w:rPr>
      </w:pPr>
      <w:r w:rsidRPr="00E46FA8">
        <w:rPr>
          <w:rFonts w:eastAsia="@Batang"/>
          <w:b/>
          <w:szCs w:val="24"/>
        </w:rPr>
        <w:t>DATE:</w:t>
      </w:r>
      <w:r w:rsidRPr="00E46FA8">
        <w:rPr>
          <w:rFonts w:eastAsia="@Batang"/>
          <w:b/>
          <w:szCs w:val="24"/>
        </w:rPr>
        <w:tab/>
      </w:r>
      <w:r w:rsidRPr="00E46FA8">
        <w:rPr>
          <w:rFonts w:eastAsia="@Batang"/>
          <w:szCs w:val="24"/>
        </w:rPr>
        <w:t xml:space="preserve">May </w:t>
      </w:r>
      <w:r>
        <w:rPr>
          <w:rFonts w:eastAsia="@Batang"/>
          <w:szCs w:val="24"/>
        </w:rPr>
        <w:t>3</w:t>
      </w:r>
      <w:r w:rsidRPr="00E46FA8">
        <w:rPr>
          <w:rFonts w:eastAsia="@Batang"/>
          <w:szCs w:val="24"/>
        </w:rPr>
        <w:t>, 2023</w:t>
      </w:r>
    </w:p>
    <w:p w14:paraId="035A20C9" w14:textId="06458E8D" w:rsidR="00E46FA8" w:rsidRPr="00E46FA8" w:rsidRDefault="00E46FA8" w:rsidP="00E46FA8">
      <w:pPr>
        <w:autoSpaceDE w:val="0"/>
        <w:autoSpaceDN w:val="0"/>
        <w:adjustRightInd w:val="0"/>
        <w:rPr>
          <w:rFonts w:eastAsia="@Batang"/>
          <w:szCs w:val="24"/>
        </w:rPr>
      </w:pPr>
      <w:r w:rsidRPr="00E46FA8">
        <w:rPr>
          <w:noProof/>
          <w:szCs w:val="24"/>
        </w:rPr>
        <mc:AlternateContent>
          <mc:Choice Requires="wps">
            <w:drawing>
              <wp:anchor distT="45720" distB="45720" distL="114300" distR="114300" simplePos="0" relativeHeight="251660289" behindDoc="0" locked="0" layoutInCell="1" allowOverlap="1" wp14:anchorId="1C437495" wp14:editId="2284FF9E">
                <wp:simplePos x="0" y="0"/>
                <wp:positionH relativeFrom="column">
                  <wp:posOffset>-95250</wp:posOffset>
                </wp:positionH>
                <wp:positionV relativeFrom="paragraph">
                  <wp:posOffset>227330</wp:posOffset>
                </wp:positionV>
                <wp:extent cx="5895975" cy="103822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038225"/>
                        </a:xfrm>
                        <a:prstGeom prst="rect">
                          <a:avLst/>
                        </a:prstGeom>
                        <a:solidFill>
                          <a:srgbClr val="FFFFFF"/>
                        </a:solidFill>
                        <a:ln w="9525">
                          <a:solidFill>
                            <a:srgbClr val="000000"/>
                          </a:solidFill>
                          <a:miter lim="800000"/>
                          <a:headEnd/>
                          <a:tailEnd/>
                        </a:ln>
                      </wps:spPr>
                      <wps:txbx>
                        <w:txbxContent>
                          <w:p w14:paraId="62DC3292" w14:textId="77777777" w:rsidR="00E46FA8" w:rsidRDefault="00E46FA8" w:rsidP="00E46FA8">
                            <w:r>
                              <w:t>This guidance was updated to:</w:t>
                            </w:r>
                          </w:p>
                          <w:p w14:paraId="348CFEF4" w14:textId="77777777" w:rsidR="00E46FA8" w:rsidRDefault="00E46FA8" w:rsidP="00E46FA8">
                            <w:pPr>
                              <w:pStyle w:val="ListParagraph"/>
                              <w:numPr>
                                <w:ilvl w:val="0"/>
                                <w:numId w:val="7"/>
                              </w:numPr>
                            </w:pPr>
                            <w:r>
                              <w:t>Expand permissible alternate space use to all respiratory viruses (previously applied only to COVID-19 and influenza)</w:t>
                            </w:r>
                          </w:p>
                          <w:p w14:paraId="201DB068" w14:textId="77777777" w:rsidR="00E46FA8" w:rsidRDefault="00E46FA8" w:rsidP="00E46FA8">
                            <w:pPr>
                              <w:pStyle w:val="ListParagraph"/>
                              <w:numPr>
                                <w:ilvl w:val="0"/>
                                <w:numId w:val="7"/>
                              </w:numPr>
                            </w:pPr>
                            <w:r>
                              <w:t xml:space="preserve">Limit alternate space locations to be on or immediately adjacent to the clinic  </w:t>
                            </w:r>
                          </w:p>
                          <w:p w14:paraId="2E05507C" w14:textId="77777777" w:rsidR="00E46FA8" w:rsidRDefault="00E46FA8" w:rsidP="00E46FA8">
                            <w:pPr>
                              <w:pStyle w:val="ListParagraph"/>
                              <w:numPr>
                                <w:ilvl w:val="0"/>
                                <w:numId w:val="7"/>
                              </w:numPr>
                            </w:pPr>
                            <w:r>
                              <w:t>Define an end to alternate space use on May 10, 2024</w:t>
                            </w:r>
                          </w:p>
                          <w:p w14:paraId="1CED828F" w14:textId="77777777" w:rsidR="00E46FA8" w:rsidRDefault="00E46FA8" w:rsidP="00E46FA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437495" id="Text Box 4" o:spid="_x0000_s1028" type="#_x0000_t202" style="position:absolute;margin-left:-7.5pt;margin-top:17.9pt;width:464.25pt;height:81.75pt;z-index:25166028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">
                <v:textbox>
                  <w:txbxContent>
                    <w:p w14:paraId="62DC3292" w14:textId="77777777" w:rsidR="00E46FA8" w:rsidRDefault="00E46FA8" w:rsidP="00E46FA8">
                      <w:r>
                        <w:t>This guidance was updated to:</w:t>
                      </w:r>
                    </w:p>
                    <w:p w14:paraId="348CFEF4" w14:textId="77777777" w:rsidR="00E46FA8" w:rsidRDefault="00E46FA8" w:rsidP="00E46FA8">
                      <w:pPr>
                        <w:pStyle w:val="ListParagraph"/>
                        <w:numPr>
                          <w:ilvl w:val="0"/>
                          <w:numId w:val="7"/>
                        </w:numPr>
                      </w:pPr>
                      <w:r>
                        <w:t>Expand permissible alternate space use to all respiratory viruses (previously applied only to COVID-19 and influenza)</w:t>
                      </w:r>
                    </w:p>
                    <w:p w14:paraId="201DB068" w14:textId="77777777" w:rsidR="00E46FA8" w:rsidRDefault="00E46FA8" w:rsidP="00E46FA8">
                      <w:pPr>
                        <w:pStyle w:val="ListParagraph"/>
                        <w:numPr>
                          <w:ilvl w:val="0"/>
                          <w:numId w:val="7"/>
                        </w:numPr>
                      </w:pPr>
                      <w:r>
                        <w:t xml:space="preserve">Limit alternate space locations to be on or immediately adjacent to the clinic  </w:t>
                      </w:r>
                    </w:p>
                    <w:p w14:paraId="2E05507C" w14:textId="77777777" w:rsidR="00E46FA8" w:rsidRDefault="00E46FA8" w:rsidP="00E46FA8">
                      <w:pPr>
                        <w:pStyle w:val="ListParagraph"/>
                        <w:numPr>
                          <w:ilvl w:val="0"/>
                          <w:numId w:val="7"/>
                        </w:numPr>
                      </w:pPr>
                      <w:r>
                        <w:t>Define an end to alternate space use on May 10, 2024</w:t>
                      </w:r>
                    </w:p>
                    <w:p w14:paraId="1CED828F" w14:textId="77777777" w:rsidR="00E46FA8" w:rsidRDefault="00E46FA8" w:rsidP="00E46FA8"/>
                  </w:txbxContent>
                </v:textbox>
                <w10:wrap type="square"/>
              </v:shape>
            </w:pict>
          </mc:Fallback>
        </mc:AlternateContent>
      </w:r>
    </w:p>
    <w:p w14:paraId="3B698B1A" w14:textId="7DA369CD" w:rsidR="00E46FA8" w:rsidRPr="00E46FA8" w:rsidRDefault="00E46FA8" w:rsidP="00E46FA8">
      <w:pPr>
        <w:autoSpaceDE w:val="0"/>
        <w:autoSpaceDN w:val="0"/>
        <w:adjustRightInd w:val="0"/>
        <w:rPr>
          <w:color w:val="000000"/>
          <w:szCs w:val="24"/>
        </w:rPr>
      </w:pPr>
    </w:p>
    <w:p w14:paraId="5B0A2CAD" w14:textId="6B3BC8D7" w:rsidR="00E46FA8" w:rsidRPr="00E46FA8" w:rsidRDefault="00E46FA8" w:rsidP="00E46FA8">
      <w:pPr>
        <w:autoSpaceDE w:val="0"/>
        <w:autoSpaceDN w:val="0"/>
        <w:adjustRightInd w:val="0"/>
        <w:rPr>
          <w:color w:val="000000"/>
          <w:szCs w:val="24"/>
        </w:rPr>
      </w:pPr>
      <w:r w:rsidRPr="00E46FA8">
        <w:rPr>
          <w:color w:val="000000"/>
          <w:szCs w:val="24"/>
        </w:rPr>
        <w:t xml:space="preserve">Through this memorandum and pursuant to 105 </w:t>
      </w:r>
      <w:r w:rsidRPr="00E46FA8">
        <w:rPr>
          <w:szCs w:val="24"/>
        </w:rPr>
        <w:t xml:space="preserve">CMR 140.025, </w:t>
      </w:r>
      <w:bookmarkStart w:id="0" w:name="_Hlk74035742"/>
      <w:r w:rsidRPr="00E46FA8">
        <w:rPr>
          <w:szCs w:val="24"/>
        </w:rPr>
        <w:t>the Department of Public Health continues to authorize</w:t>
      </w:r>
      <w:r w:rsidRPr="00E46FA8">
        <w:rPr>
          <w:color w:val="000000"/>
          <w:szCs w:val="24"/>
        </w:rPr>
        <w:t xml:space="preserve"> the use of space on or adjacent to the clinic premises selected by the clinic for respiratory virus treatment,</w:t>
      </w:r>
      <w:r>
        <w:rPr>
          <w:color w:val="000000"/>
          <w:szCs w:val="24"/>
        </w:rPr>
        <w:t xml:space="preserve"> </w:t>
      </w:r>
      <w:r w:rsidRPr="00E46FA8">
        <w:rPr>
          <w:color w:val="000000"/>
          <w:szCs w:val="24"/>
        </w:rPr>
        <w:t xml:space="preserve">screening, vaccination and testing provided that the clinic complies with the below </w:t>
      </w:r>
      <w:r w:rsidRPr="00E46FA8">
        <w:rPr>
          <w:i/>
          <w:iCs/>
          <w:color w:val="000000"/>
          <w:szCs w:val="24"/>
        </w:rPr>
        <w:t>Guidelines for Use of Alternate Space for Respiratory Virus Treatment Area</w:t>
      </w:r>
      <w:r w:rsidRPr="00E46FA8">
        <w:rPr>
          <w:color w:val="000000"/>
          <w:szCs w:val="24"/>
        </w:rPr>
        <w:t xml:space="preserve">, hereinafter referred to as Guidelines, and receives such local approval as may be necessary for the erection and use of temporary structures. Clinics may continue to use alternate space until May 10, 2024.     </w:t>
      </w:r>
    </w:p>
    <w:p w14:paraId="3060C696" w14:textId="77777777" w:rsidR="00E46FA8" w:rsidRPr="00E46FA8" w:rsidRDefault="00E46FA8" w:rsidP="00E46FA8">
      <w:pPr>
        <w:autoSpaceDE w:val="0"/>
        <w:autoSpaceDN w:val="0"/>
        <w:adjustRightInd w:val="0"/>
        <w:rPr>
          <w:color w:val="000000"/>
          <w:szCs w:val="24"/>
        </w:rPr>
      </w:pPr>
    </w:p>
    <w:p w14:paraId="0BAF24E3" w14:textId="77777777" w:rsidR="00E46FA8" w:rsidRPr="00E46FA8" w:rsidRDefault="00E46FA8" w:rsidP="00E46FA8">
      <w:pPr>
        <w:autoSpaceDE w:val="0"/>
        <w:autoSpaceDN w:val="0"/>
        <w:adjustRightInd w:val="0"/>
        <w:rPr>
          <w:color w:val="000000"/>
          <w:szCs w:val="24"/>
        </w:rPr>
      </w:pPr>
      <w:r w:rsidRPr="00E46FA8">
        <w:rPr>
          <w:color w:val="000000"/>
          <w:szCs w:val="24"/>
        </w:rPr>
        <w:t xml:space="preserve">A respiratory virus treatment area at a clinic may include the following: screening, </w:t>
      </w:r>
      <w:proofErr w:type="gramStart"/>
      <w:r w:rsidRPr="00E46FA8">
        <w:rPr>
          <w:color w:val="000000"/>
          <w:szCs w:val="24"/>
        </w:rPr>
        <w:t>testing</w:t>
      </w:r>
      <w:proofErr w:type="gramEnd"/>
      <w:r w:rsidRPr="00E46FA8">
        <w:rPr>
          <w:color w:val="000000"/>
          <w:szCs w:val="24"/>
        </w:rPr>
        <w:t xml:space="preserve"> or collecting specimens from patients with possible respiratory virus exposure; administering respiratory virus vaccine; respiratory clinics for respiratory virus patients; and therapeutics delivery. Each clinic should use the guidelines below to identify appropriate space(s), if available. </w:t>
      </w:r>
    </w:p>
    <w:bookmarkEnd w:id="0"/>
    <w:p w14:paraId="5926DB60" w14:textId="77777777" w:rsidR="00E46FA8" w:rsidRPr="00E46FA8" w:rsidRDefault="00E46FA8" w:rsidP="00E46FA8">
      <w:pPr>
        <w:autoSpaceDE w:val="0"/>
        <w:autoSpaceDN w:val="0"/>
        <w:adjustRightInd w:val="0"/>
        <w:rPr>
          <w:color w:val="000000"/>
          <w:szCs w:val="24"/>
        </w:rPr>
      </w:pPr>
    </w:p>
    <w:p w14:paraId="42BAD395" w14:textId="77777777" w:rsidR="00E46FA8" w:rsidRPr="00E46FA8" w:rsidRDefault="00E46FA8" w:rsidP="00E46FA8">
      <w:pPr>
        <w:autoSpaceDE w:val="0"/>
        <w:autoSpaceDN w:val="0"/>
        <w:adjustRightInd w:val="0"/>
        <w:rPr>
          <w:color w:val="000000"/>
          <w:szCs w:val="24"/>
        </w:rPr>
      </w:pPr>
      <w:r w:rsidRPr="00E46FA8">
        <w:rPr>
          <w:color w:val="000000"/>
          <w:szCs w:val="24"/>
        </w:rPr>
        <w:t xml:space="preserve">In addition to the below guidelines, a clinic using space for a patient treatment area must: </w:t>
      </w:r>
    </w:p>
    <w:p w14:paraId="1453CF93" w14:textId="77777777" w:rsidR="00E46FA8" w:rsidRPr="00E46FA8" w:rsidRDefault="00E46FA8" w:rsidP="00E46FA8">
      <w:pPr>
        <w:numPr>
          <w:ilvl w:val="0"/>
          <w:numId w:val="5"/>
        </w:numPr>
        <w:autoSpaceDE w:val="0"/>
        <w:autoSpaceDN w:val="0"/>
        <w:adjustRightInd w:val="0"/>
        <w:rPr>
          <w:color w:val="000000"/>
          <w:szCs w:val="24"/>
        </w:rPr>
      </w:pPr>
      <w:r w:rsidRPr="00E46FA8">
        <w:rPr>
          <w:color w:val="000000"/>
          <w:szCs w:val="24"/>
        </w:rPr>
        <w:t xml:space="preserve">Meet the applicable requirements for collection stations in 105 CMR 180.000, </w:t>
      </w:r>
      <w:r w:rsidRPr="00E46FA8">
        <w:rPr>
          <w:i/>
          <w:iCs/>
          <w:color w:val="000000"/>
          <w:szCs w:val="24"/>
        </w:rPr>
        <w:t>The Operation, Approval and Licensing of Clinical Laboratories</w:t>
      </w:r>
      <w:r w:rsidRPr="00E46FA8">
        <w:rPr>
          <w:color w:val="000000"/>
          <w:szCs w:val="24"/>
        </w:rPr>
        <w:t xml:space="preserve">, if collecting </w:t>
      </w:r>
      <w:proofErr w:type="gramStart"/>
      <w:r w:rsidRPr="00E46FA8">
        <w:rPr>
          <w:color w:val="000000"/>
          <w:szCs w:val="24"/>
        </w:rPr>
        <w:t>specimens;</w:t>
      </w:r>
      <w:proofErr w:type="gramEnd"/>
      <w:r w:rsidRPr="00E46FA8">
        <w:rPr>
          <w:i/>
          <w:iCs/>
          <w:color w:val="000000"/>
          <w:szCs w:val="24"/>
        </w:rPr>
        <w:t xml:space="preserve"> </w:t>
      </w:r>
    </w:p>
    <w:p w14:paraId="6E4F0913" w14:textId="77777777" w:rsidR="00E46FA8" w:rsidRPr="00E46FA8" w:rsidRDefault="00E46FA8" w:rsidP="00E46FA8">
      <w:pPr>
        <w:numPr>
          <w:ilvl w:val="0"/>
          <w:numId w:val="5"/>
        </w:numPr>
        <w:autoSpaceDE w:val="0"/>
        <w:autoSpaceDN w:val="0"/>
        <w:adjustRightInd w:val="0"/>
        <w:rPr>
          <w:color w:val="000000"/>
          <w:szCs w:val="24"/>
        </w:rPr>
      </w:pPr>
      <w:r w:rsidRPr="00E46FA8">
        <w:rPr>
          <w:color w:val="000000"/>
          <w:szCs w:val="24"/>
        </w:rPr>
        <w:lastRenderedPageBreak/>
        <w:t xml:space="preserve">Be in possession of a current, active Massachusetts Controlled Substance Registration that incorporates the alternative space, if administering vaccine, conducting respiratory clinics or providing </w:t>
      </w:r>
      <w:proofErr w:type="gramStart"/>
      <w:r w:rsidRPr="00E46FA8">
        <w:rPr>
          <w:color w:val="000000"/>
          <w:szCs w:val="24"/>
        </w:rPr>
        <w:t>therapeutics;</w:t>
      </w:r>
      <w:proofErr w:type="gramEnd"/>
    </w:p>
    <w:p w14:paraId="691C1376" w14:textId="77777777" w:rsidR="00E46FA8" w:rsidRPr="00E46FA8" w:rsidRDefault="00E46FA8" w:rsidP="00E46FA8">
      <w:pPr>
        <w:numPr>
          <w:ilvl w:val="0"/>
          <w:numId w:val="6"/>
        </w:numPr>
        <w:autoSpaceDE w:val="0"/>
        <w:autoSpaceDN w:val="0"/>
        <w:adjustRightInd w:val="0"/>
        <w:rPr>
          <w:color w:val="000000"/>
          <w:szCs w:val="24"/>
        </w:rPr>
      </w:pPr>
      <w:proofErr w:type="gramStart"/>
      <w:r w:rsidRPr="00E46FA8">
        <w:rPr>
          <w:color w:val="000000"/>
          <w:szCs w:val="24"/>
        </w:rPr>
        <w:t>Be in compliance with</w:t>
      </w:r>
      <w:proofErr w:type="gramEnd"/>
      <w:r w:rsidRPr="00E46FA8">
        <w:rPr>
          <w:color w:val="000000"/>
          <w:szCs w:val="24"/>
        </w:rPr>
        <w:t xml:space="preserve"> all state and federal requirements, including for vaccine storage and handling. DPH requirements on storage and handling of vaccines may be found here: </w:t>
      </w:r>
      <w:hyperlink r:id="rId9" w:history="1">
        <w:r w:rsidRPr="00E46FA8">
          <w:rPr>
            <w:color w:val="0000FF"/>
            <w:szCs w:val="24"/>
            <w:u w:val="single"/>
          </w:rPr>
          <w:t>https://www.mass.gov/info-details/vaccine-storage-and-handling-guidance</w:t>
        </w:r>
      </w:hyperlink>
    </w:p>
    <w:p w14:paraId="752395EB" w14:textId="77777777" w:rsidR="00E46FA8" w:rsidRPr="00E46FA8" w:rsidRDefault="00E46FA8" w:rsidP="00E46FA8">
      <w:pPr>
        <w:autoSpaceDE w:val="0"/>
        <w:autoSpaceDN w:val="0"/>
        <w:adjustRightInd w:val="0"/>
        <w:rPr>
          <w:color w:val="000000"/>
          <w:szCs w:val="24"/>
        </w:rPr>
      </w:pPr>
    </w:p>
    <w:p w14:paraId="713B4278" w14:textId="77777777" w:rsidR="00E46FA8" w:rsidRPr="00E46FA8" w:rsidRDefault="00E46FA8" w:rsidP="00E46FA8">
      <w:pPr>
        <w:autoSpaceDE w:val="0"/>
        <w:autoSpaceDN w:val="0"/>
        <w:adjustRightInd w:val="0"/>
        <w:rPr>
          <w:color w:val="000000"/>
          <w:szCs w:val="24"/>
        </w:rPr>
      </w:pPr>
      <w:r w:rsidRPr="00E46FA8">
        <w:rPr>
          <w:b/>
          <w:bCs/>
          <w:i/>
          <w:iCs/>
          <w:color w:val="000000"/>
          <w:szCs w:val="24"/>
        </w:rPr>
        <w:t xml:space="preserve">Guidelines for Use of Alternative Space for Respiratory Virus Treatment Area </w:t>
      </w:r>
    </w:p>
    <w:p w14:paraId="0971D73B" w14:textId="77777777" w:rsidR="00E46FA8" w:rsidRPr="00E46FA8" w:rsidRDefault="00E46FA8" w:rsidP="00E46FA8">
      <w:pPr>
        <w:autoSpaceDE w:val="0"/>
        <w:autoSpaceDN w:val="0"/>
        <w:adjustRightInd w:val="0"/>
        <w:rPr>
          <w:i/>
          <w:iCs/>
          <w:color w:val="000000"/>
          <w:szCs w:val="24"/>
        </w:rPr>
      </w:pPr>
    </w:p>
    <w:p w14:paraId="6F5A999E" w14:textId="77777777" w:rsidR="00E46FA8" w:rsidRPr="00E46FA8" w:rsidRDefault="00E46FA8" w:rsidP="00E46FA8">
      <w:pPr>
        <w:autoSpaceDE w:val="0"/>
        <w:autoSpaceDN w:val="0"/>
        <w:adjustRightInd w:val="0"/>
        <w:rPr>
          <w:color w:val="000000"/>
          <w:szCs w:val="24"/>
        </w:rPr>
      </w:pPr>
      <w:r w:rsidRPr="00E46FA8">
        <w:rPr>
          <w:i/>
          <w:iCs/>
          <w:color w:val="000000"/>
          <w:szCs w:val="24"/>
          <w:u w:val="single"/>
        </w:rPr>
        <w:t>The clinic must have written guidelines that address the following</w:t>
      </w:r>
      <w:r w:rsidRPr="00E46FA8">
        <w:rPr>
          <w:i/>
          <w:iCs/>
          <w:color w:val="000000"/>
          <w:szCs w:val="24"/>
        </w:rPr>
        <w:t xml:space="preserve">: </w:t>
      </w:r>
    </w:p>
    <w:p w14:paraId="01C44288" w14:textId="77777777" w:rsidR="00E46FA8" w:rsidRPr="00E46FA8" w:rsidRDefault="00E46FA8" w:rsidP="00E46FA8">
      <w:pPr>
        <w:autoSpaceDE w:val="0"/>
        <w:autoSpaceDN w:val="0"/>
        <w:adjustRightInd w:val="0"/>
        <w:spacing w:after="44"/>
        <w:rPr>
          <w:color w:val="000000"/>
          <w:szCs w:val="24"/>
        </w:rPr>
      </w:pPr>
    </w:p>
    <w:p w14:paraId="6138FFE5" w14:textId="77777777" w:rsidR="00E46FA8" w:rsidRPr="00E46FA8" w:rsidRDefault="00E46FA8" w:rsidP="00E46FA8">
      <w:pPr>
        <w:autoSpaceDE w:val="0"/>
        <w:autoSpaceDN w:val="0"/>
        <w:adjustRightInd w:val="0"/>
        <w:spacing w:after="44"/>
        <w:ind w:left="720"/>
        <w:rPr>
          <w:rFonts w:ascii="Arial Rounded MT Bold" w:hAnsi="Arial Rounded MT Bold" w:cs="Arial Rounded MT Bold"/>
          <w:color w:val="000000"/>
          <w:szCs w:val="24"/>
        </w:rPr>
      </w:pPr>
      <w:r w:rsidRPr="00E46FA8">
        <w:rPr>
          <w:color w:val="000000"/>
          <w:szCs w:val="24"/>
        </w:rPr>
        <w:t>A staffing plan with staff qualifications, including appropriate orientation and training.</w:t>
      </w:r>
    </w:p>
    <w:p w14:paraId="62BDDFA4" w14:textId="77777777" w:rsidR="00E46FA8" w:rsidRPr="00E46FA8" w:rsidRDefault="00E46FA8" w:rsidP="00E46FA8">
      <w:pPr>
        <w:numPr>
          <w:ilvl w:val="0"/>
          <w:numId w:val="4"/>
        </w:numPr>
        <w:rPr>
          <w:color w:val="000000"/>
          <w:szCs w:val="24"/>
        </w:rPr>
      </w:pPr>
      <w:r w:rsidRPr="00E46FA8">
        <w:rPr>
          <w:szCs w:val="24"/>
        </w:rPr>
        <w:t xml:space="preserve">Policy for managing high risk patients, </w:t>
      </w:r>
      <w:r w:rsidRPr="00E46FA8">
        <w:rPr>
          <w:color w:val="000000"/>
          <w:szCs w:val="24"/>
        </w:rPr>
        <w:t>including determining if the area is appropriate space to care for individuals with acute behavioral health needs or pediatric populations.</w:t>
      </w:r>
    </w:p>
    <w:p w14:paraId="29397331" w14:textId="77777777" w:rsidR="00E46FA8" w:rsidRPr="00E46FA8" w:rsidRDefault="00E46FA8" w:rsidP="00E46FA8">
      <w:pPr>
        <w:autoSpaceDE w:val="0"/>
        <w:autoSpaceDN w:val="0"/>
        <w:adjustRightInd w:val="0"/>
        <w:spacing w:after="44"/>
        <w:ind w:left="720"/>
        <w:rPr>
          <w:color w:val="000000"/>
          <w:szCs w:val="24"/>
        </w:rPr>
      </w:pPr>
      <w:r w:rsidRPr="00E46FA8">
        <w:rPr>
          <w:color w:val="000000"/>
          <w:szCs w:val="24"/>
        </w:rPr>
        <w:t xml:space="preserve">. </w:t>
      </w:r>
    </w:p>
    <w:p w14:paraId="1C04E5C3" w14:textId="77777777" w:rsidR="00E46FA8" w:rsidRPr="00E46FA8" w:rsidRDefault="00E46FA8" w:rsidP="00E46FA8">
      <w:pPr>
        <w:numPr>
          <w:ilvl w:val="0"/>
          <w:numId w:val="4"/>
        </w:numPr>
        <w:autoSpaceDE w:val="0"/>
        <w:autoSpaceDN w:val="0"/>
        <w:adjustRightInd w:val="0"/>
        <w:spacing w:after="44"/>
        <w:rPr>
          <w:color w:val="000000"/>
          <w:szCs w:val="24"/>
        </w:rPr>
      </w:pPr>
      <w:r w:rsidRPr="00E46FA8">
        <w:rPr>
          <w:color w:val="000000"/>
          <w:szCs w:val="24"/>
        </w:rPr>
        <w:t xml:space="preserve">Policy for security of patients, facilities, supplies, pharmaceuticals and for crowd management. </w:t>
      </w:r>
    </w:p>
    <w:p w14:paraId="02EF1DD8" w14:textId="77777777" w:rsidR="00E46FA8" w:rsidRPr="00E46FA8" w:rsidRDefault="00E46FA8" w:rsidP="00E46FA8">
      <w:pPr>
        <w:numPr>
          <w:ilvl w:val="0"/>
          <w:numId w:val="4"/>
        </w:numPr>
        <w:autoSpaceDE w:val="0"/>
        <w:autoSpaceDN w:val="0"/>
        <w:adjustRightInd w:val="0"/>
        <w:spacing w:after="44"/>
        <w:rPr>
          <w:color w:val="000000"/>
          <w:szCs w:val="24"/>
        </w:rPr>
      </w:pPr>
      <w:r w:rsidRPr="00E46FA8">
        <w:rPr>
          <w:color w:val="000000"/>
          <w:szCs w:val="24"/>
        </w:rPr>
        <w:t xml:space="preserve">Patient flow systems addressing screening and testing. </w:t>
      </w:r>
    </w:p>
    <w:p w14:paraId="2A589D32" w14:textId="77777777" w:rsidR="00E46FA8" w:rsidRPr="00E46FA8" w:rsidRDefault="00E46FA8" w:rsidP="00E46FA8">
      <w:pPr>
        <w:numPr>
          <w:ilvl w:val="0"/>
          <w:numId w:val="4"/>
        </w:numPr>
        <w:autoSpaceDE w:val="0"/>
        <w:autoSpaceDN w:val="0"/>
        <w:adjustRightInd w:val="0"/>
        <w:spacing w:after="44"/>
        <w:rPr>
          <w:color w:val="000000"/>
          <w:szCs w:val="24"/>
        </w:rPr>
      </w:pPr>
      <w:r w:rsidRPr="00E46FA8">
        <w:rPr>
          <w:color w:val="000000"/>
          <w:szCs w:val="24"/>
        </w:rPr>
        <w:t xml:space="preserve">Policies for ensuring appropriate personal protective equipment (PPE) are available for all staff. </w:t>
      </w:r>
    </w:p>
    <w:p w14:paraId="249343B6" w14:textId="77777777" w:rsidR="00E46FA8" w:rsidRPr="00E46FA8" w:rsidRDefault="00E46FA8" w:rsidP="00E46FA8">
      <w:pPr>
        <w:numPr>
          <w:ilvl w:val="0"/>
          <w:numId w:val="4"/>
        </w:numPr>
        <w:autoSpaceDE w:val="0"/>
        <w:autoSpaceDN w:val="0"/>
        <w:adjustRightInd w:val="0"/>
        <w:rPr>
          <w:color w:val="000000"/>
          <w:szCs w:val="24"/>
        </w:rPr>
      </w:pPr>
      <w:r w:rsidRPr="00E46FA8">
        <w:rPr>
          <w:color w:val="000000"/>
          <w:szCs w:val="24"/>
        </w:rPr>
        <w:t xml:space="preserve">Protocols for following current standards of practice. </w:t>
      </w:r>
    </w:p>
    <w:p w14:paraId="40995E9B" w14:textId="77777777" w:rsidR="00E46FA8" w:rsidRPr="00E46FA8" w:rsidRDefault="00E46FA8" w:rsidP="00E46FA8">
      <w:pPr>
        <w:autoSpaceDE w:val="0"/>
        <w:autoSpaceDN w:val="0"/>
        <w:adjustRightInd w:val="0"/>
        <w:rPr>
          <w:color w:val="000000"/>
          <w:szCs w:val="24"/>
        </w:rPr>
      </w:pPr>
    </w:p>
    <w:p w14:paraId="56CF30B5" w14:textId="77777777" w:rsidR="00E46FA8" w:rsidRPr="00E46FA8" w:rsidRDefault="00E46FA8" w:rsidP="00E46FA8">
      <w:pPr>
        <w:autoSpaceDE w:val="0"/>
        <w:autoSpaceDN w:val="0"/>
        <w:adjustRightInd w:val="0"/>
        <w:rPr>
          <w:i/>
          <w:iCs/>
          <w:color w:val="000000"/>
          <w:szCs w:val="24"/>
        </w:rPr>
      </w:pPr>
      <w:r w:rsidRPr="00E46FA8">
        <w:rPr>
          <w:i/>
          <w:iCs/>
          <w:color w:val="000000"/>
          <w:szCs w:val="24"/>
          <w:u w:val="single"/>
        </w:rPr>
        <w:t>The physical space must conform to the following requirements</w:t>
      </w:r>
      <w:r w:rsidRPr="00E46FA8">
        <w:rPr>
          <w:i/>
          <w:iCs/>
          <w:color w:val="000000"/>
          <w:szCs w:val="24"/>
        </w:rPr>
        <w:t xml:space="preserve">: </w:t>
      </w:r>
    </w:p>
    <w:p w14:paraId="658C65C5" w14:textId="77777777" w:rsidR="00E46FA8" w:rsidRPr="00E46FA8" w:rsidRDefault="00E46FA8" w:rsidP="00E46FA8">
      <w:pPr>
        <w:autoSpaceDE w:val="0"/>
        <w:autoSpaceDN w:val="0"/>
        <w:adjustRightInd w:val="0"/>
        <w:rPr>
          <w:color w:val="000000"/>
          <w:szCs w:val="24"/>
        </w:rPr>
      </w:pPr>
    </w:p>
    <w:p w14:paraId="5629247C" w14:textId="77777777" w:rsidR="00E46FA8" w:rsidRPr="00E46FA8" w:rsidRDefault="00E46FA8" w:rsidP="00E46FA8">
      <w:pPr>
        <w:numPr>
          <w:ilvl w:val="0"/>
          <w:numId w:val="3"/>
        </w:numPr>
        <w:autoSpaceDE w:val="0"/>
        <w:autoSpaceDN w:val="0"/>
        <w:adjustRightInd w:val="0"/>
        <w:spacing w:after="44"/>
        <w:rPr>
          <w:color w:val="000000"/>
          <w:szCs w:val="24"/>
        </w:rPr>
      </w:pPr>
      <w:r w:rsidRPr="00E46FA8">
        <w:rPr>
          <w:color w:val="000000"/>
          <w:szCs w:val="24"/>
        </w:rPr>
        <w:t>The space must be on or adjacent to the clinic premise locations only.</w:t>
      </w:r>
    </w:p>
    <w:p w14:paraId="036994CC" w14:textId="77777777" w:rsidR="00E46FA8" w:rsidRPr="00E46FA8" w:rsidRDefault="00E46FA8" w:rsidP="00E46FA8">
      <w:pPr>
        <w:numPr>
          <w:ilvl w:val="0"/>
          <w:numId w:val="3"/>
        </w:numPr>
        <w:autoSpaceDE w:val="0"/>
        <w:autoSpaceDN w:val="0"/>
        <w:adjustRightInd w:val="0"/>
        <w:spacing w:after="44"/>
        <w:rPr>
          <w:color w:val="000000"/>
          <w:szCs w:val="24"/>
        </w:rPr>
      </w:pPr>
      <w:r w:rsidRPr="00E46FA8">
        <w:rPr>
          <w:color w:val="000000"/>
          <w:szCs w:val="24"/>
        </w:rPr>
        <w:t xml:space="preserve">Minimum four-foot aisles maintained between patient exam chairs. </w:t>
      </w:r>
    </w:p>
    <w:p w14:paraId="047E113B" w14:textId="77777777" w:rsidR="00E46FA8" w:rsidRPr="00E46FA8" w:rsidRDefault="00E46FA8" w:rsidP="00E46FA8">
      <w:pPr>
        <w:numPr>
          <w:ilvl w:val="0"/>
          <w:numId w:val="3"/>
        </w:numPr>
        <w:autoSpaceDE w:val="0"/>
        <w:autoSpaceDN w:val="0"/>
        <w:adjustRightInd w:val="0"/>
        <w:spacing w:after="44"/>
        <w:rPr>
          <w:color w:val="000000"/>
          <w:szCs w:val="24"/>
        </w:rPr>
      </w:pPr>
      <w:r w:rsidRPr="00E46FA8">
        <w:rPr>
          <w:color w:val="000000"/>
          <w:szCs w:val="24"/>
        </w:rPr>
        <w:t xml:space="preserve">Immediate access to hand wash sinks or other forms of hand hygiene. </w:t>
      </w:r>
    </w:p>
    <w:p w14:paraId="7367C3F8" w14:textId="77777777" w:rsidR="00E46FA8" w:rsidRPr="00E46FA8" w:rsidRDefault="00E46FA8" w:rsidP="00E46FA8">
      <w:pPr>
        <w:numPr>
          <w:ilvl w:val="0"/>
          <w:numId w:val="3"/>
        </w:numPr>
        <w:autoSpaceDE w:val="0"/>
        <w:autoSpaceDN w:val="0"/>
        <w:adjustRightInd w:val="0"/>
        <w:spacing w:after="44"/>
        <w:rPr>
          <w:color w:val="000000"/>
          <w:szCs w:val="24"/>
        </w:rPr>
      </w:pPr>
      <w:r w:rsidRPr="00E46FA8">
        <w:rPr>
          <w:color w:val="000000"/>
          <w:szCs w:val="24"/>
        </w:rPr>
        <w:t xml:space="preserve">Reasonably sized workspace with privacy considerations for patient screening and vaccination. </w:t>
      </w:r>
    </w:p>
    <w:p w14:paraId="6ED6027E" w14:textId="77777777" w:rsidR="00E46FA8" w:rsidRPr="00E46FA8" w:rsidRDefault="00E46FA8" w:rsidP="00E46FA8">
      <w:pPr>
        <w:numPr>
          <w:ilvl w:val="0"/>
          <w:numId w:val="3"/>
        </w:numPr>
        <w:autoSpaceDE w:val="0"/>
        <w:autoSpaceDN w:val="0"/>
        <w:adjustRightInd w:val="0"/>
        <w:spacing w:after="44"/>
        <w:rPr>
          <w:color w:val="000000"/>
          <w:szCs w:val="24"/>
        </w:rPr>
      </w:pPr>
      <w:r w:rsidRPr="00E46FA8">
        <w:rPr>
          <w:color w:val="000000"/>
          <w:szCs w:val="24"/>
        </w:rPr>
        <w:t xml:space="preserve">Provision for environmental cleaning, </w:t>
      </w:r>
      <w:proofErr w:type="gramStart"/>
      <w:r w:rsidRPr="00E46FA8">
        <w:rPr>
          <w:color w:val="000000"/>
          <w:szCs w:val="24"/>
        </w:rPr>
        <w:t>sanitization</w:t>
      </w:r>
      <w:proofErr w:type="gramEnd"/>
      <w:r w:rsidRPr="00E46FA8">
        <w:rPr>
          <w:color w:val="000000"/>
          <w:szCs w:val="24"/>
        </w:rPr>
        <w:t xml:space="preserve"> and appropriate decontamination. </w:t>
      </w:r>
    </w:p>
    <w:p w14:paraId="232A904A" w14:textId="77777777" w:rsidR="00E46FA8" w:rsidRPr="00E46FA8" w:rsidRDefault="00E46FA8" w:rsidP="00E46FA8">
      <w:pPr>
        <w:numPr>
          <w:ilvl w:val="0"/>
          <w:numId w:val="3"/>
        </w:numPr>
        <w:autoSpaceDE w:val="0"/>
        <w:autoSpaceDN w:val="0"/>
        <w:adjustRightInd w:val="0"/>
        <w:spacing w:after="44"/>
        <w:rPr>
          <w:color w:val="000000"/>
          <w:szCs w:val="24"/>
        </w:rPr>
      </w:pPr>
      <w:r w:rsidRPr="00E46FA8">
        <w:rPr>
          <w:color w:val="000000"/>
          <w:szCs w:val="24"/>
        </w:rPr>
        <w:t xml:space="preserve">Space, </w:t>
      </w:r>
      <w:proofErr w:type="gramStart"/>
      <w:r w:rsidRPr="00E46FA8">
        <w:rPr>
          <w:color w:val="000000"/>
          <w:szCs w:val="24"/>
        </w:rPr>
        <w:t>cabinets</w:t>
      </w:r>
      <w:proofErr w:type="gramEnd"/>
      <w:r w:rsidRPr="00E46FA8">
        <w:rPr>
          <w:color w:val="000000"/>
          <w:szCs w:val="24"/>
        </w:rPr>
        <w:t xml:space="preserve"> or carts for storage of supplies and specimens. </w:t>
      </w:r>
    </w:p>
    <w:p w14:paraId="32EE2BBE" w14:textId="77777777" w:rsidR="00E46FA8" w:rsidRPr="00E46FA8" w:rsidRDefault="00E46FA8" w:rsidP="00E46FA8">
      <w:pPr>
        <w:numPr>
          <w:ilvl w:val="0"/>
          <w:numId w:val="3"/>
        </w:numPr>
        <w:autoSpaceDE w:val="0"/>
        <w:autoSpaceDN w:val="0"/>
        <w:adjustRightInd w:val="0"/>
        <w:spacing w:after="44"/>
        <w:rPr>
          <w:color w:val="000000"/>
          <w:szCs w:val="24"/>
        </w:rPr>
      </w:pPr>
      <w:r w:rsidRPr="00E46FA8">
        <w:rPr>
          <w:color w:val="000000"/>
          <w:szCs w:val="24"/>
        </w:rPr>
        <w:t xml:space="preserve">Provision for medical recordkeeping, including measures to ensure patient confidentiality. </w:t>
      </w:r>
    </w:p>
    <w:p w14:paraId="7610EF16" w14:textId="77777777" w:rsidR="00E46FA8" w:rsidRPr="00E46FA8" w:rsidRDefault="00E46FA8" w:rsidP="00E46FA8">
      <w:pPr>
        <w:numPr>
          <w:ilvl w:val="0"/>
          <w:numId w:val="3"/>
        </w:numPr>
        <w:autoSpaceDE w:val="0"/>
        <w:autoSpaceDN w:val="0"/>
        <w:adjustRightInd w:val="0"/>
        <w:rPr>
          <w:color w:val="000000"/>
          <w:szCs w:val="24"/>
        </w:rPr>
      </w:pPr>
      <w:r w:rsidRPr="00E46FA8">
        <w:rPr>
          <w:color w:val="000000"/>
          <w:szCs w:val="24"/>
        </w:rPr>
        <w:t xml:space="preserve">Signage to direct patients to the space </w:t>
      </w:r>
    </w:p>
    <w:p w14:paraId="3DA64BB5" w14:textId="77777777" w:rsidR="00033154" w:rsidRDefault="00033154" w:rsidP="0072610D"/>
    <w:sectPr w:rsidR="0003315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C15DF"/>
    <w:multiLevelType w:val="hybridMultilevel"/>
    <w:tmpl w:val="A5B47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EC1A6C"/>
    <w:multiLevelType w:val="hybridMultilevel"/>
    <w:tmpl w:val="AAE496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940B5E"/>
    <w:multiLevelType w:val="multilevel"/>
    <w:tmpl w:val="A69E7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FC46EC"/>
    <w:multiLevelType w:val="hybridMultilevel"/>
    <w:tmpl w:val="FA0AF1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E65123"/>
    <w:multiLevelType w:val="hybridMultilevel"/>
    <w:tmpl w:val="EC38D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6D3AF3"/>
    <w:multiLevelType w:val="multilevel"/>
    <w:tmpl w:val="626A0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668352C"/>
    <w:multiLevelType w:val="hybridMultilevel"/>
    <w:tmpl w:val="25941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092440">
    <w:abstractNumId w:val="5"/>
  </w:num>
  <w:num w:numId="2" w16cid:durableId="509375131">
    <w:abstractNumId w:val="2"/>
  </w:num>
  <w:num w:numId="3" w16cid:durableId="1171482634">
    <w:abstractNumId w:val="1"/>
  </w:num>
  <w:num w:numId="4" w16cid:durableId="449589120">
    <w:abstractNumId w:val="3"/>
  </w:num>
  <w:num w:numId="5" w16cid:durableId="261113837">
    <w:abstractNumId w:val="6"/>
  </w:num>
  <w:num w:numId="6" w16cid:durableId="453907966">
    <w:abstractNumId w:val="0"/>
  </w:num>
  <w:num w:numId="7" w16cid:durableId="13951559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33154"/>
    <w:rsid w:val="00042048"/>
    <w:rsid w:val="00043569"/>
    <w:rsid w:val="000537DA"/>
    <w:rsid w:val="00093285"/>
    <w:rsid w:val="000A1DE1"/>
    <w:rsid w:val="000B7D96"/>
    <w:rsid w:val="000F315B"/>
    <w:rsid w:val="001125C0"/>
    <w:rsid w:val="0015268B"/>
    <w:rsid w:val="00177C77"/>
    <w:rsid w:val="001B6693"/>
    <w:rsid w:val="0021698C"/>
    <w:rsid w:val="00260D54"/>
    <w:rsid w:val="0026799C"/>
    <w:rsid w:val="00276957"/>
    <w:rsid w:val="00276DCC"/>
    <w:rsid w:val="002A132F"/>
    <w:rsid w:val="002D1C21"/>
    <w:rsid w:val="00301022"/>
    <w:rsid w:val="00375EAD"/>
    <w:rsid w:val="00385812"/>
    <w:rsid w:val="00392D0B"/>
    <w:rsid w:val="003A7AFC"/>
    <w:rsid w:val="003C60EF"/>
    <w:rsid w:val="00432440"/>
    <w:rsid w:val="004813AC"/>
    <w:rsid w:val="004B37A0"/>
    <w:rsid w:val="004B4159"/>
    <w:rsid w:val="004B5CFB"/>
    <w:rsid w:val="004D6B39"/>
    <w:rsid w:val="004E0C3F"/>
    <w:rsid w:val="004F3457"/>
    <w:rsid w:val="00512956"/>
    <w:rsid w:val="005146B7"/>
    <w:rsid w:val="00530145"/>
    <w:rsid w:val="005448AA"/>
    <w:rsid w:val="005B28BA"/>
    <w:rsid w:val="006D06D9"/>
    <w:rsid w:val="006D77A6"/>
    <w:rsid w:val="00702109"/>
    <w:rsid w:val="0072610D"/>
    <w:rsid w:val="00757006"/>
    <w:rsid w:val="007B3F4B"/>
    <w:rsid w:val="007B7347"/>
    <w:rsid w:val="007D10F3"/>
    <w:rsid w:val="007F3CDB"/>
    <w:rsid w:val="0082617E"/>
    <w:rsid w:val="009730E5"/>
    <w:rsid w:val="009908FF"/>
    <w:rsid w:val="00995505"/>
    <w:rsid w:val="009C3E5E"/>
    <w:rsid w:val="009C4428"/>
    <w:rsid w:val="009D48CD"/>
    <w:rsid w:val="00A65101"/>
    <w:rsid w:val="00AD4B92"/>
    <w:rsid w:val="00B403BF"/>
    <w:rsid w:val="00B608D9"/>
    <w:rsid w:val="00B66323"/>
    <w:rsid w:val="00BA1CDA"/>
    <w:rsid w:val="00BA4055"/>
    <w:rsid w:val="00BA7FB6"/>
    <w:rsid w:val="00C20BFE"/>
    <w:rsid w:val="00C46D29"/>
    <w:rsid w:val="00CC1778"/>
    <w:rsid w:val="00CE575B"/>
    <w:rsid w:val="00CF3DE8"/>
    <w:rsid w:val="00D0493F"/>
    <w:rsid w:val="00D11924"/>
    <w:rsid w:val="00D56F91"/>
    <w:rsid w:val="00D8671C"/>
    <w:rsid w:val="00D90349"/>
    <w:rsid w:val="00D91390"/>
    <w:rsid w:val="00DA57C3"/>
    <w:rsid w:val="00DC3855"/>
    <w:rsid w:val="00E242A8"/>
    <w:rsid w:val="00E274B8"/>
    <w:rsid w:val="00E46FA8"/>
    <w:rsid w:val="00E72707"/>
    <w:rsid w:val="00F0586E"/>
    <w:rsid w:val="00F43932"/>
    <w:rsid w:val="00F75E90"/>
    <w:rsid w:val="00FA575E"/>
    <w:rsid w:val="00FC6B42"/>
    <w:rsid w:val="0150172C"/>
    <w:rsid w:val="043B30AB"/>
    <w:rsid w:val="094517AF"/>
    <w:rsid w:val="0E0CE31B"/>
    <w:rsid w:val="0F76A2B8"/>
    <w:rsid w:val="0FAD83FA"/>
    <w:rsid w:val="12F6E67E"/>
    <w:rsid w:val="130D08ED"/>
    <w:rsid w:val="14F39F6A"/>
    <w:rsid w:val="152914C2"/>
    <w:rsid w:val="1BC5E008"/>
    <w:rsid w:val="1E0FE55F"/>
    <w:rsid w:val="1F302241"/>
    <w:rsid w:val="2131F0F3"/>
    <w:rsid w:val="224BB281"/>
    <w:rsid w:val="225E9005"/>
    <w:rsid w:val="2297424C"/>
    <w:rsid w:val="22EA981E"/>
    <w:rsid w:val="2627D17A"/>
    <w:rsid w:val="26BC9BD6"/>
    <w:rsid w:val="2916FF26"/>
    <w:rsid w:val="2A565E21"/>
    <w:rsid w:val="2C7C2CAD"/>
    <w:rsid w:val="2DC59B5E"/>
    <w:rsid w:val="2E43CCD4"/>
    <w:rsid w:val="31923439"/>
    <w:rsid w:val="32FA7760"/>
    <w:rsid w:val="33716E52"/>
    <w:rsid w:val="3380C070"/>
    <w:rsid w:val="37DA7889"/>
    <w:rsid w:val="3B2A9E2F"/>
    <w:rsid w:val="3F79BBFF"/>
    <w:rsid w:val="4375E596"/>
    <w:rsid w:val="43EB3FF7"/>
    <w:rsid w:val="44B61118"/>
    <w:rsid w:val="44D01A52"/>
    <w:rsid w:val="44DB3C38"/>
    <w:rsid w:val="494BC87D"/>
    <w:rsid w:val="4E8D2696"/>
    <w:rsid w:val="534879DF"/>
    <w:rsid w:val="53C30D04"/>
    <w:rsid w:val="569808BB"/>
    <w:rsid w:val="58235417"/>
    <w:rsid w:val="5B2CFC6D"/>
    <w:rsid w:val="5CD91D44"/>
    <w:rsid w:val="5E279228"/>
    <w:rsid w:val="613E013E"/>
    <w:rsid w:val="6177950A"/>
    <w:rsid w:val="62FAE6EF"/>
    <w:rsid w:val="6342ECBD"/>
    <w:rsid w:val="68C849EB"/>
    <w:rsid w:val="6EA2A4FB"/>
    <w:rsid w:val="6FDECA58"/>
    <w:rsid w:val="71208DAF"/>
    <w:rsid w:val="72F6BD07"/>
    <w:rsid w:val="7376A858"/>
    <w:rsid w:val="75863D23"/>
    <w:rsid w:val="77B8E6A6"/>
    <w:rsid w:val="79BA5E9D"/>
    <w:rsid w:val="7D6BD1D3"/>
    <w:rsid w:val="7EA95C5D"/>
    <w:rsid w:val="7FAB3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character" w:styleId="CommentReference">
    <w:name w:val="annotation reference"/>
    <w:rsid w:val="00BA1CDA"/>
    <w:rPr>
      <w:sz w:val="16"/>
      <w:szCs w:val="16"/>
    </w:rPr>
  </w:style>
  <w:style w:type="paragraph" w:styleId="CommentText">
    <w:name w:val="annotation text"/>
    <w:basedOn w:val="Normal"/>
    <w:link w:val="CommentTextChar"/>
    <w:rsid w:val="00BA1CDA"/>
    <w:rPr>
      <w:sz w:val="20"/>
    </w:rPr>
  </w:style>
  <w:style w:type="character" w:customStyle="1" w:styleId="CommentTextChar">
    <w:name w:val="Comment Text Char"/>
    <w:basedOn w:val="DefaultParagraphFont"/>
    <w:link w:val="CommentText"/>
    <w:rsid w:val="00BA1CDA"/>
  </w:style>
  <w:style w:type="character" w:styleId="UnresolvedMention">
    <w:name w:val="Unresolved Mention"/>
    <w:basedOn w:val="DefaultParagraphFont"/>
    <w:uiPriority w:val="99"/>
    <w:semiHidden/>
    <w:unhideWhenUsed/>
    <w:rsid w:val="0082617E"/>
    <w:rPr>
      <w:color w:val="605E5C"/>
      <w:shd w:val="clear" w:color="auto" w:fill="E1DFDD"/>
    </w:rPr>
  </w:style>
  <w:style w:type="paragraph" w:styleId="ListParagraph">
    <w:name w:val="List Paragraph"/>
    <w:basedOn w:val="Normal"/>
    <w:uiPriority w:val="34"/>
    <w:qFormat/>
    <w:rsid w:val="00E46F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20020">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mass.gov/info-details/vaccine-storage-and-handling-guida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504dc79-df90-4006-86da-36df4770022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1515AD27FAEC47B738952B354E4571" ma:contentTypeVersion="6" ma:contentTypeDescription="Create a new document." ma:contentTypeScope="" ma:versionID="f6bcbfb80545ab4c5f12480e6a16b0b4">
  <xsd:schema xmlns:xsd="http://www.w3.org/2001/XMLSchema" xmlns:xs="http://www.w3.org/2001/XMLSchema" xmlns:p="http://schemas.microsoft.com/office/2006/metadata/properties" xmlns:ns3="fbb578ec-86a1-422c-84b9-ab288c347c50" xmlns:ns4="f504dc79-df90-4006-86da-36df47700221" targetNamespace="http://schemas.microsoft.com/office/2006/metadata/properties" ma:root="true" ma:fieldsID="7422e65db476e0514be9587d77478727" ns3:_="" ns4:_="">
    <xsd:import namespace="fbb578ec-86a1-422c-84b9-ab288c347c50"/>
    <xsd:import namespace="f504dc79-df90-4006-86da-36df4770022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b578ec-86a1-422c-84b9-ab288c347c5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04dc79-df90-4006-86da-36df4770022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FC13ED-9ACC-4689-9EBE-D1CEF212FA91}">
  <ds:schemaRefs>
    <ds:schemaRef ds:uri="http://purl.org/dc/elements/1.1/"/>
    <ds:schemaRef ds:uri="http://schemas.openxmlformats.org/package/2006/metadata/core-properties"/>
    <ds:schemaRef ds:uri="http://www.w3.org/XML/1998/namespace"/>
    <ds:schemaRef ds:uri="http://purl.org/dc/terms/"/>
    <ds:schemaRef ds:uri="http://schemas.microsoft.com/office/2006/documentManagement/types"/>
    <ds:schemaRef ds:uri="http://schemas.microsoft.com/office/2006/metadata/properties"/>
    <ds:schemaRef ds:uri="http://schemas.microsoft.com/office/infopath/2007/PartnerControls"/>
    <ds:schemaRef ds:uri="f504dc79-df90-4006-86da-36df47700221"/>
    <ds:schemaRef ds:uri="fbb578ec-86a1-422c-84b9-ab288c347c50"/>
    <ds:schemaRef ds:uri="http://purl.org/dc/dcmitype/"/>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8B054C45-C991-4E92-A3D0-9ED36A15F0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b578ec-86a1-422c-84b9-ab288c347c50"/>
    <ds:schemaRef ds:uri="f504dc79-df90-4006-86da-36df47700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DPH Letterhead</Template>
  <TotalTime>5</TotalTime>
  <Pages>2</Pages>
  <Words>482</Words>
  <Characters>3159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Fillo, Katherine T. (DPH)</dc:creator>
  <cp:keywords/>
  <cp:lastModifiedBy>Fillo, Katherine (DPH)</cp:lastModifiedBy>
  <cp:revision>3</cp:revision>
  <cp:lastPrinted>2015-01-29T14:50:00Z</cp:lastPrinted>
  <dcterms:created xsi:type="dcterms:W3CDTF">2023-05-03T20:50:00Z</dcterms:created>
  <dcterms:modified xsi:type="dcterms:W3CDTF">2023-05-03T20:53:00Z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0x0101007F1515AD27FAEC47B738952B354E4571</vt:lpwstr>
  </property>
</Properties>
</file>