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6952B85B" w:rsidR="00802852" w:rsidRPr="00D544FA" w:rsidRDefault="00F60F7B" w:rsidP="0072610D">
      <w:pPr>
        <w:rPr>
          <w:rFonts w:ascii="Arial" w:hAnsi="Arial" w:cs="Arial"/>
          <w:b/>
          <w:bCs/>
          <w:sz w:val="20"/>
        </w:rPr>
      </w:pPr>
      <w:r w:rsidRPr="00D544FA">
        <w:rPr>
          <w:rFonts w:ascii="Arial" w:hAnsi="Arial" w:cs="Arial"/>
          <w:b/>
          <w:bCs/>
          <w:noProof/>
          <w:sz w:val="20"/>
        </w:rPr>
        <mc:AlternateContent>
          <mc:Choice Requires="wps">
            <w:drawing>
              <wp:anchor distT="0" distB="0" distL="114300" distR="114300" simplePos="0" relativeHeight="251659264" behindDoc="0" locked="0" layoutInCell="1" allowOverlap="1" wp14:anchorId="257776FE" wp14:editId="4A6730FC">
                <wp:simplePos x="0" y="0"/>
                <wp:positionH relativeFrom="margin">
                  <wp:posOffset>2066925</wp:posOffset>
                </wp:positionH>
                <wp:positionV relativeFrom="paragraph">
                  <wp:posOffset>8890</wp:posOffset>
                </wp:positionV>
                <wp:extent cx="2238375" cy="647700"/>
                <wp:effectExtent l="0" t="0" r="9525" b="0"/>
                <wp:wrapNone/>
                <wp:docPr id="582849025" name="Text Box 1"/>
                <wp:cNvGraphicFramePr/>
                <a:graphic xmlns:a="http://schemas.openxmlformats.org/drawingml/2006/main">
                  <a:graphicData uri="http://schemas.microsoft.com/office/word/2010/wordprocessingShape">
                    <wps:wsp>
                      <wps:cNvSpPr txBox="1"/>
                      <wps:spPr>
                        <a:xfrm>
                          <a:off x="0" y="0"/>
                          <a:ext cx="2238375" cy="647700"/>
                        </a:xfrm>
                        <a:prstGeom prst="rect">
                          <a:avLst/>
                        </a:prstGeom>
                        <a:solidFill>
                          <a:schemeClr val="lt1"/>
                        </a:solidFill>
                        <a:ln w="6350">
                          <a:noFill/>
                        </a:ln>
                      </wps:spPr>
                      <wps:txbx>
                        <w:txbxContent>
                          <w:p w14:paraId="2187F15E" w14:textId="1BECFAAC" w:rsidR="00F60F7B" w:rsidRPr="00D544FA" w:rsidRDefault="00511DB0" w:rsidP="00D544FA">
                            <w:pPr>
                              <w:jc w:val="center"/>
                              <w:rPr>
                                <w:rFonts w:ascii="Arial" w:hAnsi="Arial" w:cs="Arial"/>
                                <w:sz w:val="18"/>
                                <w:szCs w:val="18"/>
                              </w:rPr>
                            </w:pPr>
                            <w:r w:rsidRPr="00D544FA">
                              <w:rPr>
                                <w:rFonts w:ascii="Arial" w:hAnsi="Arial" w:cs="Arial"/>
                                <w:sz w:val="18"/>
                                <w:szCs w:val="18"/>
                              </w:rPr>
                              <w:t>MA State Public Health Laboratory</w:t>
                            </w:r>
                          </w:p>
                          <w:p w14:paraId="15E38C9F" w14:textId="17A89536" w:rsidR="00511DB0" w:rsidRPr="00D544FA" w:rsidRDefault="00511DB0" w:rsidP="00D544FA">
                            <w:pPr>
                              <w:jc w:val="center"/>
                              <w:rPr>
                                <w:rFonts w:ascii="Arial" w:hAnsi="Arial" w:cs="Arial"/>
                                <w:sz w:val="18"/>
                                <w:szCs w:val="18"/>
                              </w:rPr>
                            </w:pPr>
                            <w:r w:rsidRPr="00D544FA">
                              <w:rPr>
                                <w:rFonts w:ascii="Arial" w:hAnsi="Arial" w:cs="Arial"/>
                                <w:sz w:val="18"/>
                                <w:szCs w:val="18"/>
                              </w:rPr>
                              <w:t>Tel: (617) 983-6201</w:t>
                            </w:r>
                          </w:p>
                          <w:p w14:paraId="3C05B77E" w14:textId="61A863DC" w:rsidR="00511DB0" w:rsidRPr="00D544FA" w:rsidRDefault="00D544FA" w:rsidP="00D544FA">
                            <w:pPr>
                              <w:jc w:val="center"/>
                              <w:rPr>
                                <w:rFonts w:ascii="Arial" w:hAnsi="Arial" w:cs="Arial"/>
                                <w:sz w:val="18"/>
                                <w:szCs w:val="18"/>
                              </w:rPr>
                            </w:pPr>
                            <w:hyperlink r:id="rId11" w:history="1">
                              <w:r w:rsidRPr="00433BC3">
                                <w:rPr>
                                  <w:rStyle w:val="Hyperlink"/>
                                  <w:rFonts w:ascii="Arial" w:hAnsi="Arial" w:cs="Arial"/>
                                  <w:sz w:val="18"/>
                                  <w:szCs w:val="18"/>
                                </w:rPr>
                                <w:t>www.mass.gov/state-public-health-laboratory-sciences</w:t>
                              </w:r>
                            </w:hyperlink>
                            <w:r>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776FE" id="_x0000_t202" coordsize="21600,21600" o:spt="202" path="m,l,21600r21600,l21600,xe">
                <v:stroke joinstyle="miter"/>
                <v:path gradientshapeok="t" o:connecttype="rect"/>
              </v:shapetype>
              <v:shape id="Text Box 1" o:spid="_x0000_s1026" type="#_x0000_t202" style="position:absolute;margin-left:162.75pt;margin-top:.7pt;width:176.2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3CLQIAAFQEAAAOAAAAZHJzL2Uyb0RvYy54bWysVEtv2zAMvg/YfxB0X+y8ms6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" fillcolor="white [3201]" stroked="f" strokeweight=".5pt">
                <v:textbox>
                  <w:txbxContent>
                    <w:p w14:paraId="2187F15E" w14:textId="1BECFAAC" w:rsidR="00F60F7B" w:rsidRPr="00D544FA" w:rsidRDefault="00511DB0" w:rsidP="00D544FA">
                      <w:pPr>
                        <w:jc w:val="center"/>
                        <w:rPr>
                          <w:rFonts w:ascii="Arial" w:hAnsi="Arial" w:cs="Arial"/>
                          <w:sz w:val="18"/>
                          <w:szCs w:val="18"/>
                        </w:rPr>
                      </w:pPr>
                      <w:r w:rsidRPr="00D544FA">
                        <w:rPr>
                          <w:rFonts w:ascii="Arial" w:hAnsi="Arial" w:cs="Arial"/>
                          <w:sz w:val="18"/>
                          <w:szCs w:val="18"/>
                        </w:rPr>
                        <w:t>MA State Public Health Laboratory</w:t>
                      </w:r>
                    </w:p>
                    <w:p w14:paraId="15E38C9F" w14:textId="17A89536" w:rsidR="00511DB0" w:rsidRPr="00D544FA" w:rsidRDefault="00511DB0" w:rsidP="00D544FA">
                      <w:pPr>
                        <w:jc w:val="center"/>
                        <w:rPr>
                          <w:rFonts w:ascii="Arial" w:hAnsi="Arial" w:cs="Arial"/>
                          <w:sz w:val="18"/>
                          <w:szCs w:val="18"/>
                        </w:rPr>
                      </w:pPr>
                      <w:r w:rsidRPr="00D544FA">
                        <w:rPr>
                          <w:rFonts w:ascii="Arial" w:hAnsi="Arial" w:cs="Arial"/>
                          <w:sz w:val="18"/>
                          <w:szCs w:val="18"/>
                        </w:rPr>
                        <w:t>Tel: (617) 983-6201</w:t>
                      </w:r>
                    </w:p>
                    <w:p w14:paraId="3C05B77E" w14:textId="61A863DC" w:rsidR="00511DB0" w:rsidRPr="00D544FA" w:rsidRDefault="00D544FA" w:rsidP="00D544FA">
                      <w:pPr>
                        <w:jc w:val="center"/>
                        <w:rPr>
                          <w:rFonts w:ascii="Arial" w:hAnsi="Arial" w:cs="Arial"/>
                          <w:sz w:val="18"/>
                          <w:szCs w:val="18"/>
                        </w:rPr>
                      </w:pPr>
                      <w:hyperlink r:id="rId12" w:history="1">
                        <w:r w:rsidRPr="00433BC3">
                          <w:rPr>
                            <w:rStyle w:val="Hyperlink"/>
                            <w:rFonts w:ascii="Arial" w:hAnsi="Arial" w:cs="Arial"/>
                            <w:sz w:val="18"/>
                            <w:szCs w:val="18"/>
                          </w:rPr>
                          <w:t>www.mass.gov/state-public-health-laboratory-sciences</w:t>
                        </w:r>
                      </w:hyperlink>
                      <w:r>
                        <w:rPr>
                          <w:rFonts w:ascii="Arial" w:hAnsi="Arial" w:cs="Arial"/>
                          <w:sz w:val="18"/>
                          <w:szCs w:val="18"/>
                        </w:rPr>
                        <w:t xml:space="preserve"> </w:t>
                      </w:r>
                    </w:p>
                  </w:txbxContent>
                </v:textbox>
                <w10:wrap anchorx="margin"/>
              </v:shape>
            </w:pict>
          </mc:Fallback>
        </mc:AlternateContent>
      </w:r>
      <w:r w:rsidR="00E814A1" w:rsidRPr="00D544FA">
        <w:rPr>
          <w:rFonts w:ascii="Arial" w:hAnsi="Arial" w:cs="Arial"/>
          <w:b/>
          <w:bCs/>
          <w:sz w:val="20"/>
        </w:rPr>
        <w:t>Maura T. Healey</w:t>
      </w:r>
    </w:p>
    <w:p w14:paraId="25BE71A6" w14:textId="51C5E49E"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703E4E09"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77777777" w:rsidR="007D1D51" w:rsidRPr="00D544FA" w:rsidRDefault="00802852" w:rsidP="00D17C27">
      <w:pPr>
        <w:jc w:val="right"/>
        <w:rPr>
          <w:rFonts w:ascii="Arial" w:hAnsi="Arial" w:cs="Arial"/>
          <w:sz w:val="20"/>
        </w:rPr>
      </w:pPr>
      <w:r w:rsidRPr="00D544FA">
        <w:rPr>
          <w:rFonts w:ascii="Arial" w:hAnsi="Arial" w:cs="Arial"/>
          <w:b/>
          <w:bCs/>
          <w:sz w:val="20"/>
        </w:rPr>
        <w:t>Kiame Mahaniah, MD</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2EFB7A43" w14:textId="77777777" w:rsidR="001F15FC" w:rsidRDefault="001F15FC" w:rsidP="001F15FC">
      <w:pPr>
        <w:rPr>
          <w:rFonts w:eastAsia="Calibri"/>
        </w:rPr>
      </w:pPr>
    </w:p>
    <w:p w14:paraId="35F538A9" w14:textId="77777777" w:rsidR="00A64BBC" w:rsidRDefault="00A64BBC" w:rsidP="001F15FC">
      <w:pPr>
        <w:rPr>
          <w:rFonts w:eastAsia="Calibri"/>
        </w:rPr>
      </w:pPr>
    </w:p>
    <w:p w14:paraId="4FE83E79" w14:textId="06709742" w:rsidR="00A64BBC" w:rsidRPr="009D2158" w:rsidRDefault="009D2158" w:rsidP="00A64BBC">
      <w:pPr>
        <w:jc w:val="center"/>
        <w:rPr>
          <w:rFonts w:asciiTheme="minorHAnsi" w:eastAsia="Calibri" w:hAnsiTheme="minorHAnsi" w:cstheme="minorHAnsi"/>
          <w:b/>
          <w:bCs/>
          <w:sz w:val="28"/>
          <w:szCs w:val="28"/>
        </w:rPr>
      </w:pPr>
      <w:r w:rsidRPr="009D2158">
        <w:rPr>
          <w:rFonts w:asciiTheme="minorHAnsi" w:eastAsia="Calibri" w:hAnsiTheme="minorHAnsi" w:cstheme="minorHAnsi"/>
          <w:b/>
          <w:bCs/>
          <w:sz w:val="28"/>
          <w:szCs w:val="28"/>
        </w:rPr>
        <w:t>Clinical Advisory: Alpha-Gal Syndrome and Required Reporting</w:t>
      </w:r>
    </w:p>
    <w:p w14:paraId="236AE024" w14:textId="223541EB" w:rsidR="009D2158" w:rsidRPr="009D2158" w:rsidRDefault="009D2158" w:rsidP="00A64BBC">
      <w:pPr>
        <w:jc w:val="center"/>
        <w:rPr>
          <w:rFonts w:asciiTheme="minorHAnsi" w:eastAsia="Calibri" w:hAnsiTheme="minorHAnsi" w:cstheme="minorHAnsi"/>
          <w:b/>
          <w:bCs/>
          <w:sz w:val="28"/>
          <w:szCs w:val="28"/>
        </w:rPr>
      </w:pPr>
      <w:r w:rsidRPr="009D2158">
        <w:rPr>
          <w:rFonts w:asciiTheme="minorHAnsi" w:eastAsia="Calibri" w:hAnsiTheme="minorHAnsi" w:cstheme="minorHAnsi"/>
          <w:b/>
          <w:bCs/>
          <w:sz w:val="28"/>
          <w:szCs w:val="28"/>
        </w:rPr>
        <w:t>March 19, 2026</w:t>
      </w:r>
    </w:p>
    <w:p w14:paraId="48D2CB51" w14:textId="58036BD2" w:rsidR="009D2158" w:rsidRDefault="00911032" w:rsidP="00A64BBC">
      <w:pPr>
        <w:jc w:val="center"/>
        <w:rPr>
          <w:rFonts w:eastAsia="Calibri"/>
        </w:rPr>
      </w:pPr>
      <w:r>
        <w:rPr>
          <w:rFonts w:ascii="Calibri" w:hAnsi="Calibri" w:cs="Calibri"/>
          <w:b/>
          <w:bCs/>
          <w:noProof/>
        </w:rPr>
        <mc:AlternateContent>
          <mc:Choice Requires="wps">
            <w:drawing>
              <wp:anchor distT="0" distB="0" distL="114300" distR="114300" simplePos="0" relativeHeight="251654656" behindDoc="0" locked="0" layoutInCell="1" allowOverlap="1" wp14:anchorId="1952F5B8" wp14:editId="3A632788">
                <wp:simplePos x="0" y="0"/>
                <wp:positionH relativeFrom="column">
                  <wp:posOffset>-95250</wp:posOffset>
                </wp:positionH>
                <wp:positionV relativeFrom="paragraph">
                  <wp:posOffset>186690</wp:posOffset>
                </wp:positionV>
                <wp:extent cx="6619875" cy="3067050"/>
                <wp:effectExtent l="0" t="0" r="28575" b="19050"/>
                <wp:wrapNone/>
                <wp:docPr id="601217254" name="Rectangle 2"/>
                <wp:cNvGraphicFramePr/>
                <a:graphic xmlns:a="http://schemas.openxmlformats.org/drawingml/2006/main">
                  <a:graphicData uri="http://schemas.microsoft.com/office/word/2010/wordprocessingShape">
                    <wps:wsp>
                      <wps:cNvSpPr/>
                      <wps:spPr>
                        <a:xfrm>
                          <a:off x="0" y="0"/>
                          <a:ext cx="6619875" cy="30670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8CE83" id="Rectangle 2" o:spid="_x0000_s1026" style="position:absolute;margin-left:-7.5pt;margin-top:14.7pt;width:521.25pt;height:2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" filled="f" strokecolor="black [3213]" strokeweight="1pt"/>
            </w:pict>
          </mc:Fallback>
        </mc:AlternateContent>
      </w:r>
    </w:p>
    <w:p w14:paraId="4392F0DF" w14:textId="77777777" w:rsidR="00911032" w:rsidRPr="00911032" w:rsidRDefault="00911032" w:rsidP="00911032">
      <w:pPr>
        <w:rPr>
          <w:rFonts w:ascii="Calibri" w:hAnsi="Calibri" w:cs="Calibri"/>
          <w:b/>
          <w:bCs/>
          <w:sz w:val="16"/>
          <w:szCs w:val="16"/>
        </w:rPr>
      </w:pPr>
    </w:p>
    <w:p w14:paraId="379DD231" w14:textId="7C14C33D" w:rsidR="00911032" w:rsidRDefault="00911032" w:rsidP="00911032">
      <w:pPr>
        <w:rPr>
          <w:rFonts w:ascii="Calibri" w:hAnsi="Calibri" w:cs="Calibri"/>
          <w:b/>
          <w:bCs/>
        </w:rPr>
      </w:pPr>
      <w:r>
        <w:rPr>
          <w:rFonts w:ascii="Calibri" w:hAnsi="Calibri" w:cs="Calibri"/>
          <w:b/>
          <w:bCs/>
        </w:rPr>
        <w:t>HIGHLIGHTS</w:t>
      </w:r>
      <w:r w:rsidRPr="005E1E7C">
        <w:rPr>
          <w:rFonts w:ascii="Calibri" w:hAnsi="Calibri" w:cs="Calibri"/>
          <w:b/>
          <w:bCs/>
        </w:rPr>
        <w:t>:</w:t>
      </w:r>
    </w:p>
    <w:p w14:paraId="1B367E17" w14:textId="77777777" w:rsidR="00911032" w:rsidRPr="00911032" w:rsidRDefault="00911032" w:rsidP="00911032">
      <w:pPr>
        <w:rPr>
          <w:rFonts w:ascii="Calibri" w:hAnsi="Calibri" w:cs="Calibri"/>
          <w:b/>
          <w:bCs/>
          <w:sz w:val="16"/>
          <w:szCs w:val="16"/>
        </w:rPr>
      </w:pPr>
    </w:p>
    <w:p w14:paraId="3C957BB7" w14:textId="77777777" w:rsidR="00911032" w:rsidRDefault="00911032" w:rsidP="00911032">
      <w:pPr>
        <w:rPr>
          <w:rFonts w:ascii="Calibri" w:hAnsi="Calibri" w:cs="Calibri"/>
        </w:rPr>
      </w:pPr>
      <w:r>
        <w:rPr>
          <w:rFonts w:ascii="Calibri" w:hAnsi="Calibri" w:cs="Calibri"/>
        </w:rPr>
        <w:t xml:space="preserve">This clinical advisory aims to </w:t>
      </w:r>
      <w:r w:rsidRPr="003C0AD2">
        <w:rPr>
          <w:rFonts w:ascii="Calibri" w:hAnsi="Calibri" w:cs="Calibri"/>
        </w:rPr>
        <w:t xml:space="preserve">increase </w:t>
      </w:r>
      <w:r>
        <w:rPr>
          <w:rFonts w:ascii="Calibri" w:hAnsi="Calibri" w:cs="Calibri"/>
        </w:rPr>
        <w:t xml:space="preserve">healthcare </w:t>
      </w:r>
      <w:r w:rsidRPr="003C0AD2">
        <w:rPr>
          <w:rFonts w:ascii="Calibri" w:hAnsi="Calibri" w:cs="Calibri"/>
        </w:rPr>
        <w:t xml:space="preserve">provider awareness </w:t>
      </w:r>
      <w:r>
        <w:rPr>
          <w:rFonts w:ascii="Calibri" w:hAnsi="Calibri" w:cs="Calibri"/>
        </w:rPr>
        <w:t>on several fronts.</w:t>
      </w:r>
      <w:r w:rsidRPr="003C0AD2">
        <w:rPr>
          <w:rFonts w:ascii="Calibri" w:hAnsi="Calibri" w:cs="Calibri"/>
        </w:rPr>
        <w:t xml:space="preserve"> </w:t>
      </w:r>
    </w:p>
    <w:p w14:paraId="4DB7F41F" w14:textId="373D03F5" w:rsidR="00911032" w:rsidRDefault="00911032" w:rsidP="00911032">
      <w:pPr>
        <w:pStyle w:val="ListParagraph"/>
        <w:numPr>
          <w:ilvl w:val="0"/>
          <w:numId w:val="4"/>
        </w:numPr>
        <w:rPr>
          <w:rFonts w:ascii="Calibri" w:hAnsi="Calibri" w:cs="Calibri"/>
        </w:rPr>
      </w:pPr>
      <w:r>
        <w:rPr>
          <w:rFonts w:ascii="Calibri" w:hAnsi="Calibri" w:cs="Calibri"/>
        </w:rPr>
        <w:t xml:space="preserve">Clinical diagnosis of AGS and abnormal </w:t>
      </w:r>
      <w:r w:rsidRPr="003F56C1">
        <w:rPr>
          <w:rFonts w:ascii="Calibri" w:hAnsi="Calibri" w:cs="Calibri"/>
        </w:rPr>
        <w:t>levels of alpha-gal s</w:t>
      </w:r>
      <w:r>
        <w:rPr>
          <w:rFonts w:ascii="Calibri" w:hAnsi="Calibri" w:cs="Calibri"/>
        </w:rPr>
        <w:t xml:space="preserve">pecific </w:t>
      </w:r>
      <w:r w:rsidRPr="003F56C1">
        <w:rPr>
          <w:rFonts w:ascii="Calibri" w:hAnsi="Calibri" w:cs="Calibri"/>
        </w:rPr>
        <w:t xml:space="preserve">IgE </w:t>
      </w:r>
      <w:r>
        <w:rPr>
          <w:rFonts w:ascii="Calibri" w:hAnsi="Calibri" w:cs="Calibri"/>
        </w:rPr>
        <w:t>(</w:t>
      </w:r>
      <w:r w:rsidRPr="003F56C1">
        <w:rPr>
          <w:rFonts w:ascii="Calibri" w:hAnsi="Calibri" w:cs="Calibri"/>
        </w:rPr>
        <w:t>≥ 0.1 kU/L</w:t>
      </w:r>
      <w:r>
        <w:rPr>
          <w:rFonts w:ascii="Calibri" w:hAnsi="Calibri" w:cs="Calibri"/>
        </w:rPr>
        <w:t>)</w:t>
      </w:r>
      <w:r w:rsidRPr="003F56C1">
        <w:rPr>
          <w:rFonts w:ascii="Calibri" w:hAnsi="Calibri" w:cs="Calibri"/>
        </w:rPr>
        <w:t xml:space="preserve"> </w:t>
      </w:r>
      <w:r>
        <w:rPr>
          <w:rFonts w:ascii="Calibri" w:hAnsi="Calibri" w:cs="Calibri"/>
        </w:rPr>
        <w:t xml:space="preserve">are reportable to the Massachusetts Department of Public Health (MDPH) as of </w:t>
      </w:r>
      <w:r w:rsidR="006846CB">
        <w:rPr>
          <w:rFonts w:ascii="Calibri" w:hAnsi="Calibri" w:cs="Calibri"/>
        </w:rPr>
        <w:t>April</w:t>
      </w:r>
      <w:r>
        <w:rPr>
          <w:rFonts w:ascii="Calibri" w:hAnsi="Calibri" w:cs="Calibri"/>
        </w:rPr>
        <w:t xml:space="preserve"> 1, 2026.</w:t>
      </w:r>
    </w:p>
    <w:p w14:paraId="251D1E88" w14:textId="77777777" w:rsidR="00911032" w:rsidRDefault="00911032" w:rsidP="00911032">
      <w:pPr>
        <w:pStyle w:val="ListParagraph"/>
        <w:numPr>
          <w:ilvl w:val="0"/>
          <w:numId w:val="4"/>
        </w:numPr>
        <w:rPr>
          <w:rFonts w:ascii="Calibri" w:hAnsi="Calibri" w:cs="Calibri"/>
        </w:rPr>
      </w:pPr>
      <w:r>
        <w:rPr>
          <w:rFonts w:ascii="Calibri" w:hAnsi="Calibri" w:cs="Calibri"/>
        </w:rPr>
        <w:t xml:space="preserve">Massachusetts residents, especially those who live, work or recreate in </w:t>
      </w:r>
      <w:r w:rsidRPr="001038B8">
        <w:rPr>
          <w:rFonts w:ascii="Calibri" w:hAnsi="Calibri" w:cs="Calibri"/>
        </w:rPr>
        <w:t>Barnstable, Berkshire, Dukes and Nantucket counties</w:t>
      </w:r>
      <w:r>
        <w:rPr>
          <w:rFonts w:ascii="Calibri" w:hAnsi="Calibri" w:cs="Calibri"/>
        </w:rPr>
        <w:t>, are at risk for developing AGS because they may be bitten by lone star ticks.</w:t>
      </w:r>
    </w:p>
    <w:p w14:paraId="69291601" w14:textId="77777777" w:rsidR="00911032" w:rsidRDefault="00911032" w:rsidP="00911032">
      <w:pPr>
        <w:pStyle w:val="ListParagraph"/>
        <w:numPr>
          <w:ilvl w:val="0"/>
          <w:numId w:val="4"/>
        </w:numPr>
        <w:rPr>
          <w:rFonts w:ascii="Calibri" w:hAnsi="Calibri" w:cs="Calibri"/>
        </w:rPr>
      </w:pPr>
      <w:r>
        <w:rPr>
          <w:rFonts w:ascii="Calibri" w:hAnsi="Calibri" w:cs="Calibri"/>
        </w:rPr>
        <w:t>The diagnosis of AGS in patients should be based on a combination of laboratory test results and the presence of clinically compatible symptoms which manifest primarily after eating meat, dairy or other products containing alpha-gal.</w:t>
      </w:r>
    </w:p>
    <w:p w14:paraId="683E12F5" w14:textId="77777777" w:rsidR="00911032" w:rsidRDefault="00911032" w:rsidP="00911032">
      <w:pPr>
        <w:pStyle w:val="ListParagraph"/>
        <w:numPr>
          <w:ilvl w:val="0"/>
          <w:numId w:val="4"/>
        </w:numPr>
        <w:rPr>
          <w:rFonts w:ascii="Calibri" w:hAnsi="Calibri" w:cs="Calibri"/>
        </w:rPr>
      </w:pPr>
      <w:r>
        <w:rPr>
          <w:rFonts w:ascii="Calibri" w:hAnsi="Calibri" w:cs="Calibri"/>
        </w:rPr>
        <w:t>Management of AGS in patients relies on avoiding exposure to alpha-gal in food, medication and medical products made using materials from mammals.</w:t>
      </w:r>
    </w:p>
    <w:p w14:paraId="306A1EBE" w14:textId="77777777" w:rsidR="00911032" w:rsidRDefault="00911032" w:rsidP="00911032">
      <w:pPr>
        <w:pStyle w:val="ListParagraph"/>
        <w:numPr>
          <w:ilvl w:val="0"/>
          <w:numId w:val="4"/>
        </w:numPr>
      </w:pPr>
      <w:r>
        <w:rPr>
          <w:rFonts w:ascii="Calibri" w:hAnsi="Calibri" w:cs="Calibri"/>
        </w:rPr>
        <w:t>Prevention of AGS should focus on avoiding bites by lone star ticks.</w:t>
      </w:r>
    </w:p>
    <w:p w14:paraId="6AFC8FAA" w14:textId="77777777" w:rsidR="009D2158" w:rsidRDefault="009D2158" w:rsidP="005C7440">
      <w:pPr>
        <w:rPr>
          <w:rFonts w:asciiTheme="minorHAnsi" w:eastAsia="Calibri" w:hAnsiTheme="minorHAnsi" w:cstheme="minorHAnsi"/>
        </w:rPr>
      </w:pPr>
    </w:p>
    <w:p w14:paraId="2DA9F0D5" w14:textId="7AD997B7" w:rsidR="00B343FD" w:rsidRDefault="00B343FD" w:rsidP="00B343FD">
      <w:pPr>
        <w:spacing w:after="120" w:line="278" w:lineRule="auto"/>
        <w:rPr>
          <w:rFonts w:ascii="Calibri" w:hAnsi="Calibri" w:cs="Calibri"/>
          <w:b/>
          <w:bCs/>
        </w:rPr>
      </w:pPr>
      <w:r>
        <w:rPr>
          <w:rFonts w:ascii="Calibri" w:hAnsi="Calibri" w:cs="Calibri"/>
          <w:b/>
          <w:bCs/>
        </w:rPr>
        <w:t>Introduction</w:t>
      </w:r>
      <w:r w:rsidRPr="00EB2317">
        <w:rPr>
          <w:rFonts w:ascii="Calibri" w:hAnsi="Calibri" w:cs="Calibri"/>
          <w:b/>
          <w:bCs/>
        </w:rPr>
        <w:t>:</w:t>
      </w:r>
    </w:p>
    <w:p w14:paraId="35C48784" w14:textId="77777777" w:rsidR="005808E8" w:rsidRDefault="005808E8" w:rsidP="007C701B">
      <w:pPr>
        <w:spacing w:after="120" w:line="278" w:lineRule="auto"/>
        <w:rPr>
          <w:rFonts w:ascii="Calibri" w:hAnsi="Calibri" w:cs="Calibri"/>
        </w:rPr>
      </w:pPr>
      <w:r>
        <w:rPr>
          <w:rFonts w:ascii="Calibri" w:hAnsi="Calibri" w:cs="Calibri"/>
        </w:rPr>
        <w:t xml:space="preserve">Alpha-gal Syndrome (AGS) is an emerging tick-bite associated public health concern in Massachusetts. Unlike familiar infectious diseases spread by ticks such as Lyme disease, anaplasmosis, babesiosis and Powassan virus, AGS is an allergic condition characterized by a delayed onset immunoglobulin E (IgE) mediated hypersensitivity reaction to galactose-alpha-1,3-galactose, a sugar molecule found in most non-primate mammalian red meat and products derived from these mammals. AGS is also known as mammalian meat allergy, alpha-gal allergy, red meat allergy and tick bite meat allergy. AGS can be a serious, even life-threatening allergic condition with variable symptoms. Symptoms generally appear 2-10 hours after exposure to foods or other products containing alpha-gal. </w:t>
      </w:r>
    </w:p>
    <w:p w14:paraId="4F8F94E4" w14:textId="77777777" w:rsidR="005808E8" w:rsidRDefault="005808E8" w:rsidP="007C701B">
      <w:pPr>
        <w:spacing w:after="120" w:line="278" w:lineRule="auto"/>
        <w:rPr>
          <w:rFonts w:ascii="Calibri" w:hAnsi="Calibri" w:cs="Calibri"/>
        </w:rPr>
      </w:pPr>
      <w:r w:rsidRPr="6906F6CB">
        <w:rPr>
          <w:rFonts w:ascii="Calibri" w:hAnsi="Calibri" w:cs="Calibri"/>
        </w:rPr>
        <w:t xml:space="preserve">Evidence indicates that AGS in the United States is most commonly associated with the bite of the lone star tick, </w:t>
      </w:r>
      <w:r w:rsidRPr="6906F6CB">
        <w:rPr>
          <w:rFonts w:ascii="Calibri" w:hAnsi="Calibri" w:cs="Calibri"/>
          <w:i/>
          <w:iCs/>
        </w:rPr>
        <w:t>Amblyomma americanum</w:t>
      </w:r>
      <w:r w:rsidRPr="6906F6CB">
        <w:rPr>
          <w:rFonts w:ascii="Calibri" w:hAnsi="Calibri" w:cs="Calibri"/>
        </w:rPr>
        <w:t xml:space="preserve">. AGS is an emerging condition in Massachusetts due to the </w:t>
      </w:r>
      <w:r w:rsidRPr="6906F6CB">
        <w:rPr>
          <w:rFonts w:ascii="Calibri" w:hAnsi="Calibri" w:cs="Calibri"/>
        </w:rPr>
        <w:lastRenderedPageBreak/>
        <w:t>northward expansion of lone star tick populations. The lone star tick can transmit the alpha-gal sugar molecule to people through its saliva while the tick is attached. In some people, exposure to this sugar molecule triggers the production of IgE antibodies. Following subsequent exposures to alpha-gal, usually through consumption of red meat or dairy products, the individual has a delayed, IgE-mediated hypersensitivity reaction. The exact mechanism and risk factors associated with the development of AGS are still being elucidated. Sensitization (development of IgE antibodies) following a tick bite or bites is considered a key trigger, but not everyone who is bitten and develops antibodies develops clinically compatible symptoms. Intrinsic host factors or repeated tick bites (as opposed to a single tick bite) may be related to the risk of developing AGS.</w:t>
      </w:r>
    </w:p>
    <w:p w14:paraId="58EC2423" w14:textId="77777777" w:rsidR="005808E8" w:rsidRDefault="005808E8" w:rsidP="007C701B">
      <w:pPr>
        <w:spacing w:after="120" w:line="278" w:lineRule="auto"/>
        <w:rPr>
          <w:rFonts w:ascii="Calibri" w:hAnsi="Calibri" w:cs="Calibri"/>
        </w:rPr>
      </w:pPr>
      <w:r w:rsidRPr="6906F6CB">
        <w:rPr>
          <w:rFonts w:ascii="Calibri" w:hAnsi="Calibri" w:cs="Calibri"/>
        </w:rPr>
        <w:t>Although exposure through a lone star tick bite is thought to be the most likely trigger, links to other species of ticks have not been ruled out. Current data show that there is a temporal and geographic alignment of suspect AGS cases with the known activity and geographic distribution of the lone star tick. A CDC publication in July 2023 using laboratory testing data from 2017-2022, demonstrated increasing numbers of positive tests annually during that time period, nationally. The highest prevalences of suspected cases are found throughout a nearly contiguous region of the southern, midwestern, and mid-Atlantic United States, but pockets of high or moderate positivity are found in northern states including Barnstable, Berkshire, Dukes and Nantucket counties in Massachusetts.</w:t>
      </w:r>
    </w:p>
    <w:p w14:paraId="763342E1" w14:textId="77777777" w:rsidR="005808E8" w:rsidRDefault="005808E8" w:rsidP="007C701B">
      <w:pPr>
        <w:pStyle w:val="NormalWeb"/>
        <w:spacing w:before="0" w:beforeAutospacing="0" w:after="120" w:afterAutospacing="0" w:line="278" w:lineRule="auto"/>
      </w:pPr>
      <w:r>
        <w:rPr>
          <w:noProof/>
        </w:rPr>
        <w:drawing>
          <wp:anchor distT="0" distB="0" distL="114300" distR="114300" simplePos="0" relativeHeight="251661824" behindDoc="1" locked="0" layoutInCell="1" allowOverlap="1" wp14:anchorId="78DD5191" wp14:editId="5D8F2913">
            <wp:simplePos x="0" y="0"/>
            <wp:positionH relativeFrom="margin">
              <wp:align>left</wp:align>
            </wp:positionH>
            <wp:positionV relativeFrom="paragraph">
              <wp:posOffset>86995</wp:posOffset>
            </wp:positionV>
            <wp:extent cx="4107815" cy="3114675"/>
            <wp:effectExtent l="0" t="0" r="6985" b="9525"/>
            <wp:wrapTight wrapText="bothSides">
              <wp:wrapPolygon edited="0">
                <wp:start x="0" y="0"/>
                <wp:lineTo x="0" y="21534"/>
                <wp:lineTo x="21537" y="21534"/>
                <wp:lineTo x="21537" y="0"/>
                <wp:lineTo x="0" y="0"/>
              </wp:wrapPolygon>
            </wp:wrapTight>
            <wp:docPr id="2" name="Picture 1" descr="This figure is a map illustrating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is figure is a map illustrating th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7815"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9AEB8" w14:textId="5D3CABEE" w:rsidR="005808E8" w:rsidRDefault="005808E8" w:rsidP="007C701B">
      <w:pPr>
        <w:spacing w:after="120" w:line="278" w:lineRule="auto"/>
        <w:rPr>
          <w:rFonts w:ascii="Calibri" w:hAnsi="Calibri" w:cs="Calibri"/>
        </w:rPr>
      </w:pPr>
    </w:p>
    <w:p w14:paraId="4DD0A1C8" w14:textId="0E11776A" w:rsidR="005808E8" w:rsidRDefault="005808E8" w:rsidP="007C701B">
      <w:pPr>
        <w:spacing w:after="120" w:line="278" w:lineRule="auto"/>
        <w:rPr>
          <w:rFonts w:ascii="Calibri" w:hAnsi="Calibri" w:cs="Calibri"/>
        </w:rPr>
      </w:pPr>
    </w:p>
    <w:p w14:paraId="57DB66CC" w14:textId="67F6EDC2" w:rsidR="005808E8" w:rsidRDefault="00B343FD" w:rsidP="007C701B">
      <w:pPr>
        <w:spacing w:after="120" w:line="278" w:lineRule="auto"/>
        <w:rPr>
          <w:rFonts w:ascii="Calibri" w:hAnsi="Calibri" w:cs="Calibri"/>
        </w:rPr>
      </w:pPr>
      <w:r>
        <w:rPr>
          <w:noProof/>
        </w:rPr>
        <mc:AlternateContent>
          <mc:Choice Requires="wps">
            <w:drawing>
              <wp:anchor distT="45720" distB="45720" distL="114300" distR="114300" simplePos="0" relativeHeight="251659776" behindDoc="0" locked="0" layoutInCell="1" allowOverlap="1" wp14:anchorId="5827B26A" wp14:editId="5CC707B1">
                <wp:simplePos x="0" y="0"/>
                <wp:positionH relativeFrom="column">
                  <wp:posOffset>4238625</wp:posOffset>
                </wp:positionH>
                <wp:positionV relativeFrom="paragraph">
                  <wp:posOffset>366395</wp:posOffset>
                </wp:positionV>
                <wp:extent cx="2171700" cy="1404620"/>
                <wp:effectExtent l="0" t="0" r="19050" b="26035"/>
                <wp:wrapSquare wrapText="bothSides"/>
                <wp:docPr id="217" name="Text Box 2" descr="Map showing the geographic distribution of suspected AGS cases per 1 million population per year in the northeastern quadrant of the United States, 2017-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14:paraId="4FD61E87" w14:textId="77777777" w:rsidR="005808E8" w:rsidRDefault="005808E8" w:rsidP="005808E8">
                            <w:pPr>
                              <w:rPr>
                                <w:rFonts w:ascii="Calibri" w:hAnsi="Calibri" w:cs="Calibri"/>
                              </w:rPr>
                            </w:pPr>
                            <w:r>
                              <w:rPr>
                                <w:rFonts w:ascii="Calibri" w:hAnsi="Calibri" w:cs="Calibri"/>
                              </w:rPr>
                              <w:t>Figure 1: Geographic distribution of suspected AGS cases per 1 million population per year, 2017-2022.</w:t>
                            </w:r>
                          </w:p>
                          <w:p w14:paraId="645E07C5" w14:textId="77777777" w:rsidR="005808E8" w:rsidRPr="009A5F32" w:rsidRDefault="005808E8" w:rsidP="005808E8">
                            <w:pPr>
                              <w:rPr>
                                <w:rFonts w:ascii="Calibri" w:hAnsi="Calibri" w:cs="Calibri"/>
                              </w:rPr>
                            </w:pPr>
                            <w:r w:rsidRPr="009A5F32">
                              <w:rPr>
                                <w:rFonts w:ascii="Calibri" w:hAnsi="Calibri" w:cs="Calibri"/>
                              </w:rPr>
                              <w:t xml:space="preserve">Adapted from Reference XX: </w:t>
                            </w:r>
                            <w:hyperlink r:id="rId14" w:history="1">
                              <w:r w:rsidRPr="009A5F32">
                                <w:rPr>
                                  <w:rStyle w:val="Hyperlink"/>
                                  <w:rFonts w:ascii="Calibri" w:hAnsi="Calibri" w:cs="Calibri"/>
                                </w:rPr>
                                <w:t>http://dx.doi.org/10.15585/mmwr.mm7230a2</w:t>
                              </w:r>
                            </w:hyperlink>
                            <w:r w:rsidRPr="009A5F32">
                              <w:rPr>
                                <w:rFonts w:ascii="Calibri" w:hAnsi="Calibri" w:cs="Calibr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27B26A" id="Text Box 2" o:spid="_x0000_s1027" type="#_x0000_t202" alt="Map showing the geographic distribution of suspected AGS cases per 1 million population per year in the northeastern quadrant of the United States, 2017-2022." style="position:absolute;margin-left:333.75pt;margin-top:28.85pt;width:171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">
                <v:textbox style="mso-fit-shape-to-text:t">
                  <w:txbxContent>
                    <w:p w14:paraId="4FD61E87" w14:textId="77777777" w:rsidR="005808E8" w:rsidRDefault="005808E8" w:rsidP="005808E8">
                      <w:pPr>
                        <w:rPr>
                          <w:rFonts w:ascii="Calibri" w:hAnsi="Calibri" w:cs="Calibri"/>
                        </w:rPr>
                      </w:pPr>
                      <w:r>
                        <w:rPr>
                          <w:rFonts w:ascii="Calibri" w:hAnsi="Calibri" w:cs="Calibri"/>
                        </w:rPr>
                        <w:t>Figure 1: Geographic distribution of suspected AGS cases per 1 million population per year, 2017-2022.</w:t>
                      </w:r>
                    </w:p>
                    <w:p w14:paraId="645E07C5" w14:textId="77777777" w:rsidR="005808E8" w:rsidRPr="009A5F32" w:rsidRDefault="005808E8" w:rsidP="005808E8">
                      <w:pPr>
                        <w:rPr>
                          <w:rFonts w:ascii="Calibri" w:hAnsi="Calibri" w:cs="Calibri"/>
                        </w:rPr>
                      </w:pPr>
                      <w:r w:rsidRPr="009A5F32">
                        <w:rPr>
                          <w:rFonts w:ascii="Calibri" w:hAnsi="Calibri" w:cs="Calibri"/>
                        </w:rPr>
                        <w:t xml:space="preserve">Adapted from Reference XX: </w:t>
                      </w:r>
                      <w:hyperlink r:id="rId15" w:history="1">
                        <w:r w:rsidRPr="009A5F32">
                          <w:rPr>
                            <w:rStyle w:val="Hyperlink"/>
                            <w:rFonts w:ascii="Calibri" w:hAnsi="Calibri" w:cs="Calibri"/>
                          </w:rPr>
                          <w:t>http://dx.doi.org/10.15585/mmwr.mm7230a2</w:t>
                        </w:r>
                      </w:hyperlink>
                      <w:r w:rsidRPr="009A5F32">
                        <w:rPr>
                          <w:rFonts w:ascii="Calibri" w:hAnsi="Calibri" w:cs="Calibri"/>
                        </w:rPr>
                        <w:t>.</w:t>
                      </w:r>
                    </w:p>
                  </w:txbxContent>
                </v:textbox>
                <w10:wrap type="square"/>
              </v:shape>
            </w:pict>
          </mc:Fallback>
        </mc:AlternateContent>
      </w:r>
    </w:p>
    <w:p w14:paraId="3E283825" w14:textId="4CCA309D" w:rsidR="002D4F17" w:rsidRDefault="002D4F17" w:rsidP="007C701B">
      <w:pPr>
        <w:spacing w:after="120" w:line="278" w:lineRule="auto"/>
        <w:rPr>
          <w:rFonts w:ascii="Calibri" w:hAnsi="Calibri" w:cs="Calibri"/>
          <w:b/>
          <w:bCs/>
        </w:rPr>
      </w:pPr>
    </w:p>
    <w:p w14:paraId="7206AC75" w14:textId="3DF6E754" w:rsidR="002D4F17" w:rsidRDefault="002D4F17" w:rsidP="007C701B">
      <w:pPr>
        <w:spacing w:after="120" w:line="278" w:lineRule="auto"/>
        <w:rPr>
          <w:rFonts w:ascii="Calibri" w:hAnsi="Calibri" w:cs="Calibri"/>
          <w:b/>
          <w:bCs/>
        </w:rPr>
      </w:pPr>
    </w:p>
    <w:p w14:paraId="17038497" w14:textId="4B68EB73" w:rsidR="005808E8" w:rsidRDefault="005808E8" w:rsidP="007C701B">
      <w:pPr>
        <w:spacing w:after="120" w:line="278" w:lineRule="auto"/>
        <w:rPr>
          <w:rFonts w:ascii="Calibri" w:hAnsi="Calibri" w:cs="Calibri"/>
          <w:b/>
          <w:bCs/>
        </w:rPr>
      </w:pPr>
      <w:r w:rsidRPr="005E1E7C">
        <w:rPr>
          <w:rFonts w:ascii="Calibri" w:hAnsi="Calibri" w:cs="Calibri"/>
          <w:b/>
          <w:bCs/>
        </w:rPr>
        <w:t>Clinical Presentation:</w:t>
      </w:r>
    </w:p>
    <w:p w14:paraId="7D025E95" w14:textId="77777777" w:rsidR="005808E8" w:rsidRDefault="005808E8" w:rsidP="007C701B">
      <w:pPr>
        <w:spacing w:after="120" w:line="278" w:lineRule="auto"/>
        <w:rPr>
          <w:rFonts w:ascii="Calibri" w:hAnsi="Calibri" w:cs="Calibri"/>
        </w:rPr>
      </w:pPr>
      <w:r>
        <w:rPr>
          <w:rFonts w:ascii="Calibri" w:hAnsi="Calibri" w:cs="Calibri"/>
        </w:rPr>
        <w:t xml:space="preserve">It may take weeks to months to develop symptoms of AGS following a tick bite. The clinical spectrum of AGS is broad and range from urticaria and gastrointestinal distress to angioedema and life-threatening anaphylaxis. Symptoms of an AGS reaction can include: hives or itchy rash; nausea or vomiting; heartburn or indigestion; diarrhea; shortness of breath or difficulty breathing; acute hypotension; swelling of the lips, throat, tongue or eyelids; dizziness or faintness; and severe abdominal pain. </w:t>
      </w:r>
      <w:r>
        <w:rPr>
          <w:rFonts w:ascii="Calibri" w:hAnsi="Calibri" w:cs="Calibri"/>
        </w:rPr>
        <w:lastRenderedPageBreak/>
        <w:t xml:space="preserve">Publications to date indicate that hives and urticaria are reported most frequently followed by gastrointestinal symptoms; respiratory and cardiovascular symptoms are less frequent. AGS symptoms vary by the individual and can also vary within the individual following different exposures. </w:t>
      </w:r>
    </w:p>
    <w:p w14:paraId="5EF37024" w14:textId="77777777" w:rsidR="005808E8" w:rsidRDefault="005808E8" w:rsidP="007C701B">
      <w:pPr>
        <w:spacing w:after="120" w:line="278" w:lineRule="auto"/>
        <w:rPr>
          <w:rFonts w:ascii="Calibri" w:hAnsi="Calibri" w:cs="Calibri"/>
        </w:rPr>
      </w:pPr>
      <w:r w:rsidRPr="6906F6CB">
        <w:rPr>
          <w:rFonts w:ascii="Calibri" w:hAnsi="Calibri" w:cs="Calibri"/>
        </w:rPr>
        <w:t xml:space="preserve">AGS is a delayed onset allergic reaction following exposure, usually through consumption, to mammalian meat or its derivatives. Unlike other food allergies, the symptoms begin 2-10 hours after exposure to alpha-gal. Exposures commonly include beef, pork, lamb or meat from other mammals; dairy products; or certain medications or medical products which include materials made from mammals. Specific examples of these materials include gelatin, some monoclonal antibodies, heparin, and antivenom. </w:t>
      </w:r>
    </w:p>
    <w:p w14:paraId="3C21F237" w14:textId="77777777" w:rsidR="005808E8" w:rsidRDefault="005808E8" w:rsidP="007C701B">
      <w:pPr>
        <w:spacing w:after="120" w:line="278" w:lineRule="auto"/>
        <w:rPr>
          <w:rFonts w:ascii="Calibri" w:hAnsi="Calibri" w:cs="Calibri"/>
          <w:b/>
          <w:bCs/>
        </w:rPr>
      </w:pPr>
      <w:r w:rsidRPr="009074C0">
        <w:rPr>
          <w:rFonts w:ascii="Calibri" w:hAnsi="Calibri" w:cs="Calibri"/>
          <w:b/>
          <w:bCs/>
        </w:rPr>
        <w:t>Diagnosis:</w:t>
      </w:r>
    </w:p>
    <w:p w14:paraId="7D55F959" w14:textId="77777777" w:rsidR="005808E8" w:rsidRDefault="005808E8" w:rsidP="007C701B">
      <w:pPr>
        <w:spacing w:after="120" w:line="278" w:lineRule="auto"/>
        <w:rPr>
          <w:rFonts w:ascii="Calibri" w:hAnsi="Calibri" w:cs="Calibri"/>
        </w:rPr>
      </w:pPr>
      <w:r w:rsidRPr="6906F6CB">
        <w:rPr>
          <w:rFonts w:ascii="Calibri" w:hAnsi="Calibri" w:cs="Calibri"/>
        </w:rPr>
        <w:t>AGS is diagnosed by a healthcare provider based on patient history and laboratory testing. Laboratory tests by themselves are not diagnostic as there is no definitive specific IgE level that confirms a diagnosis. People can have sensitization (increased IgE) to alpha-gal without clinical symptoms as only a fraction of patients with alpha-gal IgE experience symptoms following meat consumption. Currently, blood test levels of alpha-gal IgE of ≥ 0.1 kU/L are considered positive but levels of IgE do not correlate directly with symptoms or disease severity. In fact, asymptomatic sensitization is known to occur so not all patients who test positive on a laboratory test will have AGS. Additionally, false positive IgE test results may occur in individuals where alpha-gal sensitization may be related to bee and wasp stings, parasitism, atopy, or cat ownership. In these patients, the presence of antibodies does not match the clinical history of AGS.</w:t>
      </w:r>
    </w:p>
    <w:p w14:paraId="664BD593" w14:textId="77777777" w:rsidR="005808E8" w:rsidRDefault="005808E8" w:rsidP="007C701B">
      <w:pPr>
        <w:spacing w:after="120" w:line="278" w:lineRule="auto"/>
        <w:rPr>
          <w:rFonts w:ascii="Calibri" w:hAnsi="Calibri" w:cs="Calibri"/>
        </w:rPr>
      </w:pPr>
      <w:r>
        <w:rPr>
          <w:rFonts w:ascii="Calibri" w:hAnsi="Calibri" w:cs="Calibri"/>
        </w:rPr>
        <w:t>Allergy skin tests</w:t>
      </w:r>
      <w:r w:rsidRPr="006709B8">
        <w:rPr>
          <w:rFonts w:ascii="Calibri" w:hAnsi="Calibri" w:cs="Calibri"/>
        </w:rPr>
        <w:t xml:space="preserve"> to one or more mammalian meats (e.g., pork, beef, lamb) or other mammalian-derived products</w:t>
      </w:r>
      <w:r>
        <w:rPr>
          <w:rFonts w:ascii="Calibri" w:hAnsi="Calibri" w:cs="Calibri"/>
        </w:rPr>
        <w:t xml:space="preserve"> may also be </w:t>
      </w:r>
      <w:r w:rsidRPr="006709B8">
        <w:rPr>
          <w:rFonts w:ascii="Calibri" w:hAnsi="Calibri" w:cs="Calibri"/>
        </w:rPr>
        <w:t>interpreted by the healthcare provider as consistent with alpha-gal allergy based on sensitivity</w:t>
      </w:r>
      <w:r>
        <w:rPr>
          <w:rFonts w:ascii="Calibri" w:hAnsi="Calibri" w:cs="Calibri"/>
        </w:rPr>
        <w:t>.</w:t>
      </w:r>
    </w:p>
    <w:p w14:paraId="064D4731" w14:textId="77777777" w:rsidR="005808E8" w:rsidRDefault="005808E8" w:rsidP="007C701B">
      <w:pPr>
        <w:spacing w:after="120" w:line="278" w:lineRule="auto"/>
        <w:rPr>
          <w:rFonts w:ascii="Calibri" w:hAnsi="Calibri" w:cs="Calibri"/>
        </w:rPr>
      </w:pPr>
      <w:r w:rsidRPr="6906F6CB">
        <w:rPr>
          <w:rFonts w:ascii="Calibri" w:hAnsi="Calibri" w:cs="Calibri"/>
        </w:rPr>
        <w:t xml:space="preserve">Tests for alpha-gal IgE are available through several large commercial laboratories and may also be available through more specialized laboratories or academic institutions. Allergy skin tests are available through allergists.  </w:t>
      </w:r>
    </w:p>
    <w:p w14:paraId="5DB0CDA9" w14:textId="77777777" w:rsidR="005808E8" w:rsidRDefault="005808E8" w:rsidP="007C701B">
      <w:pPr>
        <w:spacing w:after="120" w:line="278" w:lineRule="auto"/>
        <w:rPr>
          <w:rFonts w:ascii="Calibri" w:hAnsi="Calibri" w:cs="Calibri"/>
          <w:b/>
          <w:bCs/>
        </w:rPr>
      </w:pPr>
      <w:r w:rsidRPr="00EB2317">
        <w:rPr>
          <w:rFonts w:ascii="Calibri" w:hAnsi="Calibri" w:cs="Calibri"/>
          <w:b/>
          <w:bCs/>
        </w:rPr>
        <w:t>Management:</w:t>
      </w:r>
    </w:p>
    <w:p w14:paraId="62CEA256" w14:textId="77777777" w:rsidR="005808E8" w:rsidRDefault="005808E8" w:rsidP="007C701B">
      <w:pPr>
        <w:spacing w:after="120" w:line="278" w:lineRule="auto"/>
        <w:rPr>
          <w:rFonts w:ascii="Calibri" w:hAnsi="Calibri" w:cs="Calibri"/>
        </w:rPr>
      </w:pPr>
      <w:r>
        <w:rPr>
          <w:rFonts w:ascii="Calibri" w:hAnsi="Calibri" w:cs="Calibri"/>
        </w:rPr>
        <w:t xml:space="preserve">Management of patients with AGS is complex and should include prevention of additional tick bites and avoidance of meat and other mammalian products to avoid allergic reactions. Use of antihistamines may also be indicated. Patients experiencing anaphylaxis should receive emergency medical care. Up to 29% of people with AGS may have allergic reactions to dairy products (which contain alpha-gal at lower levels than meat); these individuals should avoid consumption of dairy products. </w:t>
      </w:r>
      <w:r w:rsidRPr="0042579E">
        <w:rPr>
          <w:rFonts w:ascii="Calibri" w:hAnsi="Calibri" w:cs="Calibri"/>
        </w:rPr>
        <w:t>People with AGS may continue to eat chicken, turkey, fish and other non-mammalian meats because they do not contain alpha-gal.</w:t>
      </w:r>
    </w:p>
    <w:p w14:paraId="2C36A432" w14:textId="77777777" w:rsidR="005808E8" w:rsidRPr="00095B77" w:rsidRDefault="005808E8" w:rsidP="007C701B">
      <w:pPr>
        <w:spacing w:after="120" w:line="278" w:lineRule="auto"/>
        <w:rPr>
          <w:rFonts w:ascii="Calibri" w:hAnsi="Calibri" w:cs="Calibri"/>
        </w:rPr>
      </w:pPr>
      <w:r w:rsidRPr="00095B77">
        <w:rPr>
          <w:rFonts w:ascii="Calibri" w:hAnsi="Calibri" w:cs="Calibri"/>
        </w:rPr>
        <w:t xml:space="preserve">Although rare, some people with severe AGS may react to ingredients in certain vaccine types/brands (lists of additives to specific vaccines, called </w:t>
      </w:r>
      <w:hyperlink r:id="rId16" w:history="1">
        <w:r w:rsidRPr="00537036">
          <w:rPr>
            <w:rStyle w:val="Hyperlink"/>
            <w:rFonts w:ascii="Calibri" w:hAnsi="Calibri" w:cs="Calibri"/>
          </w:rPr>
          <w:t>vaccine excipients</w:t>
        </w:r>
      </w:hyperlink>
      <w:r w:rsidRPr="00095B77">
        <w:rPr>
          <w:rFonts w:ascii="Calibri" w:hAnsi="Calibri" w:cs="Calibri"/>
        </w:rPr>
        <w:t xml:space="preserve">, are available through </w:t>
      </w:r>
      <w:r>
        <w:rPr>
          <w:rFonts w:ascii="Calibri" w:hAnsi="Calibri" w:cs="Calibri"/>
        </w:rPr>
        <w:t xml:space="preserve">the Institute for Vaccine Safety at Johns Hopkins) </w:t>
      </w:r>
      <w:r w:rsidRPr="00095B77">
        <w:rPr>
          <w:rFonts w:ascii="Calibri" w:hAnsi="Calibri" w:cs="Calibri"/>
        </w:rPr>
        <w:t xml:space="preserve">and medications/products that contain gelatin, glycerin, magnesium </w:t>
      </w:r>
      <w:r w:rsidRPr="00095B77">
        <w:rPr>
          <w:rFonts w:ascii="Calibri" w:hAnsi="Calibri" w:cs="Calibri"/>
        </w:rPr>
        <w:lastRenderedPageBreak/>
        <w:t xml:space="preserve">stearate, and bovine extract. Other medical products such as heart valves from pigs or cows, </w:t>
      </w:r>
      <w:r>
        <w:rPr>
          <w:rFonts w:ascii="Calibri" w:hAnsi="Calibri" w:cs="Calibri"/>
        </w:rPr>
        <w:t xml:space="preserve">certain </w:t>
      </w:r>
      <w:r w:rsidRPr="00095B77">
        <w:rPr>
          <w:rFonts w:ascii="Calibri" w:hAnsi="Calibri" w:cs="Calibri"/>
        </w:rPr>
        <w:t xml:space="preserve">monoclonal antibodies, heparin, and certain antivenoms are animal-derived and may also contain alpha-gal. </w:t>
      </w:r>
      <w:r>
        <w:rPr>
          <w:rFonts w:ascii="Calibri" w:hAnsi="Calibri" w:cs="Calibri"/>
        </w:rPr>
        <w:t>Patients should work with their healthcare provider to make decisions about the individual risks and benefits of these specific medications, vaccines or medical products.</w:t>
      </w:r>
    </w:p>
    <w:p w14:paraId="4745DBAB" w14:textId="77777777" w:rsidR="005808E8" w:rsidRDefault="005808E8" w:rsidP="007C701B">
      <w:pPr>
        <w:spacing w:after="120" w:line="278" w:lineRule="auto"/>
        <w:rPr>
          <w:rFonts w:ascii="Calibri" w:hAnsi="Calibri" w:cs="Calibri"/>
        </w:rPr>
      </w:pPr>
      <w:r w:rsidRPr="00095B77">
        <w:rPr>
          <w:rFonts w:ascii="Calibri" w:hAnsi="Calibri" w:cs="Calibri"/>
        </w:rPr>
        <w:t xml:space="preserve">Persons </w:t>
      </w:r>
      <w:r>
        <w:rPr>
          <w:rFonts w:ascii="Calibri" w:hAnsi="Calibri" w:cs="Calibri"/>
        </w:rPr>
        <w:t>who have, or are suspected to have,</w:t>
      </w:r>
      <w:r w:rsidRPr="00095B77">
        <w:rPr>
          <w:rFonts w:ascii="Calibri" w:hAnsi="Calibri" w:cs="Calibri"/>
        </w:rPr>
        <w:t xml:space="preserve"> AGS should </w:t>
      </w:r>
      <w:r>
        <w:rPr>
          <w:rFonts w:ascii="Calibri" w:hAnsi="Calibri" w:cs="Calibri"/>
        </w:rPr>
        <w:t xml:space="preserve">be advised to </w:t>
      </w:r>
      <w:r w:rsidRPr="00095B77">
        <w:rPr>
          <w:rFonts w:ascii="Calibri" w:hAnsi="Calibri" w:cs="Calibri"/>
        </w:rPr>
        <w:t>read food and medicine product labels carefully.</w:t>
      </w:r>
    </w:p>
    <w:p w14:paraId="5E09103A" w14:textId="77777777" w:rsidR="005808E8" w:rsidRPr="00C7067B" w:rsidRDefault="005808E8" w:rsidP="007C701B">
      <w:pPr>
        <w:spacing w:after="120" w:line="278" w:lineRule="auto"/>
        <w:rPr>
          <w:rFonts w:ascii="Calibri" w:hAnsi="Calibri" w:cs="Calibri"/>
        </w:rPr>
      </w:pPr>
      <w:r>
        <w:rPr>
          <w:rFonts w:ascii="Calibri" w:hAnsi="Calibri" w:cs="Calibri"/>
        </w:rPr>
        <w:t>Over time and in the absence of repeated tick bite exposures, some AGS patients may be able to resume consumption of food and other products with alpha-gal without having an allergic reaction. Currently it is not possible to predict how long patients need to avoid exposure to alpha-gal or which patients will eventually experience resolution of the allergy. All AGS patients are recommended to work closely with their healthcare provider on management strategies.</w:t>
      </w:r>
    </w:p>
    <w:p w14:paraId="1CC06A7F" w14:textId="77777777" w:rsidR="005808E8" w:rsidRDefault="005808E8" w:rsidP="007C701B">
      <w:pPr>
        <w:spacing w:after="120" w:line="278" w:lineRule="auto"/>
        <w:rPr>
          <w:rFonts w:ascii="Calibri" w:hAnsi="Calibri" w:cs="Calibri"/>
          <w:b/>
          <w:bCs/>
        </w:rPr>
      </w:pPr>
      <w:r>
        <w:rPr>
          <w:rFonts w:ascii="Calibri" w:hAnsi="Calibri" w:cs="Calibri"/>
          <w:b/>
          <w:bCs/>
        </w:rPr>
        <w:t>Prevention:</w:t>
      </w:r>
    </w:p>
    <w:p w14:paraId="1CC2536B" w14:textId="77777777" w:rsidR="005808E8" w:rsidRDefault="005808E8" w:rsidP="007C701B">
      <w:pPr>
        <w:spacing w:after="120" w:line="278" w:lineRule="auto"/>
        <w:rPr>
          <w:rFonts w:ascii="Calibri" w:hAnsi="Calibri" w:cs="Calibri"/>
        </w:rPr>
      </w:pPr>
      <w:r>
        <w:rPr>
          <w:rFonts w:ascii="Calibri" w:hAnsi="Calibri" w:cs="Calibri"/>
        </w:rPr>
        <w:t xml:space="preserve">Taking steps to avoid tick bites is the single most important prevention strategy to reduce the risk of development and persistence of AGS. Tick bite prevention recommendations are the same for lone star ticks as they are for other tick species in Massachusetts. Used consistently, these can help reduce the chance of acquiring infectious diseases such as Lyme disease, babesiosis, anaplasmosis, borreliosis (from </w:t>
      </w:r>
      <w:r w:rsidRPr="00E7448A">
        <w:rPr>
          <w:rFonts w:ascii="Calibri" w:hAnsi="Calibri" w:cs="Calibri"/>
          <w:i/>
          <w:iCs/>
        </w:rPr>
        <w:t>Borrelia miyamotoi</w:t>
      </w:r>
      <w:r>
        <w:rPr>
          <w:rFonts w:ascii="Calibri" w:hAnsi="Calibri" w:cs="Calibri"/>
        </w:rPr>
        <w:t>) and Powassan virus from black-legged (also known as deer) ticks and AGS from lone star ticks.</w:t>
      </w:r>
    </w:p>
    <w:p w14:paraId="6606FC12" w14:textId="77777777" w:rsidR="005808E8" w:rsidRDefault="005808E8" w:rsidP="007C701B">
      <w:pPr>
        <w:spacing w:after="120" w:line="278" w:lineRule="auto"/>
        <w:rPr>
          <w:rFonts w:ascii="Calibri" w:hAnsi="Calibri" w:cs="Calibri"/>
        </w:rPr>
      </w:pPr>
      <w:r w:rsidRPr="000268A2">
        <w:rPr>
          <w:rFonts w:ascii="Calibri" w:hAnsi="Calibri" w:cs="Calibri"/>
        </w:rPr>
        <w:t>Ticks are most active during warm weather</w:t>
      </w:r>
      <w:r>
        <w:rPr>
          <w:rFonts w:ascii="Calibri" w:hAnsi="Calibri" w:cs="Calibri"/>
        </w:rPr>
        <w:t xml:space="preserve"> but </w:t>
      </w:r>
      <w:r w:rsidRPr="000268A2">
        <w:rPr>
          <w:rFonts w:ascii="Calibri" w:hAnsi="Calibri" w:cs="Calibri"/>
        </w:rPr>
        <w:t>can be out any time that temperatures are above freezing</w:t>
      </w:r>
      <w:r>
        <w:rPr>
          <w:rFonts w:ascii="Calibri" w:hAnsi="Calibri" w:cs="Calibri"/>
        </w:rPr>
        <w:t>. Significant snow cover limits tick activity</w:t>
      </w:r>
      <w:r w:rsidRPr="000268A2">
        <w:rPr>
          <w:rFonts w:ascii="Calibri" w:hAnsi="Calibri" w:cs="Calibri"/>
        </w:rPr>
        <w:t xml:space="preserve">. </w:t>
      </w:r>
      <w:r>
        <w:rPr>
          <w:rFonts w:ascii="Calibri" w:hAnsi="Calibri" w:cs="Calibri"/>
        </w:rPr>
        <w:t xml:space="preserve">People should be aware that </w:t>
      </w:r>
      <w:r w:rsidRPr="000268A2">
        <w:rPr>
          <w:rFonts w:ascii="Calibri" w:hAnsi="Calibri" w:cs="Calibri"/>
        </w:rPr>
        <w:t>ticks</w:t>
      </w:r>
      <w:r>
        <w:rPr>
          <w:rFonts w:ascii="Calibri" w:hAnsi="Calibri" w:cs="Calibri"/>
        </w:rPr>
        <w:t xml:space="preserve"> </w:t>
      </w:r>
      <w:r w:rsidRPr="000268A2">
        <w:rPr>
          <w:rFonts w:ascii="Calibri" w:hAnsi="Calibri" w:cs="Calibri"/>
        </w:rPr>
        <w:t xml:space="preserve">cling to vegetation </w:t>
      </w:r>
      <w:r>
        <w:rPr>
          <w:rFonts w:ascii="Calibri" w:hAnsi="Calibri" w:cs="Calibri"/>
        </w:rPr>
        <w:t>and are most common in</w:t>
      </w:r>
      <w:r w:rsidRPr="000268A2">
        <w:rPr>
          <w:rFonts w:ascii="Calibri" w:hAnsi="Calibri" w:cs="Calibri"/>
        </w:rPr>
        <w:t xml:space="preserve"> brushy, wooded, or grassy places</w:t>
      </w:r>
      <w:r>
        <w:rPr>
          <w:rFonts w:ascii="Calibri" w:hAnsi="Calibri" w:cs="Calibri"/>
        </w:rPr>
        <w:t>, but this can include beaches and yards, places where people do not always think about ticks. Advice for the public on recommended steps to prevent tick bites includes:</w:t>
      </w:r>
    </w:p>
    <w:p w14:paraId="35013454" w14:textId="77777777" w:rsidR="005808E8" w:rsidRDefault="005808E8" w:rsidP="007C701B">
      <w:pPr>
        <w:pStyle w:val="ListParagraph"/>
        <w:numPr>
          <w:ilvl w:val="0"/>
          <w:numId w:val="5"/>
        </w:numPr>
        <w:spacing w:after="120"/>
        <w:rPr>
          <w:rFonts w:ascii="Calibri" w:hAnsi="Calibri" w:cs="Calibri"/>
        </w:rPr>
      </w:pPr>
      <w:r>
        <w:rPr>
          <w:rFonts w:ascii="Calibri" w:hAnsi="Calibri" w:cs="Calibri"/>
        </w:rPr>
        <w:t>Be aware when you are outdoors if you are in an area likely to have ticks.</w:t>
      </w:r>
    </w:p>
    <w:p w14:paraId="0A4142AD" w14:textId="44997048" w:rsidR="005808E8" w:rsidRDefault="005808E8" w:rsidP="007C701B">
      <w:pPr>
        <w:pStyle w:val="ListParagraph"/>
        <w:numPr>
          <w:ilvl w:val="0"/>
          <w:numId w:val="5"/>
        </w:numPr>
        <w:spacing w:after="120"/>
        <w:rPr>
          <w:rFonts w:ascii="Calibri" w:hAnsi="Calibri" w:cs="Calibri"/>
        </w:rPr>
      </w:pPr>
      <w:r>
        <w:rPr>
          <w:rFonts w:ascii="Calibri" w:hAnsi="Calibri" w:cs="Calibri"/>
        </w:rPr>
        <w:t>Use tick repellants that contain an EPA-registered active ingredient such as picaridin or DEET on exposed skin. Always apply following directions on the label.</w:t>
      </w:r>
    </w:p>
    <w:p w14:paraId="04A79741" w14:textId="77777777" w:rsidR="005808E8" w:rsidRDefault="005808E8" w:rsidP="007C701B">
      <w:pPr>
        <w:pStyle w:val="ListParagraph"/>
        <w:numPr>
          <w:ilvl w:val="0"/>
          <w:numId w:val="5"/>
        </w:numPr>
        <w:spacing w:after="120"/>
        <w:rPr>
          <w:rFonts w:ascii="Calibri" w:hAnsi="Calibri" w:cs="Calibri"/>
        </w:rPr>
      </w:pPr>
      <w:r>
        <w:rPr>
          <w:rFonts w:ascii="Calibri" w:hAnsi="Calibri" w:cs="Calibri"/>
        </w:rPr>
        <w:t>Use permethrin on clothing, shoes, and outdoor gear. Some permethrin products can be applied to clothing in such a way that they remain protected through several washings. Pre-treated clothing brands are also available.</w:t>
      </w:r>
    </w:p>
    <w:p w14:paraId="2C625921" w14:textId="77777777" w:rsidR="005808E8" w:rsidRDefault="005808E8" w:rsidP="007C701B">
      <w:pPr>
        <w:pStyle w:val="ListParagraph"/>
        <w:numPr>
          <w:ilvl w:val="0"/>
          <w:numId w:val="5"/>
        </w:numPr>
        <w:spacing w:after="120"/>
        <w:rPr>
          <w:rFonts w:ascii="Calibri" w:hAnsi="Calibri" w:cs="Calibri"/>
        </w:rPr>
      </w:pPr>
      <w:r>
        <w:rPr>
          <w:rFonts w:ascii="Calibri" w:hAnsi="Calibri" w:cs="Calibri"/>
        </w:rPr>
        <w:t>After being outdoors, check your clothing, your gear, yourself and your pets for ticks. If possible, take a shower and change your clothes after spending time outdoors.</w:t>
      </w:r>
    </w:p>
    <w:p w14:paraId="54020986" w14:textId="77777777" w:rsidR="005808E8" w:rsidRDefault="005808E8" w:rsidP="007C701B">
      <w:pPr>
        <w:pStyle w:val="ListParagraph"/>
        <w:numPr>
          <w:ilvl w:val="0"/>
          <w:numId w:val="5"/>
        </w:numPr>
        <w:spacing w:after="120"/>
        <w:rPr>
          <w:rFonts w:ascii="Calibri" w:hAnsi="Calibri" w:cs="Calibri"/>
        </w:rPr>
      </w:pPr>
      <w:r>
        <w:rPr>
          <w:rFonts w:ascii="Calibri" w:hAnsi="Calibri" w:cs="Calibri"/>
        </w:rPr>
        <w:t>Put your clothes in a dryer on high heat for at least 10 minutes to kill ticks. Washing, even in hot water, will not reliably kill them.</w:t>
      </w:r>
    </w:p>
    <w:p w14:paraId="6D343EE8" w14:textId="77777777" w:rsidR="005808E8" w:rsidRDefault="005808E8" w:rsidP="007C701B">
      <w:pPr>
        <w:pStyle w:val="ListParagraph"/>
        <w:numPr>
          <w:ilvl w:val="0"/>
          <w:numId w:val="5"/>
        </w:numPr>
        <w:spacing w:after="120"/>
        <w:rPr>
          <w:rFonts w:ascii="Calibri" w:hAnsi="Calibri" w:cs="Calibri"/>
        </w:rPr>
      </w:pPr>
      <w:r>
        <w:rPr>
          <w:rFonts w:ascii="Calibri" w:hAnsi="Calibri" w:cs="Calibri"/>
        </w:rPr>
        <w:t>Do a tick check on yourself, kids and pets after being outdoors.</w:t>
      </w:r>
    </w:p>
    <w:p w14:paraId="085E3356" w14:textId="77777777" w:rsidR="005808E8" w:rsidRPr="003D1E9C" w:rsidRDefault="005808E8" w:rsidP="007C701B">
      <w:pPr>
        <w:pStyle w:val="ListParagraph"/>
        <w:numPr>
          <w:ilvl w:val="0"/>
          <w:numId w:val="5"/>
        </w:numPr>
        <w:spacing w:after="120"/>
        <w:rPr>
          <w:rFonts w:ascii="Calibri" w:hAnsi="Calibri" w:cs="Calibri"/>
        </w:rPr>
      </w:pPr>
      <w:r>
        <w:rPr>
          <w:rFonts w:ascii="Calibri" w:hAnsi="Calibri" w:cs="Calibri"/>
        </w:rPr>
        <w:t>If you find an attached tick, remove it promptly and identify the type of tick it is if possible.</w:t>
      </w:r>
    </w:p>
    <w:p w14:paraId="0D362EFD" w14:textId="77777777" w:rsidR="00F86E19" w:rsidRDefault="00F86E19" w:rsidP="007C701B">
      <w:pPr>
        <w:spacing w:after="120" w:line="278" w:lineRule="auto"/>
        <w:rPr>
          <w:rFonts w:ascii="Calibri" w:hAnsi="Calibri" w:cs="Calibri"/>
        </w:rPr>
      </w:pPr>
    </w:p>
    <w:p w14:paraId="20E410D5" w14:textId="17615CEA" w:rsidR="005808E8" w:rsidRDefault="005808E8" w:rsidP="007C701B">
      <w:pPr>
        <w:spacing w:after="120" w:line="278" w:lineRule="auto"/>
        <w:rPr>
          <w:rFonts w:ascii="Calibri" w:hAnsi="Calibri" w:cs="Calibri"/>
        </w:rPr>
      </w:pPr>
      <w:r>
        <w:rPr>
          <w:rFonts w:ascii="Calibri" w:hAnsi="Calibri" w:cs="Calibri"/>
        </w:rPr>
        <w:lastRenderedPageBreak/>
        <w:t>Some important behavior differences between lone star ticks that can cause AGS and the black-legged tick that spreads multiple infectious diseases in Massachusetts are:</w:t>
      </w:r>
    </w:p>
    <w:p w14:paraId="686683C2" w14:textId="77777777" w:rsidR="005808E8" w:rsidRDefault="005808E8" w:rsidP="007C701B">
      <w:pPr>
        <w:pStyle w:val="ListParagraph"/>
        <w:numPr>
          <w:ilvl w:val="0"/>
          <w:numId w:val="6"/>
        </w:numPr>
        <w:spacing w:after="120"/>
        <w:rPr>
          <w:rFonts w:ascii="Calibri" w:hAnsi="Calibri" w:cs="Calibri"/>
        </w:rPr>
      </w:pPr>
      <w:r>
        <w:rPr>
          <w:rFonts w:ascii="Calibri" w:hAnsi="Calibri" w:cs="Calibri"/>
        </w:rPr>
        <w:t>Adult lone star ticks can move quickly and may move toward a potential host (person) as opposed to black-legged ticks which sit at the ends of vegetation and climb onto a host (person) as they brush by.</w:t>
      </w:r>
    </w:p>
    <w:p w14:paraId="3FD99526" w14:textId="77777777" w:rsidR="005808E8" w:rsidRPr="00602256" w:rsidRDefault="005808E8" w:rsidP="007C701B">
      <w:pPr>
        <w:pStyle w:val="ListParagraph"/>
        <w:numPr>
          <w:ilvl w:val="0"/>
          <w:numId w:val="6"/>
        </w:numPr>
        <w:spacing w:after="120"/>
        <w:rPr>
          <w:rFonts w:ascii="Calibri" w:hAnsi="Calibri" w:cs="Calibri"/>
        </w:rPr>
      </w:pPr>
      <w:r>
        <w:rPr>
          <w:rFonts w:ascii="Calibri" w:hAnsi="Calibri" w:cs="Calibri"/>
        </w:rPr>
        <w:t xml:space="preserve">Juvenile lone star ticks (the nymphal stage) are usually found in very large numbers at a single location. If multiple small ticks are found crawling on you, they are more likely to be lone star ticks than black-legged ticks. In these cases, using masking tape to remove the unattached ticks may be more efficient than addressing them individually. </w:t>
      </w:r>
    </w:p>
    <w:p w14:paraId="193BAD52" w14:textId="77777777" w:rsidR="005808E8" w:rsidRDefault="005808E8" w:rsidP="007C701B">
      <w:pPr>
        <w:spacing w:after="120" w:line="278" w:lineRule="auto"/>
        <w:rPr>
          <w:rFonts w:ascii="Calibri" w:hAnsi="Calibri" w:cs="Calibri"/>
          <w:b/>
          <w:bCs/>
        </w:rPr>
      </w:pPr>
      <w:r>
        <w:rPr>
          <w:rFonts w:ascii="Calibri" w:hAnsi="Calibri" w:cs="Calibri"/>
          <w:b/>
          <w:bCs/>
        </w:rPr>
        <w:t>Reporting:</w:t>
      </w:r>
    </w:p>
    <w:p w14:paraId="2174E674" w14:textId="483D7FF8" w:rsidR="005808E8" w:rsidRDefault="005808E8" w:rsidP="007C701B">
      <w:pPr>
        <w:spacing w:after="120" w:line="278" w:lineRule="auto"/>
        <w:rPr>
          <w:rFonts w:ascii="Calibri" w:hAnsi="Calibri" w:cs="Calibri"/>
        </w:rPr>
      </w:pPr>
      <w:r w:rsidRPr="5C3D85B9">
        <w:rPr>
          <w:rFonts w:ascii="Calibri" w:hAnsi="Calibri" w:cs="Calibri"/>
        </w:rPr>
        <w:t xml:space="preserve">AGS is being made reportable to DPH in accordance with the Commissioner’s </w:t>
      </w:r>
      <w:r>
        <w:rPr>
          <w:rFonts w:ascii="Calibri" w:hAnsi="Calibri" w:cs="Calibri"/>
        </w:rPr>
        <w:t>March 19, 20</w:t>
      </w:r>
      <w:r w:rsidR="00AB3924">
        <w:rPr>
          <w:rFonts w:ascii="Calibri" w:hAnsi="Calibri" w:cs="Calibri"/>
        </w:rPr>
        <w:t>2</w:t>
      </w:r>
      <w:r>
        <w:rPr>
          <w:rFonts w:ascii="Calibri" w:hAnsi="Calibri" w:cs="Calibri"/>
        </w:rPr>
        <w:t>6</w:t>
      </w:r>
      <w:r w:rsidRPr="5C3D85B9">
        <w:rPr>
          <w:rFonts w:ascii="Calibri" w:hAnsi="Calibri" w:cs="Calibri"/>
        </w:rPr>
        <w:t xml:space="preserve"> Declaration of Confirmed and Suspected Cases of Alpha-gal Syndrome Reportable Pursuant to 105 CMR 300.150 as of April 1, 2026. Healthcare providers are required to report any </w:t>
      </w:r>
      <w:r w:rsidRPr="00F86E19">
        <w:rPr>
          <w:rFonts w:ascii="Calibri" w:hAnsi="Calibri" w:cs="Calibri"/>
          <w:b/>
          <w:bCs/>
          <w:u w:val="single"/>
        </w:rPr>
        <w:t>new</w:t>
      </w:r>
      <w:r w:rsidRPr="5C3D85B9">
        <w:rPr>
          <w:rFonts w:ascii="Calibri" w:hAnsi="Calibri" w:cs="Calibri"/>
        </w:rPr>
        <w:t xml:space="preserve"> diagnosis of AGS in a patient using the online case report form which will be available as of April 1, 2026 on the </w:t>
      </w:r>
      <w:hyperlink r:id="rId17" w:history="1">
        <w:r w:rsidRPr="5C3D85B9">
          <w:rPr>
            <w:rStyle w:val="Hyperlink"/>
            <w:rFonts w:ascii="Calibri" w:hAnsi="Calibri" w:cs="Calibri"/>
          </w:rPr>
          <w:t>DPH web site</w:t>
        </w:r>
      </w:hyperlink>
      <w:r w:rsidRPr="5C3D85B9">
        <w:rPr>
          <w:rFonts w:ascii="Calibri" w:hAnsi="Calibri" w:cs="Calibri"/>
        </w:rPr>
        <w:t>. Questions about alpha-gal reporting can be directed to the Division of Epidemiology’s 24/7 line at (617) 983-6800.</w:t>
      </w:r>
    </w:p>
    <w:p w14:paraId="0911C245" w14:textId="4835E3DA" w:rsidR="00AD38A2" w:rsidRDefault="005808E8" w:rsidP="00FA4CD6">
      <w:pPr>
        <w:pStyle w:val="NormalWeb"/>
        <w:spacing w:before="0" w:beforeAutospacing="0" w:after="120" w:afterAutospacing="0" w:line="278" w:lineRule="auto"/>
        <w:rPr>
          <w:color w:val="000000"/>
          <w:sz w:val="20"/>
          <w:szCs w:val="20"/>
        </w:rPr>
      </w:pPr>
      <w:r>
        <w:rPr>
          <w:rFonts w:ascii="Calibri" w:hAnsi="Calibri" w:cs="Calibri"/>
        </w:rPr>
        <w:t xml:space="preserve">Laboratories are required to report positive results from any alpha-gal specific IgE assays. Reports should include the patient’s name, date of birth, </w:t>
      </w:r>
      <w:r w:rsidRPr="00063DBE">
        <w:rPr>
          <w:rFonts w:ascii="Calibri" w:hAnsi="Calibri" w:cs="Calibri"/>
        </w:rPr>
        <w:t>sex, race and ethnicity, address, telephone number,</w:t>
      </w:r>
      <w:r>
        <w:rPr>
          <w:rFonts w:ascii="Calibri" w:hAnsi="Calibri" w:cs="Calibri"/>
        </w:rPr>
        <w:t xml:space="preserve"> </w:t>
      </w:r>
      <w:r w:rsidRPr="00063DBE">
        <w:rPr>
          <w:rFonts w:ascii="Calibri" w:hAnsi="Calibri" w:cs="Calibri"/>
        </w:rPr>
        <w:t>name of the ordering health care</w:t>
      </w:r>
      <w:r>
        <w:rPr>
          <w:rFonts w:ascii="Calibri" w:hAnsi="Calibri" w:cs="Calibri"/>
        </w:rPr>
        <w:t xml:space="preserve"> </w:t>
      </w:r>
      <w:r w:rsidRPr="00063DBE">
        <w:rPr>
          <w:rFonts w:ascii="Calibri" w:hAnsi="Calibri" w:cs="Calibri"/>
        </w:rPr>
        <w:t>provider</w:t>
      </w:r>
      <w:r>
        <w:rPr>
          <w:rFonts w:ascii="Calibri" w:hAnsi="Calibri" w:cs="Calibri"/>
        </w:rPr>
        <w:t xml:space="preserve">, </w:t>
      </w:r>
      <w:r w:rsidRPr="00DC6A8E">
        <w:rPr>
          <w:rFonts w:ascii="Calibri" w:hAnsi="Calibri" w:cs="Calibri"/>
        </w:rPr>
        <w:t>test results</w:t>
      </w:r>
      <w:r w:rsidR="00FA4CD6">
        <w:rPr>
          <w:rFonts w:ascii="Calibri" w:hAnsi="Calibri" w:cs="Calibri"/>
        </w:rPr>
        <w:t xml:space="preserve"> including units, reference ranges and interpretation</w:t>
      </w:r>
      <w:r w:rsidRPr="00DC6A8E">
        <w:rPr>
          <w:rFonts w:ascii="Calibri" w:hAnsi="Calibri" w:cs="Calibri"/>
        </w:rPr>
        <w:t>, specimen</w:t>
      </w:r>
      <w:r>
        <w:rPr>
          <w:rFonts w:ascii="Calibri" w:hAnsi="Calibri" w:cs="Calibri"/>
        </w:rPr>
        <w:t xml:space="preserve"> source</w:t>
      </w:r>
      <w:r w:rsidRPr="00DC6A8E">
        <w:rPr>
          <w:rFonts w:ascii="Calibri" w:hAnsi="Calibri" w:cs="Calibri"/>
        </w:rPr>
        <w:t xml:space="preserve">, </w:t>
      </w:r>
      <w:r>
        <w:rPr>
          <w:rFonts w:ascii="Calibri" w:hAnsi="Calibri" w:cs="Calibri"/>
        </w:rPr>
        <w:t xml:space="preserve">and </w:t>
      </w:r>
      <w:r w:rsidRPr="00DC6A8E">
        <w:rPr>
          <w:rFonts w:ascii="Calibri" w:hAnsi="Calibri" w:cs="Calibri"/>
        </w:rPr>
        <w:t>date of specimen collection</w:t>
      </w:r>
      <w:r>
        <w:rPr>
          <w:rFonts w:ascii="Calibri" w:hAnsi="Calibri" w:cs="Calibri"/>
        </w:rPr>
        <w:t>. Laboratories that already report other results electronically to DPH should contact</w:t>
      </w:r>
      <w:r w:rsidR="004C187B">
        <w:rPr>
          <w:rFonts w:ascii="Calibri" w:hAnsi="Calibri" w:cs="Calibri"/>
        </w:rPr>
        <w:t xml:space="preserve"> </w:t>
      </w:r>
      <w:hyperlink r:id="rId18" w:history="1">
        <w:r w:rsidR="004C187B" w:rsidRPr="00FA4CD6">
          <w:rPr>
            <w:rStyle w:val="Hyperlink"/>
            <w:rFonts w:asciiTheme="minorHAnsi" w:hAnsiTheme="minorHAnsi" w:cstheme="minorHAnsi"/>
          </w:rPr>
          <w:t>elr.cdsupport@mass.gov</w:t>
        </w:r>
      </w:hyperlink>
      <w:r w:rsidR="004C187B">
        <w:rPr>
          <w:rFonts w:ascii="Calibri" w:hAnsi="Calibri" w:cs="Calibri"/>
        </w:rPr>
        <w:t xml:space="preserve"> </w:t>
      </w:r>
      <w:r>
        <w:rPr>
          <w:rFonts w:ascii="Calibri" w:hAnsi="Calibri" w:cs="Calibri"/>
        </w:rPr>
        <w:t xml:space="preserve">for information on how to map results for reporting. Laboratories that currently send reports via paper should send results to </w:t>
      </w:r>
      <w:r w:rsidR="00AD38A2" w:rsidRPr="00AD38A2">
        <w:rPr>
          <w:rFonts w:ascii="Calibri" w:hAnsi="Calibri" w:cs="Calibri"/>
          <w:color w:val="000000"/>
        </w:rPr>
        <w:t>617-887-8789.</w:t>
      </w:r>
    </w:p>
    <w:p w14:paraId="1CB9A471" w14:textId="09568C7D" w:rsidR="005808E8" w:rsidRPr="00AD38A2" w:rsidRDefault="005808E8" w:rsidP="00AD38A2">
      <w:pPr>
        <w:pStyle w:val="NormalWeb"/>
        <w:spacing w:before="0" w:beforeAutospacing="0" w:after="0" w:afterAutospacing="0"/>
      </w:pPr>
    </w:p>
    <w:p w14:paraId="18E654A7" w14:textId="77777777" w:rsidR="005808E8" w:rsidRPr="00824F27" w:rsidRDefault="005808E8" w:rsidP="007C701B">
      <w:pPr>
        <w:spacing w:after="120" w:line="278" w:lineRule="auto"/>
        <w:rPr>
          <w:rFonts w:ascii="Calibri" w:hAnsi="Calibri" w:cs="Calibri"/>
        </w:rPr>
      </w:pPr>
      <w:r>
        <w:rPr>
          <w:rFonts w:ascii="Calibri" w:hAnsi="Calibri" w:cs="Calibri"/>
        </w:rPr>
        <w:t xml:space="preserve">DPH is using the </w:t>
      </w:r>
      <w:hyperlink r:id="rId19" w:history="1">
        <w:r w:rsidRPr="004A6FDD">
          <w:rPr>
            <w:rStyle w:val="Hyperlink"/>
            <w:rFonts w:ascii="Calibri" w:hAnsi="Calibri" w:cs="Calibri"/>
          </w:rPr>
          <w:t xml:space="preserve">national surveillance case definition </w:t>
        </w:r>
      </w:hyperlink>
      <w:r>
        <w:rPr>
          <w:rFonts w:ascii="Calibri" w:hAnsi="Calibri" w:cs="Calibri"/>
        </w:rPr>
        <w:t>adopted by the Centers for Disease Control and Prevention to assess the burden of AGS cases. This definition relies on a combination of symptoms, alpha-gal specific IgE laboratory testing or an allergy skin test consistent with alpha-gal allergy, and the absence of a clear alternative diagnosis as criteria for identifying cases of AGS.</w:t>
      </w:r>
    </w:p>
    <w:p w14:paraId="71BB6584" w14:textId="77777777" w:rsidR="00624ACE" w:rsidRDefault="00624ACE" w:rsidP="007C701B">
      <w:pPr>
        <w:spacing w:after="120" w:line="278" w:lineRule="auto"/>
        <w:rPr>
          <w:rFonts w:ascii="Calibri" w:hAnsi="Calibri" w:cs="Calibri"/>
          <w:b/>
          <w:bCs/>
        </w:rPr>
      </w:pPr>
    </w:p>
    <w:p w14:paraId="574A36BA" w14:textId="01493D25" w:rsidR="005808E8" w:rsidRPr="0042579E" w:rsidRDefault="005808E8" w:rsidP="007C701B">
      <w:pPr>
        <w:spacing w:after="120" w:line="278" w:lineRule="auto"/>
        <w:rPr>
          <w:rFonts w:ascii="Calibri" w:hAnsi="Calibri" w:cs="Calibri"/>
          <w:b/>
          <w:bCs/>
        </w:rPr>
      </w:pPr>
      <w:r w:rsidRPr="0042579E">
        <w:rPr>
          <w:rFonts w:ascii="Calibri" w:hAnsi="Calibri" w:cs="Calibri"/>
          <w:b/>
          <w:bCs/>
        </w:rPr>
        <w:t>Referenc</w:t>
      </w:r>
      <w:r>
        <w:rPr>
          <w:rFonts w:ascii="Calibri" w:hAnsi="Calibri" w:cs="Calibri"/>
          <w:b/>
          <w:bCs/>
        </w:rPr>
        <w:t>es and Resources</w:t>
      </w:r>
      <w:r w:rsidRPr="0042579E">
        <w:rPr>
          <w:rFonts w:ascii="Calibri" w:hAnsi="Calibri" w:cs="Calibri"/>
          <w:b/>
          <w:bCs/>
        </w:rPr>
        <w:t>:</w:t>
      </w:r>
    </w:p>
    <w:p w14:paraId="55224FEA" w14:textId="77777777" w:rsidR="005808E8" w:rsidRDefault="005808E8" w:rsidP="007C701B">
      <w:pPr>
        <w:spacing w:after="120" w:line="278" w:lineRule="auto"/>
        <w:rPr>
          <w:rFonts w:ascii="Calibri" w:hAnsi="Calibri" w:cs="Calibri"/>
        </w:rPr>
      </w:pPr>
      <w:r w:rsidRPr="00CC4880">
        <w:rPr>
          <w:rFonts w:ascii="Calibri" w:hAnsi="Calibri" w:cs="Calibri"/>
        </w:rPr>
        <w:t xml:space="preserve">Binder AM, Cherry-Brown D, Biggerstaff BJ, Jones ES, Amelio CL, Beard CB, Petersen LR, Kersh GJ, Commins SP, Armstrong PA. Clinical and laboratory features of patients diagnosed with alpha-gal syndrome-2010-2019. Allergy. 2023 Feb;78(2):477-487. doi: </w:t>
      </w:r>
      <w:hyperlink r:id="rId20" w:history="1">
        <w:r w:rsidRPr="00B411F9">
          <w:rPr>
            <w:rStyle w:val="Hyperlink"/>
            <w:rFonts w:ascii="Calibri" w:hAnsi="Calibri" w:cs="Calibri"/>
          </w:rPr>
          <w:t>10.1111/all.15539</w:t>
        </w:r>
      </w:hyperlink>
      <w:r w:rsidRPr="00CC4880">
        <w:rPr>
          <w:rFonts w:ascii="Calibri" w:hAnsi="Calibri" w:cs="Calibri"/>
        </w:rPr>
        <w:t>.</w:t>
      </w:r>
    </w:p>
    <w:p w14:paraId="2060B5C0" w14:textId="77777777" w:rsidR="005808E8" w:rsidRDefault="005808E8" w:rsidP="007C701B">
      <w:pPr>
        <w:spacing w:after="120" w:line="278" w:lineRule="auto"/>
        <w:rPr>
          <w:rFonts w:ascii="Calibri" w:hAnsi="Calibri" w:cs="Calibri"/>
        </w:rPr>
      </w:pPr>
      <w:r w:rsidRPr="00B30442">
        <w:rPr>
          <w:rFonts w:ascii="Calibri" w:hAnsi="Calibri" w:cs="Calibri"/>
        </w:rPr>
        <w:t xml:space="preserve">Carter MC, Ruiz-Esteves KN, Workman L, Lieberman P, Platts-Mills TAE, Metcalfe DD. Identification of alpha-gal sensitivity in patients with a diagnosis of idiopathic anaphylaxis. Allergy. 2018 May;73(5):1131-1134. doi: </w:t>
      </w:r>
      <w:hyperlink r:id="rId21" w:history="1">
        <w:r w:rsidRPr="00B30442">
          <w:rPr>
            <w:rStyle w:val="Hyperlink"/>
            <w:rFonts w:ascii="Calibri" w:hAnsi="Calibri" w:cs="Calibri"/>
          </w:rPr>
          <w:t>10.1111/all.13366</w:t>
        </w:r>
      </w:hyperlink>
      <w:r w:rsidRPr="00B30442">
        <w:rPr>
          <w:rFonts w:ascii="Calibri" w:hAnsi="Calibri" w:cs="Calibri"/>
        </w:rPr>
        <w:t>.</w:t>
      </w:r>
    </w:p>
    <w:p w14:paraId="39295640" w14:textId="77777777" w:rsidR="005808E8" w:rsidRDefault="005808E8" w:rsidP="007C701B">
      <w:pPr>
        <w:spacing w:after="120" w:line="278" w:lineRule="auto"/>
        <w:rPr>
          <w:rFonts w:ascii="Calibri" w:hAnsi="Calibri" w:cs="Calibri"/>
        </w:rPr>
      </w:pPr>
      <w:r w:rsidRPr="00080FDF">
        <w:rPr>
          <w:rFonts w:ascii="Calibri" w:hAnsi="Calibri" w:cs="Calibri"/>
        </w:rPr>
        <w:lastRenderedPageBreak/>
        <w:t xml:space="preserve">Commins SP. Diagnosis &amp; management of alpha-gal syndrome: lessons from 2,500 patients. Expert Rev Clin Immunol. 2020 Jul;16(7):667-677. doi: </w:t>
      </w:r>
      <w:hyperlink r:id="rId22" w:history="1">
        <w:r w:rsidRPr="00872C4F">
          <w:rPr>
            <w:rStyle w:val="Hyperlink"/>
            <w:rFonts w:ascii="Calibri" w:hAnsi="Calibri" w:cs="Calibri"/>
          </w:rPr>
          <w:t>10.1080/1744666X.2020.1782745</w:t>
        </w:r>
      </w:hyperlink>
      <w:r w:rsidRPr="00080FDF">
        <w:rPr>
          <w:rFonts w:ascii="Calibri" w:hAnsi="Calibri" w:cs="Calibri"/>
        </w:rPr>
        <w:t>.</w:t>
      </w:r>
    </w:p>
    <w:p w14:paraId="01DEA461" w14:textId="77777777" w:rsidR="005808E8" w:rsidRDefault="005808E8" w:rsidP="007C701B">
      <w:pPr>
        <w:spacing w:after="120" w:line="278" w:lineRule="auto"/>
        <w:rPr>
          <w:rFonts w:ascii="Calibri" w:hAnsi="Calibri" w:cs="Calibri"/>
        </w:rPr>
      </w:pPr>
      <w:r w:rsidRPr="00941637">
        <w:rPr>
          <w:rFonts w:ascii="Calibri" w:hAnsi="Calibri" w:cs="Calibri"/>
        </w:rPr>
        <w:t xml:space="preserve">Kersh GJ, Salzer J, Jones ES, Binder AM, Armstrong PA, Choudhary SK, Commins GK, Amelio CL, Kato CY, Singleton J, Biggerstaff BJ, Beard CB, Petersen LR, Commins SP. Tick bite as a risk factor for alpha-gal-specific immunoglobulin E antibodies and development of alpha-gal syndrome. Ann Allergy Asthma Immunol. 2023 Apr;130(4):472-478. doi: </w:t>
      </w:r>
      <w:hyperlink r:id="rId23" w:history="1">
        <w:r w:rsidRPr="00941637">
          <w:rPr>
            <w:rStyle w:val="Hyperlink"/>
            <w:rFonts w:ascii="Calibri" w:hAnsi="Calibri" w:cs="Calibri"/>
          </w:rPr>
          <w:t>10.1016/j.anai.2022.11.021</w:t>
        </w:r>
      </w:hyperlink>
      <w:r w:rsidRPr="00941637">
        <w:rPr>
          <w:rFonts w:ascii="Calibri" w:hAnsi="Calibri" w:cs="Calibri"/>
        </w:rPr>
        <w:t>.</w:t>
      </w:r>
    </w:p>
    <w:p w14:paraId="5554C985" w14:textId="77777777" w:rsidR="005808E8" w:rsidRDefault="005808E8" w:rsidP="007C701B">
      <w:pPr>
        <w:spacing w:after="120" w:line="278" w:lineRule="auto"/>
        <w:rPr>
          <w:rFonts w:ascii="Calibri" w:hAnsi="Calibri" w:cs="Calibri"/>
        </w:rPr>
      </w:pPr>
      <w:r w:rsidRPr="001E4538">
        <w:rPr>
          <w:rFonts w:ascii="Calibri" w:hAnsi="Calibri" w:cs="Calibri"/>
        </w:rPr>
        <w:t xml:space="preserve">Platts-Mills TAE, Li RC, Keshavarz B, Smith AR, Wilson JM. Diagnosis and Management of Patients with the α-Gal Syndrome. J Allergy Clin Immunol Pract. 2020 Jan;8(1):15-23.e1. doi: </w:t>
      </w:r>
      <w:hyperlink r:id="rId24" w:history="1">
        <w:r w:rsidRPr="001E4538">
          <w:rPr>
            <w:rStyle w:val="Hyperlink"/>
            <w:rFonts w:ascii="Calibri" w:hAnsi="Calibri" w:cs="Calibri"/>
          </w:rPr>
          <w:t>10.1016/j.jaip.2019.09.017</w:t>
        </w:r>
      </w:hyperlink>
      <w:r w:rsidRPr="001E4538">
        <w:rPr>
          <w:rFonts w:ascii="Calibri" w:hAnsi="Calibri" w:cs="Calibri"/>
        </w:rPr>
        <w:t>.</w:t>
      </w:r>
    </w:p>
    <w:p w14:paraId="30C3DA92" w14:textId="77777777" w:rsidR="005808E8" w:rsidRDefault="005808E8" w:rsidP="007C701B">
      <w:pPr>
        <w:spacing w:after="120" w:line="278" w:lineRule="auto"/>
        <w:rPr>
          <w:rFonts w:ascii="Calibri" w:hAnsi="Calibri" w:cs="Calibri"/>
        </w:rPr>
      </w:pPr>
      <w:r w:rsidRPr="009D767C">
        <w:rPr>
          <w:rFonts w:ascii="Calibri" w:hAnsi="Calibri" w:cs="Calibri"/>
        </w:rPr>
        <w:t xml:space="preserve">Thompson JM, Carpenter A, Kersh GJ, Wachs T, Commins SP, Salzer JS. Geographic Distribution of Suspected Alpha-gal Syndrome Cases — United States, January 2017–December 2022. MMWR Morb Mortal Wkly Rep 2023;72:815–820. </w:t>
      </w:r>
      <w:r>
        <w:rPr>
          <w:rFonts w:ascii="Calibri" w:hAnsi="Calibri" w:cs="Calibri"/>
        </w:rPr>
        <w:t>doi</w:t>
      </w:r>
      <w:r w:rsidRPr="009D767C">
        <w:rPr>
          <w:rFonts w:ascii="Calibri" w:hAnsi="Calibri" w:cs="Calibri"/>
        </w:rPr>
        <w:t xml:space="preserve">: </w:t>
      </w:r>
      <w:hyperlink r:id="rId25" w:history="1">
        <w:r w:rsidRPr="009D767C">
          <w:rPr>
            <w:rStyle w:val="Hyperlink"/>
            <w:rFonts w:ascii="Calibri" w:hAnsi="Calibri" w:cs="Calibri"/>
          </w:rPr>
          <w:t>http://dx.doi.org/10.15585/mmwr.mm7230a2</w:t>
        </w:r>
      </w:hyperlink>
      <w:r w:rsidRPr="009D767C">
        <w:rPr>
          <w:rFonts w:ascii="Calibri" w:hAnsi="Calibri" w:cs="Calibri"/>
        </w:rPr>
        <w:t>.</w:t>
      </w:r>
    </w:p>
    <w:p w14:paraId="64A4E90E" w14:textId="77777777" w:rsidR="005808E8" w:rsidRDefault="005808E8" w:rsidP="007C701B">
      <w:pPr>
        <w:spacing w:after="120" w:line="278" w:lineRule="auto"/>
        <w:rPr>
          <w:rFonts w:ascii="Calibri" w:hAnsi="Calibri" w:cs="Calibri"/>
        </w:rPr>
      </w:pPr>
      <w:r w:rsidRPr="00E42EEA">
        <w:rPr>
          <w:rFonts w:ascii="Calibri" w:hAnsi="Calibri" w:cs="Calibri"/>
        </w:rPr>
        <w:t xml:space="preserve">Vaz-Rodrigues R, Mazuecos L, de la Fuente J. Current and Future Strategies for the Diagnosis and Treatment of the Alpha-Gal Syndrome (AGS). J Asthma Allergy. 2022 Jul 18;15:957-970. </w:t>
      </w:r>
      <w:r>
        <w:rPr>
          <w:rFonts w:ascii="Calibri" w:hAnsi="Calibri" w:cs="Calibri"/>
        </w:rPr>
        <w:t>doi</w:t>
      </w:r>
      <w:r w:rsidRPr="00E42EEA">
        <w:rPr>
          <w:rFonts w:ascii="Calibri" w:hAnsi="Calibri" w:cs="Calibri"/>
        </w:rPr>
        <w:t xml:space="preserve">: </w:t>
      </w:r>
      <w:hyperlink r:id="rId26" w:history="1">
        <w:r w:rsidRPr="00E42EEA">
          <w:rPr>
            <w:rStyle w:val="Hyperlink"/>
            <w:rFonts w:ascii="Calibri" w:hAnsi="Calibri" w:cs="Calibri"/>
          </w:rPr>
          <w:t>10.2147/JAA.S265660</w:t>
        </w:r>
      </w:hyperlink>
      <w:r w:rsidRPr="00E42EEA">
        <w:rPr>
          <w:rFonts w:ascii="Calibri" w:hAnsi="Calibri" w:cs="Calibri"/>
        </w:rPr>
        <w:t>.</w:t>
      </w:r>
    </w:p>
    <w:p w14:paraId="258DAC02" w14:textId="77777777" w:rsidR="005808E8" w:rsidRDefault="005808E8" w:rsidP="007C701B">
      <w:pPr>
        <w:spacing w:after="120" w:line="278" w:lineRule="auto"/>
        <w:rPr>
          <w:rFonts w:ascii="Calibri" w:hAnsi="Calibri" w:cs="Calibri"/>
        </w:rPr>
      </w:pPr>
      <w:r>
        <w:rPr>
          <w:rFonts w:ascii="Calibri" w:hAnsi="Calibri" w:cs="Calibri"/>
        </w:rPr>
        <w:t xml:space="preserve">Centers for Disease Control and Prevention: </w:t>
      </w:r>
      <w:hyperlink r:id="rId27" w:anchor="hcp" w:history="1">
        <w:r w:rsidRPr="006F03CD">
          <w:rPr>
            <w:rStyle w:val="Hyperlink"/>
            <w:rFonts w:ascii="Calibri" w:hAnsi="Calibri" w:cs="Calibri"/>
          </w:rPr>
          <w:t>Alpha-gal Syndrome for Healthcare Providers</w:t>
        </w:r>
      </w:hyperlink>
    </w:p>
    <w:p w14:paraId="470C8E1C" w14:textId="77777777" w:rsidR="005808E8" w:rsidRDefault="005808E8" w:rsidP="007C701B">
      <w:pPr>
        <w:spacing w:after="120" w:line="278" w:lineRule="auto"/>
        <w:rPr>
          <w:rFonts w:ascii="Calibri" w:hAnsi="Calibri" w:cs="Calibri"/>
        </w:rPr>
      </w:pPr>
      <w:r>
        <w:rPr>
          <w:rFonts w:ascii="Calibri" w:hAnsi="Calibri" w:cs="Calibri"/>
        </w:rPr>
        <w:t xml:space="preserve">Centers for Disease Control and Prevention: </w:t>
      </w:r>
      <w:hyperlink r:id="rId28" w:anchor="gen" w:history="1">
        <w:r>
          <w:rPr>
            <w:rStyle w:val="Hyperlink"/>
            <w:rFonts w:ascii="Calibri" w:hAnsi="Calibri" w:cs="Calibri"/>
          </w:rPr>
          <w:t>Alpha-gal Syndrome for Everyone</w:t>
        </w:r>
      </w:hyperlink>
    </w:p>
    <w:p w14:paraId="47B4A9A7" w14:textId="77777777" w:rsidR="005808E8" w:rsidRPr="00D960D2" w:rsidRDefault="005808E8" w:rsidP="007C701B">
      <w:pPr>
        <w:spacing w:after="120" w:line="278" w:lineRule="auto"/>
        <w:rPr>
          <w:rFonts w:ascii="Calibri" w:hAnsi="Calibri" w:cs="Calibri"/>
        </w:rPr>
      </w:pPr>
      <w:r>
        <w:rPr>
          <w:rFonts w:ascii="Calibri" w:hAnsi="Calibri" w:cs="Calibri"/>
        </w:rPr>
        <w:t xml:space="preserve">Environmental Protection Agency: </w:t>
      </w:r>
      <w:hyperlink r:id="rId29" w:history="1">
        <w:r w:rsidRPr="0074049D">
          <w:rPr>
            <w:rStyle w:val="Hyperlink"/>
            <w:rFonts w:ascii="Calibri" w:hAnsi="Calibri" w:cs="Calibri"/>
          </w:rPr>
          <w:t>Repellents: Protection against Mosquitoes, Ticks and Other Arthropods</w:t>
        </w:r>
      </w:hyperlink>
    </w:p>
    <w:p w14:paraId="35E1D137" w14:textId="77777777" w:rsidR="005808E8" w:rsidRPr="005C7440" w:rsidRDefault="005808E8" w:rsidP="007C701B">
      <w:pPr>
        <w:spacing w:after="120" w:line="278" w:lineRule="auto"/>
        <w:rPr>
          <w:rFonts w:asciiTheme="minorHAnsi" w:eastAsia="Calibri" w:hAnsiTheme="minorHAnsi" w:cstheme="minorHAnsi"/>
        </w:rPr>
      </w:pPr>
    </w:p>
    <w:sectPr w:rsidR="005808E8" w:rsidRPr="005C7440" w:rsidSect="002D4F17">
      <w:type w:val="continuous"/>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26F4" w14:textId="77777777" w:rsidR="00081512" w:rsidRDefault="00081512" w:rsidP="00FC42CB">
      <w:r>
        <w:separator/>
      </w:r>
    </w:p>
  </w:endnote>
  <w:endnote w:type="continuationSeparator" w:id="0">
    <w:p w14:paraId="575A499C" w14:textId="77777777" w:rsidR="00081512" w:rsidRDefault="00081512" w:rsidP="00FC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655C" w14:textId="77777777" w:rsidR="00081512" w:rsidRDefault="00081512" w:rsidP="00FC42CB">
      <w:r>
        <w:separator/>
      </w:r>
    </w:p>
  </w:footnote>
  <w:footnote w:type="continuationSeparator" w:id="0">
    <w:p w14:paraId="3DE1E8B1" w14:textId="77777777" w:rsidR="00081512" w:rsidRDefault="00081512" w:rsidP="00FC4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4D3"/>
    <w:multiLevelType w:val="hybridMultilevel"/>
    <w:tmpl w:val="157C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D3FC5"/>
    <w:multiLevelType w:val="hybridMultilevel"/>
    <w:tmpl w:val="75F6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67341"/>
    <w:multiLevelType w:val="hybridMultilevel"/>
    <w:tmpl w:val="FEE40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ED0126"/>
    <w:multiLevelType w:val="hybridMultilevel"/>
    <w:tmpl w:val="933C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E7E3D"/>
    <w:multiLevelType w:val="hybridMultilevel"/>
    <w:tmpl w:val="723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EAE93"/>
    <w:multiLevelType w:val="hybridMultilevel"/>
    <w:tmpl w:val="1B8C219C"/>
    <w:lvl w:ilvl="0" w:tplc="D43CAEDE">
      <w:start w:val="1"/>
      <w:numFmt w:val="bullet"/>
      <w:lvlText w:val=""/>
      <w:lvlJc w:val="left"/>
      <w:pPr>
        <w:ind w:left="720" w:hanging="360"/>
      </w:pPr>
      <w:rPr>
        <w:rFonts w:ascii="Symbol" w:hAnsi="Symbol" w:hint="default"/>
      </w:rPr>
    </w:lvl>
    <w:lvl w:ilvl="1" w:tplc="2D5A26E4">
      <w:start w:val="1"/>
      <w:numFmt w:val="bullet"/>
      <w:lvlText w:val="o"/>
      <w:lvlJc w:val="left"/>
      <w:pPr>
        <w:ind w:left="1440" w:hanging="360"/>
      </w:pPr>
      <w:rPr>
        <w:rFonts w:ascii="Courier New" w:hAnsi="Courier New" w:hint="default"/>
      </w:rPr>
    </w:lvl>
    <w:lvl w:ilvl="2" w:tplc="66DA5718">
      <w:start w:val="1"/>
      <w:numFmt w:val="bullet"/>
      <w:lvlText w:val=""/>
      <w:lvlJc w:val="left"/>
      <w:pPr>
        <w:ind w:left="2160" w:hanging="360"/>
      </w:pPr>
      <w:rPr>
        <w:rFonts w:ascii="Wingdings" w:hAnsi="Wingdings" w:hint="default"/>
      </w:rPr>
    </w:lvl>
    <w:lvl w:ilvl="3" w:tplc="B4E06CBC">
      <w:start w:val="1"/>
      <w:numFmt w:val="bullet"/>
      <w:lvlText w:val=""/>
      <w:lvlJc w:val="left"/>
      <w:pPr>
        <w:ind w:left="2880" w:hanging="360"/>
      </w:pPr>
      <w:rPr>
        <w:rFonts w:ascii="Symbol" w:hAnsi="Symbol" w:hint="default"/>
      </w:rPr>
    </w:lvl>
    <w:lvl w:ilvl="4" w:tplc="CEF078D0">
      <w:start w:val="1"/>
      <w:numFmt w:val="bullet"/>
      <w:lvlText w:val="o"/>
      <w:lvlJc w:val="left"/>
      <w:pPr>
        <w:ind w:left="3600" w:hanging="360"/>
      </w:pPr>
      <w:rPr>
        <w:rFonts w:ascii="Courier New" w:hAnsi="Courier New" w:hint="default"/>
      </w:rPr>
    </w:lvl>
    <w:lvl w:ilvl="5" w:tplc="586A76EE">
      <w:start w:val="1"/>
      <w:numFmt w:val="bullet"/>
      <w:lvlText w:val=""/>
      <w:lvlJc w:val="left"/>
      <w:pPr>
        <w:ind w:left="4320" w:hanging="360"/>
      </w:pPr>
      <w:rPr>
        <w:rFonts w:ascii="Wingdings" w:hAnsi="Wingdings" w:hint="default"/>
      </w:rPr>
    </w:lvl>
    <w:lvl w:ilvl="6" w:tplc="1042F6B0">
      <w:start w:val="1"/>
      <w:numFmt w:val="bullet"/>
      <w:lvlText w:val=""/>
      <w:lvlJc w:val="left"/>
      <w:pPr>
        <w:ind w:left="5040" w:hanging="360"/>
      </w:pPr>
      <w:rPr>
        <w:rFonts w:ascii="Symbol" w:hAnsi="Symbol" w:hint="default"/>
      </w:rPr>
    </w:lvl>
    <w:lvl w:ilvl="7" w:tplc="3E8A9E6E">
      <w:start w:val="1"/>
      <w:numFmt w:val="bullet"/>
      <w:lvlText w:val="o"/>
      <w:lvlJc w:val="left"/>
      <w:pPr>
        <w:ind w:left="5760" w:hanging="360"/>
      </w:pPr>
      <w:rPr>
        <w:rFonts w:ascii="Courier New" w:hAnsi="Courier New" w:hint="default"/>
      </w:rPr>
    </w:lvl>
    <w:lvl w:ilvl="8" w:tplc="890E499A">
      <w:start w:val="1"/>
      <w:numFmt w:val="bullet"/>
      <w:lvlText w:val=""/>
      <w:lvlJc w:val="left"/>
      <w:pPr>
        <w:ind w:left="6480" w:hanging="360"/>
      </w:pPr>
      <w:rPr>
        <w:rFonts w:ascii="Wingdings" w:hAnsi="Wingdings" w:hint="default"/>
      </w:rPr>
    </w:lvl>
  </w:abstractNum>
  <w:num w:numId="1" w16cid:durableId="952781481">
    <w:abstractNumId w:val="5"/>
  </w:num>
  <w:num w:numId="2" w16cid:durableId="191185268">
    <w:abstractNumId w:val="1"/>
  </w:num>
  <w:num w:numId="3" w16cid:durableId="421025716">
    <w:abstractNumId w:val="2"/>
  </w:num>
  <w:num w:numId="4" w16cid:durableId="1272930282">
    <w:abstractNumId w:val="3"/>
  </w:num>
  <w:num w:numId="5" w16cid:durableId="333799416">
    <w:abstractNumId w:val="4"/>
  </w:num>
  <w:num w:numId="6" w16cid:durableId="160970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0F54"/>
    <w:rsid w:val="000236FC"/>
    <w:rsid w:val="00033154"/>
    <w:rsid w:val="00042048"/>
    <w:rsid w:val="00050346"/>
    <w:rsid w:val="000537DA"/>
    <w:rsid w:val="00063821"/>
    <w:rsid w:val="00064EB5"/>
    <w:rsid w:val="00081512"/>
    <w:rsid w:val="0008360F"/>
    <w:rsid w:val="000A1DE1"/>
    <w:rsid w:val="000B7D96"/>
    <w:rsid w:val="000C2E20"/>
    <w:rsid w:val="000C6314"/>
    <w:rsid w:val="000F315B"/>
    <w:rsid w:val="001125C0"/>
    <w:rsid w:val="0011305C"/>
    <w:rsid w:val="00136788"/>
    <w:rsid w:val="0015268B"/>
    <w:rsid w:val="0015709E"/>
    <w:rsid w:val="0017749A"/>
    <w:rsid w:val="00177C77"/>
    <w:rsid w:val="00181884"/>
    <w:rsid w:val="001A7E66"/>
    <w:rsid w:val="001B6693"/>
    <w:rsid w:val="001C0233"/>
    <w:rsid w:val="001C11ED"/>
    <w:rsid w:val="001F15B6"/>
    <w:rsid w:val="001F15FC"/>
    <w:rsid w:val="0021698C"/>
    <w:rsid w:val="00221CA1"/>
    <w:rsid w:val="0023585D"/>
    <w:rsid w:val="00237280"/>
    <w:rsid w:val="00260D54"/>
    <w:rsid w:val="00276957"/>
    <w:rsid w:val="00276DCC"/>
    <w:rsid w:val="002A132F"/>
    <w:rsid w:val="002B5A45"/>
    <w:rsid w:val="002D1C21"/>
    <w:rsid w:val="002D4F17"/>
    <w:rsid w:val="002F3439"/>
    <w:rsid w:val="002F58B3"/>
    <w:rsid w:val="00301022"/>
    <w:rsid w:val="00334BDB"/>
    <w:rsid w:val="00357A68"/>
    <w:rsid w:val="00375EAD"/>
    <w:rsid w:val="003832B6"/>
    <w:rsid w:val="00385812"/>
    <w:rsid w:val="00392D0B"/>
    <w:rsid w:val="003A7AFC"/>
    <w:rsid w:val="003C01C6"/>
    <w:rsid w:val="003C60EF"/>
    <w:rsid w:val="003D6F77"/>
    <w:rsid w:val="00405D3A"/>
    <w:rsid w:val="00413381"/>
    <w:rsid w:val="0045120A"/>
    <w:rsid w:val="0047026A"/>
    <w:rsid w:val="004813AC"/>
    <w:rsid w:val="00494E59"/>
    <w:rsid w:val="004A79A3"/>
    <w:rsid w:val="004B37A0"/>
    <w:rsid w:val="004B5CFB"/>
    <w:rsid w:val="004B63FD"/>
    <w:rsid w:val="004C187B"/>
    <w:rsid w:val="004C2B90"/>
    <w:rsid w:val="004D6B39"/>
    <w:rsid w:val="004E0C3F"/>
    <w:rsid w:val="004E565F"/>
    <w:rsid w:val="00511DB0"/>
    <w:rsid w:val="00512956"/>
    <w:rsid w:val="00530145"/>
    <w:rsid w:val="005448AA"/>
    <w:rsid w:val="00572A6E"/>
    <w:rsid w:val="0057569F"/>
    <w:rsid w:val="005808E8"/>
    <w:rsid w:val="005A0E98"/>
    <w:rsid w:val="005A7F49"/>
    <w:rsid w:val="005C2CEC"/>
    <w:rsid w:val="005C7440"/>
    <w:rsid w:val="0061033D"/>
    <w:rsid w:val="00615C12"/>
    <w:rsid w:val="00624ACE"/>
    <w:rsid w:val="006846CB"/>
    <w:rsid w:val="006D06D9"/>
    <w:rsid w:val="006D77A6"/>
    <w:rsid w:val="00702109"/>
    <w:rsid w:val="007210FB"/>
    <w:rsid w:val="0072610D"/>
    <w:rsid w:val="007359C3"/>
    <w:rsid w:val="00757006"/>
    <w:rsid w:val="00771FEB"/>
    <w:rsid w:val="007804D8"/>
    <w:rsid w:val="007A09EF"/>
    <w:rsid w:val="007A221C"/>
    <w:rsid w:val="007B3338"/>
    <w:rsid w:val="007B3F4B"/>
    <w:rsid w:val="007B5DB0"/>
    <w:rsid w:val="007B7347"/>
    <w:rsid w:val="007C0512"/>
    <w:rsid w:val="007C701B"/>
    <w:rsid w:val="007D10F3"/>
    <w:rsid w:val="007D1D51"/>
    <w:rsid w:val="007E06B4"/>
    <w:rsid w:val="007E0772"/>
    <w:rsid w:val="007E0DC0"/>
    <w:rsid w:val="007F3A5B"/>
    <w:rsid w:val="007F3CDB"/>
    <w:rsid w:val="00802852"/>
    <w:rsid w:val="00821C1F"/>
    <w:rsid w:val="008265F4"/>
    <w:rsid w:val="00835547"/>
    <w:rsid w:val="00850407"/>
    <w:rsid w:val="0087147A"/>
    <w:rsid w:val="0088305B"/>
    <w:rsid w:val="008870A5"/>
    <w:rsid w:val="009022C4"/>
    <w:rsid w:val="00911032"/>
    <w:rsid w:val="00951305"/>
    <w:rsid w:val="00952E7B"/>
    <w:rsid w:val="0096762A"/>
    <w:rsid w:val="009730E5"/>
    <w:rsid w:val="009908FF"/>
    <w:rsid w:val="00995505"/>
    <w:rsid w:val="009A1963"/>
    <w:rsid w:val="009B6A50"/>
    <w:rsid w:val="009C4428"/>
    <w:rsid w:val="009D2158"/>
    <w:rsid w:val="009D48CD"/>
    <w:rsid w:val="009F1F55"/>
    <w:rsid w:val="00A107B0"/>
    <w:rsid w:val="00A26B7A"/>
    <w:rsid w:val="00A47A91"/>
    <w:rsid w:val="00A5547C"/>
    <w:rsid w:val="00A64BBC"/>
    <w:rsid w:val="00A65101"/>
    <w:rsid w:val="00A93FBF"/>
    <w:rsid w:val="00AB3924"/>
    <w:rsid w:val="00AD38A2"/>
    <w:rsid w:val="00AF196D"/>
    <w:rsid w:val="00AF67A3"/>
    <w:rsid w:val="00B343FD"/>
    <w:rsid w:val="00B3692F"/>
    <w:rsid w:val="00B403BF"/>
    <w:rsid w:val="00B608D9"/>
    <w:rsid w:val="00B64335"/>
    <w:rsid w:val="00B92C05"/>
    <w:rsid w:val="00B9382F"/>
    <w:rsid w:val="00BA15C5"/>
    <w:rsid w:val="00BA4055"/>
    <w:rsid w:val="00BA7FB6"/>
    <w:rsid w:val="00BD7442"/>
    <w:rsid w:val="00BE0326"/>
    <w:rsid w:val="00BE2BB3"/>
    <w:rsid w:val="00C20BFE"/>
    <w:rsid w:val="00C46D29"/>
    <w:rsid w:val="00C81D3D"/>
    <w:rsid w:val="00CC1778"/>
    <w:rsid w:val="00CC290B"/>
    <w:rsid w:val="00CC31B3"/>
    <w:rsid w:val="00CC4C78"/>
    <w:rsid w:val="00CC6813"/>
    <w:rsid w:val="00CD2041"/>
    <w:rsid w:val="00CE575B"/>
    <w:rsid w:val="00CF3DE8"/>
    <w:rsid w:val="00D0493F"/>
    <w:rsid w:val="00D10DDE"/>
    <w:rsid w:val="00D17C27"/>
    <w:rsid w:val="00D37B71"/>
    <w:rsid w:val="00D544FA"/>
    <w:rsid w:val="00D56F91"/>
    <w:rsid w:val="00D76119"/>
    <w:rsid w:val="00D8671C"/>
    <w:rsid w:val="00D91390"/>
    <w:rsid w:val="00DA57C3"/>
    <w:rsid w:val="00DC3855"/>
    <w:rsid w:val="00DE33C8"/>
    <w:rsid w:val="00DF56E2"/>
    <w:rsid w:val="00E242A8"/>
    <w:rsid w:val="00E274B8"/>
    <w:rsid w:val="00E62A9B"/>
    <w:rsid w:val="00E72707"/>
    <w:rsid w:val="00E814A1"/>
    <w:rsid w:val="00EA47DB"/>
    <w:rsid w:val="00EC625A"/>
    <w:rsid w:val="00EC6765"/>
    <w:rsid w:val="00ED1D29"/>
    <w:rsid w:val="00EE3D6B"/>
    <w:rsid w:val="00EF0780"/>
    <w:rsid w:val="00F0586E"/>
    <w:rsid w:val="00F27899"/>
    <w:rsid w:val="00F43932"/>
    <w:rsid w:val="00F60F7B"/>
    <w:rsid w:val="00F86E19"/>
    <w:rsid w:val="00FA4669"/>
    <w:rsid w:val="00FA4CD6"/>
    <w:rsid w:val="00FA575E"/>
    <w:rsid w:val="00FC42CB"/>
    <w:rsid w:val="00FC6B42"/>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paragraph" w:styleId="FootnoteText">
    <w:name w:val="footnote text"/>
    <w:basedOn w:val="Normal"/>
    <w:link w:val="FootnoteTextChar"/>
    <w:rsid w:val="00FC42CB"/>
    <w:rPr>
      <w:sz w:val="20"/>
    </w:rPr>
  </w:style>
  <w:style w:type="character" w:customStyle="1" w:styleId="FootnoteTextChar">
    <w:name w:val="Footnote Text Char"/>
    <w:basedOn w:val="DefaultParagraphFont"/>
    <w:link w:val="FootnoteText"/>
    <w:rsid w:val="00FC42CB"/>
  </w:style>
  <w:style w:type="character" w:styleId="FootnoteReference">
    <w:name w:val="footnote reference"/>
    <w:basedOn w:val="DefaultParagraphFont"/>
    <w:uiPriority w:val="99"/>
    <w:unhideWhenUsed/>
    <w:rsid w:val="00FC42CB"/>
    <w:rPr>
      <w:vertAlign w:val="superscript"/>
    </w:rPr>
  </w:style>
  <w:style w:type="character" w:styleId="FollowedHyperlink">
    <w:name w:val="FollowedHyperlink"/>
    <w:basedOn w:val="DefaultParagraphFont"/>
    <w:rsid w:val="005A7F49"/>
    <w:rPr>
      <w:color w:val="954F72" w:themeColor="followedHyperlink"/>
      <w:u w:val="single"/>
    </w:rPr>
  </w:style>
  <w:style w:type="paragraph" w:styleId="ListParagraph">
    <w:name w:val="List Paragraph"/>
    <w:basedOn w:val="Normal"/>
    <w:uiPriority w:val="34"/>
    <w:qFormat/>
    <w:rsid w:val="00835547"/>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NormalWeb">
    <w:name w:val="Normal (Web)"/>
    <w:basedOn w:val="Normal"/>
    <w:uiPriority w:val="99"/>
    <w:unhideWhenUsed/>
    <w:rsid w:val="005808E8"/>
    <w:pPr>
      <w:spacing w:before="100" w:beforeAutospacing="1" w:after="100" w:afterAutospacing="1"/>
    </w:pPr>
    <w:rPr>
      <w:szCs w:val="24"/>
    </w:rPr>
  </w:style>
  <w:style w:type="character" w:styleId="CommentReference">
    <w:name w:val="annotation reference"/>
    <w:basedOn w:val="DefaultParagraphFont"/>
    <w:rsid w:val="004C187B"/>
    <w:rPr>
      <w:sz w:val="16"/>
      <w:szCs w:val="16"/>
    </w:rPr>
  </w:style>
  <w:style w:type="paragraph" w:styleId="CommentText">
    <w:name w:val="annotation text"/>
    <w:basedOn w:val="Normal"/>
    <w:link w:val="CommentTextChar"/>
    <w:rsid w:val="004C187B"/>
    <w:rPr>
      <w:sz w:val="20"/>
    </w:rPr>
  </w:style>
  <w:style w:type="character" w:customStyle="1" w:styleId="CommentTextChar">
    <w:name w:val="Comment Text Char"/>
    <w:basedOn w:val="DefaultParagraphFont"/>
    <w:link w:val="CommentText"/>
    <w:rsid w:val="004C187B"/>
  </w:style>
  <w:style w:type="paragraph" w:styleId="CommentSubject">
    <w:name w:val="annotation subject"/>
    <w:basedOn w:val="CommentText"/>
    <w:next w:val="CommentText"/>
    <w:link w:val="CommentSubjectChar"/>
    <w:rsid w:val="004C187B"/>
    <w:rPr>
      <w:b/>
      <w:bCs/>
    </w:rPr>
  </w:style>
  <w:style w:type="character" w:customStyle="1" w:styleId="CommentSubjectChar">
    <w:name w:val="Comment Subject Char"/>
    <w:basedOn w:val="CommentTextChar"/>
    <w:link w:val="CommentSubject"/>
    <w:rsid w:val="004C1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file:///C:\Users\CBrown1\AppData\Local\Microsoft\Windows\INetCache\Content.Outlook\5EBO0PIT\elr.cdsupport@mass.gov" TargetMode="External"/><Relationship Id="rId26" Type="http://schemas.openxmlformats.org/officeDocument/2006/relationships/hyperlink" Target="https://pmc.ncbi.nlm.nih.gov/articles/PMC9307871/" TargetMode="External"/><Relationship Id="rId3" Type="http://schemas.openxmlformats.org/officeDocument/2006/relationships/customXml" Target="../customXml/item3.xml"/><Relationship Id="rId21" Type="http://schemas.openxmlformats.org/officeDocument/2006/relationships/hyperlink" Target="https://pmc.ncbi.nlm.nih.gov/articles/PMC7254893/" TargetMode="External"/><Relationship Id="rId7" Type="http://schemas.openxmlformats.org/officeDocument/2006/relationships/webSettings" Target="webSettings.xml"/><Relationship Id="rId12" Type="http://schemas.openxmlformats.org/officeDocument/2006/relationships/hyperlink" Target="http://www.mass.gov/state-public-health-laboratory-sciences" TargetMode="External"/><Relationship Id="rId17" Type="http://schemas.openxmlformats.org/officeDocument/2006/relationships/hyperlink" Target="https://infectious-disease-reporting.dph.mass.gov/pages/CaseReportForms" TargetMode="External"/><Relationship Id="rId25" Type="http://schemas.openxmlformats.org/officeDocument/2006/relationships/hyperlink" Target="http://dx.doi.org/10.15585/mmwr.mm7230a2" TargetMode="External"/><Relationship Id="rId2" Type="http://schemas.openxmlformats.org/officeDocument/2006/relationships/customXml" Target="../customXml/item2.xml"/><Relationship Id="rId16" Type="http://schemas.openxmlformats.org/officeDocument/2006/relationships/hyperlink" Target="https://www.vaccinesafety.edu/components-excipients/" TargetMode="External"/><Relationship Id="rId20" Type="http://schemas.openxmlformats.org/officeDocument/2006/relationships/hyperlink" Target="https://pmc.ncbi.nlm.nih.gov/articles/PMC10092820/" TargetMode="External"/><Relationship Id="rId29" Type="http://schemas.openxmlformats.org/officeDocument/2006/relationships/hyperlink" Target="https://www.epa.gov/insect-repell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state-public-health-laboratory-sciences" TargetMode="External"/><Relationship Id="rId24" Type="http://schemas.openxmlformats.org/officeDocument/2006/relationships/hyperlink" Target="https://pmc.ncbi.nlm.nih.gov/articles/PMC6980324/" TargetMode="External"/><Relationship Id="rId5" Type="http://schemas.openxmlformats.org/officeDocument/2006/relationships/styles" Target="styles.xml"/><Relationship Id="rId15" Type="http://schemas.openxmlformats.org/officeDocument/2006/relationships/hyperlink" Target="http://dx.doi.org/10.15585/mmwr.mm7230a2" TargetMode="External"/><Relationship Id="rId23" Type="http://schemas.openxmlformats.org/officeDocument/2006/relationships/hyperlink" Target="https://pmc.ncbi.nlm.nih.gov/articles/PMC10148555/" TargetMode="External"/><Relationship Id="rId28" Type="http://schemas.openxmlformats.org/officeDocument/2006/relationships/hyperlink" Target="https://www.cdc.gov/alpha-gal-syndrome/site.html" TargetMode="External"/><Relationship Id="rId10" Type="http://schemas.openxmlformats.org/officeDocument/2006/relationships/image" Target="media/image1.png"/><Relationship Id="rId19" Type="http://schemas.openxmlformats.org/officeDocument/2006/relationships/hyperlink" Target="https://cdn.ymaws.com/www.cste.org/resource/resmgr/ps/ps2021/21-ID-07_Alpha_Gal_Syndrome.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5585/mmwr.mm7230a2" TargetMode="External"/><Relationship Id="rId22" Type="http://schemas.openxmlformats.org/officeDocument/2006/relationships/hyperlink" Target="https://pmc.ncbi.nlm.nih.gov/articles/PMC8344025/" TargetMode="External"/><Relationship Id="rId27" Type="http://schemas.openxmlformats.org/officeDocument/2006/relationships/hyperlink" Target="https://www.cdc.gov/alpha-gal-syndrome/site.html"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TotalTime>
  <Pages>6</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Brown, Catherine (DPH)</cp:lastModifiedBy>
  <cp:revision>3</cp:revision>
  <cp:lastPrinted>2015-01-29T14:50:00Z</cp:lastPrinted>
  <dcterms:created xsi:type="dcterms:W3CDTF">2026-03-16T12:44:00Z</dcterms:created>
  <dcterms:modified xsi:type="dcterms:W3CDTF">2026-03-17T17:17:00Z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