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0F315B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09648753" w:rsidR="006D06D9" w:rsidRDefault="00EB7588" w:rsidP="000F315B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1ACDC01A" w:rsidR="009908FF" w:rsidRDefault="00414F5A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31677C4">
                <wp:simplePos x="0" y="0"/>
                <wp:positionH relativeFrom="column">
                  <wp:posOffset>-385445</wp:posOffset>
                </wp:positionH>
                <wp:positionV relativeFrom="paragraph">
                  <wp:posOffset>644525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85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35pt;margin-top:50.7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vdTTA3wAAAAsBAAAPAAAAZHJzL2Rvd25yZXYu&#10;eG1sTI/LasMwEEX3hfyDmEB3iRRDYuNaDqGhmy4KTQPtUrFky1QvJMVx/76TVbsc7uHOuc1+toZM&#10;KqbROw6bNQOiXOfl6AYO54+XVQUkZeGkMN4pDj8qwb5dPDSilv7m3tV0ygPBEpdqwUHnHGpKU6eV&#10;FWntg3KY9T5akfGMA5VR3LDcGlowtqNWjA4/aBHUs1bd9+lqOXxaPcpjfPvqpZmOr/1hG+YYOH9c&#10;zocnIFnN+Q+Guz6qQ4tOF391MhHDYbVjJaIYsM0WyJ2oSlx34VAUZQW0bej/De0vAA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K91NMDfAAAACwEAAA8AAAAAAAAAAAAAAAAASgQAAGRy&#10;cy9kb3ducmV2LnhtbFBLBQYAAAAABAAEAPMAAABW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0B7D9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60B0B220">
                <wp:simplePos x="0" y="0"/>
                <wp:positionH relativeFrom="column">
                  <wp:posOffset>5119370</wp:posOffset>
                </wp:positionH>
                <wp:positionV relativeFrom="paragraph">
                  <wp:posOffset>644525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B8E20" id="_x0000_s1027" type="#_x0000_t202" style="position:absolute;margin-left:403.1pt;margin-top:50.7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C3gKef4AAAAAwBAAAPAAAAZHJzL2Rv&#10;d25yZXYueG1sTI/BasMwEETvhf6D2EBvjWTTBMe1HEJDLz0UmhTao2LJlom0EpLiuH9f5dQel3nM&#10;vG22szVkUiGODjkUSwZEYefkiAOHz+PrYwUkJoFSGIeKw4+KsG3v7xpRS3fFDzUd0kByCcZacNAp&#10;+ZrS2GllRVw6rzBnvQtWpHyGgcogrrncGloytqZWjJgXtPDqRavufLhYDl9Wj3If3r97aab9W79b&#10;+Tl4zh8W8+4ZSFJz+oPhpp/Voc1OJ3dBGYnhULF1mdEcsGIF5EawTbEBcuJQVuwJaNvQ/0+0vwA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C3gKef4AAAAAwBAAAPAAAAAAAAAAAAAAAA&#10;AFAEAABkcnMvZG93bnJldi54bWxQSwUGAAAAAAQABADzAAAAXQ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1AF90000" w14:textId="77777777" w:rsidR="004D6512" w:rsidRDefault="004D6512" w:rsidP="003B36EC">
      <w:pPr>
        <w:rPr>
          <w:rFonts w:ascii="Arial" w:eastAsia="Aptos" w:hAnsi="Arial" w:cs="Arial"/>
          <w:b/>
          <w:bCs/>
          <w:sz w:val="28"/>
          <w:szCs w:val="28"/>
        </w:rPr>
      </w:pPr>
    </w:p>
    <w:p w14:paraId="1DE44938" w14:textId="336A56C5" w:rsidR="00C8266A" w:rsidRDefault="00C8266A" w:rsidP="00C8266A">
      <w:pPr>
        <w:jc w:val="center"/>
        <w:rPr>
          <w:rFonts w:ascii="Arial" w:eastAsia="Aptos" w:hAnsi="Arial" w:cs="Arial"/>
          <w:b/>
          <w:bCs/>
          <w:sz w:val="28"/>
          <w:szCs w:val="28"/>
        </w:rPr>
      </w:pPr>
      <w:r w:rsidRPr="00C8266A">
        <w:rPr>
          <w:rFonts w:ascii="Arial" w:eastAsia="Aptos" w:hAnsi="Arial" w:cs="Arial"/>
          <w:b/>
          <w:bCs/>
          <w:sz w:val="28"/>
          <w:szCs w:val="28"/>
        </w:rPr>
        <w:t xml:space="preserve">First Case of Clade I Mpox Diagnosed in </w:t>
      </w:r>
      <w:r w:rsidR="00131B96">
        <w:rPr>
          <w:rFonts w:ascii="Arial" w:eastAsia="Aptos" w:hAnsi="Arial" w:cs="Arial"/>
          <w:b/>
          <w:bCs/>
          <w:sz w:val="28"/>
          <w:szCs w:val="28"/>
        </w:rPr>
        <w:t>Massachusetts</w:t>
      </w:r>
    </w:p>
    <w:p w14:paraId="00E31760" w14:textId="4D1B6F79" w:rsidR="003B36EC" w:rsidRPr="00C8266A" w:rsidRDefault="00131B96" w:rsidP="003B36EC">
      <w:pPr>
        <w:jc w:val="center"/>
        <w:rPr>
          <w:rFonts w:ascii="Arial" w:eastAsia="Aptos" w:hAnsi="Arial" w:cs="Arial"/>
          <w:sz w:val="20"/>
        </w:rPr>
      </w:pPr>
      <w:r>
        <w:rPr>
          <w:rFonts w:ascii="Arial" w:eastAsia="Aptos" w:hAnsi="Arial" w:cs="Arial"/>
          <w:sz w:val="20"/>
        </w:rPr>
        <w:t>June 1</w:t>
      </w:r>
      <w:r w:rsidR="00C301C0">
        <w:rPr>
          <w:rFonts w:ascii="Arial" w:eastAsia="Aptos" w:hAnsi="Arial" w:cs="Arial"/>
          <w:sz w:val="20"/>
        </w:rPr>
        <w:t>7</w:t>
      </w:r>
      <w:r>
        <w:rPr>
          <w:rFonts w:ascii="Arial" w:eastAsia="Aptos" w:hAnsi="Arial" w:cs="Arial"/>
          <w:sz w:val="20"/>
        </w:rPr>
        <w:t>, 2025</w:t>
      </w:r>
    </w:p>
    <w:p w14:paraId="59D99939" w14:textId="77777777" w:rsidR="00C8266A" w:rsidRPr="00C8266A" w:rsidRDefault="00C8266A" w:rsidP="00C8266A">
      <w:pPr>
        <w:autoSpaceDE w:val="0"/>
        <w:autoSpaceDN w:val="0"/>
        <w:rPr>
          <w:rFonts w:ascii="Arial" w:eastAsia="Aptos" w:hAnsi="Arial" w:cs="Arial"/>
          <w:color w:val="000000"/>
          <w:sz w:val="20"/>
        </w:rPr>
      </w:pPr>
    </w:p>
    <w:p w14:paraId="0BD7FC2C" w14:textId="77777777" w:rsidR="00C8266A" w:rsidRDefault="00C8266A" w:rsidP="00C8266A">
      <w:pPr>
        <w:autoSpaceDE w:val="0"/>
        <w:autoSpaceDN w:val="0"/>
        <w:rPr>
          <w:rFonts w:ascii="Arial" w:eastAsia="Aptos" w:hAnsi="Arial" w:cs="Arial"/>
          <w:b/>
          <w:bCs/>
          <w:color w:val="000000" w:themeColor="text1"/>
          <w:sz w:val="20"/>
        </w:rPr>
      </w:pPr>
      <w:r w:rsidRPr="2E3EB23A">
        <w:rPr>
          <w:rFonts w:ascii="Arial" w:eastAsia="Aptos" w:hAnsi="Arial" w:cs="Arial"/>
          <w:b/>
          <w:bCs/>
          <w:color w:val="000000" w:themeColor="text1"/>
          <w:sz w:val="20"/>
        </w:rPr>
        <w:t xml:space="preserve">Summary </w:t>
      </w:r>
    </w:p>
    <w:p w14:paraId="6B59CF96" w14:textId="77777777" w:rsidR="00C301C0" w:rsidRPr="00C8266A" w:rsidRDefault="00C301C0" w:rsidP="00C8266A">
      <w:pPr>
        <w:autoSpaceDE w:val="0"/>
        <w:autoSpaceDN w:val="0"/>
        <w:rPr>
          <w:rFonts w:ascii="Arial" w:eastAsia="Aptos" w:hAnsi="Arial" w:cs="Arial"/>
          <w:b/>
          <w:bCs/>
          <w:color w:val="000000"/>
          <w:sz w:val="20"/>
        </w:rPr>
      </w:pPr>
    </w:p>
    <w:p w14:paraId="77F1DD00" w14:textId="243543ED" w:rsidR="00C8266A" w:rsidRPr="00C8266A" w:rsidRDefault="22BC6F3B" w:rsidP="4663A9AF">
      <w:pPr>
        <w:spacing w:line="259" w:lineRule="auto"/>
        <w:rPr>
          <w:rFonts w:ascii="Arial" w:eastAsia="Aptos" w:hAnsi="Arial" w:cs="Arial"/>
          <w:sz w:val="20"/>
        </w:rPr>
      </w:pPr>
      <w:r w:rsidRPr="4663A9AF">
        <w:rPr>
          <w:rFonts w:ascii="Arial" w:eastAsia="Aptos" w:hAnsi="Arial" w:cs="Arial"/>
          <w:color w:val="000000" w:themeColor="text1"/>
          <w:sz w:val="20"/>
        </w:rPr>
        <w:t>The Massachusetts Department of Public Health (MDPH) is announcing the first case</w:t>
      </w:r>
      <w:r w:rsidR="01410207" w:rsidRPr="4663A9AF">
        <w:rPr>
          <w:rFonts w:ascii="Arial" w:eastAsia="Aptos" w:hAnsi="Arial" w:cs="Arial"/>
          <w:color w:val="000000" w:themeColor="text1"/>
          <w:sz w:val="20"/>
        </w:rPr>
        <w:t xml:space="preserve"> of Clade I mpox</w:t>
      </w:r>
      <w:r w:rsidRPr="4663A9AF">
        <w:rPr>
          <w:rFonts w:ascii="Arial" w:eastAsia="Aptos" w:hAnsi="Arial" w:cs="Arial"/>
          <w:color w:val="000000" w:themeColor="text1"/>
          <w:sz w:val="20"/>
        </w:rPr>
        <w:t xml:space="preserve"> confirmed in the </w:t>
      </w:r>
      <w:r w:rsidR="77E96331" w:rsidRPr="4663A9AF">
        <w:rPr>
          <w:rFonts w:ascii="Arial" w:eastAsia="Aptos" w:hAnsi="Arial" w:cs="Arial"/>
          <w:color w:val="000000" w:themeColor="text1"/>
          <w:sz w:val="20"/>
        </w:rPr>
        <w:t>Commonwealth</w:t>
      </w:r>
      <w:r w:rsidRPr="4663A9AF">
        <w:rPr>
          <w:rFonts w:ascii="Arial" w:eastAsia="Aptos" w:hAnsi="Arial" w:cs="Arial"/>
          <w:color w:val="000000" w:themeColor="text1"/>
          <w:sz w:val="20"/>
        </w:rPr>
        <w:t xml:space="preserve">; this is the fifth case identified in the U.S. to date. In </w:t>
      </w:r>
      <w:r w:rsidRPr="4663A9AF">
        <w:rPr>
          <w:rFonts w:ascii="Arial" w:hAnsi="Arial" w:cs="Arial"/>
          <w:sz w:val="20"/>
        </w:rPr>
        <w:t>November 2024</w:t>
      </w:r>
      <w:r w:rsidR="00E53115">
        <w:rPr>
          <w:rFonts w:ascii="Arial" w:hAnsi="Arial" w:cs="Arial"/>
          <w:sz w:val="20"/>
        </w:rPr>
        <w:t>,</w:t>
      </w:r>
      <w:r w:rsidRPr="4663A9AF">
        <w:rPr>
          <w:rFonts w:ascii="Arial" w:eastAsia="Aptos" w:hAnsi="Arial" w:cs="Arial"/>
          <w:color w:val="000000" w:themeColor="text1"/>
          <w:sz w:val="20"/>
        </w:rPr>
        <w:t xml:space="preserve"> </w:t>
      </w:r>
      <w:r w:rsidR="5FCC547D" w:rsidRPr="4663A9AF">
        <w:rPr>
          <w:rFonts w:ascii="Arial" w:eastAsia="Aptos" w:hAnsi="Arial" w:cs="Arial"/>
          <w:color w:val="000000" w:themeColor="text1"/>
          <w:sz w:val="20"/>
        </w:rPr>
        <w:t>t</w:t>
      </w:r>
      <w:r w:rsidR="00C8266A" w:rsidRPr="4663A9AF">
        <w:rPr>
          <w:rFonts w:ascii="Arial" w:eastAsia="Aptos" w:hAnsi="Arial" w:cs="Arial"/>
          <w:color w:val="000000"/>
          <w:sz w:val="20"/>
          <w:shd w:val="clear" w:color="auto" w:fill="FFFFFF"/>
        </w:rPr>
        <w:t xml:space="preserve">he Centers for Disease Control and Prevention (CDC) </w:t>
      </w:r>
      <w:hyperlink r:id="rId9" w:history="1">
        <w:r w:rsidR="00C8266A" w:rsidRPr="4663A9AF">
          <w:rPr>
            <w:rStyle w:val="Hyperlink"/>
            <w:rFonts w:ascii="Arial" w:eastAsia="Aptos" w:hAnsi="Arial" w:cs="Arial"/>
            <w:sz w:val="20"/>
            <w:shd w:val="clear" w:color="auto" w:fill="FFFFFF"/>
          </w:rPr>
          <w:t>issued a Health Alert Network (HAN) Health Advisory</w:t>
        </w:r>
        <w:bookmarkStart w:id="0" w:name="_Hlk182749775"/>
      </w:hyperlink>
      <w:r w:rsidR="00E74FBE" w:rsidRPr="4663A9AF">
        <w:rPr>
          <w:rFonts w:ascii="Arial" w:hAnsi="Arial" w:cs="Arial"/>
          <w:sz w:val="20"/>
        </w:rPr>
        <w:t xml:space="preserve"> </w:t>
      </w:r>
      <w:r w:rsidR="00C8266A" w:rsidRPr="4663A9AF">
        <w:rPr>
          <w:rFonts w:ascii="Arial" w:eastAsia="Aptos" w:hAnsi="Arial" w:cs="Arial"/>
          <w:color w:val="000000"/>
          <w:sz w:val="20"/>
          <w:shd w:val="clear" w:color="auto" w:fill="FFFFFF"/>
        </w:rPr>
        <w:t xml:space="preserve"> to provide </w:t>
      </w:r>
      <w:bookmarkEnd w:id="0"/>
      <w:r w:rsidR="00C8266A" w:rsidRPr="4663A9AF">
        <w:rPr>
          <w:rFonts w:ascii="Arial" w:eastAsia="Aptos" w:hAnsi="Arial" w:cs="Arial"/>
          <w:color w:val="000000"/>
          <w:sz w:val="20"/>
          <w:shd w:val="clear" w:color="auto" w:fill="FFFFFF"/>
        </w:rPr>
        <w:t>information about the first case of clade I mpox diagnosed in the United States</w:t>
      </w:r>
      <w:r w:rsidR="008803C0" w:rsidRPr="4663A9AF">
        <w:rPr>
          <w:rFonts w:ascii="Arial" w:eastAsia="Aptos" w:hAnsi="Arial" w:cs="Arial"/>
          <w:color w:val="000000" w:themeColor="text1"/>
          <w:sz w:val="20"/>
        </w:rPr>
        <w:t xml:space="preserve"> (U.S.)</w:t>
      </w:r>
      <w:r w:rsidR="00C8266A" w:rsidRPr="4663A9AF">
        <w:rPr>
          <w:rFonts w:ascii="Arial" w:eastAsia="Aptos" w:hAnsi="Arial" w:cs="Arial"/>
          <w:color w:val="000000"/>
          <w:sz w:val="20"/>
        </w:rPr>
        <w:t xml:space="preserve">. </w:t>
      </w:r>
      <w:r w:rsidR="002F3188" w:rsidRPr="4663A9AF">
        <w:rPr>
          <w:rFonts w:ascii="Arial" w:eastAsia="Aptos" w:hAnsi="Arial" w:cs="Arial"/>
          <w:color w:val="000000" w:themeColor="text1"/>
          <w:sz w:val="20"/>
        </w:rPr>
        <w:t xml:space="preserve">All five cases </w:t>
      </w:r>
      <w:r w:rsidR="00C301C0" w:rsidRPr="4663A9AF">
        <w:rPr>
          <w:rFonts w:ascii="Arial" w:eastAsia="Aptos" w:hAnsi="Arial" w:cs="Arial"/>
          <w:color w:val="000000" w:themeColor="text1"/>
          <w:sz w:val="20"/>
        </w:rPr>
        <w:t xml:space="preserve">reported to date </w:t>
      </w:r>
      <w:r w:rsidR="002F3188" w:rsidRPr="4663A9AF">
        <w:rPr>
          <w:rFonts w:ascii="Arial" w:eastAsia="Aptos" w:hAnsi="Arial" w:cs="Arial"/>
          <w:color w:val="000000" w:themeColor="text1"/>
          <w:sz w:val="20"/>
        </w:rPr>
        <w:t xml:space="preserve">had recent travel to </w:t>
      </w:r>
      <w:r w:rsidR="00D033AC" w:rsidRPr="4663A9AF">
        <w:rPr>
          <w:rFonts w:ascii="Arial" w:eastAsia="Aptos" w:hAnsi="Arial" w:cs="Arial"/>
          <w:color w:val="000000" w:themeColor="text1"/>
          <w:sz w:val="20"/>
        </w:rPr>
        <w:t xml:space="preserve">areas with </w:t>
      </w:r>
      <w:r w:rsidR="00A736DD" w:rsidRPr="4663A9AF">
        <w:rPr>
          <w:rFonts w:ascii="Arial" w:eastAsia="Aptos" w:hAnsi="Arial" w:cs="Arial"/>
          <w:color w:val="000000" w:themeColor="text1"/>
          <w:sz w:val="20"/>
        </w:rPr>
        <w:t>sustained clade I mpox transmission</w:t>
      </w:r>
      <w:r w:rsidR="00D033AC" w:rsidRPr="4663A9AF">
        <w:rPr>
          <w:rFonts w:ascii="Arial" w:eastAsia="Aptos" w:hAnsi="Arial" w:cs="Arial"/>
          <w:color w:val="000000" w:themeColor="text1"/>
          <w:sz w:val="20"/>
        </w:rPr>
        <w:t xml:space="preserve">. </w:t>
      </w:r>
      <w:r w:rsidR="00C301C0" w:rsidRPr="4663A9AF">
        <w:rPr>
          <w:rFonts w:ascii="Arial" w:eastAsia="Aptos" w:hAnsi="Arial" w:cs="Arial"/>
          <w:color w:val="000000" w:themeColor="text1"/>
          <w:sz w:val="20"/>
        </w:rPr>
        <w:t>T</w:t>
      </w:r>
      <w:r w:rsidR="00C8266A" w:rsidRPr="4663A9AF">
        <w:rPr>
          <w:rFonts w:ascii="Arial" w:eastAsia="Aptos" w:hAnsi="Arial" w:cs="Arial"/>
          <w:sz w:val="20"/>
        </w:rPr>
        <w:t>he risk of clade I mpox to the public in the United States</w:t>
      </w:r>
      <w:r w:rsidR="00DC391D" w:rsidRPr="4663A9AF">
        <w:rPr>
          <w:rFonts w:ascii="Arial" w:eastAsia="Aptos" w:hAnsi="Arial" w:cs="Arial"/>
          <w:sz w:val="20"/>
        </w:rPr>
        <w:t xml:space="preserve"> and in Massachusetts</w:t>
      </w:r>
      <w:r w:rsidR="00C8266A" w:rsidRPr="4663A9AF">
        <w:rPr>
          <w:rFonts w:ascii="Arial" w:eastAsia="Aptos" w:hAnsi="Arial" w:cs="Arial"/>
          <w:sz w:val="20"/>
        </w:rPr>
        <w:t xml:space="preserve"> remains low. </w:t>
      </w:r>
    </w:p>
    <w:p w14:paraId="14B851F9" w14:textId="77777777" w:rsidR="00C8266A" w:rsidRPr="00C8266A" w:rsidRDefault="00C8266A" w:rsidP="00C8266A">
      <w:pPr>
        <w:textAlignment w:val="baseline"/>
        <w:rPr>
          <w:rFonts w:ascii="Arial" w:eastAsia="Aptos" w:hAnsi="Arial" w:cs="Arial"/>
          <w:sz w:val="20"/>
        </w:rPr>
      </w:pPr>
    </w:p>
    <w:p w14:paraId="3A9EE053" w14:textId="3B320BB2" w:rsidR="008A6D57" w:rsidRPr="008A6D57" w:rsidRDefault="00DF1B51" w:rsidP="2E3EB23A">
      <w:pPr>
        <w:rPr>
          <w:rFonts w:ascii="Arial" w:eastAsia="Aptos" w:hAnsi="Arial" w:cs="Arial"/>
          <w:sz w:val="20"/>
        </w:rPr>
      </w:pPr>
      <w:r w:rsidRPr="2E3EB23A">
        <w:rPr>
          <w:rFonts w:ascii="Arial" w:eastAsia="Aptos" w:hAnsi="Arial" w:cs="Arial"/>
          <w:color w:val="000000" w:themeColor="text1"/>
          <w:sz w:val="20"/>
        </w:rPr>
        <w:t xml:space="preserve">MPXV </w:t>
      </w:r>
      <w:r w:rsidR="020A76EF" w:rsidRPr="2E3EB23A">
        <w:rPr>
          <w:rFonts w:ascii="Arial" w:eastAsia="Aptos" w:hAnsi="Arial" w:cs="Arial"/>
          <w:color w:val="000000" w:themeColor="text1"/>
          <w:sz w:val="20"/>
        </w:rPr>
        <w:t xml:space="preserve">(monkeypox virus) </w:t>
      </w:r>
      <w:r w:rsidRPr="2E3EB23A">
        <w:rPr>
          <w:rFonts w:ascii="Arial" w:eastAsia="Aptos" w:hAnsi="Arial" w:cs="Arial"/>
          <w:color w:val="000000" w:themeColor="text1"/>
          <w:sz w:val="20"/>
        </w:rPr>
        <w:t xml:space="preserve">has two distinct genetic clades: clade I (with subclades </w:t>
      </w:r>
      <w:proofErr w:type="spellStart"/>
      <w:r w:rsidRPr="2E3EB23A">
        <w:rPr>
          <w:rFonts w:ascii="Arial" w:eastAsia="Aptos" w:hAnsi="Arial" w:cs="Arial"/>
          <w:color w:val="000000" w:themeColor="text1"/>
          <w:sz w:val="20"/>
        </w:rPr>
        <w:t>Ia</w:t>
      </w:r>
      <w:proofErr w:type="spellEnd"/>
      <w:r w:rsidRPr="2E3EB23A">
        <w:rPr>
          <w:rFonts w:ascii="Arial" w:eastAsia="Aptos" w:hAnsi="Arial" w:cs="Arial"/>
          <w:color w:val="000000" w:themeColor="text1"/>
          <w:sz w:val="20"/>
        </w:rPr>
        <w:t xml:space="preserve"> and </w:t>
      </w:r>
      <w:proofErr w:type="spellStart"/>
      <w:r w:rsidRPr="2E3EB23A">
        <w:rPr>
          <w:rFonts w:ascii="Arial" w:eastAsia="Aptos" w:hAnsi="Arial" w:cs="Arial"/>
          <w:color w:val="000000" w:themeColor="text1"/>
          <w:sz w:val="20"/>
        </w:rPr>
        <w:t>Ib</w:t>
      </w:r>
      <w:proofErr w:type="spellEnd"/>
      <w:r w:rsidRPr="2E3EB23A">
        <w:rPr>
          <w:rFonts w:ascii="Arial" w:eastAsia="Aptos" w:hAnsi="Arial" w:cs="Arial"/>
          <w:color w:val="000000" w:themeColor="text1"/>
          <w:sz w:val="20"/>
        </w:rPr>
        <w:t xml:space="preserve">) is </w:t>
      </w:r>
      <w:hyperlink r:id="rId10" w:history="1">
        <w:r w:rsidRPr="2E3EB23A">
          <w:rPr>
            <w:rFonts w:ascii="Arial" w:eastAsia="Aptos" w:hAnsi="Arial" w:cs="Arial"/>
            <w:color w:val="0000FF"/>
            <w:sz w:val="20"/>
            <w:u w:val="single"/>
          </w:rPr>
          <w:t>endemic to some countries in Central Africa</w:t>
        </w:r>
      </w:hyperlink>
      <w:r w:rsidRPr="2E3EB23A">
        <w:rPr>
          <w:rFonts w:ascii="Arial" w:eastAsia="Aptos" w:hAnsi="Arial" w:cs="Arial"/>
          <w:color w:val="000000" w:themeColor="text1"/>
          <w:sz w:val="20"/>
        </w:rPr>
        <w:t xml:space="preserve">, and clade II (with subclades </w:t>
      </w:r>
      <w:proofErr w:type="spellStart"/>
      <w:r w:rsidRPr="2E3EB23A">
        <w:rPr>
          <w:rFonts w:ascii="Arial" w:eastAsia="Aptos" w:hAnsi="Arial" w:cs="Arial"/>
          <w:color w:val="000000" w:themeColor="text1"/>
          <w:sz w:val="20"/>
        </w:rPr>
        <w:t>IIa</w:t>
      </w:r>
      <w:proofErr w:type="spellEnd"/>
      <w:r w:rsidRPr="2E3EB23A">
        <w:rPr>
          <w:rFonts w:ascii="Arial" w:eastAsia="Aptos" w:hAnsi="Arial" w:cs="Arial"/>
          <w:color w:val="000000" w:themeColor="text1"/>
          <w:sz w:val="20"/>
        </w:rPr>
        <w:t xml:space="preserve"> and IIb) is historically </w:t>
      </w:r>
      <w:hyperlink r:id="rId11" w:history="1">
        <w:r w:rsidRPr="2E3EB23A">
          <w:rPr>
            <w:rFonts w:ascii="Arial" w:eastAsia="Aptos" w:hAnsi="Arial" w:cs="Arial"/>
            <w:color w:val="0000FF"/>
            <w:sz w:val="20"/>
            <w:u w:val="single"/>
          </w:rPr>
          <w:t>endemic to some countries in West Africa</w:t>
        </w:r>
      </w:hyperlink>
      <w:r w:rsidRPr="2E3EB23A">
        <w:rPr>
          <w:rFonts w:ascii="Arial" w:eastAsia="Aptos" w:hAnsi="Arial" w:cs="Arial"/>
          <w:color w:val="0000FF"/>
          <w:sz w:val="20"/>
        </w:rPr>
        <w:t xml:space="preserve">. </w:t>
      </w:r>
      <w:r w:rsidR="00E63F64" w:rsidRPr="00C301C0">
        <w:rPr>
          <w:rFonts w:ascii="Arial" w:eastAsia="Aptos" w:hAnsi="Arial" w:cs="Arial"/>
          <w:sz w:val="20"/>
        </w:rPr>
        <w:t xml:space="preserve">There are some </w:t>
      </w:r>
      <w:hyperlink r:id="rId12" w:anchor="cdc_clinical_overview_proper-evaluating-patients-with-suspected-mpox" w:history="1">
        <w:r w:rsidR="00E63F64" w:rsidRPr="00C301C0">
          <w:rPr>
            <w:rFonts w:ascii="Arial" w:eastAsia="Aptos" w:hAnsi="Arial" w:cs="Arial"/>
            <w:color w:val="467886"/>
            <w:sz w:val="20"/>
            <w:u w:val="single"/>
          </w:rPr>
          <w:t>epidemiological and clinical differences</w:t>
        </w:r>
      </w:hyperlink>
      <w:r w:rsidR="00E63F64" w:rsidRPr="00C301C0">
        <w:rPr>
          <w:rFonts w:ascii="Arial" w:eastAsia="Aptos" w:hAnsi="Arial" w:cs="Arial"/>
          <w:sz w:val="20"/>
        </w:rPr>
        <w:t xml:space="preserve"> between clade I and clade II mpox. </w:t>
      </w:r>
      <w:r w:rsidR="007F5A82">
        <w:rPr>
          <w:rFonts w:ascii="Arial" w:eastAsia="Aptos" w:hAnsi="Arial" w:cs="Arial"/>
          <w:sz w:val="20"/>
        </w:rPr>
        <w:t>Subc</w:t>
      </w:r>
      <w:r w:rsidR="008A6D57" w:rsidRPr="2E3EB23A">
        <w:rPr>
          <w:rFonts w:ascii="Arial" w:eastAsia="Aptos" w:hAnsi="Arial" w:cs="Arial"/>
          <w:sz w:val="20"/>
        </w:rPr>
        <w:t xml:space="preserve">lade </w:t>
      </w:r>
      <w:proofErr w:type="spellStart"/>
      <w:r w:rsidR="008A6D57" w:rsidRPr="2E3EB23A">
        <w:rPr>
          <w:rFonts w:ascii="Arial" w:eastAsia="Aptos" w:hAnsi="Arial" w:cs="Arial"/>
          <w:sz w:val="20"/>
        </w:rPr>
        <w:t>Ia</w:t>
      </w:r>
      <w:proofErr w:type="spellEnd"/>
      <w:r w:rsidR="008A6D57" w:rsidRPr="2E3EB23A">
        <w:rPr>
          <w:rFonts w:ascii="Arial" w:eastAsia="Aptos" w:hAnsi="Arial" w:cs="Arial"/>
          <w:sz w:val="20"/>
        </w:rPr>
        <w:t xml:space="preserve"> mpox cases in </w:t>
      </w:r>
      <w:r w:rsidR="005974A7" w:rsidRPr="2E3EB23A">
        <w:rPr>
          <w:rFonts w:ascii="Arial" w:eastAsia="Aptos" w:hAnsi="Arial" w:cs="Arial"/>
          <w:sz w:val="20"/>
        </w:rPr>
        <w:t xml:space="preserve">Central Africa have been spread </w:t>
      </w:r>
      <w:r w:rsidR="008A6D57" w:rsidRPr="2E3EB23A">
        <w:rPr>
          <w:rFonts w:ascii="Arial" w:eastAsia="Aptos" w:hAnsi="Arial" w:cs="Arial"/>
          <w:sz w:val="20"/>
        </w:rPr>
        <w:t>through contact with infected dead or live wild animals, household transmission, or patient care; a high proportion of cases have been reported in children younger than 15 years of age.</w:t>
      </w:r>
    </w:p>
    <w:p w14:paraId="6FB428A0" w14:textId="77777777" w:rsidR="004840FD" w:rsidRDefault="004840FD" w:rsidP="008A6D57">
      <w:pPr>
        <w:rPr>
          <w:rFonts w:ascii="Arial" w:eastAsia="Aptos" w:hAnsi="Arial" w:cs="Arial"/>
          <w:sz w:val="20"/>
        </w:rPr>
      </w:pPr>
    </w:p>
    <w:p w14:paraId="753850DC" w14:textId="728EC1ED" w:rsidR="00E63F64" w:rsidRPr="00C301C0" w:rsidRDefault="007F5A82" w:rsidP="008A6D57">
      <w:pPr>
        <w:rPr>
          <w:rFonts w:ascii="Arial" w:eastAsia="Aptos" w:hAnsi="Arial" w:cs="Arial"/>
          <w:sz w:val="20"/>
        </w:rPr>
      </w:pPr>
      <w:r>
        <w:rPr>
          <w:rFonts w:ascii="Arial" w:eastAsia="Aptos" w:hAnsi="Arial" w:cs="Arial"/>
          <w:sz w:val="20"/>
        </w:rPr>
        <w:t>Subc</w:t>
      </w:r>
      <w:r w:rsidR="008A6D57" w:rsidRPr="008A6D57">
        <w:rPr>
          <w:rFonts w:ascii="Arial" w:eastAsia="Aptos" w:hAnsi="Arial" w:cs="Arial"/>
          <w:sz w:val="20"/>
        </w:rPr>
        <w:t xml:space="preserve">lade </w:t>
      </w:r>
      <w:proofErr w:type="spellStart"/>
      <w:r w:rsidR="008A6D57" w:rsidRPr="008A6D57">
        <w:rPr>
          <w:rFonts w:ascii="Arial" w:eastAsia="Aptos" w:hAnsi="Arial" w:cs="Arial"/>
          <w:sz w:val="20"/>
        </w:rPr>
        <w:t>Ib</w:t>
      </w:r>
      <w:proofErr w:type="spellEnd"/>
      <w:r w:rsidR="0076667A">
        <w:rPr>
          <w:rFonts w:ascii="Arial" w:eastAsia="Aptos" w:hAnsi="Arial" w:cs="Arial"/>
          <w:sz w:val="20"/>
        </w:rPr>
        <w:t>, more</w:t>
      </w:r>
      <w:r w:rsidR="008A6D57" w:rsidRPr="008A6D57">
        <w:rPr>
          <w:rFonts w:ascii="Arial" w:eastAsia="Aptos" w:hAnsi="Arial" w:cs="Arial"/>
          <w:sz w:val="20"/>
        </w:rPr>
        <w:t xml:space="preserve"> recently identified in eastern DRC</w:t>
      </w:r>
      <w:r w:rsidR="0076667A">
        <w:rPr>
          <w:rFonts w:ascii="Arial" w:eastAsia="Aptos" w:hAnsi="Arial" w:cs="Arial"/>
          <w:sz w:val="20"/>
        </w:rPr>
        <w:t>,</w:t>
      </w:r>
      <w:r w:rsidR="008A6D57" w:rsidRPr="008A6D57">
        <w:rPr>
          <w:rFonts w:ascii="Arial" w:eastAsia="Aptos" w:hAnsi="Arial" w:cs="Arial"/>
          <w:sz w:val="20"/>
        </w:rPr>
        <w:t xml:space="preserve"> has been spread through intimate and adult sexual contact between different demographics, including heterosexual spread with sex trade workers. </w:t>
      </w:r>
      <w:r w:rsidR="00C301C0" w:rsidRPr="00C301C0">
        <w:rPr>
          <w:rFonts w:ascii="Arial" w:eastAsia="Aptos" w:hAnsi="Arial" w:cs="Arial"/>
          <w:sz w:val="20"/>
        </w:rPr>
        <w:t>Current data suggest that some travel-associated cases being reported from around the globe came from heterosexual sex and other intimate skin-to-skin contact.</w:t>
      </w:r>
      <w:r w:rsidR="00C301C0">
        <w:rPr>
          <w:rFonts w:ascii="Arial" w:eastAsia="Aptos" w:hAnsi="Arial" w:cs="Arial"/>
          <w:sz w:val="20"/>
        </w:rPr>
        <w:t xml:space="preserve"> </w:t>
      </w:r>
      <w:r w:rsidR="008A6D57" w:rsidRPr="008A6D57">
        <w:rPr>
          <w:rFonts w:ascii="Arial" w:eastAsia="Aptos" w:hAnsi="Arial" w:cs="Arial"/>
          <w:sz w:val="20"/>
        </w:rPr>
        <w:t xml:space="preserve">So far, </w:t>
      </w:r>
      <w:r>
        <w:rPr>
          <w:rFonts w:ascii="Arial" w:eastAsia="Aptos" w:hAnsi="Arial" w:cs="Arial"/>
          <w:sz w:val="20"/>
        </w:rPr>
        <w:t>sub</w:t>
      </w:r>
      <w:r w:rsidR="008A6D57" w:rsidRPr="008A6D57">
        <w:rPr>
          <w:rFonts w:ascii="Arial" w:eastAsia="Aptos" w:hAnsi="Arial" w:cs="Arial"/>
          <w:sz w:val="20"/>
        </w:rPr>
        <w:t xml:space="preserve">clade </w:t>
      </w:r>
      <w:proofErr w:type="spellStart"/>
      <w:r w:rsidR="008A6D57" w:rsidRPr="008A6D57">
        <w:rPr>
          <w:rFonts w:ascii="Arial" w:eastAsia="Aptos" w:hAnsi="Arial" w:cs="Arial"/>
          <w:sz w:val="20"/>
        </w:rPr>
        <w:t>Ib</w:t>
      </w:r>
      <w:proofErr w:type="spellEnd"/>
      <w:r w:rsidR="008A6D57" w:rsidRPr="008A6D57">
        <w:rPr>
          <w:rFonts w:ascii="Arial" w:eastAsia="Aptos" w:hAnsi="Arial" w:cs="Arial"/>
          <w:sz w:val="20"/>
        </w:rPr>
        <w:t xml:space="preserve"> has a lower case-fatality rate than </w:t>
      </w:r>
      <w:r>
        <w:rPr>
          <w:rFonts w:ascii="Arial" w:eastAsia="Aptos" w:hAnsi="Arial" w:cs="Arial"/>
          <w:sz w:val="20"/>
        </w:rPr>
        <w:t>sub</w:t>
      </w:r>
      <w:r w:rsidR="008A6D57" w:rsidRPr="008A6D57">
        <w:rPr>
          <w:rFonts w:ascii="Arial" w:eastAsia="Aptos" w:hAnsi="Arial" w:cs="Arial"/>
          <w:sz w:val="20"/>
        </w:rPr>
        <w:t xml:space="preserve">clade </w:t>
      </w:r>
      <w:proofErr w:type="spellStart"/>
      <w:r w:rsidR="008A6D57" w:rsidRPr="008A6D57">
        <w:rPr>
          <w:rFonts w:ascii="Arial" w:eastAsia="Aptos" w:hAnsi="Arial" w:cs="Arial"/>
          <w:sz w:val="20"/>
        </w:rPr>
        <w:t>Ia</w:t>
      </w:r>
      <w:proofErr w:type="spellEnd"/>
      <w:r w:rsidR="008A6D57" w:rsidRPr="008A6D57">
        <w:rPr>
          <w:rFonts w:ascii="Arial" w:eastAsia="Aptos" w:hAnsi="Arial" w:cs="Arial"/>
          <w:sz w:val="20"/>
        </w:rPr>
        <w:t xml:space="preserve"> mpox.</w:t>
      </w:r>
      <w:r w:rsidR="0076667A">
        <w:rPr>
          <w:rFonts w:ascii="Arial" w:eastAsia="Aptos" w:hAnsi="Arial" w:cs="Arial"/>
          <w:sz w:val="20"/>
        </w:rPr>
        <w:t xml:space="preserve"> </w:t>
      </w:r>
    </w:p>
    <w:p w14:paraId="5844686D" w14:textId="777E6749" w:rsidR="00DF1B51" w:rsidRDefault="00DF1B51" w:rsidP="00DF1B51">
      <w:pPr>
        <w:textAlignment w:val="baseline"/>
        <w:rPr>
          <w:rFonts w:ascii="Arial" w:eastAsia="Aptos" w:hAnsi="Arial" w:cs="Arial"/>
          <w:color w:val="1C1D1F"/>
          <w:sz w:val="20"/>
          <w:shd w:val="clear" w:color="auto" w:fill="FFFFFF"/>
        </w:rPr>
      </w:pPr>
    </w:p>
    <w:p w14:paraId="6BFDAF52" w14:textId="63F4C536" w:rsidR="00E12AEB" w:rsidRDefault="00831A62" w:rsidP="4663A9AF">
      <w:pPr>
        <w:rPr>
          <w:rFonts w:ascii="Arial" w:eastAsia="Aptos" w:hAnsi="Arial" w:cs="Arial"/>
          <w:sz w:val="20"/>
        </w:rPr>
      </w:pPr>
      <w:r w:rsidRPr="4663A9AF">
        <w:rPr>
          <w:rFonts w:ascii="Arial" w:eastAsia="Aptos" w:hAnsi="Arial" w:cs="Arial"/>
          <w:color w:val="1C1D1F"/>
          <w:sz w:val="20"/>
        </w:rPr>
        <w:t xml:space="preserve">Countries with sustained transmission currently include </w:t>
      </w:r>
      <w:r w:rsidR="006C4BE0" w:rsidRPr="2E3EB23A">
        <w:rPr>
          <w:rFonts w:ascii="Arial" w:hAnsi="Arial" w:cs="Arial"/>
          <w:color w:val="000000" w:themeColor="text1"/>
          <w:sz w:val="20"/>
        </w:rPr>
        <w:t>, Burundi, Central African Republic, Democratic Republic of the Congo, Kenya, Malawi, Republic of the Congo, Rwanda, South Sudan, Tanzania, Uganda, and Zambia</w:t>
      </w:r>
      <w:r w:rsidRPr="4663A9AF">
        <w:rPr>
          <w:rFonts w:ascii="Arial" w:eastAsia="Aptos" w:hAnsi="Arial" w:cs="Arial"/>
          <w:color w:val="1C1D1F"/>
          <w:sz w:val="20"/>
        </w:rPr>
        <w:t xml:space="preserve">. </w:t>
      </w:r>
      <w:r w:rsidR="00E12AEB" w:rsidRPr="4663A9AF">
        <w:rPr>
          <w:rFonts w:ascii="Arial" w:eastAsia="Aptos" w:hAnsi="Arial" w:cs="Arial"/>
          <w:sz w:val="20"/>
        </w:rPr>
        <w:t>People travel to countries with active clade I mpox outbreaks for a variety of reasons, including visits with family and friends, tourism, and work.</w:t>
      </w:r>
      <w:r w:rsidR="00F56595" w:rsidRPr="4663A9AF">
        <w:rPr>
          <w:rFonts w:ascii="Arial" w:eastAsia="Aptos" w:hAnsi="Arial" w:cs="Arial"/>
          <w:sz w:val="20"/>
        </w:rPr>
        <w:t xml:space="preserve"> Travelers to countries with sustained spread of clade I mpox should be made aware of activities associated with </w:t>
      </w:r>
      <w:r w:rsidR="4EBEE24E" w:rsidRPr="4663A9AF">
        <w:rPr>
          <w:rFonts w:ascii="Arial" w:eastAsia="Aptos" w:hAnsi="Arial" w:cs="Arial"/>
          <w:sz w:val="20"/>
        </w:rPr>
        <w:t xml:space="preserve">transmission </w:t>
      </w:r>
      <w:r w:rsidR="00F56595" w:rsidRPr="4663A9AF">
        <w:rPr>
          <w:rFonts w:ascii="Arial" w:eastAsia="Aptos" w:hAnsi="Arial" w:cs="Arial"/>
          <w:sz w:val="20"/>
        </w:rPr>
        <w:t xml:space="preserve">and should be vaccinated with two doses of JYNNEOS if they anticipate possible </w:t>
      </w:r>
      <w:r w:rsidR="5A84CE52" w:rsidRPr="4663A9AF">
        <w:rPr>
          <w:rFonts w:ascii="Arial" w:eastAsia="Aptos" w:hAnsi="Arial" w:cs="Arial"/>
          <w:sz w:val="20"/>
        </w:rPr>
        <w:t xml:space="preserve">exposures through </w:t>
      </w:r>
      <w:r w:rsidR="00F56595" w:rsidRPr="4663A9AF">
        <w:rPr>
          <w:rFonts w:ascii="Arial" w:eastAsia="Aptos" w:hAnsi="Arial" w:cs="Arial"/>
          <w:sz w:val="20"/>
        </w:rPr>
        <w:t xml:space="preserve">sexual </w:t>
      </w:r>
      <w:r w:rsidR="180F1445" w:rsidRPr="4663A9AF">
        <w:rPr>
          <w:rFonts w:ascii="Arial" w:eastAsia="Aptos" w:hAnsi="Arial" w:cs="Arial"/>
          <w:sz w:val="20"/>
        </w:rPr>
        <w:t>or intimate contact</w:t>
      </w:r>
      <w:r w:rsidR="002562F6" w:rsidRPr="4663A9AF">
        <w:rPr>
          <w:rFonts w:ascii="Arial" w:eastAsia="Aptos" w:hAnsi="Arial" w:cs="Arial"/>
          <w:sz w:val="20"/>
        </w:rPr>
        <w:t xml:space="preserve">, household contact </w:t>
      </w:r>
      <w:r w:rsidR="00EB2BC5" w:rsidRPr="4663A9AF">
        <w:rPr>
          <w:rFonts w:ascii="Arial" w:eastAsia="Aptos" w:hAnsi="Arial" w:cs="Arial"/>
          <w:sz w:val="20"/>
        </w:rPr>
        <w:t>or within healthcare settings</w:t>
      </w:r>
      <w:r w:rsidR="00F56595" w:rsidRPr="4663A9AF">
        <w:rPr>
          <w:rFonts w:ascii="Arial" w:eastAsia="Aptos" w:hAnsi="Arial" w:cs="Arial"/>
          <w:sz w:val="20"/>
        </w:rPr>
        <w:t xml:space="preserve"> while traveling.</w:t>
      </w:r>
    </w:p>
    <w:p w14:paraId="6F33D24F" w14:textId="77777777" w:rsidR="00535EA8" w:rsidRDefault="00535EA8" w:rsidP="00C8266A">
      <w:pPr>
        <w:rPr>
          <w:rFonts w:ascii="Arial" w:eastAsia="Aptos" w:hAnsi="Arial" w:cs="Arial"/>
          <w:sz w:val="20"/>
        </w:rPr>
      </w:pPr>
    </w:p>
    <w:p w14:paraId="376EDBD8" w14:textId="70D1940D" w:rsidR="00535EA8" w:rsidRPr="00535EA8" w:rsidRDefault="00535EA8" w:rsidP="4663A9AF">
      <w:pPr>
        <w:rPr>
          <w:rFonts w:ascii="Arial" w:eastAsia="Aptos" w:hAnsi="Arial" w:cs="Arial"/>
          <w:sz w:val="20"/>
        </w:rPr>
      </w:pPr>
      <w:r w:rsidRPr="4663A9AF">
        <w:rPr>
          <w:rFonts w:ascii="Arial" w:eastAsia="Aptos" w:hAnsi="Arial" w:cs="Arial"/>
          <w:sz w:val="20"/>
        </w:rPr>
        <w:t>Clinicians should be aware of mpox symptoms</w:t>
      </w:r>
      <w:r w:rsidR="00F56595" w:rsidRPr="4663A9AF">
        <w:rPr>
          <w:rFonts w:ascii="Arial" w:eastAsia="Aptos" w:hAnsi="Arial" w:cs="Arial"/>
          <w:sz w:val="20"/>
        </w:rPr>
        <w:t xml:space="preserve"> and</w:t>
      </w:r>
      <w:r w:rsidRPr="4663A9AF">
        <w:rPr>
          <w:rFonts w:ascii="Arial" w:eastAsia="Aptos" w:hAnsi="Arial" w:cs="Arial"/>
          <w:sz w:val="20"/>
        </w:rPr>
        <w:t xml:space="preserve"> ask patients about recent travel history and other risk factors for </w:t>
      </w:r>
      <w:proofErr w:type="gramStart"/>
      <w:r w:rsidRPr="4663A9AF">
        <w:rPr>
          <w:rFonts w:ascii="Arial" w:eastAsia="Aptos" w:hAnsi="Arial" w:cs="Arial"/>
          <w:sz w:val="20"/>
        </w:rPr>
        <w:t>mpox, and</w:t>
      </w:r>
      <w:proofErr w:type="gramEnd"/>
      <w:r w:rsidRPr="4663A9AF">
        <w:rPr>
          <w:rFonts w:ascii="Arial" w:eastAsia="Aptos" w:hAnsi="Arial" w:cs="Arial"/>
          <w:sz w:val="20"/>
        </w:rPr>
        <w:t xml:space="preserve"> consider MPXV testing</w:t>
      </w:r>
      <w:r w:rsidR="00C301C0" w:rsidRPr="4663A9AF">
        <w:rPr>
          <w:rFonts w:ascii="Arial" w:eastAsia="Aptos" w:hAnsi="Arial" w:cs="Arial"/>
          <w:sz w:val="20"/>
        </w:rPr>
        <w:t xml:space="preserve"> when appropriate</w:t>
      </w:r>
      <w:r w:rsidRPr="4663A9AF">
        <w:rPr>
          <w:rFonts w:ascii="Arial" w:eastAsia="Aptos" w:hAnsi="Arial" w:cs="Arial"/>
          <w:sz w:val="20"/>
        </w:rPr>
        <w:t xml:space="preserve">. Suspected cases of clade I mpox should be reported to MDPH promptly. </w:t>
      </w:r>
    </w:p>
    <w:p w14:paraId="7E64F7B5" w14:textId="77777777" w:rsidR="00535EA8" w:rsidRPr="00C8266A" w:rsidRDefault="00535EA8" w:rsidP="00C8266A">
      <w:pPr>
        <w:rPr>
          <w:rFonts w:ascii="Arial" w:eastAsia="Aptos" w:hAnsi="Arial" w:cs="Arial"/>
          <w:sz w:val="20"/>
        </w:rPr>
      </w:pPr>
    </w:p>
    <w:p w14:paraId="3EAC95BD" w14:textId="77777777" w:rsidR="00C8266A" w:rsidRPr="00C8266A" w:rsidRDefault="00C8266A" w:rsidP="00C8266A">
      <w:pPr>
        <w:rPr>
          <w:rFonts w:ascii="Arial" w:eastAsia="Aptos" w:hAnsi="Arial" w:cs="Arial"/>
          <w:b/>
          <w:bCs/>
          <w:sz w:val="20"/>
        </w:rPr>
      </w:pPr>
      <w:r w:rsidRPr="00C8266A">
        <w:rPr>
          <w:rFonts w:ascii="Arial" w:eastAsia="Aptos" w:hAnsi="Arial" w:cs="Arial"/>
          <w:b/>
          <w:bCs/>
          <w:sz w:val="20"/>
        </w:rPr>
        <w:t>Recommendations for Clinicians and Public Health Practitioners</w:t>
      </w:r>
    </w:p>
    <w:p w14:paraId="156B423C" w14:textId="77777777" w:rsidR="00BA6368" w:rsidRPr="00C8266A" w:rsidRDefault="00BA6368" w:rsidP="00BA6368">
      <w:pPr>
        <w:shd w:val="clear" w:color="auto" w:fill="FFFFFF"/>
        <w:rPr>
          <w:rFonts w:ascii="Arial" w:eastAsia="Aptos" w:hAnsi="Arial" w:cs="Arial"/>
          <w:sz w:val="20"/>
        </w:rPr>
      </w:pPr>
      <w:r w:rsidRPr="00C8266A">
        <w:rPr>
          <w:rFonts w:ascii="Arial" w:eastAsia="Aptos" w:hAnsi="Arial" w:cs="Arial"/>
          <w:b/>
          <w:bCs/>
          <w:i/>
          <w:iCs/>
          <w:color w:val="000000"/>
          <w:sz w:val="20"/>
        </w:rPr>
        <w:t>Prevention</w:t>
      </w:r>
    </w:p>
    <w:p w14:paraId="4ED8BF0E" w14:textId="2B86CA36" w:rsidR="00BA6368" w:rsidRPr="00C301C0" w:rsidRDefault="00BA6368" w:rsidP="4663A9AF">
      <w:pPr>
        <w:numPr>
          <w:ilvl w:val="0"/>
          <w:numId w:val="23"/>
        </w:numPr>
        <w:shd w:val="clear" w:color="auto" w:fill="FFFFFF" w:themeFill="background1"/>
        <w:rPr>
          <w:rFonts w:ascii="Arial" w:hAnsi="Arial" w:cs="Arial"/>
          <w:b/>
          <w:bCs/>
          <w:color w:val="000000"/>
          <w:sz w:val="20"/>
        </w:rPr>
      </w:pPr>
      <w:r w:rsidRPr="4663A9AF">
        <w:rPr>
          <w:rFonts w:ascii="Arial" w:hAnsi="Arial" w:cs="Arial"/>
          <w:b/>
          <w:bCs/>
          <w:color w:val="000000" w:themeColor="text1"/>
          <w:sz w:val="20"/>
        </w:rPr>
        <w:t xml:space="preserve">Recommend vaccination to people </w:t>
      </w:r>
      <w:r w:rsidR="007E6934" w:rsidRPr="4663A9AF">
        <w:rPr>
          <w:rFonts w:ascii="Arial" w:hAnsi="Arial" w:cs="Arial"/>
          <w:b/>
          <w:bCs/>
          <w:color w:val="000000" w:themeColor="text1"/>
          <w:sz w:val="20"/>
        </w:rPr>
        <w:t xml:space="preserve">who are at risk for exposure during travel in addition to others </w:t>
      </w:r>
      <w:r w:rsidRPr="4663A9AF">
        <w:rPr>
          <w:rFonts w:ascii="Arial" w:hAnsi="Arial" w:cs="Arial"/>
          <w:b/>
          <w:bCs/>
          <w:color w:val="000000" w:themeColor="text1"/>
          <w:sz w:val="20"/>
        </w:rPr>
        <w:t xml:space="preserve">who are </w:t>
      </w:r>
      <w:r w:rsidRPr="4663A9AF">
        <w:rPr>
          <w:rFonts w:ascii="Arial" w:eastAsia="Aptos" w:hAnsi="Arial" w:cs="Arial"/>
          <w:b/>
          <w:bCs/>
          <w:color w:val="000000" w:themeColor="text1"/>
          <w:sz w:val="20"/>
        </w:rPr>
        <w:t>eligible for mpox vaccine</w:t>
      </w:r>
      <w:r w:rsidR="6086E034" w:rsidRPr="4663A9AF">
        <w:rPr>
          <w:rFonts w:ascii="Arial" w:eastAsia="Aptos" w:hAnsi="Arial" w:cs="Arial"/>
          <w:b/>
          <w:bCs/>
          <w:color w:val="000000" w:themeColor="text1"/>
          <w:sz w:val="20"/>
        </w:rPr>
        <w:t>.</w:t>
      </w:r>
      <w:r w:rsidR="07EBD666" w:rsidRPr="4663A9AF">
        <w:rPr>
          <w:rFonts w:ascii="Arial" w:hAnsi="Arial" w:cs="Arial"/>
          <w:b/>
          <w:bCs/>
          <w:color w:val="000000" w:themeColor="text1"/>
          <w:sz w:val="20"/>
        </w:rPr>
        <w:t xml:space="preserve"> Mpox vaccine can also be given as post-exposure prophylaxis</w:t>
      </w:r>
      <w:r w:rsidR="6ECFC582" w:rsidRPr="4663A9AF">
        <w:rPr>
          <w:rFonts w:ascii="Arial" w:hAnsi="Arial" w:cs="Arial"/>
          <w:b/>
          <w:bCs/>
          <w:color w:val="000000" w:themeColor="text1"/>
          <w:sz w:val="20"/>
        </w:rPr>
        <w:t xml:space="preserve"> (PEP)</w:t>
      </w:r>
      <w:r w:rsidR="07EBD666" w:rsidRPr="4663A9AF">
        <w:rPr>
          <w:rFonts w:ascii="Arial" w:hAnsi="Arial" w:cs="Arial"/>
          <w:b/>
          <w:bCs/>
          <w:color w:val="000000" w:themeColor="text1"/>
          <w:sz w:val="20"/>
        </w:rPr>
        <w:t>.</w:t>
      </w:r>
    </w:p>
    <w:p w14:paraId="6C264BF5" w14:textId="77777777" w:rsidR="00BA6368" w:rsidRPr="00C8266A" w:rsidRDefault="00BA6368" w:rsidP="00BA636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Continue to follow CDC’s </w:t>
      </w:r>
      <w:hyperlink r:id="rId13" w:history="1">
        <w:r w:rsidRPr="00C8266A">
          <w:rPr>
            <w:rFonts w:ascii="Arial" w:hAnsi="Arial" w:cs="Arial"/>
            <w:color w:val="0000FF"/>
            <w:sz w:val="20"/>
            <w:u w:val="single"/>
          </w:rPr>
          <w:t>current vaccine guidance</w:t>
        </w:r>
      </w:hyperlink>
      <w:r w:rsidRPr="00C8266A">
        <w:rPr>
          <w:rFonts w:ascii="Arial" w:hAnsi="Arial" w:cs="Arial"/>
          <w:color w:val="000000"/>
          <w:sz w:val="20"/>
        </w:rPr>
        <w:t xml:space="preserve"> to prevent mpox.</w:t>
      </w:r>
    </w:p>
    <w:p w14:paraId="143CE7F9" w14:textId="77777777" w:rsidR="00BA6368" w:rsidRPr="00C8266A" w:rsidRDefault="00BA6368" w:rsidP="00BA6368">
      <w:pPr>
        <w:numPr>
          <w:ilvl w:val="1"/>
          <w:numId w:val="23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Two doses of JYNNEOS vaccine </w:t>
      </w:r>
      <w:r w:rsidRPr="00C8266A">
        <w:rPr>
          <w:rFonts w:ascii="Arial" w:eastAsia="Aptos" w:hAnsi="Arial" w:cs="Arial"/>
          <w:color w:val="000000"/>
          <w:sz w:val="20"/>
        </w:rPr>
        <w:t>offer substantial protection against mpox</w:t>
      </w:r>
      <w:r>
        <w:rPr>
          <w:rFonts w:ascii="Arial" w:hAnsi="Arial" w:cs="Arial"/>
          <w:color w:val="000000"/>
          <w:sz w:val="20"/>
        </w:rPr>
        <w:t xml:space="preserve"> </w:t>
      </w:r>
      <w:r w:rsidRPr="00C8266A">
        <w:rPr>
          <w:rFonts w:ascii="Arial" w:hAnsi="Arial" w:cs="Arial"/>
          <w:color w:val="000000"/>
          <w:sz w:val="20"/>
        </w:rPr>
        <w:t>and are expected to offer protection regardless of clade.</w:t>
      </w:r>
    </w:p>
    <w:p w14:paraId="7F9BF992" w14:textId="662A74CF" w:rsidR="00BA6368" w:rsidRPr="00C8266A" w:rsidRDefault="00BA6368" w:rsidP="2E3EB23A">
      <w:pPr>
        <w:numPr>
          <w:ilvl w:val="1"/>
          <w:numId w:val="23"/>
        </w:numPr>
        <w:shd w:val="clear" w:color="auto" w:fill="FFFFFF" w:themeFill="background1"/>
        <w:rPr>
          <w:rFonts w:ascii="Arial" w:hAnsi="Arial" w:cs="Arial"/>
          <w:color w:val="000000"/>
          <w:sz w:val="20"/>
        </w:rPr>
      </w:pPr>
      <w:r w:rsidRPr="2E3EB23A">
        <w:rPr>
          <w:rFonts w:ascii="Arial" w:hAnsi="Arial" w:cs="Arial"/>
          <w:color w:val="000000"/>
          <w:sz w:val="20"/>
          <w:shd w:val="clear" w:color="auto" w:fill="FFFFFF"/>
        </w:rPr>
        <w:lastRenderedPageBreak/>
        <w:t>If people at risk for mpox have only received one dose, remind them to get a second dose as soon as possible</w:t>
      </w:r>
      <w:r w:rsidR="6552562D" w:rsidRPr="2E3EB23A">
        <w:rPr>
          <w:rFonts w:ascii="Arial" w:hAnsi="Arial" w:cs="Arial"/>
          <w:color w:val="000000"/>
          <w:sz w:val="20"/>
          <w:shd w:val="clear" w:color="auto" w:fill="FFFFFF"/>
        </w:rPr>
        <w:t xml:space="preserve"> (at least 28 days after their first dose)</w:t>
      </w:r>
      <w:r w:rsidRPr="2E3EB23A">
        <w:rPr>
          <w:rFonts w:ascii="Arial" w:hAnsi="Arial" w:cs="Arial"/>
          <w:color w:val="000000"/>
          <w:sz w:val="20"/>
          <w:shd w:val="clear" w:color="auto" w:fill="FFFFFF"/>
        </w:rPr>
        <w:t>.</w:t>
      </w:r>
      <w:r w:rsidRPr="2E3EB23A">
        <w:rPr>
          <w:rFonts w:ascii="Arial" w:hAnsi="Arial" w:cs="Arial"/>
          <w:color w:val="000000"/>
          <w:sz w:val="20"/>
        </w:rPr>
        <w:t xml:space="preserve"> </w:t>
      </w:r>
    </w:p>
    <w:p w14:paraId="1DC24622" w14:textId="77777777" w:rsidR="00BA6368" w:rsidRPr="00C8266A" w:rsidRDefault="00BA6368" w:rsidP="4663A9AF">
      <w:pPr>
        <w:numPr>
          <w:ilvl w:val="1"/>
          <w:numId w:val="23"/>
        </w:numPr>
        <w:shd w:val="clear" w:color="auto" w:fill="FFFFFF" w:themeFill="background1"/>
        <w:rPr>
          <w:rFonts w:ascii="Arial" w:hAnsi="Arial" w:cs="Arial"/>
          <w:color w:val="000000"/>
          <w:sz w:val="20"/>
        </w:rPr>
      </w:pPr>
      <w:r w:rsidRPr="4663A9AF">
        <w:rPr>
          <w:rFonts w:ascii="Arial" w:hAnsi="Arial" w:cs="Arial"/>
          <w:color w:val="000000" w:themeColor="text1"/>
          <w:sz w:val="20"/>
        </w:rPr>
        <w:t>More than two JYNNEOS vaccine doses (“boosters”) are not currently recommended for most people.</w:t>
      </w:r>
    </w:p>
    <w:p w14:paraId="5518A1B6" w14:textId="0A1E30CB" w:rsidR="76BD9DBB" w:rsidRDefault="76BD9DBB" w:rsidP="4663A9AF">
      <w:pPr>
        <w:numPr>
          <w:ilvl w:val="1"/>
          <w:numId w:val="23"/>
        </w:numPr>
        <w:shd w:val="clear" w:color="auto" w:fill="FFFFFF" w:themeFill="background1"/>
        <w:rPr>
          <w:rFonts w:ascii="Arial" w:hAnsi="Arial" w:cs="Arial"/>
          <w:color w:val="000000" w:themeColor="text1"/>
          <w:sz w:val="20"/>
        </w:rPr>
      </w:pPr>
      <w:r w:rsidRPr="4663A9AF">
        <w:rPr>
          <w:rFonts w:ascii="Arial" w:hAnsi="Arial" w:cs="Arial"/>
          <w:color w:val="000000" w:themeColor="text1"/>
          <w:sz w:val="20"/>
        </w:rPr>
        <w:t>As PEP, vaccine should be given as soon as possible, ideally within four days of exposure; administration 4 through 14 days after exposure may still provide some protection against mpox.</w:t>
      </w:r>
    </w:p>
    <w:p w14:paraId="41095600" w14:textId="77777777" w:rsidR="00BA6368" w:rsidRPr="00C8266A" w:rsidRDefault="00BA6368" w:rsidP="00BA636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Counsel patients on </w:t>
      </w:r>
      <w:hyperlink r:id="rId14" w:history="1">
        <w:r w:rsidRPr="00C8266A">
          <w:rPr>
            <w:rFonts w:ascii="Arial" w:hAnsi="Arial" w:cs="Arial"/>
            <w:color w:val="0000FF"/>
            <w:sz w:val="20"/>
            <w:u w:val="single"/>
          </w:rPr>
          <w:t>activities that may increase risk</w:t>
        </w:r>
      </w:hyperlink>
      <w:r w:rsidRPr="00C8266A">
        <w:rPr>
          <w:rFonts w:ascii="Arial" w:hAnsi="Arial" w:cs="Arial"/>
          <w:color w:val="000000"/>
          <w:sz w:val="20"/>
        </w:rPr>
        <w:t xml:space="preserve"> for MPXV exposure and risk reduction strategies if they have plans to travel to a </w:t>
      </w:r>
      <w:hyperlink r:id="rId15" w:history="1">
        <w:r w:rsidRPr="00C8266A">
          <w:rPr>
            <w:rFonts w:ascii="Arial" w:hAnsi="Arial" w:cs="Arial"/>
            <w:color w:val="0000FF"/>
            <w:sz w:val="20"/>
            <w:u w:val="single"/>
          </w:rPr>
          <w:t>country where ongoing human-to-human transmission</w:t>
        </w:r>
      </w:hyperlink>
      <w:r w:rsidRPr="00C8266A">
        <w:rPr>
          <w:rFonts w:ascii="Arial" w:hAnsi="Arial" w:cs="Arial"/>
          <w:color w:val="0000FF"/>
          <w:sz w:val="20"/>
        </w:rPr>
        <w:t xml:space="preserve"> </w:t>
      </w:r>
      <w:r w:rsidRPr="00C8266A">
        <w:rPr>
          <w:rFonts w:ascii="Arial" w:hAnsi="Arial" w:cs="Arial"/>
          <w:color w:val="000000"/>
          <w:sz w:val="20"/>
        </w:rPr>
        <w:t>of clade I MPXV is occurring. Travelers to affected countries should:</w:t>
      </w:r>
    </w:p>
    <w:p w14:paraId="1E351B10" w14:textId="77777777" w:rsidR="00BA6368" w:rsidRPr="00C8266A" w:rsidRDefault="00BA6368" w:rsidP="00BA6368">
      <w:pPr>
        <w:numPr>
          <w:ilvl w:val="1"/>
          <w:numId w:val="23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Avoid close contact with people who are sick with </w:t>
      </w:r>
      <w:r w:rsidRPr="00C8266A">
        <w:rPr>
          <w:rFonts w:ascii="Arial" w:eastAsia="Aptos" w:hAnsi="Arial" w:cs="Arial"/>
          <w:color w:val="000000"/>
          <w:sz w:val="20"/>
        </w:rPr>
        <w:t>signs and symptoms</w:t>
      </w:r>
      <w:r w:rsidRPr="00C8266A">
        <w:rPr>
          <w:rFonts w:ascii="Arial" w:hAnsi="Arial" w:cs="Arial"/>
          <w:color w:val="000000"/>
          <w:sz w:val="20"/>
        </w:rPr>
        <w:t xml:space="preserve"> of mpox, including skin or genital lesions.</w:t>
      </w:r>
    </w:p>
    <w:p w14:paraId="765BFF37" w14:textId="77777777" w:rsidR="00BA6368" w:rsidRPr="00C8266A" w:rsidRDefault="00BA6368" w:rsidP="00BA6368">
      <w:pPr>
        <w:numPr>
          <w:ilvl w:val="1"/>
          <w:numId w:val="23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Avoid contact with contaminated materials used by people who are sick, such as clothing, bedding, toothbrushes, sex toys, or materials used in healthcare settings. </w:t>
      </w:r>
    </w:p>
    <w:p w14:paraId="425AC8FB" w14:textId="5587DD3A" w:rsidR="00BA6368" w:rsidRDefault="00BA6368" w:rsidP="2E3EB23A">
      <w:pPr>
        <w:numPr>
          <w:ilvl w:val="1"/>
          <w:numId w:val="23"/>
        </w:numPr>
        <w:shd w:val="clear" w:color="auto" w:fill="FFFFFF" w:themeFill="background1"/>
        <w:rPr>
          <w:rFonts w:ascii="Arial" w:hAnsi="Arial" w:cs="Arial"/>
          <w:color w:val="000000"/>
          <w:sz w:val="20"/>
        </w:rPr>
      </w:pPr>
      <w:r w:rsidRPr="2E3EB23A">
        <w:rPr>
          <w:rFonts w:ascii="Arial" w:hAnsi="Arial" w:cs="Arial"/>
          <w:color w:val="000000" w:themeColor="text1"/>
          <w:sz w:val="20"/>
        </w:rPr>
        <w:t>Avoid contact with animals</w:t>
      </w:r>
      <w:r w:rsidR="182FDDB9" w:rsidRPr="2E3EB23A">
        <w:rPr>
          <w:rFonts w:ascii="Arial" w:hAnsi="Arial" w:cs="Arial"/>
          <w:color w:val="000000" w:themeColor="text1"/>
          <w:sz w:val="20"/>
        </w:rPr>
        <w:t xml:space="preserve"> (e.g. small rodents, non-human</w:t>
      </w:r>
      <w:r w:rsidRPr="2E3EB23A">
        <w:rPr>
          <w:rFonts w:ascii="Arial" w:hAnsi="Arial" w:cs="Arial"/>
          <w:color w:val="000000" w:themeColor="text1"/>
          <w:sz w:val="20"/>
        </w:rPr>
        <w:t xml:space="preserve"> </w:t>
      </w:r>
      <w:r w:rsidR="7F52089E" w:rsidRPr="2E3EB23A">
        <w:rPr>
          <w:rFonts w:ascii="Arial" w:hAnsi="Arial" w:cs="Arial"/>
          <w:color w:val="000000" w:themeColor="text1"/>
          <w:sz w:val="20"/>
        </w:rPr>
        <w:t xml:space="preserve">primates and anteaters) </w:t>
      </w:r>
      <w:r w:rsidRPr="2E3EB23A">
        <w:rPr>
          <w:rFonts w:ascii="Arial" w:hAnsi="Arial" w:cs="Arial"/>
          <w:color w:val="000000" w:themeColor="text1"/>
          <w:sz w:val="20"/>
        </w:rPr>
        <w:t>that can carry the virus that causes mpox or their products (e.g., bushmeat, lotions, hides) in areas where mpox is endemic, particularly in Central or West Africa.</w:t>
      </w:r>
    </w:p>
    <w:p w14:paraId="2BDFA7DE" w14:textId="77777777" w:rsidR="00BA6368" w:rsidRPr="00C8266A" w:rsidRDefault="00BA6368" w:rsidP="00C301C0">
      <w:pPr>
        <w:shd w:val="clear" w:color="auto" w:fill="FFFFFF"/>
        <w:ind w:left="1080"/>
        <w:rPr>
          <w:rFonts w:ascii="Arial" w:hAnsi="Arial" w:cs="Arial"/>
          <w:color w:val="000000"/>
          <w:sz w:val="20"/>
        </w:rPr>
      </w:pPr>
    </w:p>
    <w:p w14:paraId="5D4A99C3" w14:textId="77777777" w:rsidR="00C8266A" w:rsidRPr="00C8266A" w:rsidRDefault="00C8266A" w:rsidP="00C8266A">
      <w:pPr>
        <w:shd w:val="clear" w:color="auto" w:fill="FFFFFF"/>
        <w:rPr>
          <w:rFonts w:ascii="Arial" w:eastAsia="Aptos" w:hAnsi="Arial" w:cs="Arial"/>
          <w:i/>
          <w:iCs/>
          <w:color w:val="000000"/>
          <w:sz w:val="20"/>
        </w:rPr>
      </w:pPr>
      <w:r w:rsidRPr="00C8266A">
        <w:rPr>
          <w:rFonts w:ascii="Arial" w:eastAsia="Aptos" w:hAnsi="Arial" w:cs="Arial"/>
          <w:b/>
          <w:bCs/>
          <w:i/>
          <w:iCs/>
          <w:color w:val="000000"/>
          <w:sz w:val="20"/>
        </w:rPr>
        <w:t>Evaluation and Diagnosis</w:t>
      </w:r>
    </w:p>
    <w:p w14:paraId="7F232542" w14:textId="383828BC" w:rsidR="00C8266A" w:rsidRDefault="00C8266A" w:rsidP="00C301C0">
      <w:pPr>
        <w:numPr>
          <w:ilvl w:val="0"/>
          <w:numId w:val="22"/>
        </w:numPr>
        <w:shd w:val="clear" w:color="auto" w:fill="FFFFFF" w:themeFill="background1"/>
        <w:rPr>
          <w:rFonts w:ascii="Arial" w:hAnsi="Arial" w:cs="Arial"/>
          <w:color w:val="000000" w:themeColor="text1"/>
          <w:sz w:val="20"/>
        </w:rPr>
      </w:pPr>
      <w:r w:rsidRPr="2E3EB23A">
        <w:rPr>
          <w:rFonts w:ascii="Arial" w:hAnsi="Arial" w:cs="Arial"/>
          <w:b/>
          <w:bCs/>
          <w:color w:val="000000" w:themeColor="text1"/>
          <w:sz w:val="20"/>
        </w:rPr>
        <w:t xml:space="preserve">Consider mpox as a possible diagnosis in patients with </w:t>
      </w:r>
      <w:hyperlink r:id="rId16">
        <w:r w:rsidRPr="2E3EB23A">
          <w:rPr>
            <w:rFonts w:ascii="Arial" w:hAnsi="Arial" w:cs="Arial"/>
            <w:b/>
            <w:bCs/>
            <w:color w:val="0000FF"/>
            <w:sz w:val="20"/>
            <w:u w:val="single"/>
          </w:rPr>
          <w:t>epidemiologic characteristics</w:t>
        </w:r>
      </w:hyperlink>
      <w:r w:rsidRPr="2E3EB23A">
        <w:rPr>
          <w:rFonts w:ascii="Arial" w:hAnsi="Arial" w:cs="Arial"/>
          <w:b/>
          <w:bCs/>
          <w:color w:val="000000" w:themeColor="text1"/>
          <w:sz w:val="20"/>
        </w:rPr>
        <w:t xml:space="preserve"> and </w:t>
      </w:r>
      <w:hyperlink r:id="rId17">
        <w:r w:rsidRPr="2E3EB23A">
          <w:rPr>
            <w:rFonts w:ascii="Arial" w:hAnsi="Arial" w:cs="Arial"/>
            <w:b/>
            <w:bCs/>
            <w:color w:val="0000FF"/>
            <w:sz w:val="20"/>
            <w:u w:val="single"/>
          </w:rPr>
          <w:t>lesions or other clinical signs and symptoms</w:t>
        </w:r>
      </w:hyperlink>
      <w:r w:rsidRPr="2E3EB23A">
        <w:rPr>
          <w:rFonts w:ascii="Arial" w:hAnsi="Arial" w:cs="Arial"/>
          <w:b/>
          <w:bCs/>
          <w:color w:val="0000FF"/>
          <w:sz w:val="20"/>
        </w:rPr>
        <w:t xml:space="preserve"> </w:t>
      </w:r>
      <w:r w:rsidRPr="2E3EB23A">
        <w:rPr>
          <w:rFonts w:ascii="Arial" w:hAnsi="Arial" w:cs="Arial"/>
          <w:b/>
          <w:bCs/>
          <w:color w:val="000000" w:themeColor="text1"/>
          <w:sz w:val="20"/>
        </w:rPr>
        <w:t xml:space="preserve">consistent with mpox regardless of previous vaccination or infection. </w:t>
      </w:r>
      <w:r w:rsidR="77946154" w:rsidRPr="2E3EB23A">
        <w:rPr>
          <w:rFonts w:ascii="Arial" w:hAnsi="Arial" w:cs="Arial"/>
          <w:b/>
          <w:bCs/>
          <w:color w:val="000000" w:themeColor="text1"/>
          <w:sz w:val="20"/>
        </w:rPr>
        <w:t>Be sure to obtain a travel history</w:t>
      </w:r>
      <w:r w:rsidR="0051622D">
        <w:rPr>
          <w:rFonts w:ascii="Arial" w:hAnsi="Arial" w:cs="Arial"/>
          <w:b/>
          <w:bCs/>
          <w:color w:val="000000" w:themeColor="text1"/>
          <w:sz w:val="20"/>
        </w:rPr>
        <w:t>.</w:t>
      </w:r>
    </w:p>
    <w:p w14:paraId="62C919D2" w14:textId="37EAA66E" w:rsidR="517B250B" w:rsidRDefault="517B250B" w:rsidP="00C301C0">
      <w:pPr>
        <w:numPr>
          <w:ilvl w:val="0"/>
          <w:numId w:val="22"/>
        </w:numPr>
        <w:shd w:val="clear" w:color="auto" w:fill="FFFFFF" w:themeFill="background1"/>
        <w:rPr>
          <w:rFonts w:ascii="Arial" w:hAnsi="Arial" w:cs="Arial"/>
          <w:color w:val="000000" w:themeColor="text1"/>
          <w:sz w:val="20"/>
        </w:rPr>
      </w:pPr>
      <w:r w:rsidRPr="2E3EB23A">
        <w:rPr>
          <w:rFonts w:ascii="Arial" w:hAnsi="Arial" w:cs="Arial"/>
          <w:color w:val="000000" w:themeColor="text1"/>
          <w:sz w:val="20"/>
        </w:rPr>
        <w:t xml:space="preserve">This includes symptomatic people who have been in </w:t>
      </w:r>
      <w:r w:rsidRPr="2E3EB23A">
        <w:rPr>
          <w:rFonts w:ascii="Arial" w:eastAsia="Aptos" w:hAnsi="Arial" w:cs="Arial"/>
          <w:color w:val="000000" w:themeColor="text1"/>
          <w:sz w:val="20"/>
        </w:rPr>
        <w:t>Central or Eastern Africa</w:t>
      </w:r>
      <w:r w:rsidRPr="2E3EB23A">
        <w:rPr>
          <w:rFonts w:ascii="Arial" w:hAnsi="Arial" w:cs="Arial"/>
          <w:color w:val="000000" w:themeColor="text1"/>
          <w:sz w:val="20"/>
        </w:rPr>
        <w:t xml:space="preserve"> (including, but not limited to, Burundi, Central African Republic, Democratic Republic of the Congo, Kenya, Malawi, Republic of </w:t>
      </w:r>
      <w:proofErr w:type="gramStart"/>
      <w:r w:rsidRPr="2E3EB23A">
        <w:rPr>
          <w:rFonts w:ascii="Arial" w:hAnsi="Arial" w:cs="Arial"/>
          <w:color w:val="000000" w:themeColor="text1"/>
          <w:sz w:val="20"/>
        </w:rPr>
        <w:t>the Congo</w:t>
      </w:r>
      <w:proofErr w:type="gramEnd"/>
      <w:r w:rsidRPr="2E3EB23A">
        <w:rPr>
          <w:rFonts w:ascii="Arial" w:hAnsi="Arial" w:cs="Arial"/>
          <w:color w:val="000000" w:themeColor="text1"/>
          <w:sz w:val="20"/>
        </w:rPr>
        <w:t>, Rwanda, South Sudan, Tanzania, Uganda, and Zambia) in the previous 21 days.</w:t>
      </w:r>
    </w:p>
    <w:p w14:paraId="1248D44E" w14:textId="77777777" w:rsidR="517B250B" w:rsidRDefault="517B250B" w:rsidP="00C301C0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Arial" w:hAnsi="Arial" w:cs="Arial"/>
          <w:color w:val="000000" w:themeColor="text1"/>
        </w:rPr>
      </w:pPr>
      <w:r w:rsidRPr="2E3EB23A">
        <w:rPr>
          <w:rFonts w:ascii="Arial" w:hAnsi="Arial" w:cs="Arial"/>
          <w:color w:val="000000" w:themeColor="text1"/>
          <w:sz w:val="20"/>
          <w:szCs w:val="20"/>
        </w:rPr>
        <w:t xml:space="preserve">This also includes people who had close or intimate contact with symptomatic people who have been </w:t>
      </w:r>
      <w:proofErr w:type="gramStart"/>
      <w:r w:rsidRPr="2E3EB23A">
        <w:rPr>
          <w:rFonts w:ascii="Arial" w:hAnsi="Arial" w:cs="Arial"/>
          <w:color w:val="000000" w:themeColor="text1"/>
          <w:sz w:val="20"/>
          <w:szCs w:val="20"/>
        </w:rPr>
        <w:t>in</w:t>
      </w:r>
      <w:proofErr w:type="gramEnd"/>
      <w:r w:rsidRPr="2E3EB23A">
        <w:rPr>
          <w:rFonts w:ascii="Arial" w:hAnsi="Arial" w:cs="Arial"/>
          <w:color w:val="000000" w:themeColor="text1"/>
          <w:sz w:val="20"/>
          <w:szCs w:val="20"/>
        </w:rPr>
        <w:t xml:space="preserve"> these countries. </w:t>
      </w:r>
    </w:p>
    <w:p w14:paraId="6EB9BC3E" w14:textId="1F833D82" w:rsidR="517B250B" w:rsidRDefault="517B250B" w:rsidP="00C301C0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Arial" w:hAnsi="Arial" w:cs="Arial"/>
          <w:color w:val="000000" w:themeColor="text1"/>
        </w:rPr>
      </w:pPr>
      <w:r w:rsidRPr="2E3EB23A">
        <w:rPr>
          <w:rFonts w:ascii="Arial" w:hAnsi="Arial" w:cs="Arial"/>
          <w:color w:val="000000" w:themeColor="text1"/>
          <w:sz w:val="20"/>
          <w:szCs w:val="20"/>
        </w:rPr>
        <w:t xml:space="preserve">An up-to-date list of </w:t>
      </w:r>
      <w:hyperlink r:id="rId18" w:history="1">
        <w:r w:rsidRPr="2E3EB23A">
          <w:rPr>
            <w:rFonts w:ascii="Arial" w:hAnsi="Arial" w:cs="Arial"/>
            <w:color w:val="0000FF"/>
            <w:sz w:val="20"/>
            <w:szCs w:val="20"/>
            <w:u w:val="single"/>
          </w:rPr>
          <w:t>countries affected by clade I mpox outbreaks</w:t>
        </w:r>
      </w:hyperlink>
      <w:r w:rsidRPr="2E3EB23A">
        <w:rPr>
          <w:rFonts w:ascii="Arial" w:hAnsi="Arial" w:cs="Arial"/>
          <w:color w:val="000000" w:themeColor="text1"/>
          <w:sz w:val="20"/>
          <w:szCs w:val="20"/>
        </w:rPr>
        <w:t xml:space="preserve"> is available on the CDC website.</w:t>
      </w:r>
    </w:p>
    <w:p w14:paraId="04F58297" w14:textId="61471EC5" w:rsidR="517B250B" w:rsidRDefault="517B250B" w:rsidP="00C301C0">
      <w:pPr>
        <w:pStyle w:val="ListParagraph"/>
        <w:numPr>
          <w:ilvl w:val="0"/>
          <w:numId w:val="28"/>
        </w:numPr>
        <w:shd w:val="clear" w:color="auto" w:fill="FFFFFF" w:themeFill="background1"/>
        <w:rPr>
          <w:rFonts w:ascii="Arial" w:hAnsi="Arial" w:cs="Arial"/>
          <w:color w:val="000000" w:themeColor="text1"/>
        </w:rPr>
      </w:pPr>
      <w:r w:rsidRPr="2E3EB23A">
        <w:rPr>
          <w:rFonts w:ascii="Arial" w:hAnsi="Arial" w:cs="Arial"/>
          <w:color w:val="000000" w:themeColor="text1"/>
          <w:sz w:val="20"/>
          <w:szCs w:val="20"/>
        </w:rPr>
        <w:t>Clinical Findings:</w:t>
      </w:r>
    </w:p>
    <w:p w14:paraId="2E4EFD98" w14:textId="566C3F1F" w:rsidR="7A15C397" w:rsidRDefault="7A15C397" w:rsidP="2E3EB23A">
      <w:pPr>
        <w:numPr>
          <w:ilvl w:val="1"/>
          <w:numId w:val="22"/>
        </w:numPr>
        <w:shd w:val="clear" w:color="auto" w:fill="FFFFFF" w:themeFill="background1"/>
        <w:rPr>
          <w:rFonts w:ascii="Arial" w:hAnsi="Arial" w:cs="Arial"/>
          <w:sz w:val="20"/>
        </w:rPr>
      </w:pPr>
      <w:r w:rsidRPr="2E3EB23A">
        <w:rPr>
          <w:rFonts w:ascii="Arial" w:hAnsi="Arial" w:cs="Arial"/>
          <w:sz w:val="20"/>
        </w:rPr>
        <w:t>After an incubation period of 3-17 days, some individuals will develop a prodrome</w:t>
      </w:r>
      <w:r w:rsidR="54C1C91A" w:rsidRPr="2E3EB23A">
        <w:rPr>
          <w:rFonts w:ascii="Arial" w:hAnsi="Arial" w:cs="Arial"/>
          <w:sz w:val="20"/>
        </w:rPr>
        <w:t xml:space="preserve"> that may include</w:t>
      </w:r>
      <w:r w:rsidR="6D267604" w:rsidRPr="2E3EB23A">
        <w:rPr>
          <w:rFonts w:ascii="Arial" w:hAnsi="Arial" w:cs="Arial"/>
          <w:sz w:val="20"/>
        </w:rPr>
        <w:t xml:space="preserve"> fever, malaise, headache, sore throat, or cough, and (in many cases) swollen lymph nodes.</w:t>
      </w:r>
      <w:r w:rsidR="35370B77" w:rsidRPr="2E3EB23A">
        <w:rPr>
          <w:rFonts w:ascii="Arial" w:hAnsi="Arial" w:cs="Arial"/>
          <w:sz w:val="20"/>
        </w:rPr>
        <w:t xml:space="preserve"> Not all cases will develop a prodrome.</w:t>
      </w:r>
    </w:p>
    <w:p w14:paraId="1679AC0C" w14:textId="1DF0437A" w:rsidR="3BA2C7FF" w:rsidRDefault="3BA2C7FF" w:rsidP="2E3EB23A">
      <w:pPr>
        <w:numPr>
          <w:ilvl w:val="1"/>
          <w:numId w:val="22"/>
        </w:numPr>
        <w:shd w:val="clear" w:color="auto" w:fill="FFFFFF" w:themeFill="background1"/>
        <w:rPr>
          <w:szCs w:val="24"/>
        </w:rPr>
      </w:pPr>
      <w:r w:rsidRPr="2E3EB23A">
        <w:rPr>
          <w:rFonts w:ascii="Arial" w:hAnsi="Arial" w:cs="Arial"/>
          <w:sz w:val="20"/>
        </w:rPr>
        <w:t>M</w:t>
      </w:r>
      <w:r w:rsidR="35370B77" w:rsidRPr="2E3EB23A">
        <w:rPr>
          <w:rFonts w:ascii="Arial" w:hAnsi="Arial" w:cs="Arial"/>
          <w:sz w:val="20"/>
        </w:rPr>
        <w:t xml:space="preserve">pox infection </w:t>
      </w:r>
      <w:r w:rsidR="1295CBF5" w:rsidRPr="2E3EB23A">
        <w:rPr>
          <w:rFonts w:ascii="Arial" w:hAnsi="Arial" w:cs="Arial"/>
          <w:sz w:val="20"/>
        </w:rPr>
        <w:t xml:space="preserve">typically causes </w:t>
      </w:r>
      <w:r w:rsidR="35370B77" w:rsidRPr="2E3EB23A">
        <w:rPr>
          <w:rFonts w:ascii="Arial" w:hAnsi="Arial" w:cs="Arial"/>
          <w:sz w:val="20"/>
        </w:rPr>
        <w:t>lesions that progress from macules, papules, vesicles,</w:t>
      </w:r>
      <w:r w:rsidR="2BA9EEAE" w:rsidRPr="2E3EB23A">
        <w:rPr>
          <w:rFonts w:ascii="Arial" w:hAnsi="Arial" w:cs="Arial"/>
          <w:sz w:val="20"/>
        </w:rPr>
        <w:t xml:space="preserve"> to</w:t>
      </w:r>
      <w:r w:rsidR="35370B77" w:rsidRPr="2E3EB23A">
        <w:rPr>
          <w:rFonts w:ascii="Arial" w:hAnsi="Arial" w:cs="Arial"/>
          <w:sz w:val="20"/>
        </w:rPr>
        <w:t xml:space="preserve"> pustules, and then scabs.  Mature lesions are firm or </w:t>
      </w:r>
      <w:proofErr w:type="gramStart"/>
      <w:r w:rsidR="35370B77" w:rsidRPr="2E3EB23A">
        <w:rPr>
          <w:rFonts w:ascii="Arial" w:hAnsi="Arial" w:cs="Arial"/>
          <w:sz w:val="20"/>
        </w:rPr>
        <w:t>rubbery</w:t>
      </w:r>
      <w:proofErr w:type="gramEnd"/>
      <w:r w:rsidR="35370B77" w:rsidRPr="2E3EB23A">
        <w:rPr>
          <w:rFonts w:ascii="Arial" w:hAnsi="Arial" w:cs="Arial"/>
          <w:sz w:val="20"/>
        </w:rPr>
        <w:t>, well-circumscribed, deep-seated, and often develop umbilication (resembles a dot on the top of the lesion).</w:t>
      </w:r>
    </w:p>
    <w:p w14:paraId="4E19309A" w14:textId="1C6B91CD" w:rsidR="3B4D8948" w:rsidRPr="00C301C0" w:rsidRDefault="3B4D8948" w:rsidP="2E3EB23A">
      <w:pPr>
        <w:numPr>
          <w:ilvl w:val="1"/>
          <w:numId w:val="22"/>
        </w:numPr>
        <w:shd w:val="clear" w:color="auto" w:fill="FFFFFF" w:themeFill="background1"/>
        <w:rPr>
          <w:rFonts w:ascii="Arial" w:eastAsia="Arial" w:hAnsi="Arial" w:cs="Arial"/>
          <w:sz w:val="20"/>
        </w:rPr>
      </w:pPr>
      <w:r w:rsidRPr="00C301C0">
        <w:rPr>
          <w:rFonts w:ascii="Arial" w:eastAsia="Arial" w:hAnsi="Arial" w:cs="Arial"/>
          <w:sz w:val="20"/>
        </w:rPr>
        <w:t xml:space="preserve">Rash may be confined to only a few lesions or only a single lesion and doesn’t always involve the palms and </w:t>
      </w:r>
      <w:r w:rsidR="61C35BA8" w:rsidRPr="2E3EB23A">
        <w:rPr>
          <w:rFonts w:ascii="Arial" w:eastAsia="Arial" w:hAnsi="Arial" w:cs="Arial"/>
          <w:sz w:val="20"/>
        </w:rPr>
        <w:t>soles.</w:t>
      </w:r>
    </w:p>
    <w:p w14:paraId="41492782" w14:textId="01D7724D" w:rsidR="0B190F89" w:rsidRPr="00C301C0" w:rsidRDefault="0B190F89" w:rsidP="2E3EB23A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0"/>
          <w:szCs w:val="20"/>
        </w:rPr>
      </w:pPr>
      <w:r w:rsidRPr="00C301C0">
        <w:rPr>
          <w:rFonts w:ascii="Arial" w:eastAsia="Arial" w:hAnsi="Arial" w:cs="Arial"/>
          <w:sz w:val="20"/>
          <w:szCs w:val="20"/>
        </w:rPr>
        <w:t>Lesions are often described as painful until the healing phase when they become itchy (crusts).</w:t>
      </w:r>
    </w:p>
    <w:p w14:paraId="2F1842C3" w14:textId="7490126E" w:rsidR="304270DD" w:rsidRDefault="304270DD" w:rsidP="2E3EB23A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0"/>
          <w:szCs w:val="20"/>
        </w:rPr>
      </w:pPr>
      <w:r w:rsidRPr="00C301C0">
        <w:rPr>
          <w:rFonts w:ascii="Arial" w:eastAsia="Arial" w:hAnsi="Arial" w:cs="Arial"/>
          <w:sz w:val="20"/>
          <w:szCs w:val="20"/>
        </w:rPr>
        <w:t>Lesions often occur in the genital and anorectal areas or in the mouth.</w:t>
      </w:r>
    </w:p>
    <w:p w14:paraId="2677ED2B" w14:textId="7D63AAAB" w:rsidR="304270DD" w:rsidRDefault="304270DD" w:rsidP="00C301C0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0"/>
        </w:rPr>
      </w:pPr>
      <w:r w:rsidRPr="00C301C0">
        <w:rPr>
          <w:rFonts w:ascii="Arial" w:eastAsia="Arial" w:hAnsi="Arial" w:cs="Arial"/>
          <w:sz w:val="20"/>
          <w:szCs w:val="20"/>
        </w:rPr>
        <w:t>Rectal symptoms (e.g., purulent or bloody stools, rectal pain, or rectal bleeding) have been frequently reported in the current outbreak.</w:t>
      </w:r>
    </w:p>
    <w:p w14:paraId="30782190" w14:textId="60C7DFD8" w:rsidR="00C8266A" w:rsidRPr="00C8266A" w:rsidRDefault="1D446ADA" w:rsidP="00C8266A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301C0">
        <w:rPr>
          <w:rFonts w:ascii="Arial" w:eastAsia="Arial" w:hAnsi="Arial" w:cs="Arial"/>
          <w:sz w:val="20"/>
        </w:rPr>
        <w:t>The differential diagnosis of a diffuse or localized rash is broad and may include herpes simplex virus (HSV</w:t>
      </w:r>
      <w:r w:rsidR="37026F97" w:rsidRPr="00C301C0">
        <w:rPr>
          <w:rFonts w:ascii="Arial" w:eastAsia="Arial" w:hAnsi="Arial" w:cs="Arial"/>
          <w:sz w:val="20"/>
        </w:rPr>
        <w:t>)</w:t>
      </w:r>
      <w:r w:rsidRPr="00C301C0">
        <w:rPr>
          <w:rFonts w:ascii="Arial" w:eastAsia="Arial" w:hAnsi="Arial" w:cs="Arial"/>
          <w:sz w:val="20"/>
        </w:rPr>
        <w:t>, syphilis, herpes zoster (shingles), disseminated varicella-zoster virus infection, molluscum contagiosum, scabies, lymphogranuloma venereum, allergic skin rashes, and drug eruptions</w:t>
      </w:r>
      <w:r w:rsidR="756EA5CD" w:rsidRPr="2E3EB23A">
        <w:rPr>
          <w:rFonts w:ascii="Arial" w:hAnsi="Arial" w:cs="Arial"/>
          <w:color w:val="000000" w:themeColor="text1"/>
          <w:sz w:val="20"/>
        </w:rPr>
        <w:t xml:space="preserve"> </w:t>
      </w:r>
      <w:r w:rsidR="00C8266A" w:rsidRPr="00C8266A">
        <w:rPr>
          <w:rFonts w:ascii="Arial" w:hAnsi="Arial" w:cs="Arial"/>
          <w:color w:val="000000"/>
          <w:sz w:val="20"/>
        </w:rPr>
        <w:t xml:space="preserve">Follow CDC guidance on mpox </w:t>
      </w:r>
      <w:hyperlink r:id="rId19" w:history="1">
        <w:r w:rsidR="00C8266A" w:rsidRPr="00C8266A">
          <w:rPr>
            <w:rFonts w:ascii="Arial" w:hAnsi="Arial" w:cs="Arial"/>
            <w:color w:val="0000FF"/>
            <w:sz w:val="20"/>
            <w:u w:val="single"/>
          </w:rPr>
          <w:t>infection prevention and control</w:t>
        </w:r>
      </w:hyperlink>
      <w:r w:rsidR="00C8266A" w:rsidRPr="00C8266A">
        <w:rPr>
          <w:rFonts w:ascii="Arial" w:hAnsi="Arial" w:cs="Arial"/>
          <w:color w:val="000000"/>
          <w:sz w:val="20"/>
        </w:rPr>
        <w:t xml:space="preserve"> to minimize transmission risk when evaluating and providing care to patients with suspected mpox.</w:t>
      </w:r>
    </w:p>
    <w:p w14:paraId="0BAC561A" w14:textId="77777777" w:rsidR="00C8266A" w:rsidRPr="00C8266A" w:rsidRDefault="00C8266A" w:rsidP="00C8266A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Ask patients with signs and symptoms of mpox but no recent travel whether they have had contact with people who had recently been in </w:t>
      </w:r>
      <w:r w:rsidRPr="00C8266A">
        <w:rPr>
          <w:rFonts w:ascii="Arial" w:eastAsia="Aptos" w:hAnsi="Arial" w:cs="Arial"/>
          <w:color w:val="000000"/>
          <w:sz w:val="20"/>
        </w:rPr>
        <w:t>Central or Eastern Africa</w:t>
      </w:r>
      <w:r w:rsidRPr="00C8266A">
        <w:rPr>
          <w:rFonts w:ascii="Arial" w:hAnsi="Arial" w:cs="Arial"/>
          <w:color w:val="000000"/>
          <w:sz w:val="20"/>
        </w:rPr>
        <w:t xml:space="preserve"> and who were symptomatic for mpox.</w:t>
      </w:r>
    </w:p>
    <w:p w14:paraId="6D6FD8AE" w14:textId="75D8F932" w:rsidR="00C8266A" w:rsidRPr="00C8266A" w:rsidRDefault="00C8266A" w:rsidP="00C8266A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 w:rsidDel="004501E1">
        <w:rPr>
          <w:rFonts w:ascii="Arial" w:hAnsi="Arial" w:cs="Arial"/>
          <w:color w:val="000000"/>
          <w:sz w:val="20"/>
        </w:rPr>
        <w:t xml:space="preserve">Advise all patients suspected of having mpox to stay at home and </w:t>
      </w:r>
      <w:r w:rsidRPr="00C8266A">
        <w:rPr>
          <w:rFonts w:ascii="Arial" w:hAnsi="Arial" w:cs="Arial"/>
          <w:color w:val="000000"/>
          <w:sz w:val="20"/>
        </w:rPr>
        <w:t xml:space="preserve">from others until mpox has been ruled out by laboratory testing.  Suspected cases of mpox </w:t>
      </w:r>
      <w:r w:rsidR="001D1028">
        <w:rPr>
          <w:rFonts w:ascii="Arial" w:hAnsi="Arial" w:cs="Arial"/>
          <w:color w:val="000000"/>
          <w:sz w:val="20"/>
        </w:rPr>
        <w:t>c</w:t>
      </w:r>
      <w:r w:rsidRPr="00C8266A">
        <w:rPr>
          <w:rFonts w:ascii="Arial" w:hAnsi="Arial" w:cs="Arial"/>
          <w:color w:val="000000"/>
          <w:sz w:val="20"/>
        </w:rPr>
        <w:t>lade I should be reported to MDPH Division of Epidemiology (24/7) at 617-983-6800 to discuss recommendations to prevent further spread of the disease.</w:t>
      </w:r>
    </w:p>
    <w:p w14:paraId="76D87A5D" w14:textId="7CD0CA29" w:rsidR="00C8266A" w:rsidRPr="00C8266A" w:rsidRDefault="00C8266A" w:rsidP="00C8266A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Test all </w:t>
      </w:r>
      <w:r w:rsidRPr="00C8266A">
        <w:rPr>
          <w:rFonts w:ascii="Arial" w:eastAsia="Aptos" w:hAnsi="Arial" w:cs="Arial"/>
          <w:color w:val="000000"/>
          <w:sz w:val="20"/>
        </w:rPr>
        <w:t>suspected cases</w:t>
      </w:r>
      <w:r w:rsidRPr="00C8266A">
        <w:rPr>
          <w:rFonts w:ascii="Arial" w:hAnsi="Arial" w:cs="Arial"/>
          <w:color w:val="000000"/>
          <w:sz w:val="20"/>
        </w:rPr>
        <w:t xml:space="preserve"> for MPXV. If a symptomatic patient reports travel to </w:t>
      </w:r>
      <w:r w:rsidRPr="00C8266A">
        <w:rPr>
          <w:rFonts w:ascii="Arial" w:eastAsia="Aptos" w:hAnsi="Arial" w:cs="Arial"/>
          <w:color w:val="000000"/>
          <w:sz w:val="20"/>
        </w:rPr>
        <w:t>Central or Eastern Africa</w:t>
      </w:r>
      <w:r w:rsidRPr="00C8266A">
        <w:rPr>
          <w:rFonts w:ascii="Arial" w:hAnsi="Arial" w:cs="Arial"/>
          <w:color w:val="000000"/>
          <w:sz w:val="20"/>
        </w:rPr>
        <w:t xml:space="preserve"> in the 21 days prior to relevant symptom onset, please contact the MDPH Division of Epidemiology (24/7) at 617-983-6800 to facilitate testing for MPXV that includes clade I MPXV testing. When clade I disease is su</w:t>
      </w:r>
      <w:r w:rsidR="00153069">
        <w:rPr>
          <w:rFonts w:ascii="Arial" w:hAnsi="Arial" w:cs="Arial"/>
          <w:color w:val="000000"/>
          <w:sz w:val="20"/>
        </w:rPr>
        <w:t>s</w:t>
      </w:r>
      <w:r w:rsidRPr="00C8266A">
        <w:rPr>
          <w:rFonts w:ascii="Arial" w:hAnsi="Arial" w:cs="Arial"/>
          <w:color w:val="000000"/>
          <w:sz w:val="20"/>
        </w:rPr>
        <w:t xml:space="preserve">pected, prioritize submission of specimens to the MA SPHL. </w:t>
      </w:r>
    </w:p>
    <w:p w14:paraId="69DB40A3" w14:textId="4E3A95A0" w:rsidR="00C8266A" w:rsidRPr="00C8266A" w:rsidRDefault="00C8266A" w:rsidP="00C8266A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lastRenderedPageBreak/>
        <w:t xml:space="preserve">Follow </w:t>
      </w:r>
      <w:hyperlink r:id="rId20" w:history="1">
        <w:r w:rsidRPr="00C8266A">
          <w:rPr>
            <w:rFonts w:ascii="Arial" w:hAnsi="Arial" w:cs="Arial"/>
            <w:color w:val="0000FF"/>
            <w:sz w:val="20"/>
            <w:u w:val="single"/>
          </w:rPr>
          <w:t>specimen collection guidelines</w:t>
        </w:r>
      </w:hyperlink>
      <w:r w:rsidRPr="00C8266A">
        <w:rPr>
          <w:rFonts w:ascii="Arial" w:hAnsi="Arial" w:cs="Arial"/>
          <w:color w:val="0000FF"/>
          <w:sz w:val="20"/>
        </w:rPr>
        <w:t xml:space="preserve"> </w:t>
      </w:r>
      <w:r w:rsidRPr="00C8266A">
        <w:rPr>
          <w:rFonts w:ascii="Arial" w:hAnsi="Arial" w:cs="Arial"/>
          <w:color w:val="000000"/>
          <w:sz w:val="20"/>
        </w:rPr>
        <w:t xml:space="preserve">(including collecting two swabs per 2-3 lesions) to ensure specimen availability for clade-specific testing. This testing will help distinguish cases that are part of the </w:t>
      </w:r>
      <w:r w:rsidRPr="00C8266A">
        <w:rPr>
          <w:rFonts w:ascii="Arial" w:eastAsia="Aptos" w:hAnsi="Arial" w:cs="Arial"/>
          <w:color w:val="000000"/>
          <w:sz w:val="20"/>
        </w:rPr>
        <w:t>ongoing clade II mpox global outbreak</w:t>
      </w:r>
      <w:r w:rsidRPr="00C8266A">
        <w:rPr>
          <w:rFonts w:ascii="Arial" w:hAnsi="Arial" w:cs="Arial"/>
          <w:color w:val="000000"/>
          <w:sz w:val="20"/>
        </w:rPr>
        <w:t xml:space="preserve"> from those that are part of this clade I outbreak.</w:t>
      </w:r>
    </w:p>
    <w:p w14:paraId="1B4B9AFD" w14:textId="77777777" w:rsidR="00C8266A" w:rsidRPr="00C8266A" w:rsidRDefault="00C8266A" w:rsidP="2E3EB23A">
      <w:pPr>
        <w:numPr>
          <w:ilvl w:val="1"/>
          <w:numId w:val="22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  <w:sz w:val="20"/>
        </w:rPr>
      </w:pPr>
      <w:r w:rsidRPr="2E3EB23A">
        <w:rPr>
          <w:rFonts w:ascii="Arial" w:hAnsi="Arial" w:cs="Arial"/>
          <w:color w:val="000000" w:themeColor="text1"/>
          <w:sz w:val="20"/>
        </w:rPr>
        <w:t xml:space="preserve">Avoid unroofing or aspirating lesions (or otherwise using sharp instruments for mpox testing) to minimize the risk of a </w:t>
      </w:r>
      <w:proofErr w:type="gramStart"/>
      <w:r w:rsidRPr="2E3EB23A">
        <w:rPr>
          <w:rFonts w:ascii="Arial" w:hAnsi="Arial" w:cs="Arial"/>
          <w:color w:val="000000" w:themeColor="text1"/>
          <w:sz w:val="20"/>
        </w:rPr>
        <w:t>sharps</w:t>
      </w:r>
      <w:proofErr w:type="gramEnd"/>
      <w:r w:rsidRPr="2E3EB23A">
        <w:rPr>
          <w:rFonts w:ascii="Arial" w:hAnsi="Arial" w:cs="Arial"/>
          <w:color w:val="000000" w:themeColor="text1"/>
          <w:sz w:val="20"/>
        </w:rPr>
        <w:t xml:space="preserve"> injury.</w:t>
      </w:r>
    </w:p>
    <w:p w14:paraId="170FC021" w14:textId="0834E8E6" w:rsidR="110ACC7D" w:rsidRDefault="110ACC7D" w:rsidP="2E3EB23A">
      <w:pPr>
        <w:numPr>
          <w:ilvl w:val="0"/>
          <w:numId w:val="22"/>
        </w:numPr>
        <w:shd w:val="clear" w:color="auto" w:fill="FFFFFF" w:themeFill="background1"/>
        <w:rPr>
          <w:rFonts w:ascii="Arial" w:hAnsi="Arial" w:cs="Arial"/>
          <w:color w:val="000000" w:themeColor="text1"/>
          <w:sz w:val="20"/>
        </w:rPr>
      </w:pPr>
      <w:r w:rsidRPr="2E3EB23A">
        <w:rPr>
          <w:rFonts w:ascii="Arial" w:hAnsi="Arial" w:cs="Arial"/>
          <w:color w:val="000000" w:themeColor="text1"/>
          <w:sz w:val="20"/>
        </w:rPr>
        <w:t xml:space="preserve">Note that specimen collection instructions may differ for different laboratories. Specimens sent to the MA SPHL should be sent on </w:t>
      </w:r>
      <w:r w:rsidRPr="00C301C0">
        <w:rPr>
          <w:rFonts w:ascii="Arial" w:hAnsi="Arial" w:cs="Arial"/>
          <w:b/>
          <w:bCs/>
          <w:color w:val="000000" w:themeColor="text1"/>
          <w:sz w:val="20"/>
        </w:rPr>
        <w:t>dry swabs</w:t>
      </w:r>
      <w:r w:rsidRPr="2E3EB23A">
        <w:rPr>
          <w:rFonts w:ascii="Arial" w:hAnsi="Arial" w:cs="Arial"/>
          <w:color w:val="000000" w:themeColor="text1"/>
          <w:sz w:val="20"/>
        </w:rPr>
        <w:t>.</w:t>
      </w:r>
    </w:p>
    <w:p w14:paraId="3E85935C" w14:textId="77777777" w:rsidR="00C8266A" w:rsidRPr="00C8266A" w:rsidRDefault="00C8266A" w:rsidP="00C8266A">
      <w:pPr>
        <w:rPr>
          <w:rFonts w:ascii="Arial" w:eastAsia="Aptos" w:hAnsi="Arial" w:cs="Arial"/>
          <w:b/>
          <w:bCs/>
          <w:sz w:val="20"/>
        </w:rPr>
      </w:pPr>
    </w:p>
    <w:p w14:paraId="2572F3C9" w14:textId="77777777" w:rsidR="00C8266A" w:rsidRPr="00C8266A" w:rsidRDefault="00C8266A" w:rsidP="00C8266A">
      <w:pPr>
        <w:shd w:val="clear" w:color="auto" w:fill="FFFFFF"/>
        <w:rPr>
          <w:rFonts w:ascii="Arial" w:eastAsia="Aptos" w:hAnsi="Arial" w:cs="Arial"/>
          <w:i/>
          <w:iCs/>
          <w:color w:val="000000"/>
          <w:sz w:val="20"/>
        </w:rPr>
      </w:pPr>
      <w:r w:rsidRPr="00C8266A">
        <w:rPr>
          <w:rFonts w:ascii="Arial" w:eastAsia="Aptos" w:hAnsi="Arial" w:cs="Arial"/>
          <w:b/>
          <w:bCs/>
          <w:i/>
          <w:iCs/>
          <w:color w:val="000000"/>
          <w:sz w:val="20"/>
        </w:rPr>
        <w:t xml:space="preserve">Treatment </w:t>
      </w:r>
    </w:p>
    <w:p w14:paraId="45FF24CF" w14:textId="77777777" w:rsidR="00C8266A" w:rsidRPr="00C8266A" w:rsidRDefault="00C8266A" w:rsidP="00C8266A">
      <w:pPr>
        <w:numPr>
          <w:ilvl w:val="0"/>
          <w:numId w:val="23"/>
        </w:numPr>
        <w:shd w:val="clear" w:color="auto" w:fill="FFFFFF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Promptly consult MDPH about any mpox cases for which severe manifestations might occur (e.g., in people with advanced HIV infection or severe immunocompromise). </w:t>
      </w:r>
    </w:p>
    <w:p w14:paraId="0AFE82B3" w14:textId="77777777" w:rsidR="00C8266A" w:rsidRPr="00C8266A" w:rsidRDefault="00C8266A" w:rsidP="00BD4677">
      <w:pPr>
        <w:shd w:val="clear" w:color="auto" w:fill="FFFFFF"/>
        <w:rPr>
          <w:rFonts w:ascii="Arial" w:hAnsi="Arial" w:cs="Arial"/>
          <w:color w:val="000000"/>
          <w:sz w:val="20"/>
        </w:rPr>
      </w:pPr>
    </w:p>
    <w:p w14:paraId="60E8C273" w14:textId="77777777" w:rsidR="00C8266A" w:rsidRPr="00C8266A" w:rsidRDefault="00C8266A" w:rsidP="00C8266A">
      <w:pPr>
        <w:shd w:val="clear" w:color="auto" w:fill="FFFFFF"/>
        <w:rPr>
          <w:rFonts w:ascii="Arial" w:eastAsia="Aptos" w:hAnsi="Arial" w:cs="Arial"/>
          <w:b/>
          <w:bCs/>
          <w:color w:val="000000"/>
          <w:sz w:val="20"/>
        </w:rPr>
      </w:pPr>
      <w:r w:rsidRPr="00C8266A">
        <w:rPr>
          <w:rFonts w:ascii="Arial" w:eastAsia="Aptos" w:hAnsi="Arial" w:cs="Arial"/>
          <w:b/>
          <w:bCs/>
          <w:color w:val="000000"/>
          <w:sz w:val="20"/>
        </w:rPr>
        <w:t>Recommendations for Laboratories</w:t>
      </w:r>
    </w:p>
    <w:p w14:paraId="5C78A32C" w14:textId="77777777" w:rsidR="00C8266A" w:rsidRPr="00C8266A" w:rsidRDefault="00C8266A" w:rsidP="00C8266A">
      <w:pPr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  <w:shd w:val="clear" w:color="auto" w:fill="FFFFFF"/>
        </w:rPr>
        <w:t xml:space="preserve">According to </w:t>
      </w:r>
      <w:r w:rsidRPr="00C8266A">
        <w:rPr>
          <w:rFonts w:ascii="Arial" w:eastAsia="Aptos" w:hAnsi="Arial" w:cs="Arial"/>
          <w:color w:val="000000"/>
          <w:sz w:val="20"/>
        </w:rPr>
        <w:t>Advisory Committee on Immunization Practices (ACIP)</w:t>
      </w:r>
      <w:r w:rsidRPr="00C8266A">
        <w:rPr>
          <w:rFonts w:ascii="Arial" w:hAnsi="Arial" w:cs="Arial"/>
          <w:color w:val="0000FF"/>
          <w:sz w:val="20"/>
          <w:shd w:val="clear" w:color="auto" w:fill="FFFFFF"/>
        </w:rPr>
        <w:t xml:space="preserve"> </w:t>
      </w:r>
      <w:r w:rsidRPr="00C8266A">
        <w:rPr>
          <w:rFonts w:ascii="Arial" w:hAnsi="Arial" w:cs="Arial"/>
          <w:color w:val="000000"/>
          <w:sz w:val="20"/>
          <w:shd w:val="clear" w:color="auto" w:fill="FFFFFF"/>
        </w:rPr>
        <w:t xml:space="preserve">recommendations, employers should offer pre-exposure </w:t>
      </w:r>
      <w:proofErr w:type="spellStart"/>
      <w:r w:rsidRPr="00C8266A">
        <w:rPr>
          <w:rFonts w:ascii="Arial" w:hAnsi="Arial" w:cs="Arial"/>
          <w:i/>
          <w:iCs/>
          <w:color w:val="000000"/>
          <w:sz w:val="20"/>
          <w:shd w:val="clear" w:color="auto" w:fill="FFFFFF"/>
        </w:rPr>
        <w:t>orthopoxvirus</w:t>
      </w:r>
      <w:proofErr w:type="spellEnd"/>
      <w:r w:rsidRPr="00C8266A">
        <w:rPr>
          <w:rFonts w:ascii="Arial" w:hAnsi="Arial" w:cs="Arial"/>
          <w:color w:val="000000"/>
          <w:sz w:val="20"/>
          <w:shd w:val="clear" w:color="auto" w:fill="FFFFFF"/>
        </w:rPr>
        <w:t xml:space="preserve"> vaccination to workers at risk of occupational exposure. Two vaccines may be used to prevent mpox disease,</w:t>
      </w:r>
      <w:r w:rsidRPr="00C8266A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hyperlink r:id="rId21" w:tgtFrame="_blank" w:tooltip="https://www.cdc.gov/mpox/hcp/vaccine-considerations/index.html" w:history="1">
        <w:r w:rsidRPr="00C8266A">
          <w:rPr>
            <w:rFonts w:ascii="Arial" w:hAnsi="Arial" w:cs="Arial"/>
            <w:color w:val="0000FF"/>
            <w:sz w:val="20"/>
            <w:u w:val="single"/>
          </w:rPr>
          <w:t>JYNNEOS and ACAM2000</w:t>
        </w:r>
      </w:hyperlink>
      <w:r w:rsidRPr="00C8266A">
        <w:rPr>
          <w:rFonts w:ascii="Arial" w:hAnsi="Arial" w:cs="Arial"/>
          <w:color w:val="333333"/>
          <w:sz w:val="20"/>
          <w:shd w:val="clear" w:color="auto" w:fill="FFFFFF"/>
        </w:rPr>
        <w:t>. </w:t>
      </w:r>
    </w:p>
    <w:p w14:paraId="1B18B052" w14:textId="77777777" w:rsidR="00C8266A" w:rsidRPr="00C8266A" w:rsidRDefault="00C8266A" w:rsidP="00C8266A">
      <w:pPr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Clinical laboratories that perform clade-specific testing, (e.g., molecular testing or genetic sequencing) should alert MDPH if results from tests indicate detection of clade I MPXV.  </w:t>
      </w:r>
    </w:p>
    <w:p w14:paraId="1D30EB65" w14:textId="77777777" w:rsidR="00C8266A" w:rsidRPr="00C8266A" w:rsidRDefault="00C8266A" w:rsidP="00C8266A">
      <w:pPr>
        <w:numPr>
          <w:ilvl w:val="1"/>
          <w:numId w:val="24"/>
        </w:numPr>
        <w:shd w:val="clear" w:color="auto" w:fill="FFFFFF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Laboratories should be aware of potential genetic mutation impacts on the molecular test(s) that they are using. For instance, the subclade </w:t>
      </w:r>
      <w:proofErr w:type="spellStart"/>
      <w:r w:rsidRPr="00C8266A">
        <w:rPr>
          <w:rFonts w:ascii="Arial" w:hAnsi="Arial" w:cs="Arial"/>
          <w:color w:val="000000"/>
          <w:sz w:val="20"/>
        </w:rPr>
        <w:t>Ib</w:t>
      </w:r>
      <w:proofErr w:type="spellEnd"/>
      <w:r w:rsidRPr="00C8266A">
        <w:rPr>
          <w:rFonts w:ascii="Arial" w:hAnsi="Arial" w:cs="Arial"/>
          <w:color w:val="000000"/>
          <w:sz w:val="20"/>
        </w:rPr>
        <w:t xml:space="preserve"> is not detected with the previously developed “</w:t>
      </w:r>
      <w:r w:rsidRPr="00C8266A">
        <w:rPr>
          <w:rFonts w:ascii="Arial" w:eastAsia="Aptos" w:hAnsi="Arial" w:cs="Arial"/>
          <w:color w:val="000000"/>
          <w:sz w:val="20"/>
        </w:rPr>
        <w:t>clade I PCR test</w:t>
      </w:r>
      <w:r w:rsidRPr="00C8266A">
        <w:rPr>
          <w:rFonts w:ascii="Arial" w:hAnsi="Arial" w:cs="Arial"/>
          <w:color w:val="000000"/>
          <w:sz w:val="20"/>
        </w:rPr>
        <w:t xml:space="preserve">”. This test is now considered a </w:t>
      </w:r>
      <w:proofErr w:type="gramStart"/>
      <w:r w:rsidRPr="00C8266A">
        <w:rPr>
          <w:rFonts w:ascii="Arial" w:hAnsi="Arial" w:cs="Arial"/>
          <w:color w:val="000000"/>
          <w:sz w:val="20"/>
        </w:rPr>
        <w:t>clade</w:t>
      </w:r>
      <w:proofErr w:type="gramEnd"/>
      <w:r w:rsidRPr="00C8266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8266A">
        <w:rPr>
          <w:rFonts w:ascii="Arial" w:hAnsi="Arial" w:cs="Arial"/>
          <w:color w:val="000000"/>
          <w:sz w:val="20"/>
        </w:rPr>
        <w:t>Ia</w:t>
      </w:r>
      <w:proofErr w:type="spellEnd"/>
      <w:r w:rsidRPr="00C8266A">
        <w:rPr>
          <w:rFonts w:ascii="Arial" w:hAnsi="Arial" w:cs="Arial"/>
          <w:color w:val="000000"/>
          <w:sz w:val="20"/>
        </w:rPr>
        <w:t xml:space="preserve"> test. Visit </w:t>
      </w:r>
      <w:hyperlink r:id="rId22" w:history="1">
        <w:r w:rsidRPr="00C8266A">
          <w:rPr>
            <w:rFonts w:ascii="Arial" w:hAnsi="Arial" w:cs="Arial"/>
            <w:color w:val="0000FF"/>
            <w:sz w:val="20"/>
            <w:u w:val="single"/>
          </w:rPr>
          <w:t>Lab Advisory: Recommendations for Mpox Specimen Testing</w:t>
        </w:r>
      </w:hyperlink>
      <w:r w:rsidRPr="00C8266A">
        <w:rPr>
          <w:rFonts w:ascii="Arial" w:hAnsi="Arial" w:cs="Arial"/>
          <w:color w:val="000000"/>
          <w:sz w:val="20"/>
        </w:rPr>
        <w:t xml:space="preserve"> for additional information.</w:t>
      </w:r>
    </w:p>
    <w:p w14:paraId="78C33E9B" w14:textId="77777777" w:rsidR="00C8266A" w:rsidRPr="00C8266A" w:rsidRDefault="00C8266A" w:rsidP="00C8266A">
      <w:pPr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As with all procedures, laboratories should perform a site-specific and activity-specific risk assessment to </w:t>
      </w:r>
      <w:r w:rsidRPr="00C8266A">
        <w:rPr>
          <w:rFonts w:ascii="Arial" w:eastAsia="Aptos" w:hAnsi="Arial" w:cs="Arial"/>
          <w:color w:val="000000"/>
          <w:sz w:val="20"/>
        </w:rPr>
        <w:t>identify and mitigate risks</w:t>
      </w:r>
      <w:r w:rsidRPr="00C8266A">
        <w:rPr>
          <w:rFonts w:ascii="Arial" w:hAnsi="Arial" w:cs="Arial"/>
          <w:color w:val="000000"/>
          <w:sz w:val="20"/>
        </w:rPr>
        <w:t>.</w:t>
      </w:r>
    </w:p>
    <w:p w14:paraId="7545B3FF" w14:textId="77777777" w:rsidR="00C8266A" w:rsidRPr="00C8266A" w:rsidRDefault="00C8266A" w:rsidP="00C8266A">
      <w:pPr>
        <w:numPr>
          <w:ilvl w:val="1"/>
          <w:numId w:val="24"/>
        </w:numPr>
        <w:shd w:val="clear" w:color="auto" w:fill="FFFFFF"/>
        <w:textAlignment w:val="baseline"/>
        <w:rPr>
          <w:rFonts w:ascii="Arial" w:hAnsi="Arial" w:cs="Arial"/>
          <w:sz w:val="20"/>
        </w:rPr>
      </w:pPr>
      <w:r w:rsidRPr="00C8266A">
        <w:rPr>
          <w:rFonts w:ascii="Arial" w:hAnsi="Arial" w:cs="Arial"/>
          <w:color w:val="000000"/>
          <w:sz w:val="20"/>
        </w:rPr>
        <w:t>Follow CDC guidance on </w:t>
      </w:r>
      <w:r w:rsidRPr="00C8266A">
        <w:rPr>
          <w:rFonts w:ascii="Arial" w:eastAsia="Aptos" w:hAnsi="Arial" w:cs="Arial"/>
          <w:color w:val="000000"/>
          <w:sz w:val="20"/>
        </w:rPr>
        <w:t>infection prevention and control</w:t>
      </w:r>
      <w:r w:rsidRPr="00C8266A">
        <w:rPr>
          <w:rFonts w:ascii="Arial" w:hAnsi="Arial" w:cs="Arial"/>
          <w:color w:val="000000"/>
          <w:sz w:val="20"/>
        </w:rPr>
        <w:t> for mpox to minimize risk when working with suspected mpox specimens.</w:t>
      </w:r>
    </w:p>
    <w:p w14:paraId="0E1728DD" w14:textId="77777777" w:rsidR="00C8266A" w:rsidRPr="00C8266A" w:rsidRDefault="00C8266A" w:rsidP="00C8266A">
      <w:pPr>
        <w:autoSpaceDE w:val="0"/>
        <w:autoSpaceDN w:val="0"/>
        <w:rPr>
          <w:rFonts w:ascii="Arial" w:eastAsia="Aptos" w:hAnsi="Arial" w:cs="Arial"/>
          <w:b/>
          <w:bCs/>
          <w:color w:val="000000"/>
          <w:sz w:val="20"/>
        </w:rPr>
      </w:pPr>
    </w:p>
    <w:p w14:paraId="29875711" w14:textId="77777777" w:rsidR="00C8266A" w:rsidRPr="00C8266A" w:rsidRDefault="00C8266A" w:rsidP="00C8266A">
      <w:pPr>
        <w:shd w:val="clear" w:color="auto" w:fill="FFFFFF"/>
        <w:rPr>
          <w:rFonts w:ascii="Arial" w:eastAsia="Aptos" w:hAnsi="Arial" w:cs="Arial"/>
          <w:b/>
          <w:bCs/>
          <w:color w:val="000000"/>
          <w:sz w:val="20"/>
        </w:rPr>
      </w:pPr>
      <w:r w:rsidRPr="00C8266A">
        <w:rPr>
          <w:rFonts w:ascii="Arial" w:eastAsia="Aptos" w:hAnsi="Arial" w:cs="Arial"/>
          <w:b/>
          <w:bCs/>
          <w:color w:val="000000"/>
          <w:sz w:val="20"/>
        </w:rPr>
        <w:t>For Clinicians and Public Health Partners</w:t>
      </w:r>
    </w:p>
    <w:p w14:paraId="4823E42B" w14:textId="77777777" w:rsidR="00C8266A" w:rsidRPr="00C8266A" w:rsidRDefault="00C8266A" w:rsidP="00C301C0">
      <w:pPr>
        <w:numPr>
          <w:ilvl w:val="0"/>
          <w:numId w:val="25"/>
        </w:numPr>
        <w:shd w:val="clear" w:color="auto" w:fill="FFFFFF"/>
        <w:ind w:left="720"/>
        <w:rPr>
          <w:rFonts w:ascii="Arial" w:hAnsi="Arial" w:cs="Arial"/>
          <w:b/>
          <w:bCs/>
          <w:color w:val="000000"/>
          <w:sz w:val="20"/>
        </w:rPr>
      </w:pPr>
      <w:hyperlink r:id="rId23" w:history="1">
        <w:r w:rsidRPr="00C8266A">
          <w:rPr>
            <w:rFonts w:ascii="Arial" w:hAnsi="Arial" w:cs="Arial"/>
            <w:color w:val="0000FF"/>
            <w:sz w:val="20"/>
            <w:u w:val="single"/>
          </w:rPr>
          <w:t>Clade I Mpox Outbreak Originating in Central Africa | Mpox | CDC</w:t>
        </w:r>
      </w:hyperlink>
    </w:p>
    <w:p w14:paraId="23F519EB" w14:textId="77777777" w:rsidR="00C8266A" w:rsidRP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</w:rPr>
      </w:pPr>
      <w:hyperlink r:id="rId24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Ongoing Clade II Mpox Global Outbreak | Mpox | CDC</w:t>
        </w:r>
      </w:hyperlink>
    </w:p>
    <w:p w14:paraId="0CF00D1D" w14:textId="77777777" w:rsidR="00C8266A" w:rsidRP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</w:rPr>
      </w:pPr>
      <w:hyperlink r:id="rId25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Clinical Overview of Mpox | Mpox | CDC</w:t>
        </w:r>
      </w:hyperlink>
    </w:p>
    <w:p w14:paraId="7033C29C" w14:textId="77777777" w:rsidR="00C8266A" w:rsidRP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</w:rPr>
      </w:pPr>
      <w:hyperlink r:id="rId26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Public Health Strategies for Mpox | Mpox | CDC</w:t>
        </w:r>
      </w:hyperlink>
    </w:p>
    <w:p w14:paraId="0CBDD9E7" w14:textId="77777777" w:rsidR="00C8266A" w:rsidRP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</w:rPr>
      </w:pPr>
      <w:hyperlink r:id="rId27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Guide to Taking a Sexual History | CDC</w:t>
        </w:r>
      </w:hyperlink>
    </w:p>
    <w:p w14:paraId="6A5D36E0" w14:textId="77777777" w:rsid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</w:rPr>
      </w:pPr>
      <w:hyperlink r:id="rId28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Mpox Considerations for People Who Are Pregnant or Breastfeeding | Mpox | CDC</w:t>
        </w:r>
      </w:hyperlink>
      <w:r w:rsidRPr="00C8266A">
        <w:rPr>
          <w:rFonts w:ascii="Arial" w:eastAsia="Aptos" w:hAnsi="Arial" w:cs="Arial"/>
          <w:color w:val="000000"/>
          <w:sz w:val="20"/>
        </w:rPr>
        <w:t xml:space="preserve"> </w:t>
      </w:r>
    </w:p>
    <w:p w14:paraId="612D3A3A" w14:textId="799168F2" w:rsidR="004C6D65" w:rsidRPr="00C8266A" w:rsidRDefault="00423A5B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color w:val="000000"/>
          <w:sz w:val="20"/>
          <w:u w:val="single"/>
        </w:rPr>
      </w:pPr>
      <w:hyperlink r:id="rId29" w:history="1">
        <w:r w:rsidRPr="00423A5B">
          <w:rPr>
            <w:rStyle w:val="Hyperlink"/>
            <w:rFonts w:ascii="Arial" w:eastAsia="Aptos" w:hAnsi="Arial" w:cs="Arial"/>
            <w:sz w:val="20"/>
          </w:rPr>
          <w:t>Clinical Considerations for Mpox in Children and Adolescents in the U.S.</w:t>
        </w:r>
      </w:hyperlink>
    </w:p>
    <w:p w14:paraId="012E4320" w14:textId="77777777" w:rsidR="00C8266A" w:rsidRPr="004C6D65" w:rsidRDefault="00C8266A" w:rsidP="00C301C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720"/>
        <w:rPr>
          <w:rFonts w:ascii="Arial" w:eastAsia="Aptos" w:hAnsi="Arial" w:cs="Arial"/>
          <w:color w:val="000000"/>
          <w:sz w:val="20"/>
          <w:u w:val="single"/>
        </w:rPr>
      </w:pPr>
      <w:hyperlink r:id="rId30" w:history="1">
        <w:r w:rsidRPr="004C6D65">
          <w:rPr>
            <w:rFonts w:ascii="Arial" w:eastAsia="Aptos" w:hAnsi="Arial" w:cs="Arial"/>
            <w:color w:val="0000FF"/>
            <w:sz w:val="20"/>
            <w:u w:val="single"/>
          </w:rPr>
          <w:t>Select Agent Regulations | Biosafety Laboratory Guidance for Handling and Processing Mpox Specimens | CDC</w:t>
        </w:r>
      </w:hyperlink>
      <w:r w:rsidRPr="004C6D65">
        <w:rPr>
          <w:rFonts w:ascii="Arial" w:eastAsia="Aptos" w:hAnsi="Arial" w:cs="Arial"/>
          <w:color w:val="0000FF"/>
          <w:sz w:val="20"/>
          <w:u w:val="single"/>
        </w:rPr>
        <w:t xml:space="preserve"> </w:t>
      </w:r>
    </w:p>
    <w:p w14:paraId="66D1D02E" w14:textId="77777777" w:rsidR="00C8266A" w:rsidRPr="00C8266A" w:rsidRDefault="00C8266A" w:rsidP="00C301C0">
      <w:pPr>
        <w:numPr>
          <w:ilvl w:val="0"/>
          <w:numId w:val="26"/>
        </w:numPr>
        <w:shd w:val="clear" w:color="auto" w:fill="FFFFFF"/>
        <w:tabs>
          <w:tab w:val="clear" w:pos="360"/>
          <w:tab w:val="num" w:pos="-360"/>
        </w:tabs>
        <w:ind w:left="720"/>
        <w:rPr>
          <w:rFonts w:ascii="Arial" w:eastAsia="Aptos" w:hAnsi="Arial" w:cs="Arial"/>
          <w:sz w:val="20"/>
        </w:rPr>
      </w:pPr>
      <w:hyperlink r:id="rId31" w:history="1">
        <w:r w:rsidRPr="00C8266A">
          <w:rPr>
            <w:rFonts w:ascii="Arial" w:eastAsia="Aptos" w:hAnsi="Arial" w:cs="Arial"/>
            <w:color w:val="0000FF"/>
            <w:sz w:val="20"/>
            <w:u w:val="single"/>
          </w:rPr>
          <w:t>Information for Clinical/Diagnostic Laboratories, Healthcare Facilities, and Other Entities Not Registered with the Federal Select Agent Program | FSAP</w:t>
        </w:r>
      </w:hyperlink>
      <w:r w:rsidRPr="00C8266A">
        <w:rPr>
          <w:rFonts w:ascii="Arial" w:eastAsia="Aptos" w:hAnsi="Arial" w:cs="Arial"/>
          <w:color w:val="0000FF"/>
          <w:sz w:val="20"/>
          <w:u w:val="single"/>
        </w:rPr>
        <w:t xml:space="preserve"> </w:t>
      </w:r>
    </w:p>
    <w:p w14:paraId="1A2C5F56" w14:textId="77777777" w:rsidR="00C8266A" w:rsidRPr="00C8266A" w:rsidRDefault="00C8266A" w:rsidP="00C8266A">
      <w:pPr>
        <w:autoSpaceDE w:val="0"/>
        <w:autoSpaceDN w:val="0"/>
        <w:rPr>
          <w:rFonts w:ascii="Arial" w:eastAsia="Aptos" w:hAnsi="Arial" w:cs="Arial"/>
          <w:b/>
          <w:bCs/>
          <w:color w:val="000000"/>
          <w:sz w:val="20"/>
        </w:rPr>
      </w:pPr>
    </w:p>
    <w:p w14:paraId="33523764" w14:textId="77777777" w:rsidR="00C8266A" w:rsidRPr="00C8266A" w:rsidRDefault="00C8266A" w:rsidP="00C8266A">
      <w:pPr>
        <w:autoSpaceDE w:val="0"/>
        <w:autoSpaceDN w:val="0"/>
        <w:rPr>
          <w:rFonts w:ascii="Arial" w:eastAsia="Aptos" w:hAnsi="Arial" w:cs="Arial"/>
          <w:b/>
          <w:bCs/>
          <w:color w:val="000000"/>
          <w:sz w:val="20"/>
        </w:rPr>
      </w:pPr>
      <w:r w:rsidRPr="00C8266A">
        <w:rPr>
          <w:rFonts w:ascii="Arial" w:eastAsia="Aptos" w:hAnsi="Arial" w:cs="Arial"/>
          <w:b/>
          <w:bCs/>
          <w:color w:val="000000"/>
          <w:sz w:val="20"/>
        </w:rPr>
        <w:t>References</w:t>
      </w:r>
    </w:p>
    <w:p w14:paraId="7423C64D" w14:textId="5CF756E8" w:rsidR="00C8266A" w:rsidRPr="00C8266A" w:rsidRDefault="00C8266A" w:rsidP="00C301C0">
      <w:pPr>
        <w:numPr>
          <w:ilvl w:val="0"/>
          <w:numId w:val="27"/>
        </w:numPr>
        <w:shd w:val="clear" w:color="auto" w:fill="FFFFFF"/>
        <w:rPr>
          <w:rFonts w:ascii="Arial" w:hAnsi="Arial" w:cs="Arial"/>
          <w:color w:val="1C1D1F"/>
          <w:sz w:val="20"/>
        </w:rPr>
      </w:pPr>
      <w:r w:rsidRPr="00C8266A">
        <w:rPr>
          <w:rFonts w:ascii="Arial" w:hAnsi="Arial" w:cs="Arial"/>
          <w:color w:val="1C1D1F"/>
          <w:sz w:val="20"/>
        </w:rPr>
        <w:t>World Health Organization. 202</w:t>
      </w:r>
      <w:r w:rsidR="009974B9">
        <w:rPr>
          <w:rFonts w:ascii="Arial" w:hAnsi="Arial" w:cs="Arial"/>
          <w:color w:val="1C1D1F"/>
          <w:sz w:val="20"/>
        </w:rPr>
        <w:t>3</w:t>
      </w:r>
      <w:r w:rsidRPr="00C8266A">
        <w:rPr>
          <w:rFonts w:ascii="Arial" w:hAnsi="Arial" w:cs="Arial"/>
          <w:color w:val="1C1D1F"/>
          <w:sz w:val="20"/>
        </w:rPr>
        <w:t>-2</w:t>
      </w:r>
      <w:r w:rsidR="009974B9">
        <w:rPr>
          <w:rFonts w:ascii="Arial" w:hAnsi="Arial" w:cs="Arial"/>
          <w:color w:val="1C1D1F"/>
          <w:sz w:val="20"/>
        </w:rPr>
        <w:t xml:space="preserve">5 </w:t>
      </w:r>
      <w:r w:rsidRPr="00C8266A">
        <w:rPr>
          <w:rFonts w:ascii="Arial" w:hAnsi="Arial" w:cs="Arial"/>
          <w:color w:val="1C1D1F"/>
          <w:sz w:val="20"/>
        </w:rPr>
        <w:t xml:space="preserve">Mpox (Monkeypox) Outbreak: Global Trends. </w:t>
      </w:r>
      <w:hyperlink r:id="rId32" w:tgtFrame="_blank" w:history="1">
        <w:r w:rsidRPr="00C8266A">
          <w:rPr>
            <w:rFonts w:ascii="Arial" w:hAnsi="Arial" w:cs="Arial"/>
            <w:color w:val="0000FF"/>
            <w:sz w:val="20"/>
            <w:u w:val="single"/>
          </w:rPr>
          <w:t>https://worldhealthorg.shinyapps.io/mpx_global</w:t>
        </w:r>
      </w:hyperlink>
      <w:r w:rsidR="00C301C0">
        <w:t>.</w:t>
      </w:r>
      <w:r w:rsidRPr="00C8266A">
        <w:rPr>
          <w:rFonts w:ascii="Arial" w:hAnsi="Arial" w:cs="Arial"/>
          <w:color w:val="1C1D1F"/>
          <w:sz w:val="20"/>
        </w:rPr>
        <w:t xml:space="preserve"> Accessed </w:t>
      </w:r>
      <w:bookmarkStart w:id="1" w:name="What%20CDC%20is%20doing"/>
      <w:bookmarkEnd w:id="1"/>
      <w:r w:rsidR="009974B9">
        <w:rPr>
          <w:rFonts w:ascii="Arial" w:hAnsi="Arial" w:cs="Arial"/>
          <w:color w:val="1C1D1F"/>
          <w:sz w:val="20"/>
        </w:rPr>
        <w:t>June 16, 2025</w:t>
      </w:r>
      <w:r w:rsidRPr="00C8266A">
        <w:rPr>
          <w:rFonts w:ascii="Arial" w:hAnsi="Arial" w:cs="Arial"/>
          <w:color w:val="1C1D1F"/>
          <w:sz w:val="20"/>
        </w:rPr>
        <w:t xml:space="preserve">. </w:t>
      </w:r>
    </w:p>
    <w:p w14:paraId="1B7B630C" w14:textId="77777777" w:rsidR="00C8266A" w:rsidRPr="00C8266A" w:rsidRDefault="00C8266A" w:rsidP="00C8266A">
      <w:pPr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C8266A">
        <w:rPr>
          <w:rFonts w:ascii="Arial" w:hAnsi="Arial" w:cs="Arial"/>
          <w:color w:val="000000"/>
          <w:sz w:val="20"/>
        </w:rPr>
        <w:t xml:space="preserve">Rao AK. “Use of JYNNEOS During Mpox Outbreaks: Clinical Guidance.” Advisory Committee on Immunization Practices (ACIP) presentation. Atlanta, GA, June 23, 2023. </w:t>
      </w:r>
      <w:hyperlink r:id="rId33" w:tgtFrame="_blank" w:history="1">
        <w:r w:rsidRPr="00C8266A">
          <w:rPr>
            <w:rFonts w:ascii="Arial" w:hAnsi="Arial" w:cs="Arial"/>
            <w:color w:val="0000FF"/>
            <w:sz w:val="20"/>
            <w:u w:val="single"/>
          </w:rPr>
          <w:t>https://www.cdc.gov/acip/downloads/slides-2023-06-21-23/03-mpox-Rao-508.pdf</w:t>
        </w:r>
      </w:hyperlink>
    </w:p>
    <w:p w14:paraId="67938C90" w14:textId="77777777" w:rsidR="00C8266A" w:rsidRPr="00C8266A" w:rsidRDefault="00C8266A" w:rsidP="00C8266A">
      <w:pPr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  <w:sz w:val="20"/>
          <w:u w:val="single"/>
        </w:rPr>
      </w:pPr>
      <w:r w:rsidRPr="00C8266A">
        <w:rPr>
          <w:rFonts w:ascii="Arial" w:hAnsi="Arial" w:cs="Arial"/>
          <w:color w:val="000000"/>
          <w:sz w:val="20"/>
        </w:rPr>
        <w:t xml:space="preserve">Rao AK. “Evidence to Recommendations Framework: Vaccination with JYNNEOS During Mpox Outbreaks.” Advisory Committee on Immunization Practices (ACIP) presentation. Atlanta, GA, February 22, 2023. </w:t>
      </w:r>
      <w:hyperlink r:id="rId34" w:tgtFrame="_blank" w:history="1">
        <w:r w:rsidRPr="00C8266A">
          <w:rPr>
            <w:rFonts w:ascii="Arial" w:hAnsi="Arial" w:cs="Arial"/>
            <w:color w:val="0000FF"/>
            <w:sz w:val="20"/>
            <w:u w:val="single"/>
          </w:rPr>
          <w:t>https://www.cdc.gov/acip/downloads/slides-2023-02-22-24/Mpox-07-Rao-508.pdf</w:t>
        </w:r>
      </w:hyperlink>
    </w:p>
    <w:p w14:paraId="22845BE9" w14:textId="77777777" w:rsidR="00C8266A" w:rsidRPr="00C8266A" w:rsidRDefault="00C8266A" w:rsidP="00C8266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</w:rPr>
      </w:pPr>
      <w:proofErr w:type="spellStart"/>
      <w:r w:rsidRPr="00C8266A">
        <w:rPr>
          <w:rFonts w:ascii="Arial" w:hAnsi="Arial" w:cs="Arial"/>
          <w:color w:val="0A0A0A"/>
          <w:sz w:val="20"/>
          <w:shd w:val="clear" w:color="auto" w:fill="FFFFFF"/>
        </w:rPr>
        <w:t>Kibungu</w:t>
      </w:r>
      <w:proofErr w:type="spellEnd"/>
      <w:r w:rsidRPr="00C8266A">
        <w:rPr>
          <w:rFonts w:ascii="Arial" w:hAnsi="Arial" w:cs="Arial"/>
          <w:color w:val="0A0A0A"/>
          <w:sz w:val="20"/>
          <w:shd w:val="clear" w:color="auto" w:fill="FFFFFF"/>
        </w:rPr>
        <w:t xml:space="preserve">, E. M., </w:t>
      </w:r>
      <w:proofErr w:type="spellStart"/>
      <w:r w:rsidRPr="00C8266A">
        <w:rPr>
          <w:rFonts w:ascii="Arial" w:hAnsi="Arial" w:cs="Arial"/>
          <w:color w:val="0A0A0A"/>
          <w:sz w:val="20"/>
          <w:shd w:val="clear" w:color="auto" w:fill="FFFFFF"/>
        </w:rPr>
        <w:t>Vakaniaki</w:t>
      </w:r>
      <w:proofErr w:type="spellEnd"/>
      <w:r w:rsidRPr="00C8266A">
        <w:rPr>
          <w:rFonts w:ascii="Arial" w:hAnsi="Arial" w:cs="Arial"/>
          <w:color w:val="0A0A0A"/>
          <w:sz w:val="20"/>
          <w:shd w:val="clear" w:color="auto" w:fill="FFFFFF"/>
        </w:rPr>
        <w:t xml:space="preserve">, E. H., Kinganda-Lusamaki, E., Kalonji-Mukendi, T., </w:t>
      </w:r>
      <w:proofErr w:type="spellStart"/>
      <w:r w:rsidRPr="00C8266A">
        <w:rPr>
          <w:rFonts w:ascii="Arial" w:hAnsi="Arial" w:cs="Arial"/>
          <w:color w:val="0A0A0A"/>
          <w:sz w:val="20"/>
          <w:shd w:val="clear" w:color="auto" w:fill="FFFFFF"/>
        </w:rPr>
        <w:t>Pukuta</w:t>
      </w:r>
      <w:proofErr w:type="spellEnd"/>
      <w:r w:rsidRPr="00C8266A">
        <w:rPr>
          <w:rFonts w:ascii="Arial" w:hAnsi="Arial" w:cs="Arial"/>
          <w:color w:val="0A0A0A"/>
          <w:sz w:val="20"/>
          <w:shd w:val="clear" w:color="auto" w:fill="FFFFFF"/>
        </w:rPr>
        <w:t xml:space="preserve">, E., Hoff, N. A, </w:t>
      </w:r>
      <w:proofErr w:type="spellStart"/>
      <w:r w:rsidRPr="00C8266A">
        <w:rPr>
          <w:rFonts w:ascii="Arial" w:hAnsi="Arial" w:cs="Arial"/>
          <w:color w:val="0A0A0A"/>
          <w:sz w:val="20"/>
          <w:shd w:val="clear" w:color="auto" w:fill="FFFFFF"/>
        </w:rPr>
        <w:t>Lushima</w:t>
      </w:r>
      <w:proofErr w:type="spellEnd"/>
      <w:r w:rsidRPr="00C8266A">
        <w:rPr>
          <w:rFonts w:ascii="Arial" w:hAnsi="Arial" w:cs="Arial"/>
          <w:color w:val="0A0A0A"/>
          <w:sz w:val="20"/>
          <w:shd w:val="clear" w:color="auto" w:fill="FFFFFF"/>
        </w:rPr>
        <w:t xml:space="preserve">, R. S. (2024). Clade I–Associated Mpox Cases Associated with Sexual Contact, the Democratic Republic of </w:t>
      </w:r>
      <w:proofErr w:type="gramStart"/>
      <w:r w:rsidRPr="00C8266A">
        <w:rPr>
          <w:rFonts w:ascii="Arial" w:hAnsi="Arial" w:cs="Arial"/>
          <w:color w:val="0A0A0A"/>
          <w:sz w:val="20"/>
          <w:shd w:val="clear" w:color="auto" w:fill="FFFFFF"/>
        </w:rPr>
        <w:t>the Congo</w:t>
      </w:r>
      <w:proofErr w:type="gramEnd"/>
      <w:r w:rsidRPr="00C8266A">
        <w:rPr>
          <w:rFonts w:ascii="Arial" w:hAnsi="Arial" w:cs="Arial"/>
          <w:color w:val="0A0A0A"/>
          <w:sz w:val="20"/>
          <w:shd w:val="clear" w:color="auto" w:fill="FFFFFF"/>
        </w:rPr>
        <w:t>. </w:t>
      </w:r>
      <w:r w:rsidRPr="00C8266A">
        <w:rPr>
          <w:rFonts w:ascii="Arial" w:hAnsi="Arial" w:cs="Arial"/>
          <w:i/>
          <w:iCs/>
          <w:color w:val="0A0A0A"/>
          <w:sz w:val="20"/>
          <w:shd w:val="clear" w:color="auto" w:fill="FFFFFF"/>
        </w:rPr>
        <w:t>Emerging Infectious Diseases</w:t>
      </w:r>
      <w:r w:rsidRPr="00C8266A">
        <w:rPr>
          <w:rFonts w:ascii="Arial" w:hAnsi="Arial" w:cs="Arial"/>
          <w:color w:val="0A0A0A"/>
          <w:sz w:val="20"/>
          <w:shd w:val="clear" w:color="auto" w:fill="FFFFFF"/>
        </w:rPr>
        <w:t>, </w:t>
      </w:r>
      <w:r w:rsidRPr="00C8266A">
        <w:rPr>
          <w:rFonts w:ascii="Arial" w:hAnsi="Arial" w:cs="Arial"/>
          <w:i/>
          <w:iCs/>
          <w:color w:val="0A0A0A"/>
          <w:sz w:val="20"/>
          <w:shd w:val="clear" w:color="auto" w:fill="FFFFFF"/>
        </w:rPr>
        <w:t>30</w:t>
      </w:r>
      <w:r w:rsidRPr="00C8266A">
        <w:rPr>
          <w:rFonts w:ascii="Arial" w:hAnsi="Arial" w:cs="Arial"/>
          <w:color w:val="0A0A0A"/>
          <w:sz w:val="20"/>
          <w:shd w:val="clear" w:color="auto" w:fill="FFFFFF"/>
        </w:rPr>
        <w:t xml:space="preserve">(1), 172-176. </w:t>
      </w:r>
      <w:hyperlink r:id="rId35" w:history="1">
        <w:r w:rsidRPr="00C8266A">
          <w:rPr>
            <w:rFonts w:ascii="Arial" w:hAnsi="Arial" w:cs="Arial"/>
            <w:color w:val="0000FF"/>
            <w:sz w:val="20"/>
            <w:u w:val="single"/>
            <w:shd w:val="clear" w:color="auto" w:fill="FFFFFF"/>
          </w:rPr>
          <w:t>https://doi.org/10.3201/eid3001.231164</w:t>
        </w:r>
      </w:hyperlink>
      <w:r w:rsidRPr="00C8266A">
        <w:rPr>
          <w:rFonts w:ascii="Arial" w:hAnsi="Arial" w:cs="Arial"/>
          <w:color w:val="0A0A0A"/>
          <w:sz w:val="20"/>
          <w:shd w:val="clear" w:color="auto" w:fill="FFFFFF"/>
        </w:rPr>
        <w:t>.</w:t>
      </w:r>
    </w:p>
    <w:p w14:paraId="4AC6CD30" w14:textId="77777777" w:rsidR="00C8266A" w:rsidRPr="00C8266A" w:rsidRDefault="00C8266A" w:rsidP="00C8266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Arial" w:eastAsia="Aptos" w:hAnsi="Arial" w:cs="Arial"/>
          <w:sz w:val="20"/>
        </w:rPr>
      </w:pPr>
      <w:proofErr w:type="spellStart"/>
      <w:r w:rsidRPr="00C8266A">
        <w:rPr>
          <w:rFonts w:ascii="Arial" w:hAnsi="Arial" w:cs="Arial"/>
          <w:color w:val="000000"/>
          <w:sz w:val="20"/>
        </w:rPr>
        <w:t>Yinda</w:t>
      </w:r>
      <w:proofErr w:type="spellEnd"/>
      <w:r w:rsidRPr="00C8266A">
        <w:rPr>
          <w:rFonts w:ascii="Arial" w:hAnsi="Arial" w:cs="Arial"/>
          <w:color w:val="000000"/>
          <w:sz w:val="20"/>
        </w:rPr>
        <w:t xml:space="preserve"> CK, </w:t>
      </w:r>
      <w:proofErr w:type="spellStart"/>
      <w:r w:rsidRPr="00C8266A">
        <w:rPr>
          <w:rFonts w:ascii="Arial" w:hAnsi="Arial" w:cs="Arial"/>
          <w:color w:val="000000"/>
          <w:sz w:val="20"/>
        </w:rPr>
        <w:t>Koukouikila-Koussounda</w:t>
      </w:r>
      <w:proofErr w:type="spellEnd"/>
      <w:r w:rsidRPr="00C8266A">
        <w:rPr>
          <w:rFonts w:ascii="Arial" w:hAnsi="Arial" w:cs="Arial"/>
          <w:color w:val="000000"/>
          <w:sz w:val="20"/>
        </w:rPr>
        <w:t xml:space="preserve"> F, </w:t>
      </w:r>
      <w:proofErr w:type="spellStart"/>
      <w:r w:rsidRPr="00C8266A">
        <w:rPr>
          <w:rFonts w:ascii="Arial" w:hAnsi="Arial" w:cs="Arial"/>
          <w:color w:val="000000"/>
          <w:sz w:val="20"/>
        </w:rPr>
        <w:t>Mayengue</w:t>
      </w:r>
      <w:proofErr w:type="spellEnd"/>
      <w:r w:rsidRPr="00C8266A">
        <w:rPr>
          <w:rFonts w:ascii="Arial" w:hAnsi="Arial" w:cs="Arial"/>
          <w:color w:val="000000"/>
          <w:sz w:val="20"/>
        </w:rPr>
        <w:t xml:space="preserve"> PI, et al. </w:t>
      </w:r>
      <w:r w:rsidRPr="00C8266A">
        <w:rPr>
          <w:rFonts w:ascii="Arial" w:hAnsi="Arial" w:cs="Arial"/>
          <w:color w:val="2E2E2E"/>
          <w:sz w:val="20"/>
          <w:shd w:val="clear" w:color="auto" w:fill="FFFFFF"/>
        </w:rPr>
        <w:t xml:space="preserve">Genetic sequencing analysis of monkeypox virus clade I in Republic of </w:t>
      </w:r>
      <w:proofErr w:type="gramStart"/>
      <w:r w:rsidRPr="00C8266A">
        <w:rPr>
          <w:rFonts w:ascii="Arial" w:hAnsi="Arial" w:cs="Arial"/>
          <w:color w:val="2E2E2E"/>
          <w:sz w:val="20"/>
          <w:shd w:val="clear" w:color="auto" w:fill="FFFFFF"/>
        </w:rPr>
        <w:t>the Congo</w:t>
      </w:r>
      <w:proofErr w:type="gramEnd"/>
      <w:r w:rsidRPr="00C8266A">
        <w:rPr>
          <w:rFonts w:ascii="Arial" w:hAnsi="Arial" w:cs="Arial"/>
          <w:color w:val="2E2E2E"/>
          <w:sz w:val="20"/>
          <w:shd w:val="clear" w:color="auto" w:fill="FFFFFF"/>
        </w:rPr>
        <w:t xml:space="preserve">: a cross-sectional, descriptive study. </w:t>
      </w:r>
      <w:r w:rsidRPr="00C8266A">
        <w:rPr>
          <w:rFonts w:ascii="Arial" w:hAnsi="Arial" w:cs="Arial"/>
          <w:i/>
          <w:iCs/>
          <w:color w:val="2E2E2E"/>
          <w:sz w:val="20"/>
          <w:shd w:val="clear" w:color="auto" w:fill="FFFFFF"/>
        </w:rPr>
        <w:t>Lancet</w:t>
      </w:r>
      <w:r w:rsidRPr="00C8266A">
        <w:rPr>
          <w:rFonts w:ascii="Arial" w:hAnsi="Arial" w:cs="Arial"/>
          <w:color w:val="2E2E2E"/>
          <w:sz w:val="20"/>
          <w:shd w:val="clear" w:color="auto" w:fill="FFFFFF"/>
        </w:rPr>
        <w:t xml:space="preserve">. 2024; 404:1815-1822. </w:t>
      </w:r>
      <w:hyperlink r:id="rId36" w:history="1">
        <w:r w:rsidRPr="00C8266A">
          <w:rPr>
            <w:rFonts w:ascii="Arial" w:hAnsi="Arial" w:cs="Arial"/>
            <w:color w:val="0000FF"/>
            <w:sz w:val="20"/>
            <w:u w:val="single"/>
            <w:shd w:val="clear" w:color="auto" w:fill="FFFFFF"/>
          </w:rPr>
          <w:t>https://www.thelancet.com/journals/lancet/article/PIIS0140-6736(24)02188-3/fulltext</w:t>
        </w:r>
      </w:hyperlink>
      <w:r w:rsidRPr="00C8266A">
        <w:rPr>
          <w:rFonts w:ascii="Arial" w:hAnsi="Arial" w:cs="Arial"/>
          <w:color w:val="000000"/>
          <w:sz w:val="20"/>
        </w:rPr>
        <w:t>.</w:t>
      </w:r>
    </w:p>
    <w:p w14:paraId="5E6C90A4" w14:textId="77777777" w:rsidR="00EB6EAA" w:rsidRPr="00FE3FC8" w:rsidRDefault="00EB6EAA" w:rsidP="00C8266A">
      <w:pPr>
        <w:rPr>
          <w:rFonts w:asciiTheme="minorHAnsi" w:hAnsiTheme="minorHAnsi" w:cstheme="minorHAnsi"/>
          <w:szCs w:val="24"/>
        </w:rPr>
      </w:pPr>
    </w:p>
    <w:sectPr w:rsidR="00EB6EAA" w:rsidRPr="00FE3FC8" w:rsidSect="00414F5A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4B6"/>
    <w:multiLevelType w:val="hybridMultilevel"/>
    <w:tmpl w:val="3670CAA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1452C"/>
    <w:multiLevelType w:val="hybridMultilevel"/>
    <w:tmpl w:val="F26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65030A2"/>
    <w:multiLevelType w:val="hybridMultilevel"/>
    <w:tmpl w:val="06E0FEB4"/>
    <w:lvl w:ilvl="0" w:tplc="D8F6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0515"/>
    <w:multiLevelType w:val="hybridMultilevel"/>
    <w:tmpl w:val="2BE0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47C69"/>
    <w:multiLevelType w:val="multilevel"/>
    <w:tmpl w:val="374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C4A00"/>
    <w:multiLevelType w:val="hybridMultilevel"/>
    <w:tmpl w:val="3A1CC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40324"/>
    <w:multiLevelType w:val="hybridMultilevel"/>
    <w:tmpl w:val="B0F640A2"/>
    <w:lvl w:ilvl="0" w:tplc="E248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16B99"/>
    <w:multiLevelType w:val="hybridMultilevel"/>
    <w:tmpl w:val="9DB2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6405"/>
    <w:multiLevelType w:val="hybridMultilevel"/>
    <w:tmpl w:val="8A82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5302"/>
    <w:multiLevelType w:val="hybridMultilevel"/>
    <w:tmpl w:val="2D348E3C"/>
    <w:lvl w:ilvl="0" w:tplc="0368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4D44"/>
    <w:multiLevelType w:val="hybridMultilevel"/>
    <w:tmpl w:val="EF7AAC5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C7B4F76"/>
    <w:multiLevelType w:val="hybridMultilevel"/>
    <w:tmpl w:val="60A27E5C"/>
    <w:lvl w:ilvl="0" w:tplc="0178C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5C28C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D5A8C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E0F9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300C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5A0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06A8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7867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B62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F261B"/>
    <w:multiLevelType w:val="hybridMultilevel"/>
    <w:tmpl w:val="224A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0492"/>
    <w:multiLevelType w:val="hybridMultilevel"/>
    <w:tmpl w:val="2DC0A104"/>
    <w:lvl w:ilvl="0" w:tplc="CF6010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193D5B"/>
    <w:multiLevelType w:val="hybridMultilevel"/>
    <w:tmpl w:val="C88091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4AF0"/>
    <w:multiLevelType w:val="hybridMultilevel"/>
    <w:tmpl w:val="304C4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D624F7A"/>
    <w:multiLevelType w:val="hybridMultilevel"/>
    <w:tmpl w:val="1F88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87D8F"/>
    <w:multiLevelType w:val="hybridMultilevel"/>
    <w:tmpl w:val="5B12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450FE"/>
    <w:multiLevelType w:val="hybridMultilevel"/>
    <w:tmpl w:val="81A4DCBC"/>
    <w:lvl w:ilvl="0" w:tplc="B15A7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90B1B"/>
    <w:multiLevelType w:val="hybridMultilevel"/>
    <w:tmpl w:val="619E5A20"/>
    <w:lvl w:ilvl="0" w:tplc="0EE2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D4C8E"/>
    <w:multiLevelType w:val="hybridMultilevel"/>
    <w:tmpl w:val="B3C0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86E1E"/>
    <w:multiLevelType w:val="multilevel"/>
    <w:tmpl w:val="77F6B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123FA"/>
    <w:multiLevelType w:val="multilevel"/>
    <w:tmpl w:val="E69C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D560E2"/>
    <w:multiLevelType w:val="hybridMultilevel"/>
    <w:tmpl w:val="21FE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682BC"/>
    <w:multiLevelType w:val="hybridMultilevel"/>
    <w:tmpl w:val="E744C3AC"/>
    <w:lvl w:ilvl="0" w:tplc="F17A764E">
      <w:start w:val="1"/>
      <w:numFmt w:val="bullet"/>
      <w:lvlText w:val="·"/>
      <w:lvlJc w:val="left"/>
      <w:pPr>
        <w:ind w:left="756" w:hanging="360"/>
      </w:pPr>
      <w:rPr>
        <w:rFonts w:ascii="Symbol" w:hAnsi="Symbol" w:hint="default"/>
      </w:rPr>
    </w:lvl>
    <w:lvl w:ilvl="1" w:tplc="67767B9A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 w:tplc="5F4C4CC4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514C4D5C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7A4E2C6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 w:tplc="51EC6264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EFADFD0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CF6ABC08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 w:tplc="11CACB3C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7F110BD7"/>
    <w:multiLevelType w:val="hybridMultilevel"/>
    <w:tmpl w:val="BDBA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95252">
    <w:abstractNumId w:val="23"/>
  </w:num>
  <w:num w:numId="2" w16cid:durableId="558368582">
    <w:abstractNumId w:val="13"/>
  </w:num>
  <w:num w:numId="3" w16cid:durableId="54549339">
    <w:abstractNumId w:val="17"/>
  </w:num>
  <w:num w:numId="4" w16cid:durableId="1374303155">
    <w:abstractNumId w:val="24"/>
  </w:num>
  <w:num w:numId="5" w16cid:durableId="1577396957">
    <w:abstractNumId w:val="20"/>
  </w:num>
  <w:num w:numId="6" w16cid:durableId="737678057">
    <w:abstractNumId w:val="8"/>
  </w:num>
  <w:num w:numId="7" w16cid:durableId="1373729525">
    <w:abstractNumId w:val="16"/>
  </w:num>
  <w:num w:numId="8" w16cid:durableId="161511383">
    <w:abstractNumId w:val="1"/>
  </w:num>
  <w:num w:numId="9" w16cid:durableId="1954554822">
    <w:abstractNumId w:val="15"/>
  </w:num>
  <w:num w:numId="10" w16cid:durableId="649141899">
    <w:abstractNumId w:val="2"/>
  </w:num>
  <w:num w:numId="11" w16cid:durableId="1975132780">
    <w:abstractNumId w:val="9"/>
  </w:num>
  <w:num w:numId="12" w16cid:durableId="616834965">
    <w:abstractNumId w:val="25"/>
  </w:num>
  <w:num w:numId="13" w16cid:durableId="885413105">
    <w:abstractNumId w:val="0"/>
  </w:num>
  <w:num w:numId="14" w16cid:durableId="1687712894">
    <w:abstractNumId w:val="14"/>
  </w:num>
  <w:num w:numId="15" w16cid:durableId="1106578269">
    <w:abstractNumId w:val="10"/>
  </w:num>
  <w:num w:numId="16" w16cid:durableId="772096314">
    <w:abstractNumId w:val="19"/>
  </w:num>
  <w:num w:numId="17" w16cid:durableId="1741902905">
    <w:abstractNumId w:val="6"/>
  </w:num>
  <w:num w:numId="18" w16cid:durableId="941033659">
    <w:abstractNumId w:val="7"/>
  </w:num>
  <w:num w:numId="19" w16cid:durableId="269975229">
    <w:abstractNumId w:val="18"/>
  </w:num>
  <w:num w:numId="20" w16cid:durableId="659044337">
    <w:abstractNumId w:val="0"/>
  </w:num>
  <w:num w:numId="21" w16cid:durableId="1565263726">
    <w:abstractNumId w:val="1"/>
  </w:num>
  <w:num w:numId="22" w16cid:durableId="191379434">
    <w:abstractNumId w:val="4"/>
  </w:num>
  <w:num w:numId="23" w16cid:durableId="2054763704">
    <w:abstractNumId w:val="11"/>
  </w:num>
  <w:num w:numId="24" w16cid:durableId="850149152">
    <w:abstractNumId w:val="12"/>
  </w:num>
  <w:num w:numId="25" w16cid:durableId="1108433530">
    <w:abstractNumId w:val="5"/>
  </w:num>
  <w:num w:numId="26" w16cid:durableId="1046955606">
    <w:abstractNumId w:val="21"/>
  </w:num>
  <w:num w:numId="27" w16cid:durableId="1652060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733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482D"/>
    <w:rsid w:val="00033154"/>
    <w:rsid w:val="000410B9"/>
    <w:rsid w:val="00042048"/>
    <w:rsid w:val="0004230A"/>
    <w:rsid w:val="00051B8A"/>
    <w:rsid w:val="000537DA"/>
    <w:rsid w:val="000541AD"/>
    <w:rsid w:val="000601F4"/>
    <w:rsid w:val="00074350"/>
    <w:rsid w:val="00082DC3"/>
    <w:rsid w:val="00087AEC"/>
    <w:rsid w:val="000A1DE1"/>
    <w:rsid w:val="000A34BB"/>
    <w:rsid w:val="000A70D0"/>
    <w:rsid w:val="000B0914"/>
    <w:rsid w:val="000B4FD2"/>
    <w:rsid w:val="000B5E5C"/>
    <w:rsid w:val="000B7D96"/>
    <w:rsid w:val="000C10FB"/>
    <w:rsid w:val="000C2539"/>
    <w:rsid w:val="000C488C"/>
    <w:rsid w:val="000D2266"/>
    <w:rsid w:val="000F315B"/>
    <w:rsid w:val="001065F6"/>
    <w:rsid w:val="001125C0"/>
    <w:rsid w:val="00126676"/>
    <w:rsid w:val="00131B96"/>
    <w:rsid w:val="00137417"/>
    <w:rsid w:val="00150715"/>
    <w:rsid w:val="0015268B"/>
    <w:rsid w:val="00153069"/>
    <w:rsid w:val="00162DFD"/>
    <w:rsid w:val="00163834"/>
    <w:rsid w:val="00177C77"/>
    <w:rsid w:val="0019433F"/>
    <w:rsid w:val="001B45D9"/>
    <w:rsid w:val="001B6693"/>
    <w:rsid w:val="001B72F3"/>
    <w:rsid w:val="001D1028"/>
    <w:rsid w:val="00201DA6"/>
    <w:rsid w:val="00202D8E"/>
    <w:rsid w:val="0021698C"/>
    <w:rsid w:val="00220EAE"/>
    <w:rsid w:val="00234E1C"/>
    <w:rsid w:val="002355C0"/>
    <w:rsid w:val="00252663"/>
    <w:rsid w:val="002562F6"/>
    <w:rsid w:val="00260D54"/>
    <w:rsid w:val="00263F4A"/>
    <w:rsid w:val="00276957"/>
    <w:rsid w:val="00276DCC"/>
    <w:rsid w:val="002A132F"/>
    <w:rsid w:val="002A51AF"/>
    <w:rsid w:val="002A6344"/>
    <w:rsid w:val="002B4A87"/>
    <w:rsid w:val="002C43A8"/>
    <w:rsid w:val="002D1C21"/>
    <w:rsid w:val="002E6090"/>
    <w:rsid w:val="002F3188"/>
    <w:rsid w:val="002F366F"/>
    <w:rsid w:val="00301022"/>
    <w:rsid w:val="00314EE8"/>
    <w:rsid w:val="00331C63"/>
    <w:rsid w:val="003475E9"/>
    <w:rsid w:val="003526C0"/>
    <w:rsid w:val="00375EAD"/>
    <w:rsid w:val="003762B1"/>
    <w:rsid w:val="00381543"/>
    <w:rsid w:val="00385812"/>
    <w:rsid w:val="00392D0B"/>
    <w:rsid w:val="00394548"/>
    <w:rsid w:val="003A1B69"/>
    <w:rsid w:val="003A1C8D"/>
    <w:rsid w:val="003A3C53"/>
    <w:rsid w:val="003A3EEB"/>
    <w:rsid w:val="003A6328"/>
    <w:rsid w:val="003A7AFC"/>
    <w:rsid w:val="003B36EC"/>
    <w:rsid w:val="003C60EF"/>
    <w:rsid w:val="003D0638"/>
    <w:rsid w:val="003F328D"/>
    <w:rsid w:val="00407764"/>
    <w:rsid w:val="00412501"/>
    <w:rsid w:val="00414F5A"/>
    <w:rsid w:val="00423A5B"/>
    <w:rsid w:val="00433607"/>
    <w:rsid w:val="00440D65"/>
    <w:rsid w:val="004447E3"/>
    <w:rsid w:val="00445E67"/>
    <w:rsid w:val="0046292E"/>
    <w:rsid w:val="004745DC"/>
    <w:rsid w:val="004813AC"/>
    <w:rsid w:val="004840FD"/>
    <w:rsid w:val="00485942"/>
    <w:rsid w:val="0048641C"/>
    <w:rsid w:val="004934AD"/>
    <w:rsid w:val="004A1EDA"/>
    <w:rsid w:val="004B37A0"/>
    <w:rsid w:val="004B5CFB"/>
    <w:rsid w:val="004C4436"/>
    <w:rsid w:val="004C6D65"/>
    <w:rsid w:val="004D115B"/>
    <w:rsid w:val="004D6512"/>
    <w:rsid w:val="004D6B39"/>
    <w:rsid w:val="004E0C3F"/>
    <w:rsid w:val="004E65A7"/>
    <w:rsid w:val="004F42BB"/>
    <w:rsid w:val="0051262F"/>
    <w:rsid w:val="00512956"/>
    <w:rsid w:val="0051622D"/>
    <w:rsid w:val="00530145"/>
    <w:rsid w:val="0053518B"/>
    <w:rsid w:val="00535EA8"/>
    <w:rsid w:val="00542A8A"/>
    <w:rsid w:val="00543B01"/>
    <w:rsid w:val="005448AA"/>
    <w:rsid w:val="005719F4"/>
    <w:rsid w:val="00582EF2"/>
    <w:rsid w:val="005974A7"/>
    <w:rsid w:val="005A5ED0"/>
    <w:rsid w:val="005C0053"/>
    <w:rsid w:val="005D256B"/>
    <w:rsid w:val="005F101A"/>
    <w:rsid w:val="005F2DB2"/>
    <w:rsid w:val="005F5D19"/>
    <w:rsid w:val="0061564A"/>
    <w:rsid w:val="0063709D"/>
    <w:rsid w:val="00661039"/>
    <w:rsid w:val="00665F86"/>
    <w:rsid w:val="006B4753"/>
    <w:rsid w:val="006C4BE0"/>
    <w:rsid w:val="006D06D9"/>
    <w:rsid w:val="006D2413"/>
    <w:rsid w:val="006D77A6"/>
    <w:rsid w:val="00702109"/>
    <w:rsid w:val="00704461"/>
    <w:rsid w:val="0071084B"/>
    <w:rsid w:val="0072610D"/>
    <w:rsid w:val="00757006"/>
    <w:rsid w:val="00763CA8"/>
    <w:rsid w:val="0076667A"/>
    <w:rsid w:val="007747DC"/>
    <w:rsid w:val="00793F88"/>
    <w:rsid w:val="007A0433"/>
    <w:rsid w:val="007B3F4B"/>
    <w:rsid w:val="007B4AAA"/>
    <w:rsid w:val="007B4E60"/>
    <w:rsid w:val="007B7347"/>
    <w:rsid w:val="007C703D"/>
    <w:rsid w:val="007D10F3"/>
    <w:rsid w:val="007E6934"/>
    <w:rsid w:val="007F3CDB"/>
    <w:rsid w:val="007F5A82"/>
    <w:rsid w:val="008012BF"/>
    <w:rsid w:val="00803FDE"/>
    <w:rsid w:val="00821315"/>
    <w:rsid w:val="00831A62"/>
    <w:rsid w:val="00846A4C"/>
    <w:rsid w:val="00855604"/>
    <w:rsid w:val="00864D1A"/>
    <w:rsid w:val="00871623"/>
    <w:rsid w:val="00876AC3"/>
    <w:rsid w:val="00877142"/>
    <w:rsid w:val="008803C0"/>
    <w:rsid w:val="0089225B"/>
    <w:rsid w:val="00896C7C"/>
    <w:rsid w:val="008A6D57"/>
    <w:rsid w:val="008D5AE7"/>
    <w:rsid w:val="008F6BCA"/>
    <w:rsid w:val="00910155"/>
    <w:rsid w:val="00913737"/>
    <w:rsid w:val="0094008F"/>
    <w:rsid w:val="00942CA9"/>
    <w:rsid w:val="0096333D"/>
    <w:rsid w:val="00972337"/>
    <w:rsid w:val="009730E5"/>
    <w:rsid w:val="0097599A"/>
    <w:rsid w:val="009766F2"/>
    <w:rsid w:val="0098587D"/>
    <w:rsid w:val="009908FF"/>
    <w:rsid w:val="00995505"/>
    <w:rsid w:val="009974B9"/>
    <w:rsid w:val="009B23A9"/>
    <w:rsid w:val="009B5DD0"/>
    <w:rsid w:val="009C4428"/>
    <w:rsid w:val="009D48CD"/>
    <w:rsid w:val="00A250B2"/>
    <w:rsid w:val="00A65101"/>
    <w:rsid w:val="00A71582"/>
    <w:rsid w:val="00A736DD"/>
    <w:rsid w:val="00A765C2"/>
    <w:rsid w:val="00A82D66"/>
    <w:rsid w:val="00A84A0C"/>
    <w:rsid w:val="00AC632A"/>
    <w:rsid w:val="00B05514"/>
    <w:rsid w:val="00B21269"/>
    <w:rsid w:val="00B2572D"/>
    <w:rsid w:val="00B403BF"/>
    <w:rsid w:val="00B608D9"/>
    <w:rsid w:val="00B619C6"/>
    <w:rsid w:val="00B717EF"/>
    <w:rsid w:val="00B9472F"/>
    <w:rsid w:val="00BA4055"/>
    <w:rsid w:val="00BA6368"/>
    <w:rsid w:val="00BA7FB6"/>
    <w:rsid w:val="00BC660B"/>
    <w:rsid w:val="00BD4677"/>
    <w:rsid w:val="00BE1F17"/>
    <w:rsid w:val="00C20BFE"/>
    <w:rsid w:val="00C21D81"/>
    <w:rsid w:val="00C246D5"/>
    <w:rsid w:val="00C301C0"/>
    <w:rsid w:val="00C36D45"/>
    <w:rsid w:val="00C46D29"/>
    <w:rsid w:val="00C73C9B"/>
    <w:rsid w:val="00C8266A"/>
    <w:rsid w:val="00CA37E8"/>
    <w:rsid w:val="00CC1778"/>
    <w:rsid w:val="00CC7FAF"/>
    <w:rsid w:val="00CD35D0"/>
    <w:rsid w:val="00CE0B22"/>
    <w:rsid w:val="00CE575B"/>
    <w:rsid w:val="00CF3DE8"/>
    <w:rsid w:val="00D033AC"/>
    <w:rsid w:val="00D0493F"/>
    <w:rsid w:val="00D43820"/>
    <w:rsid w:val="00D46ACF"/>
    <w:rsid w:val="00D56F91"/>
    <w:rsid w:val="00D747C7"/>
    <w:rsid w:val="00D861DC"/>
    <w:rsid w:val="00D8671C"/>
    <w:rsid w:val="00D91390"/>
    <w:rsid w:val="00DA2026"/>
    <w:rsid w:val="00DA57C3"/>
    <w:rsid w:val="00DB4EC1"/>
    <w:rsid w:val="00DC3855"/>
    <w:rsid w:val="00DC391D"/>
    <w:rsid w:val="00DC7104"/>
    <w:rsid w:val="00DC7695"/>
    <w:rsid w:val="00DD0B42"/>
    <w:rsid w:val="00DE1D4F"/>
    <w:rsid w:val="00DF1B51"/>
    <w:rsid w:val="00E05E55"/>
    <w:rsid w:val="00E072C3"/>
    <w:rsid w:val="00E12AEB"/>
    <w:rsid w:val="00E162D3"/>
    <w:rsid w:val="00E242A8"/>
    <w:rsid w:val="00E274B8"/>
    <w:rsid w:val="00E34776"/>
    <w:rsid w:val="00E419AC"/>
    <w:rsid w:val="00E44C60"/>
    <w:rsid w:val="00E53115"/>
    <w:rsid w:val="00E56BB1"/>
    <w:rsid w:val="00E57CCD"/>
    <w:rsid w:val="00E61594"/>
    <w:rsid w:val="00E63F64"/>
    <w:rsid w:val="00E72707"/>
    <w:rsid w:val="00E74BE0"/>
    <w:rsid w:val="00E74FBE"/>
    <w:rsid w:val="00E8367C"/>
    <w:rsid w:val="00E90AA6"/>
    <w:rsid w:val="00E94582"/>
    <w:rsid w:val="00EB0DAA"/>
    <w:rsid w:val="00EB2BC5"/>
    <w:rsid w:val="00EB6EAA"/>
    <w:rsid w:val="00EB7588"/>
    <w:rsid w:val="00ED2558"/>
    <w:rsid w:val="00ED7C7E"/>
    <w:rsid w:val="00EF5F29"/>
    <w:rsid w:val="00F0586E"/>
    <w:rsid w:val="00F1187D"/>
    <w:rsid w:val="00F2016B"/>
    <w:rsid w:val="00F22AA2"/>
    <w:rsid w:val="00F23FD2"/>
    <w:rsid w:val="00F36400"/>
    <w:rsid w:val="00F416FF"/>
    <w:rsid w:val="00F43932"/>
    <w:rsid w:val="00F506E4"/>
    <w:rsid w:val="00F56595"/>
    <w:rsid w:val="00F8358A"/>
    <w:rsid w:val="00F87EC1"/>
    <w:rsid w:val="00FA0062"/>
    <w:rsid w:val="00FA575E"/>
    <w:rsid w:val="00FA77BD"/>
    <w:rsid w:val="00FB7145"/>
    <w:rsid w:val="00FC5BAC"/>
    <w:rsid w:val="00FC6B42"/>
    <w:rsid w:val="00FD2A7D"/>
    <w:rsid w:val="00FE3FC8"/>
    <w:rsid w:val="00FF7E09"/>
    <w:rsid w:val="01410207"/>
    <w:rsid w:val="020A76EF"/>
    <w:rsid w:val="035ABACB"/>
    <w:rsid w:val="040071F5"/>
    <w:rsid w:val="07077F19"/>
    <w:rsid w:val="07EBD666"/>
    <w:rsid w:val="0960DBD5"/>
    <w:rsid w:val="0B190F89"/>
    <w:rsid w:val="0C654959"/>
    <w:rsid w:val="0D8B3ECB"/>
    <w:rsid w:val="0FF49C66"/>
    <w:rsid w:val="110ACC7D"/>
    <w:rsid w:val="1295CBF5"/>
    <w:rsid w:val="16059AB1"/>
    <w:rsid w:val="169E4220"/>
    <w:rsid w:val="171C150F"/>
    <w:rsid w:val="180F0EF7"/>
    <w:rsid w:val="180F1445"/>
    <w:rsid w:val="182FDDB9"/>
    <w:rsid w:val="194676A6"/>
    <w:rsid w:val="1BD2BBE5"/>
    <w:rsid w:val="1C3A9D9A"/>
    <w:rsid w:val="1D0856CB"/>
    <w:rsid w:val="1D446ADA"/>
    <w:rsid w:val="1E8ED0A3"/>
    <w:rsid w:val="218C4CD2"/>
    <w:rsid w:val="22238CE0"/>
    <w:rsid w:val="22BC6F3B"/>
    <w:rsid w:val="27C044C7"/>
    <w:rsid w:val="29FC333C"/>
    <w:rsid w:val="2ABB1ACD"/>
    <w:rsid w:val="2BA9EEAE"/>
    <w:rsid w:val="2E3EB23A"/>
    <w:rsid w:val="304270DD"/>
    <w:rsid w:val="3072259A"/>
    <w:rsid w:val="30726FB2"/>
    <w:rsid w:val="311D9FC3"/>
    <w:rsid w:val="35370B77"/>
    <w:rsid w:val="35EC75D0"/>
    <w:rsid w:val="36E4E847"/>
    <w:rsid w:val="37026F97"/>
    <w:rsid w:val="37060519"/>
    <w:rsid w:val="39783613"/>
    <w:rsid w:val="39BC7A2D"/>
    <w:rsid w:val="3B4D8948"/>
    <w:rsid w:val="3B8D8121"/>
    <w:rsid w:val="3BA2C7FF"/>
    <w:rsid w:val="414E95EA"/>
    <w:rsid w:val="4663A9AF"/>
    <w:rsid w:val="477AAB22"/>
    <w:rsid w:val="4825F936"/>
    <w:rsid w:val="4882D468"/>
    <w:rsid w:val="4B277093"/>
    <w:rsid w:val="4B3D6FCA"/>
    <w:rsid w:val="4DA2862A"/>
    <w:rsid w:val="4EBEE24E"/>
    <w:rsid w:val="517B250B"/>
    <w:rsid w:val="536D1CFE"/>
    <w:rsid w:val="54C1C91A"/>
    <w:rsid w:val="5A84CE52"/>
    <w:rsid w:val="5B533F65"/>
    <w:rsid w:val="5FCC547D"/>
    <w:rsid w:val="6086E034"/>
    <w:rsid w:val="60C5E7EF"/>
    <w:rsid w:val="60FA8423"/>
    <w:rsid w:val="61C35BA8"/>
    <w:rsid w:val="6552562D"/>
    <w:rsid w:val="6D267604"/>
    <w:rsid w:val="6ECFC582"/>
    <w:rsid w:val="6F1F2F17"/>
    <w:rsid w:val="705AD592"/>
    <w:rsid w:val="72A6745E"/>
    <w:rsid w:val="756EA5CD"/>
    <w:rsid w:val="76BD9DBB"/>
    <w:rsid w:val="77946154"/>
    <w:rsid w:val="77C03E96"/>
    <w:rsid w:val="77E96331"/>
    <w:rsid w:val="7A15C397"/>
    <w:rsid w:val="7D7A1C8D"/>
    <w:rsid w:val="7EDF8721"/>
    <w:rsid w:val="7F52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D96A54E-ADB9-440B-A0EB-460B2CC7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2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nhideWhenUsed/>
    <w:rsid w:val="001B72F3"/>
    <w:rPr>
      <w:rFonts w:eastAsiaTheme="minorHAnsi"/>
      <w:szCs w:val="24"/>
    </w:rPr>
  </w:style>
  <w:style w:type="paragraph" w:styleId="Revision">
    <w:name w:val="Revision"/>
    <w:hidden/>
    <w:uiPriority w:val="99"/>
    <w:semiHidden/>
    <w:rsid w:val="00331C63"/>
    <w:rPr>
      <w:sz w:val="24"/>
    </w:rPr>
  </w:style>
  <w:style w:type="character" w:styleId="CommentReference">
    <w:name w:val="annotation reference"/>
    <w:basedOn w:val="DefaultParagraphFont"/>
    <w:rsid w:val="005719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19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19F4"/>
  </w:style>
  <w:style w:type="paragraph" w:styleId="CommentSubject">
    <w:name w:val="annotation subject"/>
    <w:basedOn w:val="CommentText"/>
    <w:next w:val="CommentText"/>
    <w:link w:val="CommentSubjectChar"/>
    <w:rsid w:val="00571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9F4"/>
    <w:rPr>
      <w:b/>
      <w:bCs/>
    </w:rPr>
  </w:style>
  <w:style w:type="paragraph" w:styleId="Title">
    <w:name w:val="Title"/>
    <w:basedOn w:val="Normal"/>
    <w:link w:val="TitleChar"/>
    <w:qFormat/>
    <w:rsid w:val="00D46ACF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6ACF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1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21D81"/>
    <w:rPr>
      <w:color w:val="954F72" w:themeColor="followedHyperlink"/>
      <w:u w:val="single"/>
    </w:rPr>
  </w:style>
  <w:style w:type="paragraph" w:customStyle="1" w:styleId="Default">
    <w:name w:val="Default"/>
    <w:rsid w:val="00A25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2413"/>
    <w:pPr>
      <w:widowControl w:val="0"/>
      <w:autoSpaceDE w:val="0"/>
      <w:autoSpaceDN w:val="0"/>
      <w:ind w:left="100"/>
    </w:pPr>
    <w:rPr>
      <w:rFonts w:ascii="Arial Narrow" w:eastAsia="Arial Narrow" w:hAnsi="Arial Narrow" w:cs="Arial Narrow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2413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ldefense.com/v3/__https:/www.cdc.gov/mpox/hcp/vaccine-considerations/vaccination-overview.html__;!!CPANwP4y!TQuFvjYsKgVQMa31QaK4uU58wVG91Volp9JOf1Sq5tCAU5YyF-EokKu2SNrBvrSNBKteef3H-ckV1AH4_xpB7VGJGEWr6A$" TargetMode="External"/><Relationship Id="rId18" Type="http://schemas.openxmlformats.org/officeDocument/2006/relationships/hyperlink" Target="https://urldefense.com/v3/__https:/www.cdc.gov/mpox/situation-summary/index.html__;!!CPANwP4y!TQuFvjYsKgVQMa31QaK4uU58wVG91Volp9JOf1Sq5tCAU5YyF-EokKu2SNrBvrSNBKteef3H-ckV1AH4_xpB7VG6Y2weJA$" TargetMode="External"/><Relationship Id="rId26" Type="http://schemas.openxmlformats.org/officeDocument/2006/relationships/hyperlink" Target="https://urldefense.com/v3/__https:/www.cdc.gov/mpox/php/public-health-strategy/index.html__;!!CPANwP4y!TQuFvjYsKgVQMa31QaK4uU58wVG91Volp9JOf1Sq5tCAU5YyF-EokKu2SNrBvrSNBKteef3H-ckV1AH4_xpB7VELb7gV3w$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ldefense.com/v3/__https:/www.cdc.gov/mpox/hcp/vaccine-considerations/index.html__;!!CPANwP4y!TQuFvjYsKgVQMa31QaK4uU58wVG91Volp9JOf1Sq5tCAU5YyF-EokKu2SNrBvrSNBKteef3H-ckV1AH4_xpB7VE8cqoGNQ$" TargetMode="External"/><Relationship Id="rId34" Type="http://schemas.openxmlformats.org/officeDocument/2006/relationships/hyperlink" Target="https://urldefense.com/v3/__https:/www.cdc.gov/acip/downloads/slides-2023-02-22-24/Mpox-07-Rao-508.pdf__;!!CPANwP4y!TQuFvjYsKgVQMa31QaK4uU58wVG91Volp9JOf1Sq5tCAU5YyF-EokKu2SNrBvrSNBKteef3H-ckV1AH4_xpB7VEGF1mk7A$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dc.gov/mpox/hcp/clinical-overview/index.html" TargetMode="External"/><Relationship Id="rId17" Type="http://schemas.openxmlformats.org/officeDocument/2006/relationships/hyperlink" Target="https://urldefense.com/v3/__https:/www.cdc.gov/mpox/hcp/clinical-signs/index.html__;!!CPANwP4y!TQuFvjYsKgVQMa31QaK4uU58wVG91Volp9JOf1Sq5tCAU5YyF-EokKu2SNrBvrSNBKteef3H-ckV1AH4_xpB7VEPEUapEg$" TargetMode="External"/><Relationship Id="rId25" Type="http://schemas.openxmlformats.org/officeDocument/2006/relationships/hyperlink" Target="https://urldefense.com/v3/__https:/www.cdc.gov/mpox/hcp/clinical-overview/index.html__;!!CPANwP4y!TQuFvjYsKgVQMa31QaK4uU58wVG91Volp9JOf1Sq5tCAU5YyF-EokKu2SNrBvrSNBKteef3H-ckV1AH4_xpB7VHpWZiQIA$" TargetMode="External"/><Relationship Id="rId33" Type="http://schemas.openxmlformats.org/officeDocument/2006/relationships/hyperlink" Target="https://urldefense.com/v3/__https:/www.cdc.gov/acip/downloads/slides-2023-06-21-23/03-mpox-Rao-508.pdf__;!!CPANwP4y!TQuFvjYsKgVQMa31QaK4uU58wVG91Volp9JOf1Sq5tCAU5YyF-EokKu2SNrBvrSNBKteef3H-ckV1AH4_xpB7VGqg7d4qA$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www.cdc.gov/mpox/hcp/case-definitions/index.html*cdc_generic_section_5-epidemiologic-criteria__;Iw!!CPANwP4y!TQuFvjYsKgVQMa31QaK4uU58wVG91Volp9JOf1Sq5tCAU5YyF-EokKu2SNrBvrSNBKteef3H-ckV1AH4_xpB7VFWAmRPQg$" TargetMode="External"/><Relationship Id="rId20" Type="http://schemas.openxmlformats.org/officeDocument/2006/relationships/hyperlink" Target="https://www.mass.gov/doc/instructions-for-specimen-collection-for-orthopoxvirus-testing/download?_ga=2.61791915.647888204.1731967709-1038448085.1689706401&amp;_gl=1*1csq32g*_ga*MTAzODQ0ODA4NS4xNjg5NzA2NDAx*_ga_MCLPEGW7WM*MTczMjEyNzkzOC4zMC4wLjE3MzIxMjc5NDUuMC4wLjA." TargetMode="External"/><Relationship Id="rId29" Type="http://schemas.openxmlformats.org/officeDocument/2006/relationships/hyperlink" Target="https://www.cdc.gov/mpox/hcp/clinical-care/pediatric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www.cdc.gov/mpox/outbreaks/2022/index-1.html__;!!CPANwP4y!TQuFvjYsKgVQMa31QaK4uU58wVG91Volp9JOf1Sq5tCAU5YyF-EokKu2SNrBvrSNBKteef3H-ckV1AH4_xpB7VG4woxAmA$" TargetMode="External"/><Relationship Id="rId24" Type="http://schemas.openxmlformats.org/officeDocument/2006/relationships/hyperlink" Target="https://urldefense.com/v3/__https:/www.cdc.gov/mpox/outbreaks/2022/index-1.html__;!!CPANwP4y!TQuFvjYsKgVQMa31QaK4uU58wVG91Volp9JOf1Sq5tCAU5YyF-EokKu2SNrBvrSNBKteef3H-ckV1AH4_xpB7VG4woxAmA$" TargetMode="External"/><Relationship Id="rId32" Type="http://schemas.openxmlformats.org/officeDocument/2006/relationships/hyperlink" Target="https://urldefense.com/v3/__https:/worldhealthorg.shinyapps.io/mpx_global/__;!!CPANwP4y!TQuFvjYsKgVQMa31QaK4uU58wVG91Volp9JOf1Sq5tCAU5YyF-EokKu2SNrBvrSNBKteef3H-ckV1AH4_xpB7VFMncF-FQ$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www.cdc.gov/mpox/outbreaks/2023/index.html__;!!CPANwP4y!TQuFvjYsKgVQMa31QaK4uU58wVG91Volp9JOf1Sq5tCAU5YyF-EokKu2SNrBvrSNBKteef3H-ckV1AH4_xpB7VGnh90boQ$" TargetMode="External"/><Relationship Id="rId23" Type="http://schemas.openxmlformats.org/officeDocument/2006/relationships/hyperlink" Target="https://urldefense.com/v3/__https:/www.cdc.gov/mpox/outbreaks/2023/index.html__;!!CPANwP4y!TQuFvjYsKgVQMa31QaK4uU58wVG91Volp9JOf1Sq5tCAU5YyF-EokKu2SNrBvrSNBKteef3H-ckV1AH4_xpB7VGnh90boQ$" TargetMode="External"/><Relationship Id="rId28" Type="http://schemas.openxmlformats.org/officeDocument/2006/relationships/hyperlink" Target="https://urldefense.com/v3/__https:/www.cdc.gov/mpox/hcp/clinical-care/pregnancy.html__;!!CPANwP4y!TQuFvjYsKgVQMa31QaK4uU58wVG91Volp9JOf1Sq5tCAU5YyF-EokKu2SNrBvrSNBKteef3H-ckV1AH4_xpB7VGUiqtVbQ$" TargetMode="External"/><Relationship Id="rId36" Type="http://schemas.openxmlformats.org/officeDocument/2006/relationships/hyperlink" Target="https://urldefense.com/v3/__https:/www.thelancet.com/journals/lancet/article/PIIS0140-6736(24)02188-3/fulltext__;!!CPANwP4y!TQuFvjYsKgVQMa31QaK4uU58wVG91Volp9JOf1Sq5tCAU5YyF-EokKu2SNrBvrSNBKteef3H-ckV1AH4_xpB7VHnO-o0cg$" TargetMode="External"/><Relationship Id="rId10" Type="http://schemas.openxmlformats.org/officeDocument/2006/relationships/hyperlink" Target="https://urldefense.com/v3/__https:/www.cdc.gov/mpox/outbreaks/2023/index.html__;!!CPANwP4y!TQuFvjYsKgVQMa31QaK4uU58wVG91Volp9JOf1Sq5tCAU5YyF-EokKu2SNrBvrSNBKteef3H-ckV1AH4_xpB7VGnh90boQ$" TargetMode="External"/><Relationship Id="rId19" Type="http://schemas.openxmlformats.org/officeDocument/2006/relationships/hyperlink" Target="https://urldefense.com/v3/__https:/www.cdc.gov/mpox/hcp/infection-control/healthcare-settings.html__;!!CPANwP4y!TQuFvjYsKgVQMa31QaK4uU58wVG91Volp9JOf1Sq5tCAU5YyF-EokKu2SNrBvrSNBKteef3H-ckV1AH4_xpB7VH1bgkyAw$" TargetMode="External"/><Relationship Id="rId31" Type="http://schemas.openxmlformats.org/officeDocument/2006/relationships/hyperlink" Target="https://urldefense.com/v3/__https:/selectagents.gov/resources/non-fsap-registered-facilities.htm__;!!CPANwP4y!TQuFvjYsKgVQMa31QaK4uU58wVG91Volp9JOf1Sq5tCAU5YyF-EokKu2SNrBvrSNBKteef3H-ckV1AH4_xpB7VFRqlemEw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mergency.cdc.gov/han/2024/han00519.asp" TargetMode="External"/><Relationship Id="rId14" Type="http://schemas.openxmlformats.org/officeDocument/2006/relationships/hyperlink" Target="https://urldefense.com/v3/__https:/www.cdc.gov/mpox/causes/index.html__;!!CPANwP4y!TQuFvjYsKgVQMa31QaK4uU58wVG91Volp9JOf1Sq5tCAU5YyF-EokKu2SNrBvrSNBKteef3H-ckV1AH4_xpB7VF9bXGEDw$" TargetMode="External"/><Relationship Id="rId22" Type="http://schemas.openxmlformats.org/officeDocument/2006/relationships/hyperlink" Target="https://urldefense.com/v3/__https:/www.cdc.gov/locs/2024/08-27-2024-Lab-Advisory_Recommendations_Mpox_Specimen_Testing.html__;!!CPANwP4y!TQuFvjYsKgVQMa31QaK4uU58wVG91Volp9JOf1Sq5tCAU5YyF-EokKu2SNrBvrSNBKteef3H-ckV1AH4_xpB7VFvKENM1A$" TargetMode="External"/><Relationship Id="rId27" Type="http://schemas.openxmlformats.org/officeDocument/2006/relationships/hyperlink" Target="https://urldefense.com/v3/__https:/www.cdc.gov/sti/hcp/clinical-guidance/taking-a-sexual-history.html__;!!CPANwP4y!TQuFvjYsKgVQMa31QaK4uU58wVG91Volp9JOf1Sq5tCAU5YyF-EokKu2SNrBvrSNBKteef3H-ckV1AH4_xpB7VHJmyZWeg$" TargetMode="External"/><Relationship Id="rId30" Type="http://schemas.openxmlformats.org/officeDocument/2006/relationships/hyperlink" Target="https://urldefense.com/v3/__https:/www.cdc.gov/mpox/hcp/laboratories/biosafety.html*cdc_generic_section_3-select-agent-regulations__;Iw!!CPANwP4y!TQuFvjYsKgVQMa31QaK4uU58wVG91Volp9JOf1Sq5tCAU5YyF-EokKu2SNrBvrSNBKteef3H-ckV1AH4_xpB7VHpNhYyfQ$" TargetMode="External"/><Relationship Id="rId35" Type="http://schemas.openxmlformats.org/officeDocument/2006/relationships/hyperlink" Target="https://urldefense.com/v3/__https:/doi.org/10.3201/eid3001.231164__;!!CPANwP4y!TQuFvjYsKgVQMa31QaK4uU58wVG91Volp9JOf1Sq5tCAU5YyF-EokKu2SNrBvrSNBKteef3H-ckV1AH4_xpB7VHrwYczgA$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1694</Words>
  <Characters>15539</Characters>
  <Application>Microsoft Office Word</Application>
  <DocSecurity>0</DocSecurity>
  <Lines>129</Lines>
  <Paragraphs>34</Paragraphs>
  <ScaleCrop>false</ScaleCrop>
  <Company>Commonwealth of Massachusetts</Company>
  <LinksUpToDate>false</LinksUpToDate>
  <CharactersWithSpaces>17199</CharactersWithSpaces>
  <SharedDoc>false</SharedDoc>
  <HLinks>
    <vt:vector size="168" baseType="variant">
      <vt:variant>
        <vt:i4>3080266</vt:i4>
      </vt:variant>
      <vt:variant>
        <vt:i4>81</vt:i4>
      </vt:variant>
      <vt:variant>
        <vt:i4>0</vt:i4>
      </vt:variant>
      <vt:variant>
        <vt:i4>5</vt:i4>
      </vt:variant>
      <vt:variant>
        <vt:lpwstr>https://urldefense.com/v3/__https:/www.thelancet.com/journals/lancet/article/PIIS0140-6736(24)02188-3/fulltext__;!!CPANwP4y!TQuFvjYsKgVQMa31QaK4uU58wVG91Volp9JOf1Sq5tCAU5YyF-EokKu2SNrBvrSNBKteef3H-ckV1AH4_xpB7VHnO-o0cg$</vt:lpwstr>
      </vt:variant>
      <vt:variant>
        <vt:lpwstr/>
      </vt:variant>
      <vt:variant>
        <vt:i4>5177465</vt:i4>
      </vt:variant>
      <vt:variant>
        <vt:i4>78</vt:i4>
      </vt:variant>
      <vt:variant>
        <vt:i4>0</vt:i4>
      </vt:variant>
      <vt:variant>
        <vt:i4>5</vt:i4>
      </vt:variant>
      <vt:variant>
        <vt:lpwstr>https://urldefense.com/v3/__https:/doi.org/10.3201/eid3001.231164__;!!CPANwP4y!TQuFvjYsKgVQMa31QaK4uU58wVG91Volp9JOf1Sq5tCAU5YyF-EokKu2SNrBvrSNBKteef3H-ckV1AH4_xpB7VHrwYczgA$</vt:lpwstr>
      </vt:variant>
      <vt:variant>
        <vt:lpwstr/>
      </vt:variant>
      <vt:variant>
        <vt:i4>3211356</vt:i4>
      </vt:variant>
      <vt:variant>
        <vt:i4>75</vt:i4>
      </vt:variant>
      <vt:variant>
        <vt:i4>0</vt:i4>
      </vt:variant>
      <vt:variant>
        <vt:i4>5</vt:i4>
      </vt:variant>
      <vt:variant>
        <vt:lpwstr>https://urldefense.com/v3/__https:/www.cdc.gov/acip/downloads/slides-2023-02-22-24/Mpox-07-Rao-508.pdf__;!!CPANwP4y!TQuFvjYsKgVQMa31QaK4uU58wVG91Volp9JOf1Sq5tCAU5YyF-EokKu2SNrBvrSNBKteef3H-ckV1AH4_xpB7VEGF1mk7A$</vt:lpwstr>
      </vt:variant>
      <vt:variant>
        <vt:lpwstr/>
      </vt:variant>
      <vt:variant>
        <vt:i4>7340058</vt:i4>
      </vt:variant>
      <vt:variant>
        <vt:i4>72</vt:i4>
      </vt:variant>
      <vt:variant>
        <vt:i4>0</vt:i4>
      </vt:variant>
      <vt:variant>
        <vt:i4>5</vt:i4>
      </vt:variant>
      <vt:variant>
        <vt:lpwstr>https://urldefense.com/v3/__https:/www.cdc.gov/acip/downloads/slides-2023-06-21-23/03-mpox-Rao-508.pdf__;!!CPANwP4y!TQuFvjYsKgVQMa31QaK4uU58wVG91Volp9JOf1Sq5tCAU5YyF-EokKu2SNrBvrSNBKteef3H-ckV1AH4_xpB7VGqg7d4qA$</vt:lpwstr>
      </vt:variant>
      <vt:variant>
        <vt:lpwstr/>
      </vt:variant>
      <vt:variant>
        <vt:i4>2359421</vt:i4>
      </vt:variant>
      <vt:variant>
        <vt:i4>69</vt:i4>
      </vt:variant>
      <vt:variant>
        <vt:i4>0</vt:i4>
      </vt:variant>
      <vt:variant>
        <vt:i4>5</vt:i4>
      </vt:variant>
      <vt:variant>
        <vt:lpwstr>https://urldefense.com/v3/__https:/worldhealthorg.shinyapps.io/mpx_global/__;!!CPANwP4y!TQuFvjYsKgVQMa31QaK4uU58wVG91Volp9JOf1Sq5tCAU5YyF-EokKu2SNrBvrSNBKteef3H-ckV1AH4_xpB7VFMncF-FQ$</vt:lpwstr>
      </vt:variant>
      <vt:variant>
        <vt:lpwstr/>
      </vt:variant>
      <vt:variant>
        <vt:i4>983138</vt:i4>
      </vt:variant>
      <vt:variant>
        <vt:i4>66</vt:i4>
      </vt:variant>
      <vt:variant>
        <vt:i4>0</vt:i4>
      </vt:variant>
      <vt:variant>
        <vt:i4>5</vt:i4>
      </vt:variant>
      <vt:variant>
        <vt:lpwstr>https://urldefense.com/v3/__https:/selectagents.gov/resources/non-fsap-registered-facilities.htm__;!!CPANwP4y!TQuFvjYsKgVQMa31QaK4uU58wVG91Volp9JOf1Sq5tCAU5YyF-EokKu2SNrBvrSNBKteef3H-ckV1AH4_xpB7VFRqlemEw$</vt:lpwstr>
      </vt:variant>
      <vt:variant>
        <vt:lpwstr/>
      </vt:variant>
      <vt:variant>
        <vt:i4>7798900</vt:i4>
      </vt:variant>
      <vt:variant>
        <vt:i4>63</vt:i4>
      </vt:variant>
      <vt:variant>
        <vt:i4>0</vt:i4>
      </vt:variant>
      <vt:variant>
        <vt:i4>5</vt:i4>
      </vt:variant>
      <vt:variant>
        <vt:lpwstr>https://urldefense.com/v3/__https:/www.cdc.gov/mpox/hcp/laboratories/biosafety.html*cdc_generic_section_3-select-agent-regulations__;Iw!!CPANwP4y!TQuFvjYsKgVQMa31QaK4uU58wVG91Volp9JOf1Sq5tCAU5YyF-EokKu2SNrBvrSNBKteef3H-ckV1AH4_xpB7VHpNhYyfQ$</vt:lpwstr>
      </vt:variant>
      <vt:variant>
        <vt:lpwstr/>
      </vt:variant>
      <vt:variant>
        <vt:i4>1572936</vt:i4>
      </vt:variant>
      <vt:variant>
        <vt:i4>60</vt:i4>
      </vt:variant>
      <vt:variant>
        <vt:i4>0</vt:i4>
      </vt:variant>
      <vt:variant>
        <vt:i4>5</vt:i4>
      </vt:variant>
      <vt:variant>
        <vt:lpwstr>https://www.cdc.gov/mpox/hcp/clinical-care/pediatric.html</vt:lpwstr>
      </vt:variant>
      <vt:variant>
        <vt:lpwstr/>
      </vt:variant>
      <vt:variant>
        <vt:i4>5111921</vt:i4>
      </vt:variant>
      <vt:variant>
        <vt:i4>57</vt:i4>
      </vt:variant>
      <vt:variant>
        <vt:i4>0</vt:i4>
      </vt:variant>
      <vt:variant>
        <vt:i4>5</vt:i4>
      </vt:variant>
      <vt:variant>
        <vt:lpwstr>https://urldefense.com/v3/__https:/www.cdc.gov/mpox/hcp/clinical-care/pregnancy.html__;!!CPANwP4y!TQuFvjYsKgVQMa31QaK4uU58wVG91Volp9JOf1Sq5tCAU5YyF-EokKu2SNrBvrSNBKteef3H-ckV1AH4_xpB7VGUiqtVbQ$</vt:lpwstr>
      </vt:variant>
      <vt:variant>
        <vt:lpwstr/>
      </vt:variant>
      <vt:variant>
        <vt:i4>4259938</vt:i4>
      </vt:variant>
      <vt:variant>
        <vt:i4>54</vt:i4>
      </vt:variant>
      <vt:variant>
        <vt:i4>0</vt:i4>
      </vt:variant>
      <vt:variant>
        <vt:i4>5</vt:i4>
      </vt:variant>
      <vt:variant>
        <vt:lpwstr>https://urldefense.com/v3/__https:/www.cdc.gov/sti/hcp/clinical-guidance/taking-a-sexual-history.html__;!!CPANwP4y!TQuFvjYsKgVQMa31QaK4uU58wVG91Volp9JOf1Sq5tCAU5YyF-EokKu2SNrBvrSNBKteef3H-ckV1AH4_xpB7VHJmyZWeg$</vt:lpwstr>
      </vt:variant>
      <vt:variant>
        <vt:lpwstr/>
      </vt:variant>
      <vt:variant>
        <vt:i4>196653</vt:i4>
      </vt:variant>
      <vt:variant>
        <vt:i4>51</vt:i4>
      </vt:variant>
      <vt:variant>
        <vt:i4>0</vt:i4>
      </vt:variant>
      <vt:variant>
        <vt:i4>5</vt:i4>
      </vt:variant>
      <vt:variant>
        <vt:lpwstr>https://urldefense.com/v3/__https:/www.cdc.gov/mpox/php/public-health-strategy/index.html__;!!CPANwP4y!TQuFvjYsKgVQMa31QaK4uU58wVG91Volp9JOf1Sq5tCAU5YyF-EokKu2SNrBvrSNBKteef3H-ckV1AH4_xpB7VELb7gV3w$</vt:lpwstr>
      </vt:variant>
      <vt:variant>
        <vt:lpwstr/>
      </vt:variant>
      <vt:variant>
        <vt:i4>4391025</vt:i4>
      </vt:variant>
      <vt:variant>
        <vt:i4>48</vt:i4>
      </vt:variant>
      <vt:variant>
        <vt:i4>0</vt:i4>
      </vt:variant>
      <vt:variant>
        <vt:i4>5</vt:i4>
      </vt:variant>
      <vt:variant>
        <vt:lpwstr>https://urldefense.com/v3/__https:/www.cdc.gov/mpox/hcp/clinical-overview/index.html__;!!CPANwP4y!TQuFvjYsKgVQMa31QaK4uU58wVG91Volp9JOf1Sq5tCAU5YyF-EokKu2SNrBvrSNBKteef3H-ckV1AH4_xpB7VHpWZiQIA$</vt:lpwstr>
      </vt:variant>
      <vt:variant>
        <vt:lpwstr/>
      </vt:variant>
      <vt:variant>
        <vt:i4>3407967</vt:i4>
      </vt:variant>
      <vt:variant>
        <vt:i4>45</vt:i4>
      </vt:variant>
      <vt:variant>
        <vt:i4>0</vt:i4>
      </vt:variant>
      <vt:variant>
        <vt:i4>5</vt:i4>
      </vt:variant>
      <vt:variant>
        <vt:lpwstr>https://urldefense.com/v3/__https:/www.cdc.gov/mpox/outbreaks/2022/index-1.html__;!!CPANwP4y!TQuFvjYsKgVQMa31QaK4uU58wVG91Volp9JOf1Sq5tCAU5YyF-EokKu2SNrBvrSNBKteef3H-ckV1AH4_xpB7VG4woxAmA$</vt:lpwstr>
      </vt:variant>
      <vt:variant>
        <vt:lpwstr/>
      </vt:variant>
      <vt:variant>
        <vt:i4>5308525</vt:i4>
      </vt:variant>
      <vt:variant>
        <vt:i4>42</vt:i4>
      </vt:variant>
      <vt:variant>
        <vt:i4>0</vt:i4>
      </vt:variant>
      <vt:variant>
        <vt:i4>5</vt:i4>
      </vt:variant>
      <vt:variant>
        <vt:lpwstr>https://urldefense.com/v3/__https:/www.cdc.gov/mpox/outbreaks/2023/index.html__;!!CPANwP4y!TQuFvjYsKgVQMa31QaK4uU58wVG91Volp9JOf1Sq5tCAU5YyF-EokKu2SNrBvrSNBKteef3H-ckV1AH4_xpB7VGnh90boQ$</vt:lpwstr>
      </vt:variant>
      <vt:variant>
        <vt:lpwstr/>
      </vt:variant>
      <vt:variant>
        <vt:i4>1769524</vt:i4>
      </vt:variant>
      <vt:variant>
        <vt:i4>39</vt:i4>
      </vt:variant>
      <vt:variant>
        <vt:i4>0</vt:i4>
      </vt:variant>
      <vt:variant>
        <vt:i4>5</vt:i4>
      </vt:variant>
      <vt:variant>
        <vt:lpwstr>https://urldefense.com/v3/__https:/www.cdc.gov/locs/2024/08-27-2024-Lab-Advisory_Recommendations_Mpox_Specimen_Testing.html__;!!CPANwP4y!TQuFvjYsKgVQMa31QaK4uU58wVG91Volp9JOf1Sq5tCAU5YyF-EokKu2SNrBvrSNBKteef3H-ckV1AH4_xpB7VFvKENM1A$</vt:lpwstr>
      </vt:variant>
      <vt:variant>
        <vt:lpwstr/>
      </vt:variant>
      <vt:variant>
        <vt:i4>6029419</vt:i4>
      </vt:variant>
      <vt:variant>
        <vt:i4>36</vt:i4>
      </vt:variant>
      <vt:variant>
        <vt:i4>0</vt:i4>
      </vt:variant>
      <vt:variant>
        <vt:i4>5</vt:i4>
      </vt:variant>
      <vt:variant>
        <vt:lpwstr>https://urldefense.com/v3/__https:/www.cdc.gov/mpox/hcp/vaccine-considerations/index.html__;!!CPANwP4y!TQuFvjYsKgVQMa31QaK4uU58wVG91Volp9JOf1Sq5tCAU5YyF-EokKu2SNrBvrSNBKteef3H-ckV1AH4_xpB7VE8cqoGNQ$</vt:lpwstr>
      </vt:variant>
      <vt:variant>
        <vt:lpwstr/>
      </vt:variant>
      <vt:variant>
        <vt:i4>6291538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https://www.mass.gov/doc/instructions-for-specimen-collection-for-orthopoxvirus-testing/download?_ga=2.61791915.647888204.1731967709-1038448085.1689706401&amp;_gl=1*1csq32g*_ga*MTAzODQ0ODA4NS4xNjg5NzA2NDAx*_ga_MCLPEGW7WM*MTczMjEyNzkzOC4zMC4wLjE3MzIxMjc5NDUuMC4wLjA.</vt:lpwstr>
      </vt:variant>
      <vt:variant>
        <vt:lpwstr/>
      </vt:variant>
      <vt:variant>
        <vt:i4>3866651</vt:i4>
      </vt:variant>
      <vt:variant>
        <vt:i4>30</vt:i4>
      </vt:variant>
      <vt:variant>
        <vt:i4>0</vt:i4>
      </vt:variant>
      <vt:variant>
        <vt:i4>5</vt:i4>
      </vt:variant>
      <vt:variant>
        <vt:lpwstr>https://urldefense.com/v3/__https:/www.cdc.gov/mpox/hcp/infection-control/healthcare-settings.html__;!!CPANwP4y!TQuFvjYsKgVQMa31QaK4uU58wVG91Volp9JOf1Sq5tCAU5YyF-EokKu2SNrBvrSNBKteef3H-ckV1AH4_xpB7VH1bgkyAw$</vt:lpwstr>
      </vt:variant>
      <vt:variant>
        <vt:lpwstr/>
      </vt:variant>
      <vt:variant>
        <vt:i4>4259879</vt:i4>
      </vt:variant>
      <vt:variant>
        <vt:i4>27</vt:i4>
      </vt:variant>
      <vt:variant>
        <vt:i4>0</vt:i4>
      </vt:variant>
      <vt:variant>
        <vt:i4>5</vt:i4>
      </vt:variant>
      <vt:variant>
        <vt:lpwstr>https://urldefense.com/v3/__https:/www.cdc.gov/mpox/situation-summary/index.html__;!!CPANwP4y!TQuFvjYsKgVQMa31QaK4uU58wVG91Volp9JOf1Sq5tCAU5YyF-EokKu2SNrBvrSNBKteef3H-ckV1AH4_xpB7VG6Y2weJA$</vt:lpwstr>
      </vt:variant>
      <vt:variant>
        <vt:lpwstr/>
      </vt:variant>
      <vt:variant>
        <vt:i4>1441904</vt:i4>
      </vt:variant>
      <vt:variant>
        <vt:i4>24</vt:i4>
      </vt:variant>
      <vt:variant>
        <vt:i4>0</vt:i4>
      </vt:variant>
      <vt:variant>
        <vt:i4>5</vt:i4>
      </vt:variant>
      <vt:variant>
        <vt:lpwstr>https://urldefense.com/v3/__https:/www.cdc.gov/mpox/hcp/clinical-signs/index.html__;!!CPANwP4y!TQuFvjYsKgVQMa31QaK4uU58wVG91Volp9JOf1Sq5tCAU5YyF-EokKu2SNrBvrSNBKteef3H-ckV1AH4_xpB7VEPEUapEg$</vt:lpwstr>
      </vt:variant>
      <vt:variant>
        <vt:lpwstr/>
      </vt:variant>
      <vt:variant>
        <vt:i4>4718657</vt:i4>
      </vt:variant>
      <vt:variant>
        <vt:i4>21</vt:i4>
      </vt:variant>
      <vt:variant>
        <vt:i4>0</vt:i4>
      </vt:variant>
      <vt:variant>
        <vt:i4>5</vt:i4>
      </vt:variant>
      <vt:variant>
        <vt:lpwstr>https://urldefense.com/v3/__https:/www.cdc.gov/mpox/hcp/case-definitions/index.html*cdc_generic_section_5-epidemiologic-criteria__;Iw!!CPANwP4y!TQuFvjYsKgVQMa31QaK4uU58wVG91Volp9JOf1Sq5tCAU5YyF-EokKu2SNrBvrSNBKteef3H-ckV1AH4_xpB7VFWAmRPQg$</vt:lpwstr>
      </vt:variant>
      <vt:variant>
        <vt:lpwstr/>
      </vt:variant>
      <vt:variant>
        <vt:i4>5308525</vt:i4>
      </vt:variant>
      <vt:variant>
        <vt:i4>18</vt:i4>
      </vt:variant>
      <vt:variant>
        <vt:i4>0</vt:i4>
      </vt:variant>
      <vt:variant>
        <vt:i4>5</vt:i4>
      </vt:variant>
      <vt:variant>
        <vt:lpwstr>https://urldefense.com/v3/__https:/www.cdc.gov/mpox/outbreaks/2023/index.html__;!!CPANwP4y!TQuFvjYsKgVQMa31QaK4uU58wVG91Volp9JOf1Sq5tCAU5YyF-EokKu2SNrBvrSNBKteef3H-ckV1AH4_xpB7VGnh90boQ$</vt:lpwstr>
      </vt:variant>
      <vt:variant>
        <vt:lpwstr/>
      </vt:variant>
      <vt:variant>
        <vt:i4>5374066</vt:i4>
      </vt:variant>
      <vt:variant>
        <vt:i4>15</vt:i4>
      </vt:variant>
      <vt:variant>
        <vt:i4>0</vt:i4>
      </vt:variant>
      <vt:variant>
        <vt:i4>5</vt:i4>
      </vt:variant>
      <vt:variant>
        <vt:lpwstr>https://urldefense.com/v3/__https:/www.cdc.gov/mpox/causes/index.html__;!!CPANwP4y!TQuFvjYsKgVQMa31QaK4uU58wVG91Volp9JOf1Sq5tCAU5YyF-EokKu2SNrBvrSNBKteef3H-ckV1AH4_xpB7VF9bXGEDw$</vt:lpwstr>
      </vt:variant>
      <vt:variant>
        <vt:lpwstr/>
      </vt:variant>
      <vt:variant>
        <vt:i4>5570686</vt:i4>
      </vt:variant>
      <vt:variant>
        <vt:i4>12</vt:i4>
      </vt:variant>
      <vt:variant>
        <vt:i4>0</vt:i4>
      </vt:variant>
      <vt:variant>
        <vt:i4>5</vt:i4>
      </vt:variant>
      <vt:variant>
        <vt:lpwstr>https://urldefense.com/v3/__https:/www.cdc.gov/mpox/hcp/vaccine-considerations/vaccination-overview.html__;!!CPANwP4y!TQuFvjYsKgVQMa31QaK4uU58wVG91Volp9JOf1Sq5tCAU5YyF-EokKu2SNrBvrSNBKteef3H-ckV1AH4_xpB7VGJGEWr6A$</vt:lpwstr>
      </vt:variant>
      <vt:variant>
        <vt:lpwstr/>
      </vt:variant>
      <vt:variant>
        <vt:i4>4980849</vt:i4>
      </vt:variant>
      <vt:variant>
        <vt:i4>9</vt:i4>
      </vt:variant>
      <vt:variant>
        <vt:i4>0</vt:i4>
      </vt:variant>
      <vt:variant>
        <vt:i4>5</vt:i4>
      </vt:variant>
      <vt:variant>
        <vt:lpwstr>https://www.cdc.gov/mpox/hcp/clinical-overview/index.html</vt:lpwstr>
      </vt:variant>
      <vt:variant>
        <vt:lpwstr>cdc_clinical_overview_proper-evaluating-patients-with-suspected-mpox</vt:lpwstr>
      </vt:variant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https://urldefense.com/v3/__https:/www.cdc.gov/mpox/outbreaks/2022/index-1.html__;!!CPANwP4y!TQuFvjYsKgVQMa31QaK4uU58wVG91Volp9JOf1Sq5tCAU5YyF-EokKu2SNrBvrSNBKteef3H-ckV1AH4_xpB7VG4woxAmA$</vt:lpwstr>
      </vt:variant>
      <vt:variant>
        <vt:lpwstr/>
      </vt:variant>
      <vt:variant>
        <vt:i4>5308525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https://urldefense.com/v3/__https:/www.cdc.gov/mpox/outbreaks/2023/index.html__;!!CPANwP4y!TQuFvjYsKgVQMa31QaK4uU58wVG91Volp9JOf1Sq5tCAU5YyF-EokKu2SNrBvrSNBKteef3H-ckV1AH4_xpB7VGnh90boQ$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https://emergency.cdc.gov/han/2024/han00519.asp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2025-06-17T18:13:00Z</dcterms:created>
  <dcterms:modified xsi:type="dcterms:W3CDTF">2025-06-17T18:13:00Z</dcterms:modified>
</cp:coreProperties>
</file>