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6D06D9" w:rsidRDefault="000537DA" w:rsidP="000F315B">
      <w:pPr>
        <w:pStyle w:val="ExecOffice"/>
        <w:framePr w:w="6926" w:wrap="notBeside" w:vAnchor="page" w:x="2884" w:y="711"/>
      </w:pPr>
      <w:r>
        <w:t>250 Washington Street, Boston, MA 02108-4619</w:t>
      </w:r>
    </w:p>
    <w:p w:rsidR="00BA4055" w:rsidRDefault="00646CFD" w:rsidP="00BA4055">
      <w:pPr>
        <w:framePr w:w="1927" w:hSpace="180" w:wrap="auto" w:vAnchor="text" w:hAnchor="page" w:x="940" w:y="-951"/>
        <w:rPr>
          <w:rFonts w:ascii="LinePrinter" w:hAnsi="LinePrinter"/>
        </w:rPr>
      </w:pPr>
      <w:r>
        <w:rPr>
          <w:rFonts w:ascii="LinePrinter" w:hAnsi="LinePrinter"/>
          <w:noProof/>
        </w:rPr>
        <w:drawing>
          <wp:inline distT="0" distB="0" distL="0" distR="0" wp14:anchorId="60E0F270" wp14:editId="30C1991E">
            <wp:extent cx="95821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8215" cy="1148715"/>
                    </a:xfrm>
                    <a:prstGeom prst="rect">
                      <a:avLst/>
                    </a:prstGeom>
                    <a:noFill/>
                    <a:ln>
                      <a:noFill/>
                    </a:ln>
                  </pic:spPr>
                </pic:pic>
              </a:graphicData>
            </a:graphic>
          </wp:inline>
        </w:drawing>
      </w:r>
    </w:p>
    <w:p w:rsidR="009908FF" w:rsidRDefault="00646CFD" w:rsidP="0072610D">
      <w:r>
        <w:rPr>
          <w:noProof/>
        </w:rPr>
        <mc:AlternateContent>
          <mc:Choice Requires="wps">
            <w:drawing>
              <wp:anchor distT="0" distB="0" distL="114300" distR="114300" simplePos="0" relativeHeight="251658240" behindDoc="0" locked="0" layoutInCell="1" allowOverlap="1" wp14:anchorId="0E1BD2FE" wp14:editId="5C7A0B80">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118144D" wp14:editId="23CFAFE8">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p>
    <w:p w:rsidR="00FC6B42" w:rsidRDefault="00FC6B42" w:rsidP="0072610D"/>
    <w:p w:rsidR="00FC6B42" w:rsidRDefault="00FC6B42" w:rsidP="0072610D"/>
    <w:p w:rsidR="00033154" w:rsidRDefault="00033154" w:rsidP="0072610D"/>
    <w:p w:rsidR="00033154" w:rsidRDefault="00033154" w:rsidP="0072610D"/>
    <w:p w:rsidR="00033154" w:rsidRDefault="00033154" w:rsidP="0072610D"/>
    <w:p w:rsidR="00033154" w:rsidRDefault="00033154" w:rsidP="0072610D"/>
    <w:p w:rsidR="00033154" w:rsidRDefault="00033154" w:rsidP="0072610D"/>
    <w:p w:rsidR="00033154" w:rsidRDefault="00033154" w:rsidP="0072610D"/>
    <w:p w:rsidR="00DF0616" w:rsidRPr="00AC472E" w:rsidRDefault="00C32AE2" w:rsidP="00DF0616">
      <w:pPr>
        <w:spacing w:line="360" w:lineRule="auto"/>
        <w:jc w:val="center"/>
        <w:rPr>
          <w:rFonts w:ascii="Arial" w:hAnsi="Arial" w:cs="Arial"/>
          <w:b/>
          <w:sz w:val="22"/>
          <w:szCs w:val="22"/>
        </w:rPr>
      </w:pPr>
      <w:r>
        <w:rPr>
          <w:rFonts w:ascii="Arial" w:hAnsi="Arial" w:cs="Arial"/>
          <w:b/>
          <w:sz w:val="22"/>
          <w:szCs w:val="22"/>
        </w:rPr>
        <w:t>Clinical Advisory</w:t>
      </w:r>
      <w:r w:rsidR="00DF0616" w:rsidRPr="00AC472E">
        <w:rPr>
          <w:rFonts w:ascii="Arial" w:hAnsi="Arial" w:cs="Arial"/>
          <w:b/>
          <w:sz w:val="22"/>
          <w:szCs w:val="22"/>
        </w:rPr>
        <w:t xml:space="preserve">: </w:t>
      </w:r>
    </w:p>
    <w:p w:rsidR="00DF0616" w:rsidRPr="00AC472E" w:rsidRDefault="00DF0616" w:rsidP="00DF0616">
      <w:pPr>
        <w:spacing w:line="360" w:lineRule="auto"/>
        <w:jc w:val="center"/>
        <w:rPr>
          <w:rFonts w:ascii="Arial" w:hAnsi="Arial" w:cs="Arial"/>
          <w:b/>
          <w:sz w:val="22"/>
          <w:szCs w:val="22"/>
        </w:rPr>
      </w:pPr>
      <w:r w:rsidRPr="00AC472E">
        <w:rPr>
          <w:rFonts w:ascii="Arial" w:hAnsi="Arial" w:cs="Arial"/>
          <w:b/>
          <w:sz w:val="22"/>
          <w:szCs w:val="22"/>
        </w:rPr>
        <w:t xml:space="preserve">HIV Screening of Incapacitated Source Patients in Occupational Exposures in MA </w:t>
      </w:r>
    </w:p>
    <w:p w:rsidR="00DF0616" w:rsidRPr="00AC472E" w:rsidRDefault="002D15BA" w:rsidP="00DF0616">
      <w:pPr>
        <w:spacing w:line="360" w:lineRule="auto"/>
        <w:jc w:val="center"/>
        <w:rPr>
          <w:rFonts w:ascii="Arial" w:hAnsi="Arial" w:cs="Arial"/>
          <w:b/>
          <w:sz w:val="22"/>
          <w:szCs w:val="22"/>
        </w:rPr>
      </w:pPr>
      <w:r>
        <w:rPr>
          <w:rFonts w:ascii="Arial" w:hAnsi="Arial" w:cs="Arial"/>
          <w:b/>
          <w:sz w:val="22"/>
          <w:szCs w:val="22"/>
        </w:rPr>
        <w:t>July</w:t>
      </w:r>
      <w:r w:rsidR="00DF0616" w:rsidRPr="00AC472E">
        <w:rPr>
          <w:rFonts w:ascii="Arial" w:hAnsi="Arial" w:cs="Arial"/>
          <w:b/>
          <w:sz w:val="22"/>
          <w:szCs w:val="22"/>
        </w:rPr>
        <w:t xml:space="preserve"> 2015</w:t>
      </w:r>
    </w:p>
    <w:p w:rsidR="00033154" w:rsidRPr="00AC472E" w:rsidRDefault="00033154" w:rsidP="0072610D">
      <w:pPr>
        <w:rPr>
          <w:rFonts w:ascii="Arial" w:hAnsi="Arial" w:cs="Arial"/>
          <w:sz w:val="22"/>
          <w:szCs w:val="22"/>
        </w:rPr>
      </w:pPr>
    </w:p>
    <w:p w:rsidR="00DF0616" w:rsidRPr="00CD1B8A" w:rsidRDefault="00DF0616" w:rsidP="00153976">
      <w:pPr>
        <w:pStyle w:val="Body1"/>
      </w:pPr>
      <w:r w:rsidRPr="00CD1B8A">
        <w:t xml:space="preserve">The purpose of this </w:t>
      </w:r>
      <w:r w:rsidR="003A58CE">
        <w:t>clinical advisory</w:t>
      </w:r>
      <w:r w:rsidRPr="00CD1B8A">
        <w:t xml:space="preserve"> is to provide options for HIV screening of incapacitated source patients in occupational settings in the Commonwealth. Occupational exposures are described and regulated by the Centers for Disease Control and Prevention (CDC), United States Public Health Service (USPHS), and the Occupational Safety and Health Administration (OSHA)</w:t>
      </w:r>
      <w:r w:rsidR="00502CB4" w:rsidRPr="00CD1B8A">
        <w:t>,</w:t>
      </w:r>
      <w:r w:rsidRPr="00CD1B8A">
        <w:t xml:space="preserve"> whose documents and guidelines are referenced throughout this document.</w:t>
      </w:r>
    </w:p>
    <w:p w:rsidR="00C5404C" w:rsidRPr="00CD1B8A" w:rsidRDefault="00DF0616" w:rsidP="00C5404C">
      <w:pPr>
        <w:pStyle w:val="Heading1"/>
      </w:pPr>
      <w:r w:rsidRPr="00CD1B8A">
        <w:t>Background</w:t>
      </w:r>
    </w:p>
    <w:p w:rsidR="00CD1B8A" w:rsidRPr="00CD1B8A" w:rsidRDefault="00DF0616" w:rsidP="00C5404C">
      <w:pPr>
        <w:pStyle w:val="Body1"/>
        <w:rPr>
          <w:shd w:val="clear" w:color="auto" w:fill="FFFFFF"/>
        </w:rPr>
      </w:pPr>
      <w:r w:rsidRPr="00CD1B8A">
        <w:t>In a clinical setting, occupational exposure to blood and other bodily fluids can occur through contact with skin and mucous membranes, as well as through sharps injuries such as needlesticks. The OSHA Bloodborne Pathogens Standard requires that an exposed employee be provided with evaluation and follow-up “according to the recommendations of the U.S. Public Health Service current at the time these evaluations and procedures take place.”</w:t>
      </w:r>
      <w:r w:rsidR="00CD1B8A" w:rsidRPr="00CD1B8A">
        <w:rPr>
          <w:vertAlign w:val="superscript"/>
        </w:rPr>
        <w:endnoteReference w:id="1"/>
      </w:r>
      <w:r w:rsidR="00CD1B8A" w:rsidRPr="00CD1B8A">
        <w:t xml:space="preserve"> The CDC has developed recommendations to reduce the risk of becoming infected with HIV following an exposure.</w:t>
      </w:r>
      <w:bookmarkStart w:id="1" w:name="_Ref418774712"/>
      <w:r w:rsidR="00CD1B8A" w:rsidRPr="00CD1B8A">
        <w:rPr>
          <w:vertAlign w:val="superscript"/>
        </w:rPr>
        <w:endnoteReference w:id="2"/>
      </w:r>
      <w:bookmarkEnd w:id="1"/>
      <w:r w:rsidR="00CD1B8A" w:rsidRPr="00CD1B8A">
        <w:t xml:space="preserve"> The CDC recommendations include determining the HIV status of the source patient, and determining possible administration of post-exposure prophylaxis (PEP). </w:t>
      </w:r>
      <w:r w:rsidR="00CD1B8A" w:rsidRPr="00CD1B8A">
        <w:rPr>
          <w:shd w:val="clear" w:color="auto" w:fill="FFFFFF"/>
        </w:rPr>
        <w:t xml:space="preserve">PEP is the </w:t>
      </w:r>
      <w:r w:rsidR="00CD1B8A" w:rsidRPr="00CD1B8A">
        <w:t xml:space="preserve">short-term </w:t>
      </w:r>
      <w:r w:rsidR="00CD1B8A" w:rsidRPr="00CD1B8A">
        <w:rPr>
          <w:shd w:val="clear" w:color="auto" w:fill="FFFFFF"/>
        </w:rPr>
        <w:t>use of antiretroviral drugs after a single high-risk event to reduce the likelihood of HIV infection.</w:t>
      </w:r>
      <w:r w:rsidR="00CD1B8A" w:rsidRPr="00CD1B8A">
        <w:rPr>
          <w:vertAlign w:val="superscript"/>
        </w:rPr>
        <w:endnoteReference w:id="3"/>
      </w:r>
    </w:p>
    <w:p w:rsidR="00CD1B8A" w:rsidRPr="00CD1B8A" w:rsidRDefault="00CD1B8A" w:rsidP="00C5404C">
      <w:pPr>
        <w:pStyle w:val="Body1"/>
        <w:rPr>
          <w:b/>
          <w:bCs/>
        </w:rPr>
      </w:pPr>
    </w:p>
    <w:p w:rsidR="00CD1B8A" w:rsidRPr="00CD1B8A" w:rsidRDefault="00CD1B8A" w:rsidP="00C5404C">
      <w:pPr>
        <w:pStyle w:val="Body1"/>
        <w:rPr>
          <w:shd w:val="clear" w:color="auto" w:fill="FFFFFF"/>
          <w:lang w:val="en"/>
        </w:rPr>
      </w:pPr>
      <w:r w:rsidRPr="00CD1B8A">
        <w:rPr>
          <w:shd w:val="clear" w:color="auto" w:fill="FFFFFF"/>
        </w:rPr>
        <w:t>Among Health Care Workers (HCW), 58 confirmed and 150 possible cases of occupationally acquired HIV infection were reported to the CDC from 1985–2013.</w:t>
      </w:r>
      <w:r w:rsidRPr="00CD1B8A">
        <w:rPr>
          <w:rStyle w:val="EndnoteReference"/>
          <w:color w:val="000000"/>
          <w:shd w:val="clear" w:color="auto" w:fill="FFFFFF"/>
        </w:rPr>
        <w:endnoteReference w:id="4"/>
      </w:r>
      <w:r w:rsidRPr="00CD1B8A">
        <w:rPr>
          <w:shd w:val="clear" w:color="auto" w:fill="FFFFFF"/>
        </w:rPr>
        <w:t xml:space="preserve"> Since 1999, only one confirmed case of occupationally acquired HIV infection has been reported (in 2008, a laboratory technician sustained a needle puncture while working with a live HIV culture).</w:t>
      </w:r>
      <w:r w:rsidRPr="00CD1B8A">
        <w:rPr>
          <w:rStyle w:val="EndnoteReference"/>
          <w:color w:val="000000"/>
          <w:shd w:val="clear" w:color="auto" w:fill="FFFFFF"/>
        </w:rPr>
        <w:endnoteReference w:id="5"/>
      </w:r>
      <w:r w:rsidRPr="00CD1B8A">
        <w:rPr>
          <w:shd w:val="clear" w:color="auto" w:fill="FFFFFF"/>
        </w:rPr>
        <w:t xml:space="preserve">  Case reporting of HCW exposures is voluntary, therefore underreporting of cases to the CDC is possible. </w:t>
      </w:r>
      <w:r w:rsidRPr="00CD1B8A">
        <w:rPr>
          <w:shd w:val="clear" w:color="auto" w:fill="FFFFFF"/>
          <w:lang w:val="en"/>
        </w:rPr>
        <w:t>The risk of occupational transmission of HIV varies with the type and severity of exposure.</w:t>
      </w:r>
      <w:bookmarkStart w:id="2" w:name="_Ref419810192"/>
      <w:r w:rsidRPr="00CD1B8A">
        <w:rPr>
          <w:shd w:val="clear" w:color="auto" w:fill="FFFFFF"/>
          <w:vertAlign w:val="superscript"/>
        </w:rPr>
        <w:endnoteReference w:id="6"/>
      </w:r>
      <w:bookmarkStart w:id="3" w:name="_Ref419809733"/>
      <w:bookmarkEnd w:id="2"/>
      <w:r w:rsidRPr="00CD1B8A">
        <w:rPr>
          <w:shd w:val="clear" w:color="auto" w:fill="FFFFFF"/>
          <w:vertAlign w:val="superscript"/>
        </w:rPr>
        <w:t>,</w:t>
      </w:r>
      <w:r w:rsidRPr="00CD1B8A">
        <w:rPr>
          <w:shd w:val="clear" w:color="auto" w:fill="FFFFFF"/>
          <w:vertAlign w:val="superscript"/>
        </w:rPr>
        <w:endnoteReference w:id="7"/>
      </w:r>
      <w:bookmarkEnd w:id="3"/>
      <w:r w:rsidRPr="00CD1B8A">
        <w:rPr>
          <w:shd w:val="clear" w:color="auto" w:fill="FFFFFF"/>
          <w:vertAlign w:val="superscript"/>
        </w:rPr>
        <w:t>,</w:t>
      </w:r>
      <w:r w:rsidRPr="00CD1B8A">
        <w:rPr>
          <w:shd w:val="clear" w:color="auto" w:fill="FFFFFF"/>
          <w:vertAlign w:val="superscript"/>
        </w:rPr>
        <w:endnoteReference w:id="8"/>
      </w:r>
      <w:r w:rsidRPr="00CD1B8A">
        <w:rPr>
          <w:shd w:val="clear" w:color="auto" w:fill="FFFFFF"/>
          <w:vertAlign w:val="superscript"/>
          <w:lang w:val="en"/>
        </w:rPr>
        <w:t xml:space="preserve"> </w:t>
      </w:r>
      <w:r w:rsidRPr="00CD1B8A">
        <w:rPr>
          <w:shd w:val="clear" w:color="auto" w:fill="FFFFFF"/>
          <w:lang w:val="en"/>
        </w:rPr>
        <w:t>The average risk for HIV transmission after a percutaneous exposure to HIV-infected blood has been estimated to be approximately 0.3% from prospective studies of health care workers (approximately 0.09% after a mucous membrane exposure).</w:t>
      </w:r>
      <w:r w:rsidRPr="00CD1B8A">
        <w:rPr>
          <w:shd w:val="clear" w:color="auto" w:fill="FFFFFF"/>
          <w:vertAlign w:val="superscript"/>
        </w:rPr>
        <w:endnoteReference w:id="9"/>
      </w:r>
      <w:r w:rsidRPr="00CD1B8A">
        <w:rPr>
          <w:shd w:val="clear" w:color="auto" w:fill="FFFFFF"/>
          <w:lang w:val="en"/>
        </w:rPr>
        <w:t xml:space="preserve">  </w:t>
      </w:r>
    </w:p>
    <w:p w:rsidR="00CD1B8A" w:rsidRPr="00CD1B8A" w:rsidRDefault="00CD1B8A" w:rsidP="00C5404C">
      <w:pPr>
        <w:pStyle w:val="Heading1"/>
        <w:rPr>
          <w:shd w:val="clear" w:color="auto" w:fill="FFFFFF"/>
        </w:rPr>
      </w:pPr>
      <w:r w:rsidRPr="00CD1B8A">
        <w:rPr>
          <w:shd w:val="clear" w:color="auto" w:fill="FFFFFF"/>
        </w:rPr>
        <w:t>US Public Health Service Guidelines</w:t>
      </w:r>
    </w:p>
    <w:p w:rsidR="00CD1B8A" w:rsidRPr="00CD1B8A" w:rsidRDefault="00CD1B8A" w:rsidP="00C5404C">
      <w:pPr>
        <w:pStyle w:val="Body1"/>
        <w:rPr>
          <w:shd w:val="clear" w:color="auto" w:fill="FFFFFF"/>
        </w:rPr>
      </w:pPr>
      <w:r w:rsidRPr="00CD1B8A">
        <w:rPr>
          <w:shd w:val="clear" w:color="auto" w:fill="FFFFFF"/>
        </w:rPr>
        <w:t>The USPHS first issued recommendations for the use of PEP after occupational exposure to HIV in 1996.</w:t>
      </w:r>
      <w:r w:rsidRPr="00CD1B8A">
        <w:rPr>
          <w:shd w:val="clear" w:color="auto" w:fill="FFFFFF"/>
          <w:vertAlign w:val="superscript"/>
        </w:rPr>
        <w:endnoteReference w:id="10"/>
      </w:r>
      <w:r w:rsidRPr="00CD1B8A">
        <w:rPr>
          <w:shd w:val="clear" w:color="auto" w:fill="FFFFFF"/>
        </w:rPr>
        <w:t xml:space="preserve"> The recommendations </w:t>
      </w:r>
      <w:proofErr w:type="gramStart"/>
      <w:r w:rsidRPr="00CD1B8A">
        <w:rPr>
          <w:shd w:val="clear" w:color="auto" w:fill="FFFFFF"/>
        </w:rPr>
        <w:t>have been updated</w:t>
      </w:r>
      <w:proofErr w:type="gramEnd"/>
      <w:r w:rsidRPr="00CD1B8A">
        <w:rPr>
          <w:b/>
          <w:shd w:val="clear" w:color="auto" w:fill="FFFFFF"/>
          <w:lang w:val="en"/>
        </w:rPr>
        <w:t xml:space="preserve"> </w:t>
      </w:r>
      <w:r w:rsidRPr="00CD1B8A">
        <w:rPr>
          <w:shd w:val="clear" w:color="auto" w:fill="FFFFFF"/>
          <w:lang w:val="en"/>
        </w:rPr>
        <w:t>three times</w:t>
      </w:r>
      <w:r w:rsidRPr="00CD1B8A">
        <w:rPr>
          <w:shd w:val="clear" w:color="auto" w:fill="FFFFFF"/>
        </w:rPr>
        <w:t xml:space="preserve"> to reflect advances in testing technologies and anti-viral</w:t>
      </w:r>
      <w:r w:rsidRPr="00CD1B8A">
        <w:rPr>
          <w:b/>
          <w:shd w:val="clear" w:color="auto" w:fill="FFFFFF"/>
        </w:rPr>
        <w:t xml:space="preserve"> </w:t>
      </w:r>
      <w:r w:rsidRPr="00CD1B8A">
        <w:rPr>
          <w:shd w:val="clear" w:color="auto" w:fill="FFFFFF"/>
        </w:rPr>
        <w:t>treatment options.</w:t>
      </w:r>
      <w:r w:rsidRPr="00CD1B8A">
        <w:rPr>
          <w:shd w:val="clear" w:color="auto" w:fill="FFFFFF"/>
          <w:vertAlign w:val="superscript"/>
        </w:rPr>
        <w:fldChar w:fldCharType="begin"/>
      </w:r>
      <w:r w:rsidRPr="00CD1B8A">
        <w:rPr>
          <w:shd w:val="clear" w:color="auto" w:fill="FFFFFF"/>
          <w:vertAlign w:val="superscript"/>
        </w:rPr>
        <w:instrText xml:space="preserve"> NOTEREF _Ref419810192 \f  \* MERGEFORMAT </w:instrText>
      </w:r>
      <w:r w:rsidRPr="00CD1B8A">
        <w:rPr>
          <w:shd w:val="clear" w:color="auto" w:fill="FFFFFF"/>
          <w:vertAlign w:val="superscript"/>
        </w:rPr>
        <w:fldChar w:fldCharType="separate"/>
      </w:r>
      <w:r w:rsidR="00D739A7" w:rsidRPr="00D739A7">
        <w:rPr>
          <w:shd w:val="clear" w:color="auto" w:fill="FFFFFF"/>
        </w:rPr>
        <w:t>6</w:t>
      </w:r>
      <w:r w:rsidRPr="00CD1B8A">
        <w:rPr>
          <w:shd w:val="clear" w:color="auto" w:fill="FFFFFF"/>
          <w:lang w:val="en"/>
        </w:rPr>
        <w:fldChar w:fldCharType="end"/>
      </w:r>
      <w:proofErr w:type="gramStart"/>
      <w:r w:rsidRPr="00CD1B8A">
        <w:rPr>
          <w:shd w:val="clear" w:color="auto" w:fill="FFFFFF"/>
          <w:vertAlign w:val="superscript"/>
        </w:rPr>
        <w:t>,</w:t>
      </w:r>
      <w:proofErr w:type="gramEnd"/>
      <w:r w:rsidRPr="00CD1B8A">
        <w:rPr>
          <w:shd w:val="clear" w:color="auto" w:fill="FFFFFF"/>
          <w:vertAlign w:val="superscript"/>
        </w:rPr>
        <w:fldChar w:fldCharType="begin"/>
      </w:r>
      <w:r w:rsidRPr="00CD1B8A">
        <w:rPr>
          <w:shd w:val="clear" w:color="auto" w:fill="FFFFFF"/>
          <w:vertAlign w:val="superscript"/>
        </w:rPr>
        <w:instrText xml:space="preserve"> NOTEREF _Ref419809733 \f  \* MERGEFORMAT </w:instrText>
      </w:r>
      <w:r w:rsidRPr="00CD1B8A">
        <w:rPr>
          <w:shd w:val="clear" w:color="auto" w:fill="FFFFFF"/>
          <w:vertAlign w:val="superscript"/>
        </w:rPr>
        <w:fldChar w:fldCharType="separate"/>
      </w:r>
      <w:r w:rsidR="00D739A7" w:rsidRPr="00D739A7">
        <w:rPr>
          <w:shd w:val="clear" w:color="auto" w:fill="FFFFFF"/>
        </w:rPr>
        <w:t>7</w:t>
      </w:r>
      <w:r w:rsidRPr="00CD1B8A">
        <w:rPr>
          <w:shd w:val="clear" w:color="auto" w:fill="FFFFFF"/>
          <w:lang w:val="en"/>
        </w:rPr>
        <w:fldChar w:fldCharType="end"/>
      </w:r>
      <w:r w:rsidRPr="00CD1B8A">
        <w:rPr>
          <w:shd w:val="clear" w:color="auto" w:fill="FFFFFF"/>
          <w:vertAlign w:val="superscript"/>
        </w:rPr>
        <w:t>,</w:t>
      </w:r>
      <w:bookmarkStart w:id="4" w:name="_Ref419809927"/>
      <w:r w:rsidRPr="00CD1B8A">
        <w:rPr>
          <w:shd w:val="clear" w:color="auto" w:fill="FFFFFF"/>
          <w:vertAlign w:val="superscript"/>
        </w:rPr>
        <w:endnoteReference w:id="11"/>
      </w:r>
      <w:bookmarkEnd w:id="4"/>
      <w:r w:rsidRPr="00CD1B8A">
        <w:rPr>
          <w:shd w:val="clear" w:color="auto" w:fill="FFFFFF"/>
        </w:rPr>
        <w:t xml:space="preserve"> The recommendations have continuously</w:t>
      </w:r>
      <w:r w:rsidRPr="00CD1B8A">
        <w:rPr>
          <w:b/>
          <w:shd w:val="clear" w:color="auto" w:fill="FFFFFF"/>
        </w:rPr>
        <w:t xml:space="preserve"> </w:t>
      </w:r>
      <w:r w:rsidRPr="00CD1B8A">
        <w:rPr>
          <w:shd w:val="clear" w:color="auto" w:fill="FFFFFF"/>
        </w:rPr>
        <w:t>included determination of the HIV status of the exposure source patient to guide the need for HIV PEP.</w:t>
      </w:r>
      <w:r w:rsidRPr="00CD1B8A">
        <w:rPr>
          <w:shd w:val="clear" w:color="auto" w:fill="FFFFFF"/>
          <w:vertAlign w:val="superscript"/>
        </w:rPr>
        <w:endnoteReference w:id="12"/>
      </w:r>
    </w:p>
    <w:p w:rsidR="00CD1B8A" w:rsidRPr="00CD1B8A" w:rsidRDefault="00CD1B8A" w:rsidP="00C5404C">
      <w:pPr>
        <w:pStyle w:val="Body1"/>
        <w:rPr>
          <w:bCs/>
          <w:color w:val="000000"/>
          <w:shd w:val="clear" w:color="auto" w:fill="FFFFFF"/>
        </w:rPr>
      </w:pPr>
    </w:p>
    <w:p w:rsidR="00CD1B8A" w:rsidRPr="00CD1B8A" w:rsidRDefault="00CD1B8A" w:rsidP="00C5404C">
      <w:pPr>
        <w:pStyle w:val="Body1"/>
        <w:rPr>
          <w:color w:val="000000"/>
          <w:shd w:val="clear" w:color="auto" w:fill="FFFFFF"/>
          <w:lang w:val="en"/>
        </w:rPr>
      </w:pPr>
      <w:r w:rsidRPr="00CD1B8A">
        <w:rPr>
          <w:color w:val="000000"/>
          <w:shd w:val="clear" w:color="auto" w:fill="FFFFFF"/>
          <w:lang w:val="en"/>
        </w:rPr>
        <w:t xml:space="preserve">The HIV status of the source patient should be determined as soon as feasible to guide appropriate use of HIV PEP. USPHS recommendations indicate that all current FDA-approved HIV tests can be used to </w:t>
      </w:r>
      <w:r w:rsidRPr="00CD1B8A">
        <w:rPr>
          <w:color w:val="000000"/>
          <w:shd w:val="clear" w:color="auto" w:fill="FFFFFF"/>
          <w:lang w:val="en"/>
        </w:rPr>
        <w:lastRenderedPageBreak/>
        <w:t>determine the HIV status of the source patient including rapid tests, third-generation immunoassays, and fourth-generation combination p24 antigen–HIV antibody (Ag/Ab) tests (which produce both rapid and accurate results, and their p24 antigen detection allows identification of most acute infections).</w:t>
      </w:r>
      <w:r w:rsidRPr="00CD1B8A">
        <w:rPr>
          <w:color w:val="000000"/>
          <w:shd w:val="clear" w:color="auto" w:fill="FFFFFF"/>
          <w:vertAlign w:val="superscript"/>
        </w:rPr>
        <w:endnoteReference w:id="13"/>
      </w:r>
      <w:r w:rsidRPr="00CD1B8A">
        <w:rPr>
          <w:color w:val="000000"/>
          <w:shd w:val="clear" w:color="auto" w:fill="FFFFFF"/>
          <w:lang w:val="en"/>
        </w:rPr>
        <w:t xml:space="preserve">  </w:t>
      </w:r>
      <w:r w:rsidRPr="00CD1B8A">
        <w:rPr>
          <w:b/>
          <w:color w:val="000000"/>
          <w:shd w:val="clear" w:color="auto" w:fill="FFFFFF"/>
          <w:lang w:val="en"/>
        </w:rPr>
        <w:t>MDPH recommends utilization of the fourth-generation combination p24 antigen-HIV antibody test to determine those source patients with acute infection</w:t>
      </w:r>
      <w:r w:rsidRPr="00CD1B8A">
        <w:rPr>
          <w:color w:val="000000"/>
          <w:shd w:val="clear" w:color="auto" w:fill="FFFFFF"/>
          <w:lang w:val="en"/>
        </w:rPr>
        <w:t>. Determination of PEP initiation and utilization anti-retroviral treatments is described in the USPHS recommendations.</w:t>
      </w:r>
      <w:r w:rsidRPr="00CD1B8A">
        <w:rPr>
          <w:color w:val="000000"/>
          <w:shd w:val="clear" w:color="auto" w:fill="FFFFFF"/>
          <w:vertAlign w:val="superscript"/>
        </w:rPr>
        <w:endnoteReference w:id="14"/>
      </w:r>
    </w:p>
    <w:p w:rsidR="00CD1B8A" w:rsidRPr="00CD1B8A" w:rsidRDefault="00CD1B8A" w:rsidP="00C5404C">
      <w:pPr>
        <w:pStyle w:val="Heading1"/>
        <w:rPr>
          <w:shd w:val="clear" w:color="auto" w:fill="FFFFFF"/>
          <w:lang w:val="en"/>
        </w:rPr>
      </w:pPr>
      <w:r w:rsidRPr="00CD1B8A">
        <w:rPr>
          <w:shd w:val="clear" w:color="auto" w:fill="FFFFFF"/>
          <w:lang w:val="en"/>
        </w:rPr>
        <w:t>HIV Screening of Source Patients in Massachusetts</w:t>
      </w:r>
    </w:p>
    <w:p w:rsidR="00CD1B8A" w:rsidRPr="00CD1B8A" w:rsidRDefault="00CD1B8A" w:rsidP="00C5404C">
      <w:pPr>
        <w:pStyle w:val="Body1"/>
        <w:rPr>
          <w:shd w:val="clear" w:color="auto" w:fill="FFFFFF"/>
        </w:rPr>
      </w:pPr>
      <w:r w:rsidRPr="00CD1B8A">
        <w:rPr>
          <w:shd w:val="clear" w:color="auto" w:fill="FFFFFF"/>
        </w:rPr>
        <w:t xml:space="preserve">Following an exposure, a source patient is asked to voluntarily disclose their HIV status, or voluntarily give consent to be tested for HIV. </w:t>
      </w:r>
      <w:bookmarkStart w:id="5" w:name="_Ref418780458"/>
      <w:r w:rsidRPr="00CD1B8A">
        <w:rPr>
          <w:shd w:val="clear" w:color="auto" w:fill="FFFFFF"/>
        </w:rPr>
        <w:t>M.G.L. c. 111, §70F permits a patient to provide verbal informed consent to be tested for HIV (written informed consent may be substituted for verbal).</w:t>
      </w:r>
      <w:bookmarkStart w:id="6" w:name="_Ref419899272"/>
      <w:r w:rsidRPr="00CD1B8A">
        <w:rPr>
          <w:shd w:val="clear" w:color="auto" w:fill="FFFFFF"/>
          <w:vertAlign w:val="superscript"/>
        </w:rPr>
        <w:endnoteReference w:id="15"/>
      </w:r>
      <w:bookmarkEnd w:id="5"/>
      <w:bookmarkEnd w:id="6"/>
      <w:r w:rsidRPr="00CD1B8A">
        <w:rPr>
          <w:shd w:val="clear" w:color="auto" w:fill="FFFFFF"/>
        </w:rPr>
        <w:t xml:space="preserve">  However, disclosing the results of a person’s HIV test, or identifying a person as the subject of an HIV test, requires written informed consent. Thus, following an occupational exposure, the source patient would need to provide either written or verbal informed consent to be tested, and additionally provide written informed consent to release the test results to the exposed individual. Specific consent to release this test result may also be included in a general consent to care, or a general consent for release of medical information, so long as the consent for release of HIV test results is a discrete section of the general consent form.</w:t>
      </w:r>
      <w:bookmarkStart w:id="7" w:name="_Ref418780703"/>
      <w:r w:rsidRPr="00CD1B8A">
        <w:rPr>
          <w:shd w:val="clear" w:color="auto" w:fill="FFFFFF"/>
          <w:vertAlign w:val="superscript"/>
        </w:rPr>
        <w:endnoteReference w:id="16"/>
      </w:r>
      <w:bookmarkEnd w:id="7"/>
    </w:p>
    <w:p w:rsidR="00CD1B8A" w:rsidRPr="00CD1B8A" w:rsidRDefault="00CD1B8A" w:rsidP="00C5404C">
      <w:pPr>
        <w:pStyle w:val="Heading1"/>
        <w:rPr>
          <w:shd w:val="clear" w:color="auto" w:fill="FFFFFF"/>
        </w:rPr>
      </w:pPr>
      <w:r w:rsidRPr="00CD1B8A">
        <w:rPr>
          <w:shd w:val="clear" w:color="auto" w:fill="FFFFFF"/>
        </w:rPr>
        <w:t>HIV Screening of Incapacitated Source Patients in Massachusetts</w:t>
      </w:r>
    </w:p>
    <w:p w:rsidR="00CD1B8A" w:rsidRPr="00CD1B8A" w:rsidRDefault="00CD1B8A" w:rsidP="00193DD2">
      <w:pPr>
        <w:pStyle w:val="Body1"/>
      </w:pPr>
      <w:r w:rsidRPr="00CD1B8A">
        <w:t>In certain instances, the source patient of an occupational exposure may be, or may become, incapacitated (unable to make or communicate health care decisions) and incapable of providing verbal consent to testing or written consent for the release of test results.</w:t>
      </w:r>
      <w:r w:rsidRPr="00CD1B8A">
        <w:rPr>
          <w:vertAlign w:val="superscript"/>
        </w:rPr>
        <w:endnoteReference w:id="17"/>
      </w:r>
      <w:r w:rsidRPr="00CD1B8A">
        <w:t xml:space="preserve"> When a health care worker is exposed to the blood or other potentially infectious materials</w:t>
      </w:r>
      <w:r w:rsidRPr="00CD1B8A" w:rsidDel="005626F8">
        <w:t xml:space="preserve"> </w:t>
      </w:r>
      <w:r w:rsidRPr="00CD1B8A">
        <w:t>of a patient who is incapacitated, clinical staff should consult with legal counsel. In these cases, there are two options to determine the HIV status of the source patient:</w:t>
      </w:r>
    </w:p>
    <w:p w:rsidR="00CD1B8A" w:rsidRPr="00CD1B8A" w:rsidRDefault="00CD1B8A" w:rsidP="00C5404C">
      <w:pPr>
        <w:numPr>
          <w:ilvl w:val="0"/>
          <w:numId w:val="1"/>
        </w:numPr>
        <w:spacing w:before="360" w:after="120"/>
        <w:ind w:left="720"/>
        <w:rPr>
          <w:rStyle w:val="SubtleEmphasis"/>
          <w:sz w:val="20"/>
          <w:szCs w:val="20"/>
        </w:rPr>
      </w:pPr>
      <w:r w:rsidRPr="00CD1B8A">
        <w:rPr>
          <w:rStyle w:val="SubtleEmphasis"/>
          <w:sz w:val="20"/>
          <w:szCs w:val="20"/>
        </w:rPr>
        <w:t>Valid and Invoked Health Care Proxy</w:t>
      </w:r>
    </w:p>
    <w:p w:rsidR="00CD1B8A" w:rsidRPr="00CD1B8A" w:rsidRDefault="00CD1B8A" w:rsidP="00B270E0">
      <w:pPr>
        <w:pStyle w:val="Body1"/>
        <w:ind w:left="720"/>
      </w:pPr>
      <w:r w:rsidRPr="00CD1B8A">
        <w:t>If an individual has a health care proxy, legal documentation should be kept in the medical record of the patient to inform health care facilities or clinical practices. A health care proxy assigns health decisions for an incapacitated individual to another individual. These decisions can include HIV testing and release of the test results.</w:t>
      </w:r>
      <w:r w:rsidRPr="00CD1B8A">
        <w:rPr>
          <w:vertAlign w:val="superscript"/>
        </w:rPr>
        <w:endnoteReference w:id="18"/>
      </w:r>
      <w:r w:rsidRPr="00CD1B8A">
        <w:t xml:space="preserve"> A health care proxy must be valid (signed by the principal and two witnesses who are not the health care agent) and invoked (the attending physician determines that the principal is incapacitated and documents it in the medical record). Any questions or concerns should be conveyed to the facility’s legal counsel for resolution.</w:t>
      </w:r>
    </w:p>
    <w:p w:rsidR="00CD1B8A" w:rsidRPr="00CD1B8A" w:rsidRDefault="00CD1B8A" w:rsidP="00C5404C">
      <w:pPr>
        <w:numPr>
          <w:ilvl w:val="0"/>
          <w:numId w:val="1"/>
        </w:numPr>
        <w:spacing w:before="360" w:after="120"/>
        <w:ind w:left="720"/>
        <w:rPr>
          <w:rFonts w:ascii="Arial" w:hAnsi="Arial" w:cs="Arial"/>
          <w:sz w:val="20"/>
          <w:u w:val="single"/>
        </w:rPr>
      </w:pPr>
      <w:r w:rsidRPr="00CD1B8A">
        <w:rPr>
          <w:rFonts w:ascii="Arial" w:hAnsi="Arial" w:cs="Arial"/>
          <w:sz w:val="20"/>
          <w:u w:val="single"/>
        </w:rPr>
        <w:t xml:space="preserve">Temporary </w:t>
      </w:r>
      <w:r w:rsidRPr="00CD1B8A">
        <w:rPr>
          <w:rStyle w:val="SubtleEmphasis"/>
          <w:sz w:val="20"/>
          <w:szCs w:val="20"/>
        </w:rPr>
        <w:t>Guardianship</w:t>
      </w:r>
    </w:p>
    <w:p w:rsidR="00CD1B8A" w:rsidRPr="00CD1B8A" w:rsidRDefault="00CD1B8A" w:rsidP="0059144A">
      <w:pPr>
        <w:pStyle w:val="Body1"/>
        <w:ind w:left="720"/>
      </w:pPr>
      <w:r w:rsidRPr="00CD1B8A">
        <w:t>In certain circumstances, an incapacitated source patient may have no previous documentation of HIV status and no health care proxy. Facility legal staff may choose to pursue a temporary guardianship in order to obtain authority for the source patient to be tested for HIV and have the test results released to the exposed person. The court determines if an immediate emergency situation exists based on the facts of the case, and may choose to shorten or waive the notice requirements in order to expedite the appointment of a temporary guardian. The motion should specifically request HIV testing and release of results as the nature of the circumstances requiring an immediate hearing. Temporary guardianship is valid for 90 days.</w:t>
      </w:r>
      <w:r w:rsidRPr="00CD1B8A">
        <w:rPr>
          <w:vertAlign w:val="superscript"/>
        </w:rPr>
        <w:endnoteReference w:id="19"/>
      </w:r>
    </w:p>
    <w:p w:rsidR="00F61618" w:rsidRPr="00AC472E" w:rsidRDefault="00F61618" w:rsidP="0059144A">
      <w:pPr>
        <w:pStyle w:val="Body1"/>
        <w:ind w:left="720"/>
      </w:pPr>
    </w:p>
    <w:sectPr w:rsidR="00F61618" w:rsidRPr="00AC472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FE1" w:rsidRDefault="00005FE1" w:rsidP="00DF0616">
      <w:r>
        <w:separator/>
      </w:r>
    </w:p>
  </w:endnote>
  <w:endnote w:type="continuationSeparator" w:id="0">
    <w:p w:rsidR="00005FE1" w:rsidRDefault="00005FE1" w:rsidP="00DF0616">
      <w:r>
        <w:continuationSeparator/>
      </w:r>
    </w:p>
  </w:endnote>
  <w:endnote w:id="1">
    <w:p w:rsidR="00CD1B8A" w:rsidRPr="00AC472E" w:rsidRDefault="00CD1B8A" w:rsidP="00DF0616">
      <w:pPr>
        <w:pStyle w:val="EndnoteText"/>
        <w:rPr>
          <w:rFonts w:ascii="Arial" w:hAnsi="Arial" w:cs="Arial"/>
          <w:sz w:val="14"/>
          <w:szCs w:val="14"/>
        </w:rPr>
      </w:pPr>
      <w:r w:rsidRPr="00AC472E">
        <w:rPr>
          <w:rStyle w:val="EndnoteReference"/>
          <w:rFonts w:cs="Arial"/>
          <w:sz w:val="14"/>
          <w:szCs w:val="14"/>
        </w:rPr>
        <w:endnoteRef/>
      </w:r>
      <w:r w:rsidRPr="00AC472E">
        <w:rPr>
          <w:rFonts w:ascii="Arial" w:hAnsi="Arial" w:cs="Arial"/>
          <w:sz w:val="14"/>
          <w:szCs w:val="14"/>
        </w:rPr>
        <w:t xml:space="preserve"> </w:t>
      </w:r>
      <w:proofErr w:type="gramStart"/>
      <w:r w:rsidRPr="00AC472E">
        <w:rPr>
          <w:rFonts w:ascii="Arial" w:hAnsi="Arial" w:cs="Arial"/>
          <w:sz w:val="14"/>
          <w:szCs w:val="14"/>
        </w:rPr>
        <w:t xml:space="preserve">The U.S. Occupational Safety and Health Administration (OSHA) Bloodborne Pathogens Standard (29 CFR 1910.1030) </w:t>
      </w:r>
      <w:hyperlink r:id="rId1" w:history="1">
        <w:r w:rsidRPr="00AC472E">
          <w:rPr>
            <w:rStyle w:val="Hyperlink"/>
            <w:rFonts w:ascii="Arial" w:hAnsi="Arial" w:cs="Arial"/>
            <w:sz w:val="14"/>
            <w:szCs w:val="14"/>
          </w:rPr>
          <w:t>Bloodborne pathogens.</w:t>
        </w:r>
        <w:proofErr w:type="gramEnd"/>
        <w:r w:rsidRPr="00AC472E">
          <w:rPr>
            <w:rStyle w:val="Hyperlink"/>
            <w:rFonts w:ascii="Arial" w:hAnsi="Arial" w:cs="Arial"/>
            <w:sz w:val="14"/>
            <w:szCs w:val="14"/>
          </w:rPr>
          <w:t xml:space="preserve"> - 1910.1030</w:t>
        </w:r>
      </w:hyperlink>
    </w:p>
  </w:endnote>
  <w:endnote w:id="2">
    <w:p w:rsidR="00CD1B8A" w:rsidRPr="00AC472E" w:rsidRDefault="00CD1B8A" w:rsidP="00DF0616">
      <w:pPr>
        <w:pStyle w:val="EndnoteText"/>
        <w:rPr>
          <w:rFonts w:ascii="Arial" w:hAnsi="Arial" w:cs="Arial"/>
          <w:sz w:val="14"/>
          <w:szCs w:val="14"/>
        </w:rPr>
      </w:pPr>
      <w:r w:rsidRPr="00AC472E">
        <w:rPr>
          <w:rStyle w:val="EndnoteReference"/>
          <w:rFonts w:cs="Arial"/>
          <w:sz w:val="14"/>
          <w:szCs w:val="14"/>
        </w:rPr>
        <w:endnoteRef/>
      </w:r>
      <w:r w:rsidRPr="00AC472E">
        <w:rPr>
          <w:rFonts w:ascii="Arial" w:hAnsi="Arial" w:cs="Arial"/>
          <w:sz w:val="14"/>
          <w:szCs w:val="14"/>
        </w:rPr>
        <w:t xml:space="preserve"> </w:t>
      </w:r>
      <w:hyperlink r:id="rId2" w:history="1">
        <w:r w:rsidRPr="00AC472E">
          <w:rPr>
            <w:rStyle w:val="Hyperlink"/>
            <w:rFonts w:ascii="Arial" w:hAnsi="Arial" w:cs="Arial"/>
            <w:sz w:val="14"/>
            <w:szCs w:val="14"/>
          </w:rPr>
          <w:t>http://www.cdc.gov/hiv/risk/other/occupational.html</w:t>
        </w:r>
      </w:hyperlink>
    </w:p>
  </w:endnote>
  <w:endnote w:id="3">
    <w:p w:rsidR="00CD1B8A" w:rsidRPr="00AC472E" w:rsidRDefault="00CD1B8A" w:rsidP="00DF0616">
      <w:pPr>
        <w:pStyle w:val="EndnoteText"/>
        <w:rPr>
          <w:rFonts w:ascii="Arial" w:hAnsi="Arial" w:cs="Arial"/>
          <w:sz w:val="14"/>
          <w:szCs w:val="14"/>
        </w:rPr>
      </w:pPr>
      <w:r w:rsidRPr="00AC472E">
        <w:rPr>
          <w:rStyle w:val="EndnoteReference"/>
          <w:rFonts w:cs="Arial"/>
          <w:sz w:val="14"/>
          <w:szCs w:val="14"/>
        </w:rPr>
        <w:endnoteRef/>
      </w:r>
      <w:r w:rsidRPr="00AC472E">
        <w:rPr>
          <w:rFonts w:ascii="Arial" w:hAnsi="Arial" w:cs="Arial"/>
          <w:sz w:val="14"/>
          <w:szCs w:val="14"/>
        </w:rPr>
        <w:t xml:space="preserve"> </w:t>
      </w:r>
      <w:hyperlink r:id="rId3" w:history="1">
        <w:r w:rsidRPr="00AC472E">
          <w:rPr>
            <w:rStyle w:val="Hyperlink"/>
            <w:rFonts w:ascii="Arial" w:hAnsi="Arial" w:cs="Arial"/>
            <w:sz w:val="14"/>
            <w:szCs w:val="14"/>
          </w:rPr>
          <w:t>PEP | HIV Basics | HIV/AIDS | CDC</w:t>
        </w:r>
      </w:hyperlink>
    </w:p>
  </w:endnote>
  <w:endnote w:id="4">
    <w:p w:rsidR="00CD1B8A" w:rsidRPr="00AC472E" w:rsidRDefault="00CD1B8A">
      <w:pPr>
        <w:pStyle w:val="EndnoteText"/>
        <w:rPr>
          <w:rFonts w:ascii="Arial" w:hAnsi="Arial" w:cs="Arial"/>
          <w:sz w:val="14"/>
          <w:szCs w:val="14"/>
        </w:rPr>
      </w:pPr>
      <w:r w:rsidRPr="00AC472E">
        <w:rPr>
          <w:rStyle w:val="EndnoteReference"/>
          <w:rFonts w:cs="Arial"/>
          <w:sz w:val="14"/>
          <w:szCs w:val="14"/>
        </w:rPr>
        <w:endnoteRef/>
      </w:r>
      <w:r w:rsidRPr="00AC472E">
        <w:rPr>
          <w:rFonts w:ascii="Arial" w:hAnsi="Arial" w:cs="Arial"/>
          <w:sz w:val="14"/>
          <w:szCs w:val="14"/>
        </w:rPr>
        <w:t xml:space="preserve"> Joyce MP, Kuhar D, Brooks JT. </w:t>
      </w:r>
      <w:r w:rsidRPr="00AC472E">
        <w:rPr>
          <w:rFonts w:ascii="Arial" w:hAnsi="Arial" w:cs="Arial"/>
          <w:i/>
          <w:iCs/>
          <w:sz w:val="14"/>
          <w:szCs w:val="14"/>
        </w:rPr>
        <w:t xml:space="preserve"> Notes from the Field: </w:t>
      </w:r>
      <w:r w:rsidRPr="00AC472E">
        <w:rPr>
          <w:rFonts w:ascii="Arial" w:hAnsi="Arial" w:cs="Arial"/>
          <w:sz w:val="14"/>
          <w:szCs w:val="14"/>
        </w:rPr>
        <w:t xml:space="preserve">Occupationally Acquired HIV Infection Among Health Care Workers — United States, 1985–2013 </w:t>
      </w:r>
      <w:r w:rsidRPr="00AC472E">
        <w:rPr>
          <w:rFonts w:ascii="Arial" w:hAnsi="Arial" w:cs="Arial"/>
          <w:b/>
          <w:bCs/>
          <w:sz w:val="14"/>
          <w:szCs w:val="14"/>
        </w:rPr>
        <w:t>January 9, 2015 / 63(53)</w:t>
      </w:r>
      <w:proofErr w:type="gramStart"/>
      <w:r w:rsidRPr="00AC472E">
        <w:rPr>
          <w:rFonts w:ascii="Arial" w:hAnsi="Arial" w:cs="Arial"/>
          <w:b/>
          <w:bCs/>
          <w:sz w:val="14"/>
          <w:szCs w:val="14"/>
        </w:rPr>
        <w:t>;1245</w:t>
      </w:r>
      <w:proofErr w:type="gramEnd"/>
      <w:r w:rsidRPr="00AC472E">
        <w:rPr>
          <w:rFonts w:ascii="Arial" w:hAnsi="Arial" w:cs="Arial"/>
          <w:b/>
          <w:bCs/>
          <w:sz w:val="14"/>
          <w:szCs w:val="14"/>
        </w:rPr>
        <w:t xml:space="preserve">-1246.  </w:t>
      </w:r>
      <w:hyperlink r:id="rId4" w:anchor="fig" w:history="1">
        <w:r w:rsidRPr="00AC472E">
          <w:rPr>
            <w:rStyle w:val="Hyperlink"/>
            <w:rFonts w:ascii="Arial" w:hAnsi="Arial" w:cs="Arial"/>
            <w:bCs/>
            <w:sz w:val="14"/>
            <w:szCs w:val="14"/>
          </w:rPr>
          <w:t>http://www.cdc.gov/mmwr/preview/mmwrhtml/mm6353a4.htm?s_cid=mm6353a4_w#fig</w:t>
        </w:r>
      </w:hyperlink>
      <w:r w:rsidRPr="00AC472E">
        <w:rPr>
          <w:rFonts w:ascii="Arial" w:hAnsi="Arial" w:cs="Arial"/>
          <w:bCs/>
          <w:sz w:val="14"/>
          <w:szCs w:val="14"/>
        </w:rPr>
        <w:t xml:space="preserve"> </w:t>
      </w:r>
    </w:p>
  </w:endnote>
  <w:endnote w:id="5">
    <w:p w:rsidR="00CD1B8A" w:rsidRPr="00AC472E" w:rsidRDefault="00CD1B8A" w:rsidP="00C14A0A">
      <w:pPr>
        <w:rPr>
          <w:rFonts w:ascii="Arial" w:hAnsi="Arial" w:cs="Arial"/>
          <w:sz w:val="14"/>
          <w:szCs w:val="14"/>
        </w:rPr>
      </w:pPr>
      <w:r w:rsidRPr="00AC472E">
        <w:rPr>
          <w:rStyle w:val="EndnoteReference"/>
          <w:rFonts w:cs="Arial"/>
          <w:sz w:val="14"/>
          <w:szCs w:val="14"/>
        </w:rPr>
        <w:endnoteRef/>
      </w:r>
      <w:r w:rsidRPr="00AC472E">
        <w:rPr>
          <w:rFonts w:ascii="Arial" w:hAnsi="Arial" w:cs="Arial"/>
          <w:sz w:val="14"/>
          <w:szCs w:val="14"/>
        </w:rPr>
        <w:t xml:space="preserve"> </w:t>
      </w:r>
      <w:proofErr w:type="gramStart"/>
      <w:r w:rsidRPr="00AC472E">
        <w:rPr>
          <w:rStyle w:val="Strong1"/>
          <w:rFonts w:ascii="Arial" w:hAnsi="Arial" w:cs="Arial"/>
          <w:color w:val="000000"/>
          <w:sz w:val="14"/>
          <w:szCs w:val="14"/>
          <w:shd w:val="clear" w:color="auto" w:fill="FFFFFF"/>
        </w:rPr>
        <w:t>Division of HIV/AIDS Prevention, National Center for HIV/AIDS, Viral Hepatitis, STD, and TB Prevention,</w:t>
      </w:r>
      <w:r w:rsidRPr="00AC472E">
        <w:rPr>
          <w:rStyle w:val="apple-converted-space"/>
          <w:rFonts w:ascii="Arial" w:hAnsi="Arial" w:cs="Arial"/>
          <w:color w:val="000000"/>
          <w:sz w:val="14"/>
          <w:szCs w:val="14"/>
          <w:shd w:val="clear" w:color="auto" w:fill="FFFFFF"/>
        </w:rPr>
        <w:t> </w:t>
      </w:r>
      <w:r w:rsidRPr="00AC472E">
        <w:rPr>
          <w:rFonts w:ascii="Arial" w:hAnsi="Arial" w:cs="Arial"/>
          <w:color w:val="000000"/>
          <w:sz w:val="14"/>
          <w:szCs w:val="14"/>
          <w:shd w:val="clear" w:color="auto" w:fill="FFFFFF"/>
        </w:rPr>
        <w:t>CDC, unpublished data, 2014.</w:t>
      </w:r>
      <w:proofErr w:type="gramEnd"/>
    </w:p>
  </w:endnote>
  <w:endnote w:id="6">
    <w:p w:rsidR="00CD1B8A" w:rsidRPr="00AC472E" w:rsidRDefault="00CD1B8A" w:rsidP="00C14A0A">
      <w:pPr>
        <w:pStyle w:val="EndnoteText"/>
        <w:rPr>
          <w:rFonts w:ascii="Arial" w:hAnsi="Arial" w:cs="Arial"/>
          <w:sz w:val="14"/>
          <w:szCs w:val="14"/>
        </w:rPr>
      </w:pPr>
      <w:r w:rsidRPr="00AC472E">
        <w:rPr>
          <w:rStyle w:val="EndnoteReference"/>
          <w:rFonts w:cs="Arial"/>
          <w:sz w:val="14"/>
          <w:szCs w:val="14"/>
        </w:rPr>
        <w:endnoteRef/>
      </w:r>
      <w:r w:rsidRPr="00AC472E">
        <w:rPr>
          <w:rFonts w:ascii="Arial" w:hAnsi="Arial" w:cs="Arial"/>
          <w:sz w:val="14"/>
          <w:szCs w:val="14"/>
        </w:rPr>
        <w:t xml:space="preserve"> </w:t>
      </w:r>
      <w:proofErr w:type="gramStart"/>
      <w:r w:rsidRPr="00AC472E">
        <w:rPr>
          <w:rFonts w:ascii="Arial" w:hAnsi="Arial" w:cs="Arial"/>
          <w:sz w:val="14"/>
          <w:szCs w:val="14"/>
          <w:lang w:val="en"/>
        </w:rPr>
        <w:t>Centers for Disease Control and Prevention.</w:t>
      </w:r>
      <w:proofErr w:type="gramEnd"/>
      <w:r w:rsidRPr="00AC472E">
        <w:rPr>
          <w:rFonts w:ascii="Arial" w:hAnsi="Arial" w:cs="Arial"/>
          <w:sz w:val="14"/>
          <w:szCs w:val="14"/>
          <w:lang w:val="en"/>
        </w:rPr>
        <w:t xml:space="preserve"> </w:t>
      </w:r>
      <w:proofErr w:type="gramStart"/>
      <w:r w:rsidRPr="00AC472E">
        <w:rPr>
          <w:rFonts w:ascii="Arial" w:hAnsi="Arial" w:cs="Arial"/>
          <w:sz w:val="14"/>
          <w:szCs w:val="14"/>
          <w:lang w:val="en"/>
        </w:rPr>
        <w:t>Public Health Service guidelines for the management of health-care worker exposures to HIV and recommendations for postexposure prophylaxis.</w:t>
      </w:r>
      <w:proofErr w:type="gramEnd"/>
      <w:r w:rsidRPr="00AC472E">
        <w:rPr>
          <w:rFonts w:ascii="Arial" w:hAnsi="Arial" w:cs="Arial"/>
          <w:sz w:val="14"/>
          <w:szCs w:val="14"/>
          <w:lang w:val="en"/>
        </w:rPr>
        <w:t xml:space="preserve"> </w:t>
      </w:r>
      <w:r w:rsidRPr="00AC472E">
        <w:rPr>
          <w:rFonts w:ascii="Arial" w:hAnsi="Arial" w:cs="Arial"/>
          <w:i/>
          <w:iCs/>
          <w:sz w:val="14"/>
          <w:szCs w:val="14"/>
          <w:lang w:val="en"/>
        </w:rPr>
        <w:t>MMWR Recomm Rep</w:t>
      </w:r>
      <w:r w:rsidRPr="00AC472E">
        <w:rPr>
          <w:rFonts w:ascii="Arial" w:hAnsi="Arial" w:cs="Arial"/>
          <w:sz w:val="14"/>
          <w:szCs w:val="14"/>
          <w:lang w:val="en"/>
        </w:rPr>
        <w:t xml:space="preserve"> 1998</w:t>
      </w:r>
      <w:proofErr w:type="gramStart"/>
      <w:r w:rsidRPr="00AC472E">
        <w:rPr>
          <w:rFonts w:ascii="Arial" w:hAnsi="Arial" w:cs="Arial"/>
          <w:sz w:val="14"/>
          <w:szCs w:val="14"/>
          <w:lang w:val="en"/>
        </w:rPr>
        <w:t>;47</w:t>
      </w:r>
      <w:proofErr w:type="gramEnd"/>
      <w:r w:rsidRPr="00AC472E">
        <w:rPr>
          <w:rFonts w:ascii="Arial" w:hAnsi="Arial" w:cs="Arial"/>
          <w:sz w:val="14"/>
          <w:szCs w:val="14"/>
          <w:lang w:val="en"/>
        </w:rPr>
        <w:t>(RR-7):1–33.</w:t>
      </w:r>
      <w:hyperlink r:id="rId5" w:history="1">
        <w:r w:rsidRPr="00AC472E">
          <w:rPr>
            <w:rStyle w:val="Hyperlink"/>
            <w:rFonts w:ascii="Arial" w:hAnsi="Arial" w:cs="Arial"/>
            <w:sz w:val="14"/>
            <w:szCs w:val="14"/>
            <w:lang w:val="en"/>
          </w:rPr>
          <w:t>Public Health Service Guidelines for the Management of Health-Care Worker Exposures to HIV and Recommendations for Postexposure Prophylaxis</w:t>
        </w:r>
      </w:hyperlink>
    </w:p>
  </w:endnote>
  <w:endnote w:id="7">
    <w:p w:rsidR="00CD1B8A" w:rsidRPr="00AC472E" w:rsidRDefault="00CD1B8A" w:rsidP="00C14A0A">
      <w:pPr>
        <w:pStyle w:val="EndnoteText"/>
        <w:rPr>
          <w:rFonts w:ascii="Arial" w:hAnsi="Arial" w:cs="Arial"/>
          <w:sz w:val="14"/>
          <w:szCs w:val="14"/>
        </w:rPr>
      </w:pPr>
      <w:r w:rsidRPr="00AC472E">
        <w:rPr>
          <w:rStyle w:val="EndnoteReference"/>
          <w:rFonts w:cs="Arial"/>
          <w:sz w:val="14"/>
          <w:szCs w:val="14"/>
        </w:rPr>
        <w:endnoteRef/>
      </w:r>
      <w:r w:rsidRPr="00AC472E">
        <w:rPr>
          <w:rFonts w:ascii="Arial" w:hAnsi="Arial" w:cs="Arial"/>
          <w:sz w:val="14"/>
          <w:szCs w:val="14"/>
        </w:rPr>
        <w:t xml:space="preserve"> </w:t>
      </w:r>
      <w:proofErr w:type="gramStart"/>
      <w:r w:rsidRPr="00AC472E">
        <w:rPr>
          <w:rFonts w:ascii="Arial" w:hAnsi="Arial" w:cs="Arial"/>
          <w:sz w:val="14"/>
          <w:szCs w:val="14"/>
          <w:lang w:val="en"/>
        </w:rPr>
        <w:t>Centers for Disease Control and Prevention.</w:t>
      </w:r>
      <w:proofErr w:type="gramEnd"/>
      <w:r w:rsidRPr="00AC472E">
        <w:rPr>
          <w:rFonts w:ascii="Arial" w:hAnsi="Arial" w:cs="Arial"/>
          <w:sz w:val="14"/>
          <w:szCs w:val="14"/>
          <w:lang w:val="en"/>
        </w:rPr>
        <w:t xml:space="preserve"> </w:t>
      </w:r>
      <w:proofErr w:type="gramStart"/>
      <w:r w:rsidRPr="00AC472E">
        <w:rPr>
          <w:rFonts w:ascii="Arial" w:hAnsi="Arial" w:cs="Arial"/>
          <w:sz w:val="14"/>
          <w:szCs w:val="14"/>
          <w:lang w:val="en"/>
        </w:rPr>
        <w:t>Updated U.S. Public Health Service guidelines for the management of occupational exposures to HBV, HCV, and HIV and recommendations for postexposure prophylaxis.</w:t>
      </w:r>
      <w:proofErr w:type="gramEnd"/>
      <w:r w:rsidRPr="00AC472E">
        <w:rPr>
          <w:rFonts w:ascii="Arial" w:hAnsi="Arial" w:cs="Arial"/>
          <w:sz w:val="14"/>
          <w:szCs w:val="14"/>
          <w:lang w:val="en"/>
        </w:rPr>
        <w:t xml:space="preserve"> </w:t>
      </w:r>
      <w:r w:rsidRPr="00AC472E">
        <w:rPr>
          <w:rFonts w:ascii="Arial" w:hAnsi="Arial" w:cs="Arial"/>
          <w:i/>
          <w:iCs/>
          <w:sz w:val="14"/>
          <w:szCs w:val="14"/>
          <w:lang w:val="en"/>
        </w:rPr>
        <w:t>MMWR Recomm Rep</w:t>
      </w:r>
      <w:r w:rsidRPr="00AC472E">
        <w:rPr>
          <w:rFonts w:ascii="Arial" w:hAnsi="Arial" w:cs="Arial"/>
          <w:sz w:val="14"/>
          <w:szCs w:val="14"/>
          <w:lang w:val="en"/>
        </w:rPr>
        <w:t xml:space="preserve"> 2001</w:t>
      </w:r>
      <w:proofErr w:type="gramStart"/>
      <w:r w:rsidRPr="00AC472E">
        <w:rPr>
          <w:rFonts w:ascii="Arial" w:hAnsi="Arial" w:cs="Arial"/>
          <w:sz w:val="14"/>
          <w:szCs w:val="14"/>
          <w:lang w:val="en"/>
        </w:rPr>
        <w:t>;50</w:t>
      </w:r>
      <w:proofErr w:type="gramEnd"/>
      <w:r w:rsidRPr="00AC472E">
        <w:rPr>
          <w:rFonts w:ascii="Arial" w:hAnsi="Arial" w:cs="Arial"/>
          <w:sz w:val="14"/>
          <w:szCs w:val="14"/>
          <w:lang w:val="en"/>
        </w:rPr>
        <w:t xml:space="preserve">(RR-11):1–52. </w:t>
      </w:r>
      <w:hyperlink r:id="rId6" w:history="1">
        <w:r w:rsidRPr="00AC472E">
          <w:rPr>
            <w:rStyle w:val="Hyperlink"/>
            <w:rFonts w:ascii="Arial" w:hAnsi="Arial" w:cs="Arial"/>
            <w:sz w:val="14"/>
            <w:szCs w:val="14"/>
            <w:lang w:val="en"/>
          </w:rPr>
          <w:t>http://www.cdc.gov/mmwr/PDF/rr/rr5011.pdf</w:t>
        </w:r>
      </w:hyperlink>
      <w:r w:rsidRPr="00AC472E">
        <w:rPr>
          <w:rFonts w:ascii="Arial" w:hAnsi="Arial" w:cs="Arial"/>
          <w:color w:val="0000FF"/>
          <w:sz w:val="14"/>
          <w:szCs w:val="14"/>
          <w:u w:val="single"/>
          <w:lang w:val="en"/>
        </w:rPr>
        <w:t xml:space="preserve"> </w:t>
      </w:r>
    </w:p>
  </w:endnote>
  <w:endnote w:id="8">
    <w:p w:rsidR="00CD1B8A" w:rsidRPr="00AC472E" w:rsidRDefault="00CD1B8A" w:rsidP="00C14A0A">
      <w:pPr>
        <w:pStyle w:val="EndnoteText"/>
        <w:rPr>
          <w:rFonts w:ascii="Arial" w:hAnsi="Arial" w:cs="Arial"/>
          <w:sz w:val="14"/>
          <w:szCs w:val="14"/>
        </w:rPr>
      </w:pPr>
      <w:r w:rsidRPr="00AC472E">
        <w:rPr>
          <w:rStyle w:val="EndnoteReference"/>
          <w:rFonts w:cs="Arial"/>
          <w:sz w:val="14"/>
          <w:szCs w:val="14"/>
        </w:rPr>
        <w:endnoteRef/>
      </w:r>
      <w:r w:rsidRPr="00AC472E">
        <w:rPr>
          <w:rFonts w:ascii="Arial" w:hAnsi="Arial" w:cs="Arial"/>
          <w:sz w:val="14"/>
          <w:szCs w:val="14"/>
        </w:rPr>
        <w:t xml:space="preserve"> </w:t>
      </w:r>
      <w:proofErr w:type="gramStart"/>
      <w:r w:rsidRPr="00AC472E">
        <w:rPr>
          <w:rFonts w:ascii="Arial" w:hAnsi="Arial" w:cs="Arial"/>
          <w:sz w:val="14"/>
          <w:szCs w:val="14"/>
          <w:lang w:val="en"/>
        </w:rPr>
        <w:t>Bell DM. Occupational risk of human immunodeficiency virus infection in healthcare workers: an overview.</w:t>
      </w:r>
      <w:proofErr w:type="gramEnd"/>
      <w:r w:rsidRPr="00AC472E">
        <w:rPr>
          <w:rFonts w:ascii="Arial" w:hAnsi="Arial" w:cs="Arial"/>
          <w:sz w:val="14"/>
          <w:szCs w:val="14"/>
          <w:lang w:val="en"/>
        </w:rPr>
        <w:t xml:space="preserve"> </w:t>
      </w:r>
      <w:r w:rsidRPr="00AC472E">
        <w:rPr>
          <w:rFonts w:ascii="Arial" w:hAnsi="Arial" w:cs="Arial"/>
          <w:i/>
          <w:iCs/>
          <w:sz w:val="14"/>
          <w:szCs w:val="14"/>
          <w:lang w:val="en"/>
        </w:rPr>
        <w:t>Am J Med</w:t>
      </w:r>
      <w:r w:rsidRPr="00AC472E">
        <w:rPr>
          <w:rFonts w:ascii="Arial" w:hAnsi="Arial" w:cs="Arial"/>
          <w:sz w:val="14"/>
          <w:szCs w:val="14"/>
          <w:lang w:val="en"/>
        </w:rPr>
        <w:t xml:space="preserve"> 1997</w:t>
      </w:r>
      <w:proofErr w:type="gramStart"/>
      <w:r w:rsidRPr="00AC472E">
        <w:rPr>
          <w:rFonts w:ascii="Arial" w:hAnsi="Arial" w:cs="Arial"/>
          <w:sz w:val="14"/>
          <w:szCs w:val="14"/>
          <w:lang w:val="en"/>
        </w:rPr>
        <w:t>;102</w:t>
      </w:r>
      <w:proofErr w:type="gramEnd"/>
      <w:r w:rsidRPr="00AC472E">
        <w:rPr>
          <w:rFonts w:ascii="Arial" w:hAnsi="Arial" w:cs="Arial"/>
          <w:sz w:val="14"/>
          <w:szCs w:val="14"/>
          <w:lang w:val="en"/>
        </w:rPr>
        <w:t>(5B):9–15.</w:t>
      </w:r>
      <w:hyperlink r:id="rId7" w:history="1">
        <w:r w:rsidRPr="00AC472E">
          <w:rPr>
            <w:rStyle w:val="Hyperlink"/>
            <w:rFonts w:ascii="Arial" w:hAnsi="Arial" w:cs="Arial"/>
            <w:sz w:val="14"/>
            <w:szCs w:val="14"/>
            <w:lang w:val="en"/>
          </w:rPr>
          <w:t>http://www.ncbi.nlm.nih.gov/pubmed/9845490</w:t>
        </w:r>
      </w:hyperlink>
    </w:p>
  </w:endnote>
  <w:endnote w:id="9">
    <w:p w:rsidR="00CD1B8A" w:rsidRPr="00AC472E" w:rsidRDefault="00CD1B8A" w:rsidP="00C14A0A">
      <w:pPr>
        <w:rPr>
          <w:rFonts w:ascii="Arial" w:hAnsi="Arial" w:cs="Arial"/>
          <w:color w:val="0000FF"/>
          <w:sz w:val="14"/>
          <w:szCs w:val="14"/>
          <w:u w:val="single"/>
          <w:lang w:val="en"/>
        </w:rPr>
      </w:pPr>
      <w:r w:rsidRPr="00AC472E">
        <w:rPr>
          <w:rStyle w:val="EndnoteReference"/>
          <w:rFonts w:cs="Arial"/>
          <w:sz w:val="14"/>
          <w:szCs w:val="14"/>
        </w:rPr>
        <w:endnoteRef/>
      </w:r>
      <w:r w:rsidRPr="00AC472E">
        <w:rPr>
          <w:rFonts w:ascii="Arial" w:hAnsi="Arial" w:cs="Arial"/>
          <w:sz w:val="14"/>
          <w:szCs w:val="14"/>
        </w:rPr>
        <w:t xml:space="preserve"> </w:t>
      </w:r>
      <w:proofErr w:type="gramStart"/>
      <w:r w:rsidRPr="00AC472E">
        <w:rPr>
          <w:rFonts w:ascii="Arial" w:hAnsi="Arial" w:cs="Arial"/>
          <w:sz w:val="14"/>
          <w:szCs w:val="14"/>
          <w:lang w:val="en"/>
        </w:rPr>
        <w:t>Ippolito G, Puro V, De Carli G; Italian Study Group on Occupational Risk of HIV infection.</w:t>
      </w:r>
      <w:proofErr w:type="gramEnd"/>
      <w:r w:rsidRPr="00AC472E">
        <w:rPr>
          <w:rFonts w:ascii="Arial" w:hAnsi="Arial" w:cs="Arial"/>
          <w:sz w:val="14"/>
          <w:szCs w:val="14"/>
          <w:lang w:val="en"/>
        </w:rPr>
        <w:t xml:space="preserve"> </w:t>
      </w:r>
      <w:proofErr w:type="gramStart"/>
      <w:r w:rsidRPr="00AC472E">
        <w:rPr>
          <w:rFonts w:ascii="Arial" w:hAnsi="Arial" w:cs="Arial"/>
          <w:sz w:val="14"/>
          <w:szCs w:val="14"/>
          <w:lang w:val="en"/>
        </w:rPr>
        <w:t>The risk of occupational human immunodeficiency virus infection in health care workers: Italian multicenter study.</w:t>
      </w:r>
      <w:proofErr w:type="gramEnd"/>
      <w:r w:rsidRPr="00AC472E">
        <w:rPr>
          <w:rFonts w:ascii="Arial" w:hAnsi="Arial" w:cs="Arial"/>
          <w:sz w:val="14"/>
          <w:szCs w:val="14"/>
          <w:lang w:val="en"/>
        </w:rPr>
        <w:t xml:space="preserve"> </w:t>
      </w:r>
      <w:r w:rsidRPr="00AC472E">
        <w:rPr>
          <w:rFonts w:ascii="Arial" w:hAnsi="Arial" w:cs="Arial"/>
          <w:i/>
          <w:iCs/>
          <w:sz w:val="14"/>
          <w:szCs w:val="14"/>
          <w:lang w:val="en"/>
        </w:rPr>
        <w:t>Arch Intern Med</w:t>
      </w:r>
      <w:r w:rsidRPr="00AC472E">
        <w:rPr>
          <w:rFonts w:ascii="Arial" w:hAnsi="Arial" w:cs="Arial"/>
          <w:sz w:val="14"/>
          <w:szCs w:val="14"/>
          <w:lang w:val="en"/>
        </w:rPr>
        <w:t xml:space="preserve"> 1993</w:t>
      </w:r>
      <w:proofErr w:type="gramStart"/>
      <w:r w:rsidRPr="00AC472E">
        <w:rPr>
          <w:rFonts w:ascii="Arial" w:hAnsi="Arial" w:cs="Arial"/>
          <w:sz w:val="14"/>
          <w:szCs w:val="14"/>
          <w:lang w:val="en"/>
        </w:rPr>
        <w:t>;153</w:t>
      </w:r>
      <w:proofErr w:type="gramEnd"/>
      <w:r w:rsidRPr="00AC472E">
        <w:rPr>
          <w:rFonts w:ascii="Arial" w:hAnsi="Arial" w:cs="Arial"/>
          <w:sz w:val="14"/>
          <w:szCs w:val="14"/>
          <w:lang w:val="en"/>
        </w:rPr>
        <w:t xml:space="preserve">(12):1451–1458. </w:t>
      </w:r>
      <w:hyperlink r:id="rId8" w:history="1">
        <w:r w:rsidRPr="00AC472E">
          <w:rPr>
            <w:rStyle w:val="Hyperlink"/>
            <w:rFonts w:ascii="Arial" w:hAnsi="Arial" w:cs="Arial"/>
            <w:sz w:val="14"/>
            <w:szCs w:val="14"/>
            <w:lang w:val="en"/>
          </w:rPr>
          <w:t>http://www.ncbi.nlm.nih.gov/pubmed/8512436</w:t>
        </w:r>
      </w:hyperlink>
    </w:p>
  </w:endnote>
  <w:endnote w:id="10">
    <w:p w:rsidR="00CD1B8A" w:rsidRPr="00832A89" w:rsidRDefault="00CD1B8A" w:rsidP="00AC472E">
      <w:pPr>
        <w:rPr>
          <w:rFonts w:ascii="Arial" w:hAnsi="Arial" w:cs="Arial"/>
          <w:sz w:val="14"/>
          <w:szCs w:val="14"/>
        </w:rPr>
      </w:pPr>
      <w:r w:rsidRPr="00832A89">
        <w:rPr>
          <w:rStyle w:val="EndnoteReference"/>
          <w:rFonts w:cs="Arial"/>
          <w:sz w:val="14"/>
          <w:szCs w:val="14"/>
        </w:rPr>
        <w:endnoteRef/>
      </w:r>
      <w:r w:rsidRPr="00832A89">
        <w:rPr>
          <w:rFonts w:ascii="Arial" w:hAnsi="Arial" w:cs="Arial"/>
          <w:sz w:val="14"/>
          <w:szCs w:val="14"/>
        </w:rPr>
        <w:t xml:space="preserve"> </w:t>
      </w:r>
      <w:proofErr w:type="gramStart"/>
      <w:r w:rsidRPr="00832A89">
        <w:rPr>
          <w:rFonts w:ascii="Arial" w:hAnsi="Arial" w:cs="Arial"/>
          <w:sz w:val="14"/>
          <w:szCs w:val="14"/>
          <w:lang w:val="en"/>
        </w:rPr>
        <w:t>Centers for Disease Control and Prevention.</w:t>
      </w:r>
      <w:proofErr w:type="gramEnd"/>
      <w:r w:rsidRPr="00832A89">
        <w:rPr>
          <w:rFonts w:ascii="Arial" w:hAnsi="Arial" w:cs="Arial"/>
          <w:sz w:val="14"/>
          <w:szCs w:val="14"/>
          <w:lang w:val="en"/>
        </w:rPr>
        <w:t xml:space="preserve"> </w:t>
      </w:r>
      <w:proofErr w:type="gramStart"/>
      <w:r w:rsidRPr="00832A89">
        <w:rPr>
          <w:rFonts w:ascii="Arial" w:hAnsi="Arial" w:cs="Arial"/>
          <w:sz w:val="14"/>
          <w:szCs w:val="14"/>
          <w:lang w:val="en"/>
        </w:rPr>
        <w:t>Update: provisional Public Health Service recommendations for chemoprophylaxis after occupational exposure to HIV.</w:t>
      </w:r>
      <w:proofErr w:type="gramEnd"/>
      <w:r w:rsidRPr="00832A89">
        <w:rPr>
          <w:rFonts w:ascii="Arial" w:hAnsi="Arial" w:cs="Arial"/>
          <w:sz w:val="14"/>
          <w:szCs w:val="14"/>
          <w:lang w:val="en"/>
        </w:rPr>
        <w:t xml:space="preserve"> </w:t>
      </w:r>
      <w:r w:rsidRPr="00832A89">
        <w:rPr>
          <w:rFonts w:ascii="Arial" w:hAnsi="Arial" w:cs="Arial"/>
          <w:i/>
          <w:iCs/>
          <w:sz w:val="14"/>
          <w:szCs w:val="14"/>
          <w:lang w:val="en"/>
        </w:rPr>
        <w:t>MMWR Morb Mortal Wkly Rep</w:t>
      </w:r>
      <w:r w:rsidRPr="00832A89">
        <w:rPr>
          <w:rFonts w:ascii="Arial" w:hAnsi="Arial" w:cs="Arial"/>
          <w:sz w:val="14"/>
          <w:szCs w:val="14"/>
          <w:lang w:val="en"/>
        </w:rPr>
        <w:t xml:space="preserve"> 1996</w:t>
      </w:r>
      <w:proofErr w:type="gramStart"/>
      <w:r w:rsidRPr="00832A89">
        <w:rPr>
          <w:rFonts w:ascii="Arial" w:hAnsi="Arial" w:cs="Arial"/>
          <w:sz w:val="14"/>
          <w:szCs w:val="14"/>
          <w:lang w:val="en"/>
        </w:rPr>
        <w:t>;45</w:t>
      </w:r>
      <w:proofErr w:type="gramEnd"/>
      <w:r w:rsidRPr="00832A89">
        <w:rPr>
          <w:rFonts w:ascii="Arial" w:hAnsi="Arial" w:cs="Arial"/>
          <w:sz w:val="14"/>
          <w:szCs w:val="14"/>
          <w:lang w:val="en"/>
        </w:rPr>
        <w:t>(22):468–480.</w:t>
      </w:r>
      <w:hyperlink r:id="rId9" w:history="1">
        <w:r w:rsidRPr="00832A89">
          <w:rPr>
            <w:rStyle w:val="Hyperlink"/>
            <w:rFonts w:ascii="Arial" w:hAnsi="Arial" w:cs="Arial"/>
            <w:sz w:val="14"/>
            <w:szCs w:val="14"/>
            <w:lang w:val="en"/>
          </w:rPr>
          <w:t>http://www.ncbi.nlm.nih.gov/pubmed/8622618</w:t>
        </w:r>
      </w:hyperlink>
      <w:r w:rsidRPr="00832A89">
        <w:rPr>
          <w:rFonts w:ascii="Arial" w:hAnsi="Arial" w:cs="Arial"/>
          <w:sz w:val="14"/>
          <w:szCs w:val="14"/>
          <w:lang w:val="en"/>
        </w:rPr>
        <w:t xml:space="preserve"> </w:t>
      </w:r>
    </w:p>
  </w:endnote>
  <w:endnote w:id="11">
    <w:p w:rsidR="00CD1B8A" w:rsidRPr="00832A89" w:rsidRDefault="00CD1B8A" w:rsidP="00AC472E">
      <w:pPr>
        <w:rPr>
          <w:rFonts w:ascii="Arial" w:hAnsi="Arial" w:cs="Arial"/>
          <w:sz w:val="14"/>
          <w:szCs w:val="14"/>
          <w:lang w:val="en"/>
        </w:rPr>
      </w:pPr>
      <w:r w:rsidRPr="00832A89">
        <w:rPr>
          <w:rStyle w:val="EndnoteReference"/>
          <w:rFonts w:cs="Arial"/>
          <w:sz w:val="14"/>
          <w:szCs w:val="14"/>
        </w:rPr>
        <w:endnoteRef/>
      </w:r>
      <w:r w:rsidRPr="00832A89">
        <w:rPr>
          <w:rFonts w:ascii="Arial" w:hAnsi="Arial" w:cs="Arial"/>
          <w:sz w:val="14"/>
          <w:szCs w:val="14"/>
        </w:rPr>
        <w:t xml:space="preserve"> </w:t>
      </w:r>
      <w:proofErr w:type="gramStart"/>
      <w:r w:rsidRPr="00832A89">
        <w:rPr>
          <w:rFonts w:ascii="Arial" w:hAnsi="Arial" w:cs="Arial"/>
          <w:sz w:val="14"/>
          <w:szCs w:val="14"/>
          <w:lang w:val="en"/>
        </w:rPr>
        <w:t xml:space="preserve">Panlilio AL, Cardo DM, </w:t>
      </w:r>
      <w:r w:rsidRPr="00832A89">
        <w:rPr>
          <w:rStyle w:val="SubtleReference"/>
        </w:rPr>
        <w:t>Grohskopf LA, Heneine W, Ross CS</w:t>
      </w:r>
      <w:r w:rsidRPr="00832A89">
        <w:rPr>
          <w:rFonts w:ascii="Arial" w:hAnsi="Arial" w:cs="Arial"/>
          <w:sz w:val="14"/>
          <w:szCs w:val="14"/>
          <w:lang w:val="en"/>
        </w:rPr>
        <w:t>; US Public Health Service.</w:t>
      </w:r>
      <w:proofErr w:type="gramEnd"/>
      <w:r w:rsidRPr="00832A89">
        <w:rPr>
          <w:rFonts w:ascii="Arial" w:hAnsi="Arial" w:cs="Arial"/>
          <w:sz w:val="14"/>
          <w:szCs w:val="14"/>
          <w:lang w:val="en"/>
        </w:rPr>
        <w:t xml:space="preserve"> </w:t>
      </w:r>
      <w:proofErr w:type="gramStart"/>
      <w:r w:rsidRPr="00832A89">
        <w:rPr>
          <w:rFonts w:ascii="Arial" w:hAnsi="Arial" w:cs="Arial"/>
          <w:sz w:val="14"/>
          <w:szCs w:val="14"/>
          <w:lang w:val="en"/>
        </w:rPr>
        <w:t>Updated U.S. Public Health Service guidelines for the management of occupational exposures to HIV and recommendations for postexposure prophylaxis.</w:t>
      </w:r>
      <w:proofErr w:type="gramEnd"/>
      <w:r w:rsidRPr="00832A89">
        <w:rPr>
          <w:rFonts w:ascii="Arial" w:hAnsi="Arial" w:cs="Arial"/>
          <w:sz w:val="14"/>
          <w:szCs w:val="14"/>
          <w:lang w:val="en"/>
        </w:rPr>
        <w:t xml:space="preserve"> </w:t>
      </w:r>
      <w:r w:rsidRPr="00832A89">
        <w:rPr>
          <w:rFonts w:ascii="Arial" w:hAnsi="Arial" w:cs="Arial"/>
          <w:i/>
          <w:iCs/>
          <w:sz w:val="14"/>
          <w:szCs w:val="14"/>
          <w:lang w:val="en"/>
        </w:rPr>
        <w:t>MMWR Recomm Rep</w:t>
      </w:r>
      <w:r w:rsidRPr="00832A89">
        <w:rPr>
          <w:rFonts w:ascii="Arial" w:hAnsi="Arial" w:cs="Arial"/>
          <w:sz w:val="14"/>
          <w:szCs w:val="14"/>
          <w:lang w:val="en"/>
        </w:rPr>
        <w:t xml:space="preserve"> 2005</w:t>
      </w:r>
      <w:proofErr w:type="gramStart"/>
      <w:r w:rsidRPr="00832A89">
        <w:rPr>
          <w:rFonts w:ascii="Arial" w:hAnsi="Arial" w:cs="Arial"/>
          <w:sz w:val="14"/>
          <w:szCs w:val="14"/>
          <w:lang w:val="en"/>
        </w:rPr>
        <w:t>;54</w:t>
      </w:r>
      <w:proofErr w:type="gramEnd"/>
      <w:r w:rsidRPr="00832A89">
        <w:rPr>
          <w:rFonts w:ascii="Arial" w:hAnsi="Arial" w:cs="Arial"/>
          <w:sz w:val="14"/>
          <w:szCs w:val="14"/>
          <w:lang w:val="en"/>
        </w:rPr>
        <w:t>(RR-9):1–17.</w:t>
      </w:r>
      <w:hyperlink r:id="rId10" w:history="1">
        <w:r w:rsidRPr="00832A89">
          <w:rPr>
            <w:rStyle w:val="Hyperlink"/>
            <w:rFonts w:ascii="Arial" w:hAnsi="Arial" w:cs="Arial"/>
            <w:sz w:val="14"/>
            <w:szCs w:val="14"/>
            <w:lang w:val="en"/>
          </w:rPr>
          <w:t>http://www.ncbi.nlm.nih.gov/pubmed/16195697</w:t>
        </w:r>
      </w:hyperlink>
      <w:r w:rsidRPr="00832A89">
        <w:rPr>
          <w:rFonts w:ascii="Arial" w:hAnsi="Arial" w:cs="Arial"/>
          <w:sz w:val="14"/>
          <w:szCs w:val="14"/>
          <w:lang w:val="en"/>
        </w:rPr>
        <w:t xml:space="preserve"> </w:t>
      </w:r>
    </w:p>
  </w:endnote>
  <w:endnote w:id="12">
    <w:p w:rsidR="00CD1B8A" w:rsidRPr="00832A89" w:rsidRDefault="00CD1B8A" w:rsidP="00AC472E">
      <w:pPr>
        <w:rPr>
          <w:rFonts w:ascii="Arial" w:hAnsi="Arial" w:cs="Arial"/>
          <w:sz w:val="14"/>
          <w:szCs w:val="14"/>
        </w:rPr>
      </w:pPr>
      <w:r w:rsidRPr="00832A89">
        <w:rPr>
          <w:rStyle w:val="EndnoteReference"/>
          <w:rFonts w:cs="Arial"/>
          <w:sz w:val="14"/>
          <w:szCs w:val="14"/>
        </w:rPr>
        <w:endnoteRef/>
      </w:r>
      <w:r w:rsidRPr="00832A89">
        <w:rPr>
          <w:rFonts w:ascii="Arial" w:hAnsi="Arial" w:cs="Arial"/>
          <w:sz w:val="14"/>
          <w:szCs w:val="14"/>
        </w:rPr>
        <w:t xml:space="preserve"> In addition, t</w:t>
      </w:r>
      <w:r w:rsidRPr="00832A89">
        <w:rPr>
          <w:rFonts w:ascii="Arial" w:hAnsi="Arial" w:cs="Arial"/>
          <w:bCs/>
          <w:sz w:val="14"/>
          <w:szCs w:val="14"/>
        </w:rPr>
        <w:t xml:space="preserve">he OSHA Bloodborne Pathogens Standard (29 CFR 1910.1030) requires that post-exposure evaluation and follow up be provided “according to the recommendations of the U.S. Public Health Service current at the time these evaluations and procedures take place” </w:t>
      </w:r>
      <w:hyperlink r:id="rId11" w:history="1">
        <w:r w:rsidRPr="00832A89">
          <w:rPr>
            <w:rStyle w:val="Hyperlink"/>
            <w:rFonts w:ascii="Arial" w:hAnsi="Arial" w:cs="Arial"/>
            <w:bCs/>
            <w:sz w:val="14"/>
            <w:szCs w:val="14"/>
          </w:rPr>
          <w:t>https://www.osha.gov/pls/oshaweb/</w:t>
        </w:r>
      </w:hyperlink>
    </w:p>
  </w:endnote>
  <w:endnote w:id="13">
    <w:p w:rsidR="00CD1B8A" w:rsidRPr="00832A89" w:rsidRDefault="00CD1B8A" w:rsidP="00AC472E">
      <w:pPr>
        <w:rPr>
          <w:rFonts w:ascii="Arial" w:hAnsi="Arial" w:cs="Arial"/>
          <w:sz w:val="14"/>
          <w:szCs w:val="14"/>
        </w:rPr>
      </w:pPr>
      <w:r w:rsidRPr="00832A89">
        <w:rPr>
          <w:rStyle w:val="EndnoteReference"/>
          <w:rFonts w:cs="Arial"/>
          <w:sz w:val="14"/>
          <w:szCs w:val="14"/>
        </w:rPr>
        <w:endnoteRef/>
      </w:r>
      <w:r w:rsidRPr="00832A89">
        <w:rPr>
          <w:rFonts w:ascii="Arial" w:hAnsi="Arial" w:cs="Arial"/>
          <w:sz w:val="14"/>
          <w:szCs w:val="14"/>
        </w:rPr>
        <w:t xml:space="preserve"> </w:t>
      </w:r>
      <w:proofErr w:type="gramStart"/>
      <w:r w:rsidRPr="00832A89">
        <w:rPr>
          <w:rFonts w:ascii="Arial" w:hAnsi="Arial" w:cs="Arial"/>
          <w:sz w:val="14"/>
          <w:szCs w:val="14"/>
          <w:lang w:val="en"/>
        </w:rPr>
        <w:t>Chavez P, Wesolowski L, Patel P, Delaney K, Owen SM. Evaluation of the performance of the Abbott ARCHITECT HIV Ag/Ab combo assay.</w:t>
      </w:r>
      <w:proofErr w:type="gramEnd"/>
      <w:r w:rsidRPr="00832A89">
        <w:rPr>
          <w:rFonts w:ascii="Arial" w:hAnsi="Arial" w:cs="Arial"/>
          <w:sz w:val="14"/>
          <w:szCs w:val="14"/>
          <w:lang w:val="en"/>
        </w:rPr>
        <w:t xml:space="preserve"> </w:t>
      </w:r>
      <w:r w:rsidRPr="00832A89">
        <w:rPr>
          <w:rFonts w:ascii="Arial" w:hAnsi="Arial" w:cs="Arial"/>
          <w:i/>
          <w:iCs/>
          <w:sz w:val="14"/>
          <w:szCs w:val="14"/>
          <w:lang w:val="en"/>
        </w:rPr>
        <w:t>J Clin Virol</w:t>
      </w:r>
      <w:r w:rsidRPr="00832A89">
        <w:rPr>
          <w:rFonts w:ascii="Arial" w:hAnsi="Arial" w:cs="Arial"/>
          <w:sz w:val="14"/>
          <w:szCs w:val="14"/>
          <w:lang w:val="en"/>
        </w:rPr>
        <w:t xml:space="preserve"> 2011</w:t>
      </w:r>
      <w:proofErr w:type="gramStart"/>
      <w:r w:rsidRPr="00832A89">
        <w:rPr>
          <w:rFonts w:ascii="Arial" w:hAnsi="Arial" w:cs="Arial"/>
          <w:sz w:val="14"/>
          <w:szCs w:val="14"/>
          <w:lang w:val="en"/>
        </w:rPr>
        <w:t>;52</w:t>
      </w:r>
      <w:proofErr w:type="gramEnd"/>
      <w:r w:rsidRPr="00832A89">
        <w:rPr>
          <w:rFonts w:ascii="Arial" w:hAnsi="Arial" w:cs="Arial"/>
          <w:sz w:val="14"/>
          <w:szCs w:val="14"/>
          <w:lang w:val="en"/>
        </w:rPr>
        <w:t>(suppl 1):S51–S55.</w:t>
      </w:r>
      <w:hyperlink r:id="rId12" w:history="1">
        <w:r w:rsidRPr="00832A89">
          <w:rPr>
            <w:rStyle w:val="Hyperlink"/>
            <w:rFonts w:ascii="Arial" w:hAnsi="Arial" w:cs="Arial"/>
            <w:sz w:val="14"/>
            <w:szCs w:val="14"/>
            <w:lang w:val="en"/>
          </w:rPr>
          <w:t>http://www.ncbi.nlm.nih.gov/pubmed/21983253</w:t>
        </w:r>
      </w:hyperlink>
    </w:p>
  </w:endnote>
  <w:endnote w:id="14">
    <w:p w:rsidR="00CD1B8A" w:rsidRPr="00832A89" w:rsidRDefault="00CD1B8A" w:rsidP="00AC472E">
      <w:pPr>
        <w:rPr>
          <w:rFonts w:ascii="Arial" w:hAnsi="Arial" w:cs="Arial"/>
          <w:sz w:val="14"/>
          <w:szCs w:val="14"/>
        </w:rPr>
      </w:pPr>
      <w:r w:rsidRPr="00832A89">
        <w:rPr>
          <w:rStyle w:val="EndnoteReference"/>
          <w:rFonts w:cs="Arial"/>
          <w:sz w:val="14"/>
          <w:szCs w:val="14"/>
        </w:rPr>
        <w:endnoteRef/>
      </w:r>
      <w:r w:rsidRPr="00832A89">
        <w:rPr>
          <w:rFonts w:ascii="Arial" w:hAnsi="Arial" w:cs="Arial"/>
          <w:sz w:val="14"/>
          <w:szCs w:val="14"/>
        </w:rPr>
        <w:t xml:space="preserve"> </w:t>
      </w:r>
      <w:r w:rsidRPr="00832A89">
        <w:rPr>
          <w:rFonts w:ascii="Arial" w:hAnsi="Arial" w:cs="Arial"/>
          <w:sz w:val="14"/>
          <w:szCs w:val="14"/>
          <w:lang w:val="en"/>
        </w:rPr>
        <w:t xml:space="preserve">Kuhar, David T. et </w:t>
      </w:r>
      <w:r w:rsidRPr="00832A89">
        <w:rPr>
          <w:rFonts w:ascii="Arial" w:hAnsi="Arial" w:cs="Arial"/>
          <w:sz w:val="14"/>
          <w:szCs w:val="14"/>
        </w:rPr>
        <w:t>al Updated US Public Health Service Guidelines for the Management of Occupational Exposures to Human Immunodeficiency</w:t>
      </w:r>
      <w:r w:rsidRPr="00832A89">
        <w:rPr>
          <w:rFonts w:ascii="Arial" w:hAnsi="Arial" w:cs="Arial"/>
          <w:sz w:val="14"/>
          <w:szCs w:val="14"/>
          <w:lang w:val="en"/>
        </w:rPr>
        <w:t xml:space="preserve"> Virus and Recommendations for Postexposure Prophylaxis, </w:t>
      </w:r>
      <w:r w:rsidRPr="00832A89">
        <w:rPr>
          <w:rFonts w:ascii="Arial" w:hAnsi="Arial" w:cs="Arial"/>
          <w:i/>
          <w:iCs/>
          <w:sz w:val="14"/>
          <w:szCs w:val="14"/>
          <w:lang w:val="en"/>
        </w:rPr>
        <w:t>Infection Control and Hospital Epidemiology</w:t>
      </w:r>
      <w:r w:rsidRPr="00832A89">
        <w:rPr>
          <w:rFonts w:ascii="Arial" w:hAnsi="Arial" w:cs="Arial"/>
          <w:sz w:val="14"/>
          <w:szCs w:val="14"/>
          <w:lang w:val="en"/>
        </w:rPr>
        <w:t xml:space="preserve"> </w:t>
      </w:r>
      <w:hyperlink r:id="rId13" w:tooltip="Infection Control and Hospital Epidemiology, Vol. 34, No. 9, September 2013" w:history="1">
        <w:r w:rsidRPr="00832A89">
          <w:rPr>
            <w:rStyle w:val="Hyperlink"/>
            <w:rFonts w:ascii="Arial" w:hAnsi="Arial" w:cs="Arial"/>
            <w:color w:val="060FBA"/>
            <w:sz w:val="14"/>
            <w:szCs w:val="14"/>
            <w:lang w:val="en"/>
          </w:rPr>
          <w:t>Vol. 34, No. 9, September 2013</w:t>
        </w:r>
      </w:hyperlink>
      <w:r w:rsidRPr="00832A89">
        <w:rPr>
          <w:rFonts w:ascii="Arial" w:hAnsi="Arial" w:cs="Arial"/>
          <w:sz w:val="14"/>
          <w:szCs w:val="14"/>
          <w:lang w:val="en"/>
        </w:rPr>
        <w:t xml:space="preserve"> (pp. 875-892)</w:t>
      </w:r>
    </w:p>
  </w:endnote>
  <w:endnote w:id="15">
    <w:p w:rsidR="00CD1B8A" w:rsidRPr="00832A89" w:rsidRDefault="00CD1B8A" w:rsidP="00AC472E">
      <w:pPr>
        <w:rPr>
          <w:rFonts w:ascii="Arial" w:hAnsi="Arial" w:cs="Arial"/>
          <w:sz w:val="14"/>
          <w:szCs w:val="14"/>
        </w:rPr>
      </w:pPr>
      <w:r w:rsidRPr="00832A89">
        <w:rPr>
          <w:rStyle w:val="EndnoteReference"/>
          <w:rFonts w:cs="Arial"/>
          <w:sz w:val="14"/>
          <w:szCs w:val="14"/>
        </w:rPr>
        <w:endnoteRef/>
      </w:r>
      <w:r w:rsidRPr="00832A89">
        <w:rPr>
          <w:rFonts w:ascii="Arial" w:hAnsi="Arial" w:cs="Arial"/>
          <w:sz w:val="14"/>
          <w:szCs w:val="14"/>
        </w:rPr>
        <w:t xml:space="preserve"> </w:t>
      </w:r>
      <w:hyperlink r:id="rId14" w:history="1">
        <w:r w:rsidRPr="00832A89">
          <w:rPr>
            <w:rStyle w:val="Hyperlink"/>
            <w:rFonts w:ascii="Arial" w:hAnsi="Arial" w:cs="Arial"/>
            <w:sz w:val="14"/>
            <w:szCs w:val="14"/>
          </w:rPr>
          <w:t>https://malegislature.gov/Laws/GeneralLaws/PartI/TitleXVI/Chapter111/Section70F</w:t>
        </w:r>
      </w:hyperlink>
      <w:r w:rsidRPr="00832A89">
        <w:rPr>
          <w:rFonts w:ascii="Arial" w:hAnsi="Arial" w:cs="Arial"/>
          <w:sz w:val="14"/>
          <w:szCs w:val="14"/>
        </w:rPr>
        <w:t xml:space="preserve">. </w:t>
      </w:r>
    </w:p>
  </w:endnote>
  <w:endnote w:id="16">
    <w:p w:rsidR="00CD1B8A" w:rsidRPr="00832A89" w:rsidRDefault="00CD1B8A" w:rsidP="00AC472E">
      <w:pPr>
        <w:rPr>
          <w:rFonts w:ascii="Arial" w:hAnsi="Arial" w:cs="Arial"/>
          <w:sz w:val="14"/>
          <w:szCs w:val="14"/>
        </w:rPr>
      </w:pPr>
      <w:r w:rsidRPr="00832A89">
        <w:rPr>
          <w:rStyle w:val="EndnoteReference"/>
          <w:rFonts w:cs="Arial"/>
          <w:sz w:val="14"/>
          <w:szCs w:val="14"/>
        </w:rPr>
        <w:endnoteRef/>
      </w:r>
      <w:r w:rsidRPr="00832A89">
        <w:rPr>
          <w:rFonts w:ascii="Arial" w:hAnsi="Arial" w:cs="Arial"/>
          <w:sz w:val="14"/>
          <w:szCs w:val="14"/>
        </w:rPr>
        <w:t xml:space="preserve"> </w:t>
      </w:r>
      <w:hyperlink r:id="rId15" w:history="1">
        <w:r w:rsidRPr="00832A89">
          <w:rPr>
            <w:rStyle w:val="Hyperlink"/>
            <w:rFonts w:ascii="Arial" w:hAnsi="Arial" w:cs="Arial"/>
            <w:sz w:val="14"/>
            <w:szCs w:val="14"/>
          </w:rPr>
          <w:t>http://www.mass.gov/eohhs/docs/dph/aids/routine-hiv-screening-clinical-advisory.pdf</w:t>
        </w:r>
      </w:hyperlink>
    </w:p>
  </w:endnote>
  <w:endnote w:id="17">
    <w:p w:rsidR="00CD1B8A" w:rsidRPr="00DE5056" w:rsidRDefault="00CD1B8A" w:rsidP="00AC472E">
      <w:pPr>
        <w:rPr>
          <w:rFonts w:ascii="Arial" w:hAnsi="Arial" w:cs="Arial"/>
          <w:sz w:val="14"/>
          <w:szCs w:val="14"/>
        </w:rPr>
      </w:pPr>
      <w:r w:rsidRPr="00832A89">
        <w:rPr>
          <w:rStyle w:val="EndnoteReference"/>
          <w:rFonts w:cs="Arial"/>
          <w:sz w:val="14"/>
          <w:szCs w:val="14"/>
        </w:rPr>
        <w:endnoteRef/>
      </w:r>
      <w:r w:rsidRPr="00832A89">
        <w:rPr>
          <w:rFonts w:ascii="Arial" w:hAnsi="Arial" w:cs="Arial"/>
          <w:sz w:val="14"/>
          <w:szCs w:val="14"/>
        </w:rPr>
        <w:t xml:space="preserve"> “Incapacitated person”, an individual who for reasons other than advanced age or minority, has a clinically diagnosed condition that results in an inability to receive and evaluate information or make or communicate decisions to such an extent that the individual lacks the ability to meet essential requirements for physical health, safety, or self-care, even with appropriate technological assistance. </w:t>
      </w:r>
      <w:hyperlink r:id="rId16" w:history="1">
        <w:r w:rsidRPr="00832A89">
          <w:rPr>
            <w:rStyle w:val="Hyperlink"/>
            <w:rFonts w:ascii="Arial" w:hAnsi="Arial" w:cs="Arial"/>
            <w:sz w:val="14"/>
            <w:szCs w:val="14"/>
          </w:rPr>
          <w:t>https://malegislature.gov/Laws/GeneralLaws/PartII/TitleII/Chapter190B/ArticleV/Section5-308</w:t>
        </w:r>
      </w:hyperlink>
    </w:p>
  </w:endnote>
  <w:endnote w:id="18">
    <w:p w:rsidR="00CD1B8A" w:rsidRPr="00832A89" w:rsidRDefault="00CD1B8A" w:rsidP="00F61618">
      <w:pPr>
        <w:pStyle w:val="EndnoteText"/>
        <w:rPr>
          <w:rFonts w:ascii="Arial" w:hAnsi="Arial" w:cs="Arial"/>
          <w:sz w:val="14"/>
          <w:szCs w:val="14"/>
        </w:rPr>
      </w:pPr>
      <w:r w:rsidRPr="00832A89">
        <w:rPr>
          <w:rStyle w:val="EndnoteReference"/>
          <w:rFonts w:cs="Arial"/>
          <w:sz w:val="14"/>
          <w:szCs w:val="14"/>
        </w:rPr>
        <w:endnoteRef/>
      </w:r>
      <w:r w:rsidRPr="00832A89">
        <w:rPr>
          <w:rFonts w:ascii="Arial" w:hAnsi="Arial" w:cs="Arial"/>
          <w:sz w:val="14"/>
          <w:szCs w:val="14"/>
        </w:rPr>
        <w:t xml:space="preserve"> See MGL c.190B, 5-101 (8) and c. 201D </w:t>
      </w:r>
      <w:hyperlink r:id="rId17" w:history="1">
        <w:r w:rsidRPr="00832A89">
          <w:rPr>
            <w:rStyle w:val="Hyperlink"/>
            <w:rFonts w:ascii="Arial" w:hAnsi="Arial" w:cs="Arial"/>
            <w:sz w:val="14"/>
            <w:szCs w:val="14"/>
          </w:rPr>
          <w:t>GeneralLaws/PartII/TitleII/Chapter190B/ArticleV/Section5-101</w:t>
        </w:r>
      </w:hyperlink>
      <w:r w:rsidRPr="00832A89">
        <w:rPr>
          <w:rFonts w:ascii="Arial" w:hAnsi="Arial" w:cs="Arial"/>
          <w:sz w:val="14"/>
          <w:szCs w:val="14"/>
        </w:rPr>
        <w:t xml:space="preserve">, </w:t>
      </w:r>
      <w:hyperlink r:id="rId18" w:history="1">
        <w:r w:rsidRPr="00832A89">
          <w:rPr>
            <w:rStyle w:val="Hyperlink"/>
            <w:rFonts w:ascii="Arial" w:hAnsi="Arial" w:cs="Arial"/>
            <w:sz w:val="14"/>
            <w:szCs w:val="14"/>
          </w:rPr>
          <w:t>GeneralLaws/PartII/TitleII/Chapter201D</w:t>
        </w:r>
      </w:hyperlink>
      <w:r w:rsidRPr="00832A89">
        <w:rPr>
          <w:rFonts w:ascii="Arial" w:hAnsi="Arial" w:cs="Arial"/>
          <w:sz w:val="14"/>
          <w:szCs w:val="14"/>
        </w:rPr>
        <w:t xml:space="preserve"> </w:t>
      </w:r>
    </w:p>
  </w:endnote>
  <w:endnote w:id="19">
    <w:p w:rsidR="00CD1B8A" w:rsidRPr="00DE5056" w:rsidRDefault="00CD1B8A" w:rsidP="00F61618">
      <w:pPr>
        <w:pStyle w:val="EndnoteText"/>
        <w:rPr>
          <w:rFonts w:ascii="Arial" w:hAnsi="Arial" w:cs="Arial"/>
          <w:sz w:val="14"/>
          <w:szCs w:val="14"/>
        </w:rPr>
      </w:pPr>
      <w:r w:rsidRPr="00832A89">
        <w:rPr>
          <w:rStyle w:val="EndnoteReference"/>
          <w:rFonts w:cs="Arial"/>
          <w:sz w:val="14"/>
          <w:szCs w:val="14"/>
        </w:rPr>
        <w:endnoteRef/>
      </w:r>
      <w:r w:rsidRPr="00832A89">
        <w:rPr>
          <w:rFonts w:ascii="Arial" w:hAnsi="Arial" w:cs="Arial"/>
          <w:sz w:val="14"/>
          <w:szCs w:val="14"/>
        </w:rPr>
        <w:t xml:space="preserve"> See M.G.L. c.190B, § 5-101 (6) and § 5-308 </w:t>
      </w:r>
      <w:hyperlink r:id="rId19" w:history="1">
        <w:r w:rsidRPr="00832A89">
          <w:rPr>
            <w:rStyle w:val="Hyperlink"/>
            <w:rFonts w:ascii="Arial" w:hAnsi="Arial" w:cs="Arial"/>
            <w:sz w:val="14"/>
            <w:szCs w:val="14"/>
          </w:rPr>
          <w:t>M.G.L. c.190B, § 5-101 (6) and § 5-308</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Rounded MT Bold">
    <w:altName w:val="Nyal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A1" w:rsidRDefault="00BD1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1A" w:rsidRPr="0025381A" w:rsidRDefault="0025381A">
    <w:pPr>
      <w:pStyle w:val="Footer"/>
      <w:jc w:val="right"/>
      <w:rPr>
        <w:rFonts w:ascii="Arial" w:hAnsi="Arial" w:cs="Arial"/>
        <w:sz w:val="16"/>
        <w:szCs w:val="16"/>
      </w:rPr>
    </w:pPr>
    <w:r w:rsidRPr="0025381A">
      <w:rPr>
        <w:rFonts w:ascii="Arial" w:hAnsi="Arial" w:cs="Arial"/>
        <w:sz w:val="16"/>
        <w:szCs w:val="16"/>
      </w:rPr>
      <w:fldChar w:fldCharType="begin"/>
    </w:r>
    <w:r w:rsidRPr="0025381A">
      <w:rPr>
        <w:rFonts w:ascii="Arial" w:hAnsi="Arial" w:cs="Arial"/>
        <w:sz w:val="16"/>
        <w:szCs w:val="16"/>
      </w:rPr>
      <w:instrText xml:space="preserve"> PAGE   \* MERGEFORMAT </w:instrText>
    </w:r>
    <w:r w:rsidRPr="0025381A">
      <w:rPr>
        <w:rFonts w:ascii="Arial" w:hAnsi="Arial" w:cs="Arial"/>
        <w:sz w:val="16"/>
        <w:szCs w:val="16"/>
      </w:rPr>
      <w:fldChar w:fldCharType="separate"/>
    </w:r>
    <w:r w:rsidR="000E32BA">
      <w:rPr>
        <w:rFonts w:ascii="Arial" w:hAnsi="Arial" w:cs="Arial"/>
        <w:noProof/>
        <w:sz w:val="16"/>
        <w:szCs w:val="16"/>
      </w:rPr>
      <w:t>1</w:t>
    </w:r>
    <w:r w:rsidRPr="0025381A">
      <w:rPr>
        <w:rFonts w:ascii="Arial" w:hAnsi="Arial" w:cs="Arial"/>
        <w:noProof/>
        <w:sz w:val="16"/>
        <w:szCs w:val="16"/>
      </w:rPr>
      <w:fldChar w:fldCharType="end"/>
    </w:r>
  </w:p>
  <w:p w:rsidR="0025381A" w:rsidRDefault="00253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A1" w:rsidRDefault="00BD1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FE1" w:rsidRDefault="00005FE1" w:rsidP="00DF0616">
      <w:r>
        <w:separator/>
      </w:r>
    </w:p>
  </w:footnote>
  <w:footnote w:type="continuationSeparator" w:id="0">
    <w:p w:rsidR="00005FE1" w:rsidRDefault="00005FE1" w:rsidP="00DF0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A1" w:rsidRDefault="00BD11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A1" w:rsidRDefault="00BD11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A1" w:rsidRDefault="00BD11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42D59"/>
    <w:multiLevelType w:val="hybridMultilevel"/>
    <w:tmpl w:val="E154F716"/>
    <w:lvl w:ilvl="0" w:tplc="8B800FEA">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A32D76"/>
    <w:multiLevelType w:val="hybridMultilevel"/>
    <w:tmpl w:val="F72009E4"/>
    <w:lvl w:ilvl="0" w:tplc="DD303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5FE1"/>
    <w:rsid w:val="00033154"/>
    <w:rsid w:val="00042048"/>
    <w:rsid w:val="000537DA"/>
    <w:rsid w:val="000B7427"/>
    <w:rsid w:val="000E32BA"/>
    <w:rsid w:val="000F315B"/>
    <w:rsid w:val="0015268B"/>
    <w:rsid w:val="00153976"/>
    <w:rsid w:val="0017798D"/>
    <w:rsid w:val="00177C77"/>
    <w:rsid w:val="00193DD2"/>
    <w:rsid w:val="001A69B6"/>
    <w:rsid w:val="0025381A"/>
    <w:rsid w:val="00276957"/>
    <w:rsid w:val="00276DCC"/>
    <w:rsid w:val="002D15BA"/>
    <w:rsid w:val="00385812"/>
    <w:rsid w:val="00392D0B"/>
    <w:rsid w:val="003A58CE"/>
    <w:rsid w:val="003A7AFC"/>
    <w:rsid w:val="003C60EF"/>
    <w:rsid w:val="003C79A2"/>
    <w:rsid w:val="004813AC"/>
    <w:rsid w:val="004B37A0"/>
    <w:rsid w:val="004D1369"/>
    <w:rsid w:val="004D6B39"/>
    <w:rsid w:val="00502CB4"/>
    <w:rsid w:val="00505E75"/>
    <w:rsid w:val="005148CA"/>
    <w:rsid w:val="005448AA"/>
    <w:rsid w:val="005538C7"/>
    <w:rsid w:val="005626F8"/>
    <w:rsid w:val="0059144A"/>
    <w:rsid w:val="00646CFD"/>
    <w:rsid w:val="006549D5"/>
    <w:rsid w:val="006D06D9"/>
    <w:rsid w:val="006D77A6"/>
    <w:rsid w:val="00702109"/>
    <w:rsid w:val="0071134D"/>
    <w:rsid w:val="0072610D"/>
    <w:rsid w:val="007B3F4B"/>
    <w:rsid w:val="007B7347"/>
    <w:rsid w:val="007D10F3"/>
    <w:rsid w:val="007E0A47"/>
    <w:rsid w:val="008124FB"/>
    <w:rsid w:val="00816940"/>
    <w:rsid w:val="00825B66"/>
    <w:rsid w:val="0084296E"/>
    <w:rsid w:val="00930CE9"/>
    <w:rsid w:val="009908FF"/>
    <w:rsid w:val="00995505"/>
    <w:rsid w:val="00A01BAB"/>
    <w:rsid w:val="00A65101"/>
    <w:rsid w:val="00AC472E"/>
    <w:rsid w:val="00B270E0"/>
    <w:rsid w:val="00B403BF"/>
    <w:rsid w:val="00B608D9"/>
    <w:rsid w:val="00B86A4E"/>
    <w:rsid w:val="00BA4055"/>
    <w:rsid w:val="00BA7FB6"/>
    <w:rsid w:val="00BD11A1"/>
    <w:rsid w:val="00BD1406"/>
    <w:rsid w:val="00C14A0A"/>
    <w:rsid w:val="00C20BFE"/>
    <w:rsid w:val="00C32AE2"/>
    <w:rsid w:val="00C5404C"/>
    <w:rsid w:val="00CC1778"/>
    <w:rsid w:val="00CD1B8A"/>
    <w:rsid w:val="00CE575B"/>
    <w:rsid w:val="00CF3DE8"/>
    <w:rsid w:val="00D00436"/>
    <w:rsid w:val="00D0493F"/>
    <w:rsid w:val="00D56F91"/>
    <w:rsid w:val="00D739A7"/>
    <w:rsid w:val="00D8671C"/>
    <w:rsid w:val="00DA57C3"/>
    <w:rsid w:val="00DB50A2"/>
    <w:rsid w:val="00DC3855"/>
    <w:rsid w:val="00DF0616"/>
    <w:rsid w:val="00DF5B96"/>
    <w:rsid w:val="00E173BE"/>
    <w:rsid w:val="00E242A8"/>
    <w:rsid w:val="00E274B8"/>
    <w:rsid w:val="00E72707"/>
    <w:rsid w:val="00EA5B04"/>
    <w:rsid w:val="00EE4914"/>
    <w:rsid w:val="00F0586E"/>
    <w:rsid w:val="00F43932"/>
    <w:rsid w:val="00F61618"/>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04C"/>
    <w:rPr>
      <w:sz w:val="24"/>
    </w:rPr>
  </w:style>
  <w:style w:type="paragraph" w:styleId="Heading1">
    <w:name w:val="heading 1"/>
    <w:basedOn w:val="Normal"/>
    <w:next w:val="Normal"/>
    <w:link w:val="Heading1Char"/>
    <w:qFormat/>
    <w:rsid w:val="00C5404C"/>
    <w:pPr>
      <w:spacing w:before="360" w:after="120"/>
      <w:outlineLvl w:val="0"/>
    </w:pPr>
    <w:rPr>
      <w:rFonts w:ascii="Arial" w:hAnsi="Arial" w:cs="Arial"/>
      <w:b/>
      <w:bCs/>
      <w:sz w:val="20"/>
    </w:rPr>
  </w:style>
  <w:style w:type="paragraph" w:styleId="Heading2">
    <w:name w:val="heading 2"/>
    <w:basedOn w:val="ListParagraph"/>
    <w:next w:val="Normal"/>
    <w:link w:val="Heading2Char"/>
    <w:semiHidden/>
    <w:unhideWhenUsed/>
    <w:qFormat/>
    <w:rsid w:val="00C5404C"/>
    <w:pPr>
      <w:numPr>
        <w:numId w:val="3"/>
      </w:numPr>
      <w:spacing w:before="360" w:after="120"/>
      <w:outlineLvl w:val="1"/>
    </w:pPr>
    <w:rPr>
      <w:rFonts w:ascii="Arial" w:eastAsia="MS Mincho" w:hAnsi="Arial" w:cs="Arial"/>
      <w:sz w:val="20"/>
      <w:u w:val="single"/>
      <w:lang w:eastAsia="ja-JP"/>
    </w:rPr>
  </w:style>
  <w:style w:type="paragraph" w:styleId="Heading3">
    <w:name w:val="heading 3"/>
    <w:basedOn w:val="Normal"/>
    <w:next w:val="Normal"/>
    <w:link w:val="Heading3Char"/>
    <w:semiHidden/>
    <w:unhideWhenUsed/>
    <w:qFormat/>
    <w:rsid w:val="00C540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rsid w:val="00DF0616"/>
    <w:rPr>
      <w:sz w:val="16"/>
      <w:szCs w:val="16"/>
    </w:rPr>
  </w:style>
  <w:style w:type="paragraph" w:styleId="CommentText">
    <w:name w:val="annotation text"/>
    <w:basedOn w:val="Normal"/>
    <w:link w:val="CommentTextChar"/>
    <w:rsid w:val="00DF0616"/>
    <w:rPr>
      <w:sz w:val="20"/>
    </w:rPr>
  </w:style>
  <w:style w:type="character" w:customStyle="1" w:styleId="CommentTextChar">
    <w:name w:val="Comment Text Char"/>
    <w:basedOn w:val="DefaultParagraphFont"/>
    <w:link w:val="CommentText"/>
    <w:rsid w:val="00DF0616"/>
  </w:style>
  <w:style w:type="paragraph" w:styleId="FootnoteText">
    <w:name w:val="footnote text"/>
    <w:basedOn w:val="Normal"/>
    <w:link w:val="FootnoteTextChar"/>
    <w:rsid w:val="00DF0616"/>
    <w:rPr>
      <w:sz w:val="20"/>
    </w:rPr>
  </w:style>
  <w:style w:type="character" w:customStyle="1" w:styleId="FootnoteTextChar">
    <w:name w:val="Footnote Text Char"/>
    <w:basedOn w:val="DefaultParagraphFont"/>
    <w:link w:val="FootnoteText"/>
    <w:rsid w:val="00DF0616"/>
  </w:style>
  <w:style w:type="character" w:styleId="FootnoteReference">
    <w:name w:val="footnote reference"/>
    <w:basedOn w:val="DefaultParagraphFont"/>
    <w:qFormat/>
    <w:rsid w:val="00C5404C"/>
    <w:rPr>
      <w:rFonts w:ascii="Arial" w:hAnsi="Arial"/>
      <w:sz w:val="18"/>
      <w:vertAlign w:val="superscript"/>
    </w:rPr>
  </w:style>
  <w:style w:type="character" w:customStyle="1" w:styleId="apple-converted-space">
    <w:name w:val="apple-converted-space"/>
    <w:rsid w:val="001A69B6"/>
  </w:style>
  <w:style w:type="character" w:customStyle="1" w:styleId="Strong1">
    <w:name w:val="Strong1"/>
    <w:rsid w:val="001A69B6"/>
  </w:style>
  <w:style w:type="character" w:customStyle="1" w:styleId="Heading1Char">
    <w:name w:val="Heading 1 Char"/>
    <w:basedOn w:val="DefaultParagraphFont"/>
    <w:link w:val="Heading1"/>
    <w:rsid w:val="00C5404C"/>
    <w:rPr>
      <w:rFonts w:ascii="Arial" w:hAnsi="Arial" w:cs="Arial"/>
      <w:b/>
      <w:bCs/>
    </w:rPr>
  </w:style>
  <w:style w:type="character" w:styleId="SubtleReference">
    <w:name w:val="Subtle Reference"/>
    <w:aliases w:val="References"/>
    <w:uiPriority w:val="31"/>
    <w:qFormat/>
    <w:rsid w:val="00C5404C"/>
    <w:rPr>
      <w:rFonts w:ascii="Arial" w:hAnsi="Arial" w:cs="Arial"/>
      <w:sz w:val="14"/>
      <w:szCs w:val="14"/>
      <w:lang w:val="en"/>
    </w:rPr>
  </w:style>
  <w:style w:type="character" w:customStyle="1" w:styleId="Heading2Char">
    <w:name w:val="Heading 2 Char"/>
    <w:link w:val="Heading2"/>
    <w:semiHidden/>
    <w:rsid w:val="00C5404C"/>
    <w:rPr>
      <w:rFonts w:ascii="Arial" w:eastAsia="MS Mincho" w:hAnsi="Arial" w:cs="Arial"/>
      <w:u w:val="single"/>
      <w:lang w:eastAsia="ja-JP"/>
    </w:rPr>
  </w:style>
  <w:style w:type="paragraph" w:styleId="Header">
    <w:name w:val="header"/>
    <w:basedOn w:val="Normal"/>
    <w:link w:val="HeaderChar"/>
    <w:rsid w:val="0025381A"/>
    <w:pPr>
      <w:tabs>
        <w:tab w:val="center" w:pos="4680"/>
        <w:tab w:val="right" w:pos="9360"/>
      </w:tabs>
    </w:pPr>
  </w:style>
  <w:style w:type="character" w:customStyle="1" w:styleId="HeaderChar">
    <w:name w:val="Header Char"/>
    <w:link w:val="Header"/>
    <w:rsid w:val="0025381A"/>
    <w:rPr>
      <w:sz w:val="24"/>
    </w:rPr>
  </w:style>
  <w:style w:type="paragraph" w:styleId="Footer">
    <w:name w:val="footer"/>
    <w:basedOn w:val="Normal"/>
    <w:link w:val="FooterChar"/>
    <w:uiPriority w:val="99"/>
    <w:rsid w:val="0025381A"/>
    <w:pPr>
      <w:tabs>
        <w:tab w:val="center" w:pos="4680"/>
        <w:tab w:val="right" w:pos="9360"/>
      </w:tabs>
    </w:pPr>
  </w:style>
  <w:style w:type="character" w:customStyle="1" w:styleId="FooterChar">
    <w:name w:val="Footer Char"/>
    <w:link w:val="Footer"/>
    <w:uiPriority w:val="99"/>
    <w:rsid w:val="0025381A"/>
    <w:rPr>
      <w:sz w:val="24"/>
    </w:rPr>
  </w:style>
  <w:style w:type="paragraph" w:styleId="CommentSubject">
    <w:name w:val="annotation subject"/>
    <w:basedOn w:val="CommentText"/>
    <w:next w:val="CommentText"/>
    <w:link w:val="CommentSubjectChar"/>
    <w:rsid w:val="007E0A47"/>
    <w:rPr>
      <w:b/>
      <w:bCs/>
    </w:rPr>
  </w:style>
  <w:style w:type="character" w:customStyle="1" w:styleId="CommentSubjectChar">
    <w:name w:val="Comment Subject Char"/>
    <w:basedOn w:val="CommentTextChar"/>
    <w:link w:val="CommentSubject"/>
    <w:rsid w:val="007E0A47"/>
    <w:rPr>
      <w:b/>
      <w:bCs/>
    </w:rPr>
  </w:style>
  <w:style w:type="paragraph" w:customStyle="1" w:styleId="Body1">
    <w:name w:val="Body1"/>
    <w:basedOn w:val="Normal"/>
    <w:link w:val="Body1Char"/>
    <w:qFormat/>
    <w:rsid w:val="00C5404C"/>
    <w:pPr>
      <w:tabs>
        <w:tab w:val="left" w:pos="1800"/>
      </w:tabs>
    </w:pPr>
    <w:rPr>
      <w:rFonts w:ascii="Arial" w:hAnsi="Arial" w:cs="Arial"/>
      <w:sz w:val="20"/>
    </w:rPr>
  </w:style>
  <w:style w:type="character" w:customStyle="1" w:styleId="Body1Char">
    <w:name w:val="Body1 Char"/>
    <w:basedOn w:val="DefaultParagraphFont"/>
    <w:link w:val="Body1"/>
    <w:rsid w:val="00C5404C"/>
    <w:rPr>
      <w:rFonts w:ascii="Arial" w:hAnsi="Arial" w:cs="Arial"/>
    </w:rPr>
  </w:style>
  <w:style w:type="paragraph" w:styleId="ListParagraph">
    <w:name w:val="List Paragraph"/>
    <w:basedOn w:val="Normal"/>
    <w:uiPriority w:val="34"/>
    <w:qFormat/>
    <w:rsid w:val="00C5404C"/>
    <w:pPr>
      <w:ind w:left="720"/>
      <w:contextualSpacing/>
    </w:pPr>
  </w:style>
  <w:style w:type="character" w:customStyle="1" w:styleId="Heading3Char">
    <w:name w:val="Heading 3 Char"/>
    <w:basedOn w:val="DefaultParagraphFont"/>
    <w:link w:val="Heading3"/>
    <w:semiHidden/>
    <w:rsid w:val="00C5404C"/>
    <w:rPr>
      <w:rFonts w:asciiTheme="majorHAnsi" w:eastAsiaTheme="majorEastAsia" w:hAnsiTheme="majorHAnsi" w:cstheme="majorBidi"/>
      <w:b/>
      <w:bCs/>
      <w:color w:val="4F81BD" w:themeColor="accent1"/>
      <w:sz w:val="24"/>
    </w:rPr>
  </w:style>
  <w:style w:type="character" w:styleId="SubtleEmphasis">
    <w:name w:val="Subtle Emphasis"/>
    <w:uiPriority w:val="19"/>
    <w:qFormat/>
    <w:rsid w:val="00C5404C"/>
    <w:rPr>
      <w:rFonts w:ascii="Arial" w:hAnsi="Arial" w:cs="Arial"/>
      <w:sz w:val="22"/>
      <w:szCs w:val="22"/>
      <w:u w:val="single"/>
    </w:rPr>
  </w:style>
  <w:style w:type="paragraph" w:styleId="EndnoteText">
    <w:name w:val="endnote text"/>
    <w:basedOn w:val="Normal"/>
    <w:link w:val="EndnoteTextChar"/>
    <w:rsid w:val="00CD1B8A"/>
    <w:rPr>
      <w:sz w:val="20"/>
    </w:rPr>
  </w:style>
  <w:style w:type="character" w:customStyle="1" w:styleId="EndnoteTextChar">
    <w:name w:val="Endnote Text Char"/>
    <w:basedOn w:val="DefaultParagraphFont"/>
    <w:link w:val="EndnoteText"/>
    <w:rsid w:val="00CD1B8A"/>
  </w:style>
  <w:style w:type="character" w:styleId="EndnoteReference">
    <w:name w:val="endnote reference"/>
    <w:basedOn w:val="DefaultParagraphFont"/>
    <w:rsid w:val="00CD1B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04C"/>
    <w:rPr>
      <w:sz w:val="24"/>
    </w:rPr>
  </w:style>
  <w:style w:type="paragraph" w:styleId="Heading1">
    <w:name w:val="heading 1"/>
    <w:basedOn w:val="Normal"/>
    <w:next w:val="Normal"/>
    <w:link w:val="Heading1Char"/>
    <w:qFormat/>
    <w:rsid w:val="00C5404C"/>
    <w:pPr>
      <w:spacing w:before="360" w:after="120"/>
      <w:outlineLvl w:val="0"/>
    </w:pPr>
    <w:rPr>
      <w:rFonts w:ascii="Arial" w:hAnsi="Arial" w:cs="Arial"/>
      <w:b/>
      <w:bCs/>
      <w:sz w:val="20"/>
    </w:rPr>
  </w:style>
  <w:style w:type="paragraph" w:styleId="Heading2">
    <w:name w:val="heading 2"/>
    <w:basedOn w:val="ListParagraph"/>
    <w:next w:val="Normal"/>
    <w:link w:val="Heading2Char"/>
    <w:semiHidden/>
    <w:unhideWhenUsed/>
    <w:qFormat/>
    <w:rsid w:val="00C5404C"/>
    <w:pPr>
      <w:numPr>
        <w:numId w:val="3"/>
      </w:numPr>
      <w:spacing w:before="360" w:after="120"/>
      <w:outlineLvl w:val="1"/>
    </w:pPr>
    <w:rPr>
      <w:rFonts w:ascii="Arial" w:eastAsia="MS Mincho" w:hAnsi="Arial" w:cs="Arial"/>
      <w:sz w:val="20"/>
      <w:u w:val="single"/>
      <w:lang w:eastAsia="ja-JP"/>
    </w:rPr>
  </w:style>
  <w:style w:type="paragraph" w:styleId="Heading3">
    <w:name w:val="heading 3"/>
    <w:basedOn w:val="Normal"/>
    <w:next w:val="Normal"/>
    <w:link w:val="Heading3Char"/>
    <w:semiHidden/>
    <w:unhideWhenUsed/>
    <w:qFormat/>
    <w:rsid w:val="00C540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rsid w:val="00DF0616"/>
    <w:rPr>
      <w:sz w:val="16"/>
      <w:szCs w:val="16"/>
    </w:rPr>
  </w:style>
  <w:style w:type="paragraph" w:styleId="CommentText">
    <w:name w:val="annotation text"/>
    <w:basedOn w:val="Normal"/>
    <w:link w:val="CommentTextChar"/>
    <w:rsid w:val="00DF0616"/>
    <w:rPr>
      <w:sz w:val="20"/>
    </w:rPr>
  </w:style>
  <w:style w:type="character" w:customStyle="1" w:styleId="CommentTextChar">
    <w:name w:val="Comment Text Char"/>
    <w:basedOn w:val="DefaultParagraphFont"/>
    <w:link w:val="CommentText"/>
    <w:rsid w:val="00DF0616"/>
  </w:style>
  <w:style w:type="paragraph" w:styleId="FootnoteText">
    <w:name w:val="footnote text"/>
    <w:basedOn w:val="Normal"/>
    <w:link w:val="FootnoteTextChar"/>
    <w:rsid w:val="00DF0616"/>
    <w:rPr>
      <w:sz w:val="20"/>
    </w:rPr>
  </w:style>
  <w:style w:type="character" w:customStyle="1" w:styleId="FootnoteTextChar">
    <w:name w:val="Footnote Text Char"/>
    <w:basedOn w:val="DefaultParagraphFont"/>
    <w:link w:val="FootnoteText"/>
    <w:rsid w:val="00DF0616"/>
  </w:style>
  <w:style w:type="character" w:styleId="FootnoteReference">
    <w:name w:val="footnote reference"/>
    <w:basedOn w:val="DefaultParagraphFont"/>
    <w:qFormat/>
    <w:rsid w:val="00C5404C"/>
    <w:rPr>
      <w:rFonts w:ascii="Arial" w:hAnsi="Arial"/>
      <w:sz w:val="18"/>
      <w:vertAlign w:val="superscript"/>
    </w:rPr>
  </w:style>
  <w:style w:type="character" w:customStyle="1" w:styleId="apple-converted-space">
    <w:name w:val="apple-converted-space"/>
    <w:rsid w:val="001A69B6"/>
  </w:style>
  <w:style w:type="character" w:customStyle="1" w:styleId="Strong1">
    <w:name w:val="Strong1"/>
    <w:rsid w:val="001A69B6"/>
  </w:style>
  <w:style w:type="character" w:customStyle="1" w:styleId="Heading1Char">
    <w:name w:val="Heading 1 Char"/>
    <w:basedOn w:val="DefaultParagraphFont"/>
    <w:link w:val="Heading1"/>
    <w:rsid w:val="00C5404C"/>
    <w:rPr>
      <w:rFonts w:ascii="Arial" w:hAnsi="Arial" w:cs="Arial"/>
      <w:b/>
      <w:bCs/>
    </w:rPr>
  </w:style>
  <w:style w:type="character" w:styleId="SubtleReference">
    <w:name w:val="Subtle Reference"/>
    <w:aliases w:val="References"/>
    <w:uiPriority w:val="31"/>
    <w:qFormat/>
    <w:rsid w:val="00C5404C"/>
    <w:rPr>
      <w:rFonts w:ascii="Arial" w:hAnsi="Arial" w:cs="Arial"/>
      <w:sz w:val="14"/>
      <w:szCs w:val="14"/>
      <w:lang w:val="en"/>
    </w:rPr>
  </w:style>
  <w:style w:type="character" w:customStyle="1" w:styleId="Heading2Char">
    <w:name w:val="Heading 2 Char"/>
    <w:link w:val="Heading2"/>
    <w:semiHidden/>
    <w:rsid w:val="00C5404C"/>
    <w:rPr>
      <w:rFonts w:ascii="Arial" w:eastAsia="MS Mincho" w:hAnsi="Arial" w:cs="Arial"/>
      <w:u w:val="single"/>
      <w:lang w:eastAsia="ja-JP"/>
    </w:rPr>
  </w:style>
  <w:style w:type="paragraph" w:styleId="Header">
    <w:name w:val="header"/>
    <w:basedOn w:val="Normal"/>
    <w:link w:val="HeaderChar"/>
    <w:rsid w:val="0025381A"/>
    <w:pPr>
      <w:tabs>
        <w:tab w:val="center" w:pos="4680"/>
        <w:tab w:val="right" w:pos="9360"/>
      </w:tabs>
    </w:pPr>
  </w:style>
  <w:style w:type="character" w:customStyle="1" w:styleId="HeaderChar">
    <w:name w:val="Header Char"/>
    <w:link w:val="Header"/>
    <w:rsid w:val="0025381A"/>
    <w:rPr>
      <w:sz w:val="24"/>
    </w:rPr>
  </w:style>
  <w:style w:type="paragraph" w:styleId="Footer">
    <w:name w:val="footer"/>
    <w:basedOn w:val="Normal"/>
    <w:link w:val="FooterChar"/>
    <w:uiPriority w:val="99"/>
    <w:rsid w:val="0025381A"/>
    <w:pPr>
      <w:tabs>
        <w:tab w:val="center" w:pos="4680"/>
        <w:tab w:val="right" w:pos="9360"/>
      </w:tabs>
    </w:pPr>
  </w:style>
  <w:style w:type="character" w:customStyle="1" w:styleId="FooterChar">
    <w:name w:val="Footer Char"/>
    <w:link w:val="Footer"/>
    <w:uiPriority w:val="99"/>
    <w:rsid w:val="0025381A"/>
    <w:rPr>
      <w:sz w:val="24"/>
    </w:rPr>
  </w:style>
  <w:style w:type="paragraph" w:styleId="CommentSubject">
    <w:name w:val="annotation subject"/>
    <w:basedOn w:val="CommentText"/>
    <w:next w:val="CommentText"/>
    <w:link w:val="CommentSubjectChar"/>
    <w:rsid w:val="007E0A47"/>
    <w:rPr>
      <w:b/>
      <w:bCs/>
    </w:rPr>
  </w:style>
  <w:style w:type="character" w:customStyle="1" w:styleId="CommentSubjectChar">
    <w:name w:val="Comment Subject Char"/>
    <w:basedOn w:val="CommentTextChar"/>
    <w:link w:val="CommentSubject"/>
    <w:rsid w:val="007E0A47"/>
    <w:rPr>
      <w:b/>
      <w:bCs/>
    </w:rPr>
  </w:style>
  <w:style w:type="paragraph" w:customStyle="1" w:styleId="Body1">
    <w:name w:val="Body1"/>
    <w:basedOn w:val="Normal"/>
    <w:link w:val="Body1Char"/>
    <w:qFormat/>
    <w:rsid w:val="00C5404C"/>
    <w:pPr>
      <w:tabs>
        <w:tab w:val="left" w:pos="1800"/>
      </w:tabs>
    </w:pPr>
    <w:rPr>
      <w:rFonts w:ascii="Arial" w:hAnsi="Arial" w:cs="Arial"/>
      <w:sz w:val="20"/>
    </w:rPr>
  </w:style>
  <w:style w:type="character" w:customStyle="1" w:styleId="Body1Char">
    <w:name w:val="Body1 Char"/>
    <w:basedOn w:val="DefaultParagraphFont"/>
    <w:link w:val="Body1"/>
    <w:rsid w:val="00C5404C"/>
    <w:rPr>
      <w:rFonts w:ascii="Arial" w:hAnsi="Arial" w:cs="Arial"/>
    </w:rPr>
  </w:style>
  <w:style w:type="paragraph" w:styleId="ListParagraph">
    <w:name w:val="List Paragraph"/>
    <w:basedOn w:val="Normal"/>
    <w:uiPriority w:val="34"/>
    <w:qFormat/>
    <w:rsid w:val="00C5404C"/>
    <w:pPr>
      <w:ind w:left="720"/>
      <w:contextualSpacing/>
    </w:pPr>
  </w:style>
  <w:style w:type="character" w:customStyle="1" w:styleId="Heading3Char">
    <w:name w:val="Heading 3 Char"/>
    <w:basedOn w:val="DefaultParagraphFont"/>
    <w:link w:val="Heading3"/>
    <w:semiHidden/>
    <w:rsid w:val="00C5404C"/>
    <w:rPr>
      <w:rFonts w:asciiTheme="majorHAnsi" w:eastAsiaTheme="majorEastAsia" w:hAnsiTheme="majorHAnsi" w:cstheme="majorBidi"/>
      <w:b/>
      <w:bCs/>
      <w:color w:val="4F81BD" w:themeColor="accent1"/>
      <w:sz w:val="24"/>
    </w:rPr>
  </w:style>
  <w:style w:type="character" w:styleId="SubtleEmphasis">
    <w:name w:val="Subtle Emphasis"/>
    <w:uiPriority w:val="19"/>
    <w:qFormat/>
    <w:rsid w:val="00C5404C"/>
    <w:rPr>
      <w:rFonts w:ascii="Arial" w:hAnsi="Arial" w:cs="Arial"/>
      <w:sz w:val="22"/>
      <w:szCs w:val="22"/>
      <w:u w:val="single"/>
    </w:rPr>
  </w:style>
  <w:style w:type="paragraph" w:styleId="EndnoteText">
    <w:name w:val="endnote text"/>
    <w:basedOn w:val="Normal"/>
    <w:link w:val="EndnoteTextChar"/>
    <w:rsid w:val="00CD1B8A"/>
    <w:rPr>
      <w:sz w:val="20"/>
    </w:rPr>
  </w:style>
  <w:style w:type="character" w:customStyle="1" w:styleId="EndnoteTextChar">
    <w:name w:val="Endnote Text Char"/>
    <w:basedOn w:val="DefaultParagraphFont"/>
    <w:link w:val="EndnoteText"/>
    <w:rsid w:val="00CD1B8A"/>
  </w:style>
  <w:style w:type="character" w:styleId="EndnoteReference">
    <w:name w:val="endnote reference"/>
    <w:basedOn w:val="DefaultParagraphFont"/>
    <w:rsid w:val="00CD1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096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www.ncbi.nlm.nih.gov/pubmed/8512436" TargetMode="External"/><Relationship Id="rId13" Type="http://schemas.openxmlformats.org/officeDocument/2006/relationships/hyperlink" Target="http://www.jstor.org/stable/10.1086/671070" TargetMode="External"/><Relationship Id="rId18" Type="http://schemas.openxmlformats.org/officeDocument/2006/relationships/hyperlink" Target="https://malegislature.gov/Laws/GeneralLaws/PartII/TitleII/Chapter201D" TargetMode="External"/><Relationship Id="rId3" Type="http://schemas.openxmlformats.org/officeDocument/2006/relationships/hyperlink" Target="http://www.cdc.gov/hiv/basics/pep.html" TargetMode="External"/><Relationship Id="rId7" Type="http://schemas.openxmlformats.org/officeDocument/2006/relationships/hyperlink" Target="http://www.ncbi.nlm.nih.gov/pubmed/9845490" TargetMode="External"/><Relationship Id="rId12" Type="http://schemas.openxmlformats.org/officeDocument/2006/relationships/hyperlink" Target="http://www.ncbi.nlm.nih.gov/pubmed/21983253" TargetMode="External"/><Relationship Id="rId17" Type="http://schemas.openxmlformats.org/officeDocument/2006/relationships/hyperlink" Target="https://malegislature.gov/Laws/GeneralLaws/PartII/TitleII/Chapter190B/ArticleV/Section5-101" TargetMode="External"/><Relationship Id="rId2" Type="http://schemas.openxmlformats.org/officeDocument/2006/relationships/hyperlink" Target="http://www.cdc.gov/hiv/risk/other/occupational.html" TargetMode="External"/><Relationship Id="rId16" Type="http://schemas.openxmlformats.org/officeDocument/2006/relationships/hyperlink" Target="https://malegislature.gov/Laws/GeneralLaws/PartII/TitleII/Chapter190B/ArticleV/Section5-308" TargetMode="External"/><Relationship Id="rId1" Type="http://schemas.openxmlformats.org/officeDocument/2006/relationships/hyperlink" Target="https://www.osha.gov/pls/oshaweb/owadisp.show_document?p_table=STANDARDS&amp;p_id=10051" TargetMode="External"/><Relationship Id="rId6" Type="http://schemas.openxmlformats.org/officeDocument/2006/relationships/hyperlink" Target="http://www.cdc.gov/mmwr/PDF/rr/rr5011.pdf" TargetMode="External"/><Relationship Id="rId11" Type="http://schemas.openxmlformats.org/officeDocument/2006/relationships/hyperlink" Target="https://www.osha.gov/pls/oshaweb/owadisp.show_document?p_id=10051&amp;p_table=STANDARDS" TargetMode="External"/><Relationship Id="rId5" Type="http://schemas.openxmlformats.org/officeDocument/2006/relationships/hyperlink" Target="http://www.cdc.gov/mmwr/preview/mmwrhtml/00052722.htm" TargetMode="External"/><Relationship Id="rId15" Type="http://schemas.openxmlformats.org/officeDocument/2006/relationships/hyperlink" Target="http://www.mass.gov/eohhs/docs/dph/aids/routine-hiv-screening-clinical-advisory.pdf" TargetMode="External"/><Relationship Id="rId10" Type="http://schemas.openxmlformats.org/officeDocument/2006/relationships/hyperlink" Target="http://www.ncbi.nlm.nih.gov/pubmed/16195697" TargetMode="External"/><Relationship Id="rId19" Type="http://schemas.openxmlformats.org/officeDocument/2006/relationships/hyperlink" Target="file://///dph-nas/Users/tmeehan/testing/occupational%20exposures/M.G.L.%20c.190B,%20&#167;%205-101%20(6)%20and%20&#167;%205-308" TargetMode="External"/><Relationship Id="rId4" Type="http://schemas.openxmlformats.org/officeDocument/2006/relationships/hyperlink" Target="http://www.cdc.gov/mmwr/preview/mmwrhtml/mm6353a4.htm?s_cid=mm6353a4_w" TargetMode="External"/><Relationship Id="rId9" Type="http://schemas.openxmlformats.org/officeDocument/2006/relationships/hyperlink" Target="http://www.ncbi.nlm.nih.gov/pubmed/8622618" TargetMode="External"/><Relationship Id="rId14" Type="http://schemas.openxmlformats.org/officeDocument/2006/relationships/hyperlink" Target="https://malegislature.gov/Laws/GeneralLaws/PartI/TitleXVI/Chapter111/Section70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1035-A711-4DA7-8E6C-E5C574F5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1000</Words>
  <Characters>5705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Clinical Advisory - HIV Screening of Incapacitated Source Patients in Occupational Exposures in Massachusetts</vt:lpstr>
    </vt:vector>
  </TitlesOfParts>
  <Company>Commonwealth of Massachusetts</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Advisory - HIV Screening of Incapacitated Source Patients in Occupational Exposures in Massachusetts</dc:title>
  <dc:creator>Massachusetts Department of Public Health;Bureau of Infectious Disease</dc:creator>
  <cp:keywords>HIV screening, Incapacitated Patients, Clinical Advisory</cp:keywords>
  <cp:lastModifiedBy>Liisa Randall</cp:lastModifiedBy>
  <cp:revision>2</cp:revision>
  <cp:lastPrinted>2015-07-31T16:24:00Z</cp:lastPrinted>
  <dcterms:created xsi:type="dcterms:W3CDTF">2017-12-01T04:40:00Z</dcterms:created>
  <dcterms:modified xsi:type="dcterms:W3CDTF">2017-12-01T04:40:00Z</dcterms:modified>
</cp:coreProperties>
</file>