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2ACB8ED8" w:rsidR="00802852" w:rsidRPr="00D544FA" w:rsidRDefault="00E814A1" w:rsidP="0072610D">
      <w:pPr>
        <w:rPr>
          <w:rFonts w:ascii="Arial" w:hAnsi="Arial" w:cs="Arial"/>
          <w:b/>
          <w:bCs/>
          <w:sz w:val="20"/>
        </w:rPr>
      </w:pPr>
      <w:r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1073E412" w:rsidR="007D1D51" w:rsidRPr="00D544FA" w:rsidRDefault="00802852" w:rsidP="00D17C27">
      <w:pPr>
        <w:jc w:val="right"/>
        <w:rPr>
          <w:rFonts w:ascii="Arial" w:hAnsi="Arial" w:cs="Arial"/>
          <w:sz w:val="20"/>
        </w:rPr>
      </w:pPr>
      <w:r w:rsidRPr="00D544FA">
        <w:rPr>
          <w:rFonts w:ascii="Arial" w:hAnsi="Arial" w:cs="Arial"/>
          <w:b/>
          <w:bCs/>
          <w:sz w:val="20"/>
        </w:rPr>
        <w:t>Kiame Mahaniah, MD</w:t>
      </w:r>
      <w:r w:rsidR="00382F51">
        <w:rPr>
          <w:rFonts w:ascii="Arial" w:hAnsi="Arial" w:cs="Arial"/>
          <w:b/>
          <w:bCs/>
          <w:sz w:val="20"/>
        </w:rPr>
        <w:t>, MBA</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7D321B25" w14:textId="77777777" w:rsidR="00B95D64" w:rsidRDefault="00B95D64" w:rsidP="0037371A">
      <w:pPr>
        <w:pStyle w:val="paragraph"/>
        <w:spacing w:before="0" w:beforeAutospacing="0" w:after="0" w:afterAutospacing="0"/>
        <w:textAlignment w:val="baseline"/>
        <w:rPr>
          <w:rStyle w:val="normaltextrun"/>
          <w:rFonts w:ascii="Arial" w:hAnsi="Arial" w:cs="Arial"/>
          <w:b/>
          <w:bCs/>
          <w:sz w:val="28"/>
          <w:szCs w:val="28"/>
        </w:rPr>
      </w:pPr>
    </w:p>
    <w:p w14:paraId="0BF4149F" w14:textId="3DF45D87" w:rsidR="007435FD" w:rsidRDefault="007435FD" w:rsidP="007435F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Increasing Cases of Mpox in Massachusetts</w:t>
      </w:r>
      <w:r>
        <w:rPr>
          <w:rStyle w:val="eop"/>
          <w:rFonts w:ascii="Arial" w:hAnsi="Arial" w:cs="Arial"/>
          <w:sz w:val="28"/>
          <w:szCs w:val="28"/>
        </w:rPr>
        <w:t> </w:t>
      </w:r>
    </w:p>
    <w:p w14:paraId="67A1143D" w14:textId="4A767D9F" w:rsidR="007435FD" w:rsidRPr="0037371A" w:rsidRDefault="6C22D136" w:rsidP="64CC0F30">
      <w:pPr>
        <w:pStyle w:val="paragraph"/>
        <w:spacing w:before="0" w:beforeAutospacing="0" w:after="0" w:afterAutospacing="0"/>
        <w:jc w:val="center"/>
        <w:textAlignment w:val="baseline"/>
        <w:rPr>
          <w:rStyle w:val="eop"/>
          <w:rFonts w:ascii="Segoe UI" w:hAnsi="Segoe UI" w:cs="Segoe UI"/>
          <w:sz w:val="18"/>
          <w:szCs w:val="18"/>
        </w:rPr>
      </w:pPr>
      <w:r w:rsidRPr="64CC0F30">
        <w:rPr>
          <w:rStyle w:val="normaltextrun"/>
          <w:rFonts w:ascii="Arial" w:hAnsi="Arial" w:cs="Arial"/>
          <w:sz w:val="20"/>
          <w:szCs w:val="20"/>
        </w:rPr>
        <w:t>Oct</w:t>
      </w:r>
      <w:r w:rsidR="537B9F6B" w:rsidRPr="64CC0F30">
        <w:rPr>
          <w:rStyle w:val="normaltextrun"/>
          <w:rFonts w:ascii="Arial" w:hAnsi="Arial" w:cs="Arial"/>
          <w:sz w:val="20"/>
          <w:szCs w:val="20"/>
        </w:rPr>
        <w:t>ober 2</w:t>
      </w:r>
      <w:r w:rsidR="107B61C1" w:rsidRPr="64CC0F30">
        <w:rPr>
          <w:rStyle w:val="normaltextrun"/>
          <w:rFonts w:ascii="Arial" w:hAnsi="Arial" w:cs="Arial"/>
          <w:sz w:val="20"/>
          <w:szCs w:val="20"/>
        </w:rPr>
        <w:t>8</w:t>
      </w:r>
      <w:r w:rsidRPr="64CC0F30">
        <w:rPr>
          <w:rStyle w:val="normaltextrun"/>
          <w:rFonts w:ascii="Arial" w:hAnsi="Arial" w:cs="Arial"/>
          <w:sz w:val="20"/>
          <w:szCs w:val="20"/>
        </w:rPr>
        <w:t>, 2025</w:t>
      </w:r>
      <w:r w:rsidRPr="64CC0F30">
        <w:rPr>
          <w:rStyle w:val="eop"/>
          <w:rFonts w:ascii="Arial" w:hAnsi="Arial" w:cs="Arial"/>
          <w:sz w:val="20"/>
          <w:szCs w:val="20"/>
        </w:rPr>
        <w:t> </w:t>
      </w:r>
      <w:r w:rsidRPr="64CC0F30">
        <w:rPr>
          <w:rStyle w:val="eop"/>
          <w:rFonts w:ascii="Arial" w:hAnsi="Arial" w:cs="Arial"/>
          <w:color w:val="000000" w:themeColor="text1"/>
          <w:sz w:val="20"/>
          <w:szCs w:val="20"/>
        </w:rPr>
        <w:t> </w:t>
      </w:r>
    </w:p>
    <w:p w14:paraId="1F5A4E3F" w14:textId="77777777" w:rsidR="00B95D64" w:rsidRDefault="00B95D64" w:rsidP="007435FD">
      <w:pPr>
        <w:pStyle w:val="paragraph"/>
        <w:spacing w:before="0" w:beforeAutospacing="0" w:after="0" w:afterAutospacing="0"/>
        <w:textAlignment w:val="baseline"/>
        <w:rPr>
          <w:rFonts w:ascii="Segoe UI" w:hAnsi="Segoe UI" w:cs="Segoe UI"/>
          <w:sz w:val="18"/>
          <w:szCs w:val="18"/>
        </w:rPr>
      </w:pPr>
    </w:p>
    <w:p w14:paraId="29926538" w14:textId="77777777"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Summary </w:t>
      </w:r>
      <w:r>
        <w:rPr>
          <w:rStyle w:val="eop"/>
          <w:rFonts w:ascii="Arial" w:hAnsi="Arial" w:cs="Arial"/>
          <w:color w:val="000000"/>
          <w:sz w:val="20"/>
          <w:szCs w:val="20"/>
        </w:rPr>
        <w:t> </w:t>
      </w:r>
    </w:p>
    <w:p w14:paraId="27AAC77D" w14:textId="66F044DB" w:rsidR="007435FD" w:rsidRDefault="6C22D136" w:rsidP="64CC0F30">
      <w:pPr>
        <w:pStyle w:val="paragraph"/>
        <w:spacing w:before="0" w:beforeAutospacing="0" w:after="0" w:afterAutospacing="0"/>
        <w:textAlignment w:val="baseline"/>
        <w:rPr>
          <w:rFonts w:ascii="Segoe UI" w:hAnsi="Segoe UI" w:cs="Segoe UI"/>
          <w:sz w:val="18"/>
          <w:szCs w:val="18"/>
        </w:rPr>
      </w:pPr>
      <w:r w:rsidRPr="64CC0F30">
        <w:rPr>
          <w:rStyle w:val="normaltextrun"/>
          <w:rFonts w:ascii="Arial" w:hAnsi="Arial" w:cs="Arial"/>
          <w:color w:val="000000" w:themeColor="text1"/>
          <w:sz w:val="20"/>
          <w:szCs w:val="20"/>
        </w:rPr>
        <w:t xml:space="preserve">The Massachusetts Department of Public Health (DPH) is bringing your attention to a recent increase in the number of individuals diagnosed with mpox in the Commonwealth. </w:t>
      </w:r>
      <w:r w:rsidR="022D4116" w:rsidRPr="64CC0F30">
        <w:rPr>
          <w:rStyle w:val="normaltextrun"/>
          <w:rFonts w:ascii="Arial" w:hAnsi="Arial" w:cs="Arial"/>
          <w:color w:val="000000" w:themeColor="text1"/>
          <w:sz w:val="20"/>
          <w:szCs w:val="20"/>
        </w:rPr>
        <w:t xml:space="preserve">As of October 1, </w:t>
      </w:r>
      <w:r w:rsidR="3EEE433B" w:rsidRPr="64CC0F30">
        <w:rPr>
          <w:rStyle w:val="normaltextrun"/>
          <w:rFonts w:ascii="Arial" w:hAnsi="Arial" w:cs="Arial"/>
          <w:color w:val="000000" w:themeColor="text1"/>
          <w:sz w:val="20"/>
          <w:szCs w:val="20"/>
        </w:rPr>
        <w:t>t</w:t>
      </w:r>
      <w:r w:rsidRPr="64CC0F30">
        <w:rPr>
          <w:rStyle w:val="normaltextrun"/>
          <w:rFonts w:ascii="Arial" w:hAnsi="Arial" w:cs="Arial"/>
          <w:color w:val="000000" w:themeColor="text1"/>
          <w:sz w:val="20"/>
          <w:szCs w:val="20"/>
        </w:rPr>
        <w:t xml:space="preserve">here have been </w:t>
      </w:r>
      <w:r w:rsidR="3EEE433B" w:rsidRPr="64CC0F30">
        <w:rPr>
          <w:rStyle w:val="normaltextrun"/>
          <w:rFonts w:ascii="Arial" w:hAnsi="Arial" w:cs="Arial"/>
          <w:color w:val="000000" w:themeColor="text1"/>
          <w:sz w:val="20"/>
          <w:szCs w:val="20"/>
        </w:rPr>
        <w:t>34</w:t>
      </w:r>
      <w:r w:rsidRPr="64CC0F30">
        <w:rPr>
          <w:rStyle w:val="normaltextrun"/>
          <w:rFonts w:ascii="Arial" w:hAnsi="Arial" w:cs="Arial"/>
          <w:color w:val="000000" w:themeColor="text1"/>
          <w:sz w:val="20"/>
          <w:szCs w:val="20"/>
        </w:rPr>
        <w:t xml:space="preserve"> mpox cases reported in 2025; </w:t>
      </w:r>
      <w:r w:rsidR="3EEE433B" w:rsidRPr="64CC0F30">
        <w:rPr>
          <w:rStyle w:val="normaltextrun"/>
          <w:rFonts w:ascii="Arial" w:hAnsi="Arial" w:cs="Arial"/>
          <w:color w:val="000000" w:themeColor="text1"/>
          <w:sz w:val="20"/>
          <w:szCs w:val="20"/>
        </w:rPr>
        <w:t>20 of which</w:t>
      </w:r>
      <w:r w:rsidRPr="64CC0F30">
        <w:rPr>
          <w:rStyle w:val="normaltextrun"/>
          <w:rFonts w:ascii="Arial" w:hAnsi="Arial" w:cs="Arial"/>
          <w:color w:val="000000" w:themeColor="text1"/>
          <w:sz w:val="20"/>
          <w:szCs w:val="20"/>
        </w:rPr>
        <w:t xml:space="preserve"> have occurred </w:t>
      </w:r>
      <w:r w:rsidR="3EEE433B" w:rsidRPr="64CC0F30">
        <w:rPr>
          <w:rStyle w:val="normaltextrun"/>
          <w:rFonts w:ascii="Arial" w:hAnsi="Arial" w:cs="Arial"/>
          <w:color w:val="000000" w:themeColor="text1"/>
          <w:sz w:val="20"/>
          <w:szCs w:val="20"/>
        </w:rPr>
        <w:t>between</w:t>
      </w:r>
      <w:r w:rsidRPr="64CC0F30">
        <w:rPr>
          <w:rStyle w:val="normaltextrun"/>
          <w:rFonts w:ascii="Arial" w:hAnsi="Arial" w:cs="Arial"/>
          <w:color w:val="000000" w:themeColor="text1"/>
          <w:sz w:val="20"/>
          <w:szCs w:val="20"/>
        </w:rPr>
        <w:t xml:space="preserve"> August 1</w:t>
      </w:r>
      <w:r w:rsidR="62998C9D" w:rsidRPr="64CC0F30">
        <w:rPr>
          <w:rStyle w:val="normaltextrun"/>
          <w:rFonts w:ascii="Arial" w:hAnsi="Arial" w:cs="Arial"/>
          <w:color w:val="000000" w:themeColor="text1"/>
          <w:sz w:val="20"/>
          <w:szCs w:val="20"/>
        </w:rPr>
        <w:t xml:space="preserve"> and October 1</w:t>
      </w:r>
      <w:r w:rsidRPr="64CC0F30">
        <w:rPr>
          <w:rStyle w:val="normaltextrun"/>
          <w:rFonts w:ascii="Arial" w:hAnsi="Arial" w:cs="Arial"/>
          <w:color w:val="000000" w:themeColor="text1"/>
          <w:sz w:val="20"/>
          <w:szCs w:val="20"/>
        </w:rPr>
        <w:t>, 2025. While the number of cases is small compared to the peak of the global outbreak in 2022, the</w:t>
      </w:r>
      <w:r w:rsidR="62998C9D" w:rsidRPr="64CC0F30">
        <w:rPr>
          <w:rStyle w:val="normaltextrun"/>
          <w:rFonts w:ascii="Arial" w:hAnsi="Arial" w:cs="Arial"/>
          <w:color w:val="000000" w:themeColor="text1"/>
          <w:sz w:val="20"/>
          <w:szCs w:val="20"/>
        </w:rPr>
        <w:t xml:space="preserve"> uptick in</w:t>
      </w:r>
      <w:r w:rsidRPr="64CC0F30">
        <w:rPr>
          <w:rStyle w:val="normaltextrun"/>
          <w:rFonts w:ascii="Arial" w:hAnsi="Arial" w:cs="Arial"/>
          <w:color w:val="000000" w:themeColor="text1"/>
          <w:sz w:val="20"/>
          <w:szCs w:val="20"/>
        </w:rPr>
        <w:t> cases over the past few months </w:t>
      </w:r>
      <w:r w:rsidR="134DA68B" w:rsidRPr="64CC0F30">
        <w:rPr>
          <w:rStyle w:val="normaltextrun"/>
          <w:rFonts w:ascii="Arial" w:hAnsi="Arial" w:cs="Arial"/>
          <w:color w:val="000000" w:themeColor="text1"/>
          <w:sz w:val="20"/>
          <w:szCs w:val="20"/>
        </w:rPr>
        <w:t>represents</w:t>
      </w:r>
      <w:r w:rsidRPr="64CC0F30">
        <w:rPr>
          <w:rStyle w:val="normaltextrun"/>
          <w:rFonts w:ascii="Arial" w:hAnsi="Arial" w:cs="Arial"/>
          <w:color w:val="000000" w:themeColor="text1"/>
          <w:sz w:val="20"/>
          <w:szCs w:val="20"/>
        </w:rPr>
        <w:t xml:space="preserve"> a concerning trend. </w:t>
      </w:r>
      <w:r w:rsidRPr="64CC0F30">
        <w:rPr>
          <w:rStyle w:val="eop"/>
          <w:rFonts w:ascii="Arial" w:hAnsi="Arial" w:cs="Arial"/>
          <w:color w:val="000000" w:themeColor="text1"/>
          <w:sz w:val="20"/>
          <w:szCs w:val="20"/>
        </w:rPr>
        <w:t> </w:t>
      </w:r>
    </w:p>
    <w:p w14:paraId="5DB3C4F9" w14:textId="77777777"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49877FF" w14:textId="26E8D78C" w:rsidR="007435FD" w:rsidRDefault="6C22D136" w:rsidP="64CC0F30">
      <w:pPr>
        <w:pStyle w:val="paragraph"/>
        <w:spacing w:before="0" w:beforeAutospacing="0" w:after="0" w:afterAutospacing="0"/>
        <w:textAlignment w:val="baseline"/>
        <w:rPr>
          <w:rFonts w:ascii="Segoe UI" w:hAnsi="Segoe UI" w:cs="Segoe UI"/>
          <w:sz w:val="18"/>
          <w:szCs w:val="18"/>
        </w:rPr>
      </w:pPr>
      <w:r w:rsidRPr="64CC0F30">
        <w:rPr>
          <w:rStyle w:val="normaltextrun"/>
          <w:rFonts w:ascii="Arial" w:hAnsi="Arial" w:cs="Arial"/>
          <w:sz w:val="20"/>
          <w:szCs w:val="20"/>
        </w:rPr>
        <w:t>All recent cases</w:t>
      </w:r>
      <w:r w:rsidR="134DA68B" w:rsidRPr="64CC0F30">
        <w:rPr>
          <w:rStyle w:val="normaltextrun"/>
          <w:rFonts w:ascii="Arial" w:hAnsi="Arial" w:cs="Arial"/>
          <w:sz w:val="20"/>
          <w:szCs w:val="20"/>
        </w:rPr>
        <w:t xml:space="preserve"> since August</w:t>
      </w:r>
      <w:r w:rsidRPr="64CC0F30">
        <w:rPr>
          <w:rStyle w:val="normaltextrun"/>
          <w:rFonts w:ascii="Arial" w:hAnsi="Arial" w:cs="Arial"/>
          <w:sz w:val="20"/>
          <w:szCs w:val="20"/>
        </w:rPr>
        <w:t xml:space="preserve"> have been infected with clade II monkeypox virus (MPXV). Given that </w:t>
      </w:r>
      <w:r w:rsidR="56B11555" w:rsidRPr="64CC0F30">
        <w:rPr>
          <w:rStyle w:val="normaltextrun"/>
          <w:rFonts w:ascii="Arial" w:hAnsi="Arial" w:cs="Arial"/>
          <w:sz w:val="20"/>
          <w:szCs w:val="20"/>
        </w:rPr>
        <w:t xml:space="preserve">the investigations to date have not found </w:t>
      </w:r>
      <w:r w:rsidRPr="64CC0F30">
        <w:rPr>
          <w:rStyle w:val="normaltextrun"/>
          <w:rFonts w:ascii="Arial" w:hAnsi="Arial" w:cs="Arial"/>
          <w:sz w:val="20"/>
          <w:szCs w:val="20"/>
        </w:rPr>
        <w:t xml:space="preserve">direct links between the </w:t>
      </w:r>
      <w:r w:rsidR="27BC2722" w:rsidRPr="64CC0F30">
        <w:rPr>
          <w:rStyle w:val="normaltextrun"/>
          <w:rFonts w:ascii="Arial" w:hAnsi="Arial" w:cs="Arial"/>
          <w:sz w:val="20"/>
          <w:szCs w:val="20"/>
        </w:rPr>
        <w:t>20</w:t>
      </w:r>
      <w:r w:rsidRPr="64CC0F30">
        <w:rPr>
          <w:rStyle w:val="normaltextrun"/>
          <w:rFonts w:ascii="Arial" w:hAnsi="Arial" w:cs="Arial"/>
          <w:sz w:val="20"/>
          <w:szCs w:val="20"/>
        </w:rPr>
        <w:t xml:space="preserve"> recent cases, it is likely that unreported cases are occurring and that infection continues to spread in the community through intimate skin-to-skin sexual contact. Men who have sex with men (MSM), especially those with multiple sexual partners, are at highest risk. </w:t>
      </w:r>
      <w:r w:rsidR="0ABF0BB7" w:rsidRPr="64CC0F30">
        <w:rPr>
          <w:rStyle w:val="normaltextrun"/>
          <w:rFonts w:ascii="Arial" w:hAnsi="Arial" w:cs="Arial"/>
          <w:sz w:val="20"/>
          <w:szCs w:val="20"/>
        </w:rPr>
        <w:t>Most</w:t>
      </w:r>
      <w:r w:rsidR="6EBAE866" w:rsidRPr="64CC0F30">
        <w:rPr>
          <w:rStyle w:val="normaltextrun"/>
          <w:rFonts w:ascii="Arial" w:hAnsi="Arial" w:cs="Arial"/>
          <w:sz w:val="20"/>
          <w:szCs w:val="20"/>
        </w:rPr>
        <w:t xml:space="preserve"> </w:t>
      </w:r>
      <w:r w:rsidR="2E527A64" w:rsidRPr="64CC0F30">
        <w:rPr>
          <w:rStyle w:val="normaltextrun"/>
          <w:rFonts w:ascii="Arial" w:hAnsi="Arial" w:cs="Arial"/>
          <w:sz w:val="20"/>
          <w:szCs w:val="20"/>
        </w:rPr>
        <w:t>cases</w:t>
      </w:r>
      <w:r w:rsidR="51952607" w:rsidRPr="64CC0F30">
        <w:rPr>
          <w:rStyle w:val="normaltextrun"/>
          <w:rFonts w:ascii="Arial" w:hAnsi="Arial" w:cs="Arial"/>
          <w:sz w:val="20"/>
          <w:szCs w:val="20"/>
        </w:rPr>
        <w:t xml:space="preserve"> (74%)</w:t>
      </w:r>
      <w:r w:rsidR="2E527A64" w:rsidRPr="64CC0F30">
        <w:rPr>
          <w:rStyle w:val="normaltextrun"/>
          <w:rFonts w:ascii="Arial" w:hAnsi="Arial" w:cs="Arial"/>
          <w:sz w:val="20"/>
          <w:szCs w:val="20"/>
        </w:rPr>
        <w:t xml:space="preserve"> in 2025 </w:t>
      </w:r>
      <w:r w:rsidRPr="64CC0F30">
        <w:rPr>
          <w:rStyle w:val="normaltextrun"/>
          <w:rFonts w:ascii="Arial" w:hAnsi="Arial" w:cs="Arial"/>
          <w:sz w:val="20"/>
          <w:szCs w:val="20"/>
        </w:rPr>
        <w:t>have been unvaccinated</w:t>
      </w:r>
      <w:r w:rsidR="37631B4E" w:rsidRPr="64CC0F30">
        <w:rPr>
          <w:rStyle w:val="normaltextrun"/>
          <w:rFonts w:ascii="Arial" w:hAnsi="Arial" w:cs="Arial"/>
          <w:sz w:val="20"/>
          <w:szCs w:val="20"/>
        </w:rPr>
        <w:t>; unvaccinated cases are largely</w:t>
      </w:r>
      <w:r w:rsidRPr="64CC0F30">
        <w:rPr>
          <w:rStyle w:val="normaltextrun"/>
          <w:rFonts w:ascii="Arial" w:hAnsi="Arial" w:cs="Arial"/>
          <w:sz w:val="20"/>
          <w:szCs w:val="20"/>
        </w:rPr>
        <w:t xml:space="preserve"> Hispanic and Black, Non-Hispanic and are between 16 and 29 years old</w:t>
      </w:r>
      <w:r w:rsidR="36EF452C" w:rsidRPr="64CC0F30">
        <w:rPr>
          <w:rStyle w:val="normaltextrun"/>
          <w:rFonts w:ascii="Arial" w:hAnsi="Arial" w:cs="Arial"/>
          <w:sz w:val="20"/>
          <w:szCs w:val="20"/>
        </w:rPr>
        <w:t xml:space="preserve">. This younger age group </w:t>
      </w:r>
      <w:r w:rsidR="7F7FB8F6" w:rsidRPr="64CC0F30">
        <w:rPr>
          <w:rStyle w:val="normaltextrun"/>
          <w:rFonts w:ascii="Arial" w:hAnsi="Arial" w:cs="Arial"/>
          <w:sz w:val="20"/>
          <w:szCs w:val="20"/>
        </w:rPr>
        <w:t>may have missed vaccination efforts in 2022</w:t>
      </w:r>
      <w:r w:rsidRPr="64CC0F30">
        <w:rPr>
          <w:rStyle w:val="normaltextrun"/>
          <w:rFonts w:ascii="Arial" w:hAnsi="Arial" w:cs="Arial"/>
          <w:sz w:val="20"/>
          <w:szCs w:val="20"/>
        </w:rPr>
        <w:t>. A small subset of</w:t>
      </w:r>
      <w:r w:rsidR="7F7FB8F6" w:rsidRPr="64CC0F30">
        <w:rPr>
          <w:rStyle w:val="normaltextrun"/>
          <w:rFonts w:ascii="Arial" w:hAnsi="Arial" w:cs="Arial"/>
          <w:sz w:val="20"/>
          <w:szCs w:val="20"/>
        </w:rPr>
        <w:t xml:space="preserve"> </w:t>
      </w:r>
      <w:r w:rsidRPr="64CC0F30">
        <w:rPr>
          <w:rStyle w:val="normaltextrun"/>
          <w:rFonts w:ascii="Arial" w:hAnsi="Arial" w:cs="Arial"/>
          <w:sz w:val="20"/>
          <w:szCs w:val="20"/>
        </w:rPr>
        <w:t>cases</w:t>
      </w:r>
      <w:r w:rsidR="36EF452C" w:rsidRPr="64CC0F30">
        <w:rPr>
          <w:rStyle w:val="normaltextrun"/>
          <w:rFonts w:ascii="Arial" w:hAnsi="Arial" w:cs="Arial"/>
          <w:sz w:val="20"/>
          <w:szCs w:val="20"/>
        </w:rPr>
        <w:t xml:space="preserve"> in 2025</w:t>
      </w:r>
      <w:r w:rsidRPr="64CC0F30">
        <w:rPr>
          <w:rStyle w:val="normaltextrun"/>
          <w:rFonts w:ascii="Arial" w:hAnsi="Arial" w:cs="Arial"/>
          <w:sz w:val="20"/>
          <w:szCs w:val="20"/>
        </w:rPr>
        <w:t xml:space="preserve"> was</w:t>
      </w:r>
      <w:r w:rsidR="56990413" w:rsidRPr="64CC0F30">
        <w:rPr>
          <w:rStyle w:val="normaltextrun"/>
          <w:rFonts w:ascii="Arial" w:hAnsi="Arial" w:cs="Arial"/>
          <w:sz w:val="20"/>
          <w:szCs w:val="20"/>
        </w:rPr>
        <w:t xml:space="preserve"> </w:t>
      </w:r>
      <w:r w:rsidRPr="64CC0F30">
        <w:rPr>
          <w:rStyle w:val="normaltextrun"/>
          <w:rFonts w:ascii="Arial" w:hAnsi="Arial" w:cs="Arial"/>
          <w:sz w:val="20"/>
          <w:szCs w:val="20"/>
        </w:rPr>
        <w:t>fully vaccinated with two doses of JYNNEOS</w:t>
      </w:r>
      <w:r w:rsidR="17ACFE9B" w:rsidRPr="64CC0F30">
        <w:rPr>
          <w:rStyle w:val="normaltextrun"/>
          <w:rFonts w:ascii="Arial" w:hAnsi="Arial" w:cs="Arial"/>
          <w:sz w:val="20"/>
          <w:szCs w:val="20"/>
        </w:rPr>
        <w:t xml:space="preserve"> prior to 2025</w:t>
      </w:r>
      <w:r w:rsidR="13193DC4" w:rsidRPr="64CC0F30">
        <w:rPr>
          <w:rStyle w:val="normaltextrun"/>
          <w:rFonts w:ascii="Arial" w:hAnsi="Arial" w:cs="Arial"/>
          <w:sz w:val="20"/>
          <w:szCs w:val="20"/>
        </w:rPr>
        <w:t>.</w:t>
      </w:r>
      <w:r w:rsidR="0ABF0BB7" w:rsidRPr="64CC0F30">
        <w:rPr>
          <w:rStyle w:val="normaltextrun"/>
          <w:rFonts w:ascii="Arial" w:hAnsi="Arial" w:cs="Arial"/>
          <w:sz w:val="20"/>
          <w:szCs w:val="20"/>
        </w:rPr>
        <w:t xml:space="preserve"> Vaccinated cases tend to experience mild disease compared to unvaccinated cases.</w:t>
      </w:r>
      <w:r w:rsidRPr="64CC0F30">
        <w:rPr>
          <w:rStyle w:val="normaltextrun"/>
          <w:rFonts w:ascii="Arial" w:hAnsi="Arial" w:cs="Arial"/>
          <w:sz w:val="20"/>
          <w:szCs w:val="20"/>
        </w:rPr>
        <w:t>   </w:t>
      </w:r>
      <w:r w:rsidRPr="64CC0F30">
        <w:rPr>
          <w:rStyle w:val="eop"/>
          <w:rFonts w:ascii="Arial" w:hAnsi="Arial" w:cs="Arial"/>
          <w:sz w:val="20"/>
          <w:szCs w:val="20"/>
        </w:rPr>
        <w:t> </w:t>
      </w:r>
    </w:p>
    <w:p w14:paraId="78404EEB" w14:textId="77777777"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620930B" w14:textId="79C6EE20" w:rsidR="007435FD" w:rsidRDefault="6C22D136" w:rsidP="64CC0F30">
      <w:pPr>
        <w:pStyle w:val="paragraph"/>
        <w:spacing w:before="0" w:beforeAutospacing="0" w:after="0" w:afterAutospacing="0"/>
        <w:textAlignment w:val="baseline"/>
        <w:rPr>
          <w:rFonts w:ascii="Segoe UI" w:hAnsi="Segoe UI" w:cs="Segoe UI"/>
          <w:sz w:val="18"/>
          <w:szCs w:val="18"/>
        </w:rPr>
      </w:pPr>
      <w:r w:rsidRPr="64CC0F30">
        <w:rPr>
          <w:rStyle w:val="normaltextrun"/>
          <w:rFonts w:ascii="Arial" w:hAnsi="Arial" w:cs="Arial"/>
          <w:sz w:val="20"/>
          <w:szCs w:val="20"/>
        </w:rPr>
        <w:t>Mpox clade II cases continue to occur in other US jurisdictions and globally. Concurrently, mpox clade I infections continue to occur globally</w:t>
      </w:r>
      <w:r w:rsidR="07091BF0" w:rsidRPr="64CC0F30">
        <w:rPr>
          <w:rStyle w:val="normaltextrun"/>
          <w:rFonts w:ascii="Arial" w:hAnsi="Arial" w:cs="Arial"/>
          <w:sz w:val="20"/>
          <w:szCs w:val="20"/>
        </w:rPr>
        <w:t>.</w:t>
      </w:r>
      <w:r w:rsidRPr="64CC0F30">
        <w:rPr>
          <w:rStyle w:val="normaltextrun"/>
          <w:rFonts w:ascii="Arial" w:hAnsi="Arial" w:cs="Arial"/>
          <w:sz w:val="20"/>
          <w:szCs w:val="20"/>
        </w:rPr>
        <w:t xml:space="preserve"> </w:t>
      </w:r>
      <w:r w:rsidRPr="64CC0F30">
        <w:rPr>
          <w:rStyle w:val="normaltextrun"/>
          <w:rFonts w:ascii="Arial" w:hAnsi="Arial" w:cs="Arial"/>
          <w:color w:val="1C1D1F"/>
          <w:sz w:val="20"/>
          <w:szCs w:val="20"/>
        </w:rPr>
        <w:t xml:space="preserve">Countries with sustained transmission of clade I at present include </w:t>
      </w:r>
      <w:r w:rsidRPr="64CC0F30">
        <w:rPr>
          <w:rStyle w:val="normaltextrun"/>
          <w:rFonts w:ascii="Arial" w:hAnsi="Arial" w:cs="Arial"/>
          <w:color w:val="000000" w:themeColor="text1"/>
          <w:sz w:val="20"/>
          <w:szCs w:val="20"/>
        </w:rPr>
        <w:t xml:space="preserve">Burundi, Central African Republic, Democratic Republic of the Congo, Ethiopia, Kenya, Malawi, Mozambique, Republic of </w:t>
      </w:r>
      <w:proofErr w:type="gramStart"/>
      <w:r w:rsidRPr="64CC0F30">
        <w:rPr>
          <w:rStyle w:val="normaltextrun"/>
          <w:rFonts w:ascii="Arial" w:hAnsi="Arial" w:cs="Arial"/>
          <w:color w:val="000000" w:themeColor="text1"/>
          <w:sz w:val="20"/>
          <w:szCs w:val="20"/>
        </w:rPr>
        <w:t>the Congo</w:t>
      </w:r>
      <w:proofErr w:type="gramEnd"/>
      <w:r w:rsidRPr="64CC0F30">
        <w:rPr>
          <w:rStyle w:val="normaltextrun"/>
          <w:rFonts w:ascii="Arial" w:hAnsi="Arial" w:cs="Arial"/>
          <w:color w:val="000000" w:themeColor="text1"/>
          <w:sz w:val="20"/>
          <w:szCs w:val="20"/>
        </w:rPr>
        <w:t>, Rwanda, South Sudan, Tanzania, Uganda, and Zambia</w:t>
      </w:r>
      <w:r w:rsidRPr="64CC0F30">
        <w:rPr>
          <w:rStyle w:val="normaltextrun"/>
          <w:rFonts w:ascii="Arial" w:hAnsi="Arial" w:cs="Arial"/>
          <w:color w:val="1C1D1F"/>
          <w:sz w:val="20"/>
          <w:szCs w:val="20"/>
        </w:rPr>
        <w:t>. </w:t>
      </w:r>
      <w:r w:rsidR="6A186F7A" w:rsidRPr="64CC0F30">
        <w:rPr>
          <w:rStyle w:val="normaltextrun"/>
          <w:rFonts w:ascii="Arial" w:hAnsi="Arial" w:cs="Arial"/>
          <w:color w:val="1C1D1F"/>
          <w:sz w:val="20"/>
          <w:szCs w:val="20"/>
        </w:rPr>
        <w:t>Importantly, t</w:t>
      </w:r>
      <w:r w:rsidR="6A186F7A" w:rsidRPr="64CC0F30">
        <w:rPr>
          <w:rStyle w:val="normaltextrun"/>
          <w:rFonts w:ascii="Arial" w:hAnsi="Arial" w:cs="Arial"/>
          <w:sz w:val="20"/>
          <w:szCs w:val="20"/>
        </w:rPr>
        <w:t>hree cases of Clade I mpox were observed in California in October 2025. These cases had no recent travel to endemic countries, suggesting Clade I transmission occurred in the US.</w:t>
      </w:r>
      <w:r w:rsidR="6A186F7A" w:rsidRPr="64CC0F30">
        <w:rPr>
          <w:rStyle w:val="eop"/>
          <w:rFonts w:ascii="Arial" w:hAnsi="Arial" w:cs="Arial"/>
          <w:color w:val="1C1D1F"/>
          <w:sz w:val="20"/>
          <w:szCs w:val="20"/>
        </w:rPr>
        <w:t xml:space="preserve"> </w:t>
      </w:r>
      <w:r w:rsidR="5661DCEA" w:rsidRPr="64CC0F30">
        <w:rPr>
          <w:rStyle w:val="eop"/>
          <w:rFonts w:ascii="Arial" w:hAnsi="Arial" w:cs="Arial"/>
          <w:color w:val="1C1D1F"/>
          <w:sz w:val="20"/>
          <w:szCs w:val="20"/>
        </w:rPr>
        <w:t xml:space="preserve">A single </w:t>
      </w:r>
      <w:r w:rsidR="6A186F7A" w:rsidRPr="64CC0F30">
        <w:rPr>
          <w:rStyle w:val="normaltextrun"/>
          <w:rFonts w:ascii="Arial" w:hAnsi="Arial" w:cs="Arial"/>
          <w:sz w:val="20"/>
          <w:szCs w:val="20"/>
        </w:rPr>
        <w:t>Clade I case</w:t>
      </w:r>
      <w:r w:rsidR="5661DCEA" w:rsidRPr="64CC0F30">
        <w:rPr>
          <w:rStyle w:val="normaltextrun"/>
          <w:rFonts w:ascii="Arial" w:hAnsi="Arial" w:cs="Arial"/>
          <w:sz w:val="20"/>
          <w:szCs w:val="20"/>
        </w:rPr>
        <w:t xml:space="preserve"> was</w:t>
      </w:r>
      <w:r w:rsidR="6A186F7A" w:rsidRPr="64CC0F30">
        <w:rPr>
          <w:rStyle w:val="normaltextrun"/>
          <w:rFonts w:ascii="Arial" w:hAnsi="Arial" w:cs="Arial"/>
          <w:sz w:val="20"/>
          <w:szCs w:val="20"/>
        </w:rPr>
        <w:t xml:space="preserve"> identified in Massachusetts in June 2025</w:t>
      </w:r>
      <w:r w:rsidR="5661DCEA" w:rsidRPr="64CC0F30">
        <w:rPr>
          <w:rStyle w:val="normaltextrun"/>
          <w:rFonts w:ascii="Arial" w:hAnsi="Arial" w:cs="Arial"/>
          <w:sz w:val="20"/>
          <w:szCs w:val="20"/>
        </w:rPr>
        <w:t>; there have been no subsequently identified cases in Massachusetts</w:t>
      </w:r>
      <w:r w:rsidR="7870B2C3" w:rsidRPr="64CC0F30">
        <w:rPr>
          <w:rStyle w:val="normaltextrun"/>
          <w:rFonts w:ascii="Arial" w:hAnsi="Arial" w:cs="Arial"/>
          <w:sz w:val="20"/>
          <w:szCs w:val="20"/>
        </w:rPr>
        <w:t>.</w:t>
      </w:r>
      <w:r w:rsidR="6A186F7A" w:rsidRPr="64CC0F30">
        <w:rPr>
          <w:rStyle w:val="eop"/>
          <w:rFonts w:ascii="Arial" w:hAnsi="Arial" w:cs="Arial"/>
          <w:color w:val="1C1D1F"/>
          <w:sz w:val="20"/>
          <w:szCs w:val="20"/>
        </w:rPr>
        <w:t xml:space="preserve"> </w:t>
      </w:r>
      <w:r w:rsidRPr="64CC0F30">
        <w:rPr>
          <w:rStyle w:val="eop"/>
          <w:rFonts w:ascii="Arial" w:hAnsi="Arial" w:cs="Arial"/>
          <w:color w:val="1C1D1F"/>
          <w:sz w:val="20"/>
          <w:szCs w:val="20"/>
        </w:rPr>
        <w:t> </w:t>
      </w:r>
    </w:p>
    <w:p w14:paraId="3AB5E8A2" w14:textId="77777777"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FAA6E4F" w14:textId="48CAF3EA" w:rsidR="007435FD" w:rsidRDefault="6C22D136" w:rsidP="64CC0F30">
      <w:pPr>
        <w:pStyle w:val="paragraph"/>
        <w:spacing w:before="0" w:beforeAutospacing="0" w:after="0" w:afterAutospacing="0"/>
        <w:textAlignment w:val="baseline"/>
        <w:rPr>
          <w:rFonts w:ascii="Segoe UI" w:hAnsi="Segoe UI" w:cs="Segoe UI"/>
          <w:sz w:val="18"/>
          <w:szCs w:val="18"/>
        </w:rPr>
      </w:pPr>
      <w:r w:rsidRPr="64CC0F30">
        <w:rPr>
          <w:rStyle w:val="normaltextrun"/>
          <w:rFonts w:ascii="Arial" w:hAnsi="Arial" w:cs="Arial"/>
          <w:sz w:val="20"/>
          <w:szCs w:val="20"/>
        </w:rPr>
        <w:t xml:space="preserve">The goal of this DPH announcement is to make providers aware of the continued presence of mpox in the Commonwealth </w:t>
      </w:r>
      <w:r w:rsidR="020BB4EA" w:rsidRPr="64CC0F30">
        <w:rPr>
          <w:rStyle w:val="normaltextrun"/>
          <w:rFonts w:ascii="Arial" w:hAnsi="Arial" w:cs="Arial"/>
          <w:sz w:val="20"/>
          <w:szCs w:val="20"/>
        </w:rPr>
        <w:t>to</w:t>
      </w:r>
      <w:r w:rsidRPr="64CC0F30">
        <w:rPr>
          <w:rStyle w:val="normaltextrun"/>
          <w:rFonts w:ascii="Arial" w:hAnsi="Arial" w:cs="Arial"/>
          <w:sz w:val="20"/>
          <w:szCs w:val="20"/>
        </w:rPr>
        <w:t xml:space="preserve"> improve case finding and to promote prevention strategies for populations at risk. Two doses of JYNNEOS vaccines works to prevent mpox in most people. Vaccinated people </w:t>
      </w:r>
      <w:r w:rsidR="33A0E6B1" w:rsidRPr="64CC0F30">
        <w:rPr>
          <w:rStyle w:val="normaltextrun"/>
          <w:rFonts w:ascii="Arial" w:hAnsi="Arial" w:cs="Arial"/>
          <w:sz w:val="20"/>
          <w:szCs w:val="20"/>
        </w:rPr>
        <w:t xml:space="preserve">who subsequently are infected </w:t>
      </w:r>
      <w:r w:rsidRPr="64CC0F30">
        <w:rPr>
          <w:rStyle w:val="normaltextrun"/>
          <w:rFonts w:ascii="Arial" w:hAnsi="Arial" w:cs="Arial"/>
          <w:sz w:val="20"/>
          <w:szCs w:val="20"/>
        </w:rPr>
        <w:t>with mpox tend to have milder disease. Given the effectiveness of vaccination, individuals at risk for mpox should be offered two doses of JYNNEOS administered at least 28 days apart if they anticipate possible exposures through sexual or intimate contact, including MSM with multiple sex partners or those who have sex with others who have multiple sex partners. Travelers to countries with sustained spread of clade I mpox should be made aware of activities associated with transmission and should also be vaccinated with two doses of JYNNEOS if they anticipate possible exposures through sexual or intimate contact, household contact or within healthcare settings while traveling.</w:t>
      </w:r>
      <w:r w:rsidRPr="64CC0F30">
        <w:rPr>
          <w:rStyle w:val="eop"/>
          <w:rFonts w:ascii="Arial" w:hAnsi="Arial" w:cs="Arial"/>
          <w:sz w:val="20"/>
          <w:szCs w:val="20"/>
        </w:rPr>
        <w:t> </w:t>
      </w:r>
    </w:p>
    <w:p w14:paraId="7856B645" w14:textId="77777777"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7498A55" w14:textId="30879C17" w:rsidR="009C45B1" w:rsidRDefault="6C22D136" w:rsidP="64CC0F30">
      <w:pPr>
        <w:pStyle w:val="paragraph"/>
        <w:spacing w:before="0" w:beforeAutospacing="0" w:after="0" w:afterAutospacing="0"/>
        <w:textAlignment w:val="baseline"/>
        <w:rPr>
          <w:rStyle w:val="normaltextrun"/>
          <w:rFonts w:ascii="Arial" w:hAnsi="Arial" w:cs="Arial"/>
          <w:sz w:val="20"/>
          <w:szCs w:val="20"/>
        </w:rPr>
      </w:pPr>
      <w:r w:rsidRPr="64CC0F30">
        <w:rPr>
          <w:rStyle w:val="normaltextrun"/>
          <w:rFonts w:ascii="Arial" w:hAnsi="Arial" w:cs="Arial"/>
          <w:sz w:val="20"/>
          <w:szCs w:val="20"/>
        </w:rPr>
        <w:t>Clinicians should be aware of mpox symptoms and ask patients about sexual history, travel history and other risk factors for mpox, and consider MPXV testing when appropriate. Suspected cases of mpox should be tested and reported to DPH promptly.</w:t>
      </w:r>
    </w:p>
    <w:p w14:paraId="072E7C07" w14:textId="77777777" w:rsidR="00B95D64" w:rsidRDefault="00B95D64" w:rsidP="00B95D64">
      <w:pPr>
        <w:pStyle w:val="paragraph"/>
        <w:spacing w:before="0" w:beforeAutospacing="0" w:after="0" w:afterAutospacing="0"/>
        <w:rPr>
          <w:rFonts w:ascii="Arial" w:hAnsi="Arial" w:cs="Arial"/>
          <w:b/>
          <w:bCs/>
          <w:sz w:val="20"/>
        </w:rPr>
      </w:pPr>
    </w:p>
    <w:p w14:paraId="059B84FD" w14:textId="0477E8E6"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sz w:val="20"/>
        </w:rPr>
        <w:lastRenderedPageBreak/>
        <w:t>Recommendations for Clinicians and Public Health Practitioners</w:t>
      </w:r>
      <w:r w:rsidRPr="009C45B1">
        <w:rPr>
          <w:rFonts w:ascii="Arial" w:hAnsi="Arial" w:cs="Arial"/>
          <w:sz w:val="20"/>
        </w:rPr>
        <w:t> </w:t>
      </w:r>
    </w:p>
    <w:p w14:paraId="3A4986E6"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i/>
          <w:iCs/>
          <w:sz w:val="20"/>
        </w:rPr>
        <w:t>Prevention</w:t>
      </w:r>
      <w:r w:rsidRPr="009C45B1">
        <w:rPr>
          <w:rFonts w:ascii="Arial" w:hAnsi="Arial" w:cs="Arial"/>
          <w:sz w:val="20"/>
        </w:rPr>
        <w:t> </w:t>
      </w:r>
    </w:p>
    <w:p w14:paraId="31C8E6BE" w14:textId="306276AC" w:rsidR="009C45B1" w:rsidRPr="009C45B1" w:rsidRDefault="305C288A" w:rsidP="64CC0F30">
      <w:pPr>
        <w:pStyle w:val="paragraph"/>
        <w:numPr>
          <w:ilvl w:val="0"/>
          <w:numId w:val="1"/>
        </w:numPr>
        <w:spacing w:before="0" w:beforeAutospacing="0" w:after="0" w:afterAutospacing="0"/>
        <w:rPr>
          <w:rFonts w:ascii="Arial" w:hAnsi="Arial" w:cs="Arial"/>
          <w:sz w:val="20"/>
          <w:szCs w:val="20"/>
        </w:rPr>
      </w:pPr>
      <w:r w:rsidRPr="64CC0F30">
        <w:rPr>
          <w:rFonts w:ascii="Arial" w:hAnsi="Arial" w:cs="Arial"/>
          <w:sz w:val="20"/>
          <w:szCs w:val="20"/>
        </w:rPr>
        <w:t>Vaccinate</w:t>
      </w:r>
      <w:r w:rsidR="510E14DF" w:rsidRPr="64CC0F30">
        <w:rPr>
          <w:rFonts w:ascii="Arial" w:hAnsi="Arial" w:cs="Arial"/>
          <w:sz w:val="20"/>
          <w:szCs w:val="20"/>
        </w:rPr>
        <w:t xml:space="preserve"> people who are at risk for exposure. Mpox vaccine can also be given as post-exposure prophylaxis (PEP). </w:t>
      </w:r>
    </w:p>
    <w:p w14:paraId="0348E1EA" w14:textId="77777777" w:rsidR="009C45B1" w:rsidRPr="009C45B1" w:rsidRDefault="009C45B1" w:rsidP="004079EB">
      <w:pPr>
        <w:pStyle w:val="paragraph"/>
        <w:numPr>
          <w:ilvl w:val="0"/>
          <w:numId w:val="2"/>
        </w:numPr>
        <w:spacing w:before="0" w:beforeAutospacing="0" w:after="0" w:afterAutospacing="0"/>
        <w:rPr>
          <w:rFonts w:ascii="Arial" w:hAnsi="Arial" w:cs="Arial"/>
          <w:sz w:val="20"/>
        </w:rPr>
      </w:pPr>
      <w:r w:rsidRPr="009C45B1">
        <w:rPr>
          <w:rFonts w:ascii="Arial" w:hAnsi="Arial" w:cs="Arial"/>
          <w:sz w:val="20"/>
        </w:rPr>
        <w:t xml:space="preserve">Continue to follow CDC’s </w:t>
      </w:r>
      <w:hyperlink r:id="rId9" w:tgtFrame="_blank" w:history="1">
        <w:r w:rsidRPr="009C45B1">
          <w:rPr>
            <w:rStyle w:val="Hyperlink"/>
            <w:rFonts w:ascii="Arial" w:hAnsi="Arial" w:cs="Arial"/>
            <w:sz w:val="20"/>
          </w:rPr>
          <w:t>current vaccine guidance</w:t>
        </w:r>
      </w:hyperlink>
      <w:r w:rsidRPr="009C45B1">
        <w:rPr>
          <w:rFonts w:ascii="Arial" w:hAnsi="Arial" w:cs="Arial"/>
          <w:sz w:val="20"/>
        </w:rPr>
        <w:t xml:space="preserve"> to prevent mpox. </w:t>
      </w:r>
    </w:p>
    <w:p w14:paraId="1E0F8E26" w14:textId="77777777" w:rsidR="009C45B1" w:rsidRPr="009C45B1" w:rsidRDefault="009C45B1" w:rsidP="004079EB">
      <w:pPr>
        <w:pStyle w:val="paragraph"/>
        <w:numPr>
          <w:ilvl w:val="0"/>
          <w:numId w:val="3"/>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 xml:space="preserve">Two doses of </w:t>
      </w:r>
      <w:hyperlink r:id="rId10" w:tgtFrame="_blank" w:history="1">
        <w:r w:rsidRPr="009C45B1">
          <w:rPr>
            <w:rStyle w:val="Hyperlink"/>
            <w:rFonts w:ascii="Arial" w:hAnsi="Arial" w:cs="Arial"/>
            <w:sz w:val="20"/>
          </w:rPr>
          <w:t>JYNNEOS</w:t>
        </w:r>
      </w:hyperlink>
      <w:r w:rsidRPr="009C45B1">
        <w:rPr>
          <w:rFonts w:ascii="Arial" w:hAnsi="Arial" w:cs="Arial"/>
          <w:sz w:val="20"/>
        </w:rPr>
        <w:t xml:space="preserve"> vaccine offer substantial protection against mpox and are expected to offer protection regardless of clade.  </w:t>
      </w:r>
    </w:p>
    <w:p w14:paraId="55CD0DDD" w14:textId="77777777" w:rsidR="009C45B1" w:rsidRPr="009C45B1" w:rsidRDefault="009C45B1" w:rsidP="004079EB">
      <w:pPr>
        <w:pStyle w:val="paragraph"/>
        <w:numPr>
          <w:ilvl w:val="0"/>
          <w:numId w:val="4"/>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If people at risk for mpox have only received one dose, remind them to get a second dose as soon as possible (at least 28 days after their first dose).  </w:t>
      </w:r>
    </w:p>
    <w:p w14:paraId="3699C1C2" w14:textId="77777777" w:rsidR="009C45B1" w:rsidRPr="009C45B1" w:rsidRDefault="009C45B1" w:rsidP="004079EB">
      <w:pPr>
        <w:pStyle w:val="paragraph"/>
        <w:numPr>
          <w:ilvl w:val="0"/>
          <w:numId w:val="5"/>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 xml:space="preserve">More than two JYNNEOS vaccine doses (“boosters”) are not currently recommended for most people. There is no evidence of waning immunity following vaccination </w:t>
      </w:r>
      <w:proofErr w:type="gramStart"/>
      <w:r w:rsidRPr="009C45B1">
        <w:rPr>
          <w:rFonts w:ascii="Arial" w:hAnsi="Arial" w:cs="Arial"/>
          <w:sz w:val="20"/>
        </w:rPr>
        <w:t>at this time</w:t>
      </w:r>
      <w:proofErr w:type="gramEnd"/>
      <w:r w:rsidRPr="009C45B1">
        <w:rPr>
          <w:rFonts w:ascii="Arial" w:hAnsi="Arial" w:cs="Arial"/>
          <w:sz w:val="20"/>
        </w:rPr>
        <w:t>. </w:t>
      </w:r>
    </w:p>
    <w:p w14:paraId="12A71E75" w14:textId="6C07B657" w:rsidR="009C45B1" w:rsidRPr="009C45B1" w:rsidRDefault="510E14DF" w:rsidP="64CC0F30">
      <w:pPr>
        <w:pStyle w:val="paragraph"/>
        <w:numPr>
          <w:ilvl w:val="0"/>
          <w:numId w:val="6"/>
        </w:numPr>
        <w:tabs>
          <w:tab w:val="clear" w:pos="720"/>
          <w:tab w:val="num" w:pos="1080"/>
        </w:tabs>
        <w:spacing w:before="0" w:beforeAutospacing="0" w:after="0" w:afterAutospacing="0"/>
        <w:ind w:left="1080"/>
        <w:rPr>
          <w:rFonts w:ascii="Arial" w:eastAsia="Arial" w:hAnsi="Arial" w:cs="Arial"/>
          <w:sz w:val="20"/>
          <w:szCs w:val="20"/>
        </w:rPr>
      </w:pPr>
      <w:r w:rsidRPr="64CC0F30">
        <w:rPr>
          <w:rFonts w:ascii="Arial" w:hAnsi="Arial" w:cs="Arial"/>
          <w:sz w:val="20"/>
          <w:szCs w:val="20"/>
        </w:rPr>
        <w:t xml:space="preserve">As PEP, </w:t>
      </w:r>
      <w:r w:rsidR="19EBF666" w:rsidRPr="64CC0F30">
        <w:rPr>
          <w:rFonts w:ascii="Arial" w:hAnsi="Arial" w:cs="Arial"/>
          <w:sz w:val="20"/>
          <w:szCs w:val="20"/>
        </w:rPr>
        <w:t xml:space="preserve">JYNNEOS </w:t>
      </w:r>
      <w:r w:rsidRPr="64CC0F30">
        <w:rPr>
          <w:rFonts w:ascii="Arial" w:hAnsi="Arial" w:cs="Arial"/>
          <w:sz w:val="20"/>
          <w:szCs w:val="20"/>
        </w:rPr>
        <w:t xml:space="preserve">vaccine should be given as soon as possible, ideally within four days of exposure; administration 4 through 14 days after exposure may still provide some protection against </w:t>
      </w:r>
      <w:r w:rsidRPr="64CC0F30">
        <w:rPr>
          <w:rFonts w:ascii="Arial" w:eastAsia="Arial" w:hAnsi="Arial" w:cs="Arial"/>
          <w:sz w:val="20"/>
          <w:szCs w:val="20"/>
        </w:rPr>
        <w:t>mpox and lessen the severity of disease.</w:t>
      </w:r>
    </w:p>
    <w:p w14:paraId="43AB0D96" w14:textId="5C6272CB" w:rsidR="009C45B1" w:rsidRPr="009C45B1" w:rsidRDefault="33D89E3A" w:rsidP="64CC0F30">
      <w:pPr>
        <w:pStyle w:val="paragraph"/>
        <w:numPr>
          <w:ilvl w:val="0"/>
          <w:numId w:val="6"/>
        </w:numPr>
        <w:tabs>
          <w:tab w:val="clear" w:pos="720"/>
          <w:tab w:val="num" w:pos="1080"/>
        </w:tabs>
        <w:spacing w:before="0" w:beforeAutospacing="0" w:after="0" w:afterAutospacing="0"/>
        <w:ind w:left="1080"/>
        <w:rPr>
          <w:rFonts w:ascii="Arial" w:eastAsia="Arial" w:hAnsi="Arial" w:cs="Arial"/>
          <w:sz w:val="20"/>
          <w:szCs w:val="20"/>
        </w:rPr>
      </w:pPr>
      <w:r w:rsidRPr="64CC0F30">
        <w:rPr>
          <w:rFonts w:ascii="Arial" w:eastAsia="Arial" w:hAnsi="Arial" w:cs="Arial"/>
          <w:sz w:val="20"/>
          <w:szCs w:val="20"/>
        </w:rPr>
        <w:t>The cost of JYNNEOS vaccine and vaccine administration may be covered by some health insurance plans.</w:t>
      </w:r>
      <w:r w:rsidR="2E2A0ABB" w:rsidRPr="64CC0F30">
        <w:rPr>
          <w:rFonts w:ascii="Arial" w:eastAsia="Arial" w:hAnsi="Arial" w:cs="Arial"/>
          <w:sz w:val="20"/>
          <w:szCs w:val="20"/>
        </w:rPr>
        <w:t xml:space="preserve"> </w:t>
      </w:r>
      <w:r w:rsidR="1C41EAC5" w:rsidRPr="64CC0F30">
        <w:rPr>
          <w:rFonts w:ascii="Arial" w:eastAsia="Arial" w:hAnsi="Arial" w:cs="Arial"/>
          <w:sz w:val="20"/>
          <w:szCs w:val="20"/>
        </w:rPr>
        <w:t xml:space="preserve">The CDC provides </w:t>
      </w:r>
      <w:hyperlink r:id="rId11">
        <w:r w:rsidR="1C41EAC5" w:rsidRPr="64CC0F30">
          <w:rPr>
            <w:rStyle w:val="Hyperlink"/>
            <w:rFonts w:ascii="Arial" w:eastAsia="Arial" w:hAnsi="Arial" w:cs="Arial"/>
            <w:sz w:val="20"/>
            <w:szCs w:val="20"/>
          </w:rPr>
          <w:t>information</w:t>
        </w:r>
      </w:hyperlink>
      <w:r w:rsidR="1C41EAC5" w:rsidRPr="64CC0F30">
        <w:rPr>
          <w:rFonts w:ascii="Arial" w:eastAsia="Arial" w:hAnsi="Arial" w:cs="Arial"/>
          <w:sz w:val="20"/>
          <w:szCs w:val="20"/>
        </w:rPr>
        <w:t xml:space="preserve"> about </w:t>
      </w:r>
      <w:r w:rsidR="46EA6F19" w:rsidRPr="64CC0F30">
        <w:rPr>
          <w:rFonts w:ascii="Arial" w:eastAsia="Arial" w:hAnsi="Arial" w:cs="Arial"/>
          <w:sz w:val="20"/>
          <w:szCs w:val="20"/>
        </w:rPr>
        <w:t>coverage policies for Medicaid, CHIP, Medicare, VA, TRICARE, and private or commercial insurance. There is no cost to eligible individuals over the age of 19 that are uninsured/underinsured when JYNNEOS vaccine is administered at a designated health center. There is no cost to eligible individuals who are 18 years of age, irrespective of insurance status</w:t>
      </w:r>
      <w:r w:rsidR="46EA6F19" w:rsidRPr="64CC0F30">
        <w:rPr>
          <w:rFonts w:ascii="Arial" w:eastAsia="Arial" w:hAnsi="Arial" w:cs="Arial"/>
          <w:color w:val="242424"/>
          <w:sz w:val="20"/>
          <w:szCs w:val="20"/>
        </w:rPr>
        <w:t>.</w:t>
      </w:r>
      <w:r w:rsidRPr="64CC0F30">
        <w:rPr>
          <w:rFonts w:ascii="Arial" w:eastAsia="Arial" w:hAnsi="Arial" w:cs="Arial"/>
          <w:sz w:val="20"/>
          <w:szCs w:val="20"/>
        </w:rPr>
        <w:t xml:space="preserve"> </w:t>
      </w:r>
      <w:r w:rsidR="510E14DF" w:rsidRPr="64CC0F30">
        <w:rPr>
          <w:rFonts w:ascii="Arial" w:eastAsia="Arial" w:hAnsi="Arial" w:cs="Arial"/>
          <w:sz w:val="20"/>
          <w:szCs w:val="20"/>
        </w:rPr>
        <w:t> </w:t>
      </w:r>
    </w:p>
    <w:p w14:paraId="143512BB" w14:textId="0ABCAC12" w:rsidR="009C45B1" w:rsidRPr="009C45B1" w:rsidRDefault="510E14DF" w:rsidP="64CC0F30">
      <w:pPr>
        <w:pStyle w:val="paragraph"/>
        <w:numPr>
          <w:ilvl w:val="0"/>
          <w:numId w:val="7"/>
        </w:numPr>
        <w:tabs>
          <w:tab w:val="clear" w:pos="720"/>
          <w:tab w:val="num" w:pos="1080"/>
        </w:tabs>
        <w:spacing w:before="0" w:beforeAutospacing="0" w:after="0" w:afterAutospacing="0"/>
        <w:ind w:left="1080"/>
        <w:rPr>
          <w:rFonts w:ascii="Arial" w:hAnsi="Arial" w:cs="Arial"/>
          <w:sz w:val="20"/>
          <w:szCs w:val="20"/>
        </w:rPr>
      </w:pPr>
      <w:r w:rsidRPr="64CC0F30">
        <w:rPr>
          <w:rFonts w:ascii="Arial" w:eastAsia="Arial" w:hAnsi="Arial" w:cs="Arial"/>
          <w:sz w:val="20"/>
          <w:szCs w:val="20"/>
        </w:rPr>
        <w:t>State-supplied JYNNEOS can be o</w:t>
      </w:r>
      <w:r w:rsidRPr="64CC0F30">
        <w:rPr>
          <w:rFonts w:ascii="Arial" w:hAnsi="Arial" w:cs="Arial"/>
          <w:sz w:val="20"/>
          <w:szCs w:val="20"/>
        </w:rPr>
        <w:t xml:space="preserve">rdered in the </w:t>
      </w:r>
      <w:hyperlink r:id="rId12">
        <w:r w:rsidRPr="64CC0F30">
          <w:rPr>
            <w:rStyle w:val="Hyperlink"/>
            <w:rFonts w:ascii="Arial" w:hAnsi="Arial" w:cs="Arial"/>
            <w:sz w:val="20"/>
            <w:szCs w:val="20"/>
          </w:rPr>
          <w:t>Massachusetts Immunization Information System (MIIS)</w:t>
        </w:r>
      </w:hyperlink>
      <w:r w:rsidRPr="64CC0F30">
        <w:rPr>
          <w:rFonts w:ascii="Arial" w:hAnsi="Arial" w:cs="Arial"/>
          <w:sz w:val="20"/>
          <w:szCs w:val="20"/>
        </w:rPr>
        <w:t xml:space="preserve"> for all enrolled provider sites. As defined by the most current versions of the </w:t>
      </w:r>
      <w:hyperlink r:id="rId13">
        <w:r w:rsidRPr="64CC0F30">
          <w:rPr>
            <w:rStyle w:val="Hyperlink"/>
            <w:rFonts w:ascii="Arial" w:hAnsi="Arial" w:cs="Arial"/>
            <w:sz w:val="20"/>
            <w:szCs w:val="20"/>
          </w:rPr>
          <w:t>Adult</w:t>
        </w:r>
      </w:hyperlink>
      <w:r w:rsidRPr="64CC0F30">
        <w:rPr>
          <w:rFonts w:ascii="Arial" w:hAnsi="Arial" w:cs="Arial"/>
          <w:sz w:val="20"/>
          <w:szCs w:val="20"/>
        </w:rPr>
        <w:t xml:space="preserve"> and </w:t>
      </w:r>
      <w:hyperlink r:id="rId14">
        <w:r w:rsidRPr="64CC0F30">
          <w:rPr>
            <w:rStyle w:val="Hyperlink"/>
            <w:rFonts w:ascii="Arial" w:hAnsi="Arial" w:cs="Arial"/>
            <w:sz w:val="20"/>
            <w:szCs w:val="20"/>
          </w:rPr>
          <w:t>Childhood Availability Tables</w:t>
        </w:r>
      </w:hyperlink>
      <w:r w:rsidRPr="64CC0F30">
        <w:rPr>
          <w:rFonts w:ascii="Arial" w:hAnsi="Arial" w:cs="Arial"/>
          <w:sz w:val="20"/>
          <w:szCs w:val="20"/>
        </w:rPr>
        <w:t>, state-supplied Mpox vaccine can be administered to high-risk pediatric patients 18 years of age at any provider site and to uninsured/underinsured adult patients (aged 19+ years) that are seen at public provider sites (i.e. community health center, local health department, county jail). An underinsured individual is defined as "a person who has health insurance, but the insurance does not cover any vaccines; a person whose insurance covers only selected vaccines; a person whose insurance does not provide first-dollar coverage for vaccines. First-dollar coverage includes copays, coinsurance and deductibles."</w:t>
      </w:r>
      <w:r w:rsidRPr="64CC0F30">
        <w:rPr>
          <w:rFonts w:ascii="Arial" w:hAnsi="Arial" w:cs="Arial"/>
          <w:sz w:val="20"/>
          <w:szCs w:val="20"/>
          <w:u w:val="single"/>
        </w:rPr>
        <w:t xml:space="preserve"> The Vaccine Program recognizes that it is sometimes difficult to receive confirmation regarding </w:t>
      </w:r>
      <w:proofErr w:type="gramStart"/>
      <w:r w:rsidRPr="64CC0F30">
        <w:rPr>
          <w:rFonts w:ascii="Arial" w:hAnsi="Arial" w:cs="Arial"/>
          <w:sz w:val="20"/>
          <w:szCs w:val="20"/>
          <w:u w:val="single"/>
        </w:rPr>
        <w:t>whether or not</w:t>
      </w:r>
      <w:proofErr w:type="gramEnd"/>
      <w:r w:rsidRPr="64CC0F30">
        <w:rPr>
          <w:rFonts w:ascii="Arial" w:hAnsi="Arial" w:cs="Arial"/>
          <w:sz w:val="20"/>
          <w:szCs w:val="20"/>
          <w:u w:val="single"/>
        </w:rPr>
        <w:t xml:space="preserve"> an individual is truly underinsured</w:t>
      </w:r>
      <w:r w:rsidR="6DD891EF" w:rsidRPr="64CC0F30">
        <w:rPr>
          <w:rFonts w:ascii="Arial" w:hAnsi="Arial" w:cs="Arial"/>
          <w:sz w:val="20"/>
          <w:szCs w:val="20"/>
          <w:u w:val="single"/>
        </w:rPr>
        <w:t xml:space="preserve"> or uninsured</w:t>
      </w:r>
      <w:r w:rsidRPr="64CC0F30">
        <w:rPr>
          <w:rFonts w:ascii="Arial" w:hAnsi="Arial" w:cs="Arial"/>
          <w:sz w:val="20"/>
          <w:szCs w:val="20"/>
          <w:u w:val="single"/>
        </w:rPr>
        <w:t xml:space="preserve"> at the point of vaccine administration. Please note that if you are a public site and an individual presents themselves as underinsured</w:t>
      </w:r>
      <w:r w:rsidR="65DC2E98" w:rsidRPr="64CC0F30">
        <w:rPr>
          <w:rFonts w:ascii="Arial" w:hAnsi="Arial" w:cs="Arial"/>
          <w:sz w:val="20"/>
          <w:szCs w:val="20"/>
          <w:u w:val="single"/>
        </w:rPr>
        <w:t xml:space="preserve"> or uninsured</w:t>
      </w:r>
      <w:r w:rsidRPr="64CC0F30">
        <w:rPr>
          <w:rFonts w:ascii="Arial" w:hAnsi="Arial" w:cs="Arial"/>
          <w:sz w:val="20"/>
          <w:szCs w:val="20"/>
          <w:u w:val="single"/>
        </w:rPr>
        <w:t xml:space="preserve"> (even if this cannot be verified in real time through best efforts of the provider site), they can be considered as underinsured </w:t>
      </w:r>
      <w:r w:rsidR="14BC7A1A" w:rsidRPr="64CC0F30">
        <w:rPr>
          <w:rFonts w:ascii="Arial" w:hAnsi="Arial" w:cs="Arial"/>
          <w:sz w:val="20"/>
          <w:szCs w:val="20"/>
          <w:u w:val="single"/>
        </w:rPr>
        <w:t xml:space="preserve">or uninsured </w:t>
      </w:r>
      <w:r w:rsidRPr="64CC0F30">
        <w:rPr>
          <w:rFonts w:ascii="Arial" w:hAnsi="Arial" w:cs="Arial"/>
          <w:sz w:val="20"/>
          <w:szCs w:val="20"/>
          <w:u w:val="single"/>
        </w:rPr>
        <w:t>and eligible to receive a state-supplied dose of Mpox vaccine</w:t>
      </w:r>
      <w:r w:rsidRPr="64CC0F30">
        <w:rPr>
          <w:rFonts w:ascii="Arial" w:hAnsi="Arial" w:cs="Arial"/>
          <w:sz w:val="20"/>
          <w:szCs w:val="20"/>
        </w:rPr>
        <w:t>. </w:t>
      </w:r>
    </w:p>
    <w:p w14:paraId="531C3E3D" w14:textId="77777777" w:rsidR="009C45B1" w:rsidRPr="009C45B1" w:rsidRDefault="009C45B1" w:rsidP="004079EB">
      <w:pPr>
        <w:pStyle w:val="paragraph"/>
        <w:numPr>
          <w:ilvl w:val="0"/>
          <w:numId w:val="8"/>
        </w:numPr>
        <w:spacing w:before="0" w:beforeAutospacing="0" w:after="0" w:afterAutospacing="0"/>
        <w:rPr>
          <w:rFonts w:ascii="Arial" w:hAnsi="Arial" w:cs="Arial"/>
          <w:sz w:val="20"/>
        </w:rPr>
      </w:pPr>
      <w:r w:rsidRPr="009C45B1">
        <w:rPr>
          <w:rFonts w:ascii="Arial" w:hAnsi="Arial" w:cs="Arial"/>
          <w:sz w:val="20"/>
        </w:rPr>
        <w:t xml:space="preserve">Counsel patients on </w:t>
      </w:r>
      <w:hyperlink r:id="rId15" w:tgtFrame="_blank" w:history="1">
        <w:r w:rsidRPr="009C45B1">
          <w:rPr>
            <w:rStyle w:val="Hyperlink"/>
            <w:rFonts w:ascii="Arial" w:hAnsi="Arial" w:cs="Arial"/>
            <w:sz w:val="20"/>
          </w:rPr>
          <w:t>activities that may increase risk</w:t>
        </w:r>
      </w:hyperlink>
      <w:r w:rsidRPr="009C45B1">
        <w:rPr>
          <w:rFonts w:ascii="Arial" w:hAnsi="Arial" w:cs="Arial"/>
          <w:sz w:val="20"/>
        </w:rPr>
        <w:t xml:space="preserve"> for MPXV exposure and risk reduction strategies if they have plans to travel to a </w:t>
      </w:r>
      <w:hyperlink r:id="rId16" w:tgtFrame="_blank" w:history="1">
        <w:r w:rsidRPr="009C45B1">
          <w:rPr>
            <w:rStyle w:val="Hyperlink"/>
            <w:rFonts w:ascii="Arial" w:hAnsi="Arial" w:cs="Arial"/>
            <w:sz w:val="20"/>
          </w:rPr>
          <w:t>country where ongoing human-to-human transmission</w:t>
        </w:r>
      </w:hyperlink>
      <w:r w:rsidRPr="009C45B1">
        <w:rPr>
          <w:rFonts w:ascii="Arial" w:hAnsi="Arial" w:cs="Arial"/>
          <w:sz w:val="20"/>
        </w:rPr>
        <w:t xml:space="preserve"> of clade I MPXV is occurring. Travelers to affected countries should: </w:t>
      </w:r>
    </w:p>
    <w:p w14:paraId="7D8C8DBD" w14:textId="77777777" w:rsidR="009C45B1" w:rsidRPr="009C45B1" w:rsidRDefault="009C45B1" w:rsidP="004079EB">
      <w:pPr>
        <w:pStyle w:val="paragraph"/>
        <w:numPr>
          <w:ilvl w:val="0"/>
          <w:numId w:val="9"/>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Avoid close contact with people who are sick with signs and symptoms of mpox, including skin or genital lesions. </w:t>
      </w:r>
    </w:p>
    <w:p w14:paraId="142674DD" w14:textId="77777777" w:rsidR="009C45B1" w:rsidRPr="009C45B1" w:rsidRDefault="009C45B1" w:rsidP="004079EB">
      <w:pPr>
        <w:pStyle w:val="paragraph"/>
        <w:numPr>
          <w:ilvl w:val="0"/>
          <w:numId w:val="10"/>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Avoid contact with contaminated materials used by people who are sick, such as clothing, bedding, toothbrushes, sex toys, or materials used in healthcare settings.  </w:t>
      </w:r>
    </w:p>
    <w:p w14:paraId="225DF6AA" w14:textId="77777777" w:rsidR="009C45B1" w:rsidRPr="009C45B1" w:rsidRDefault="009C45B1" w:rsidP="004079EB">
      <w:pPr>
        <w:pStyle w:val="paragraph"/>
        <w:numPr>
          <w:ilvl w:val="0"/>
          <w:numId w:val="11"/>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Avoid contact with animals (e.g. small rodents, non-human primates and anteaters) that can carry the virus that causes mpox or their products (e.g., bushmeat, lotions, hides) in areas where mpox is endemic, particularly in Central or West Africa. </w:t>
      </w:r>
    </w:p>
    <w:p w14:paraId="09CC89F7"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06D570AC"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i/>
          <w:iCs/>
          <w:sz w:val="20"/>
        </w:rPr>
        <w:t>Evaluation and Diagnosis</w:t>
      </w:r>
      <w:r w:rsidRPr="009C45B1">
        <w:rPr>
          <w:rFonts w:ascii="Arial" w:hAnsi="Arial" w:cs="Arial"/>
          <w:sz w:val="20"/>
        </w:rPr>
        <w:t> </w:t>
      </w:r>
    </w:p>
    <w:p w14:paraId="455022D8" w14:textId="77777777" w:rsidR="009C45B1" w:rsidRPr="009C45B1" w:rsidRDefault="009C45B1" w:rsidP="004079EB">
      <w:pPr>
        <w:pStyle w:val="paragraph"/>
        <w:numPr>
          <w:ilvl w:val="0"/>
          <w:numId w:val="12"/>
        </w:numPr>
        <w:spacing w:before="0" w:beforeAutospacing="0" w:after="0" w:afterAutospacing="0"/>
        <w:rPr>
          <w:rFonts w:ascii="Arial" w:hAnsi="Arial" w:cs="Arial"/>
          <w:sz w:val="20"/>
          <w:szCs w:val="20"/>
        </w:rPr>
      </w:pPr>
      <w:r w:rsidRPr="40D668F7">
        <w:rPr>
          <w:rFonts w:ascii="Arial" w:hAnsi="Arial" w:cs="Arial"/>
          <w:sz w:val="20"/>
          <w:szCs w:val="20"/>
        </w:rPr>
        <w:t xml:space="preserve">Consider mpox as a possible diagnosis in patients with </w:t>
      </w:r>
      <w:hyperlink r:id="rId17">
        <w:r w:rsidRPr="40D668F7">
          <w:rPr>
            <w:rStyle w:val="Hyperlink"/>
            <w:rFonts w:ascii="Arial" w:hAnsi="Arial" w:cs="Arial"/>
            <w:sz w:val="20"/>
            <w:szCs w:val="20"/>
          </w:rPr>
          <w:t>epidemiologic characteristics</w:t>
        </w:r>
      </w:hyperlink>
      <w:r w:rsidRPr="40D668F7">
        <w:rPr>
          <w:rFonts w:ascii="Arial" w:hAnsi="Arial" w:cs="Arial"/>
          <w:sz w:val="20"/>
          <w:szCs w:val="20"/>
        </w:rPr>
        <w:t xml:space="preserve"> and </w:t>
      </w:r>
      <w:hyperlink r:id="rId18">
        <w:r w:rsidRPr="40D668F7">
          <w:rPr>
            <w:rStyle w:val="Hyperlink"/>
            <w:rFonts w:ascii="Arial" w:hAnsi="Arial" w:cs="Arial"/>
            <w:sz w:val="20"/>
            <w:szCs w:val="20"/>
          </w:rPr>
          <w:t>lesions or other clinical signs and symptoms</w:t>
        </w:r>
      </w:hyperlink>
      <w:r w:rsidRPr="40D668F7">
        <w:rPr>
          <w:rFonts w:ascii="Arial" w:hAnsi="Arial" w:cs="Arial"/>
          <w:sz w:val="20"/>
          <w:szCs w:val="20"/>
        </w:rPr>
        <w:t xml:space="preserve"> consistent with mpox regardless of previous vaccination or infection.</w:t>
      </w:r>
      <w:r w:rsidRPr="40D668F7">
        <w:rPr>
          <w:rFonts w:ascii="Arial" w:hAnsi="Arial" w:cs="Arial"/>
          <w:b/>
          <w:bCs/>
          <w:sz w:val="20"/>
          <w:szCs w:val="20"/>
        </w:rPr>
        <w:t> </w:t>
      </w:r>
      <w:r w:rsidRPr="40D668F7">
        <w:rPr>
          <w:rFonts w:ascii="Arial" w:hAnsi="Arial" w:cs="Arial"/>
          <w:sz w:val="20"/>
          <w:szCs w:val="20"/>
        </w:rPr>
        <w:t> </w:t>
      </w:r>
    </w:p>
    <w:p w14:paraId="2E558054" w14:textId="242388E5" w:rsidR="009C45B1" w:rsidRPr="009C45B1" w:rsidRDefault="510E14DF" w:rsidP="64CC0F30">
      <w:pPr>
        <w:pStyle w:val="paragraph"/>
        <w:numPr>
          <w:ilvl w:val="0"/>
          <w:numId w:val="13"/>
        </w:numPr>
        <w:spacing w:before="0" w:beforeAutospacing="0" w:after="0" w:afterAutospacing="0"/>
        <w:rPr>
          <w:rFonts w:ascii="Arial" w:hAnsi="Arial" w:cs="Arial"/>
          <w:sz w:val="20"/>
          <w:szCs w:val="20"/>
        </w:rPr>
      </w:pPr>
      <w:r w:rsidRPr="64CC0F30">
        <w:rPr>
          <w:rFonts w:ascii="Arial" w:hAnsi="Arial" w:cs="Arial"/>
          <w:sz w:val="20"/>
          <w:szCs w:val="20"/>
        </w:rPr>
        <w:t>While Clade II MPXV is endemic in Massachusetts, provider</w:t>
      </w:r>
      <w:r w:rsidR="19EBF666" w:rsidRPr="64CC0F30">
        <w:rPr>
          <w:rFonts w:ascii="Arial" w:hAnsi="Arial" w:cs="Arial"/>
          <w:sz w:val="20"/>
          <w:szCs w:val="20"/>
        </w:rPr>
        <w:t>s</w:t>
      </w:r>
      <w:r w:rsidRPr="64CC0F30">
        <w:rPr>
          <w:rFonts w:ascii="Arial" w:hAnsi="Arial" w:cs="Arial"/>
          <w:sz w:val="20"/>
          <w:szCs w:val="20"/>
        </w:rPr>
        <w:t xml:space="preserve"> should obtain a travel history to assess for the possibility of Clade I infection in symptomatic people who have been in Central or Eastern Africa (including, but not limited to, Burundi, Central African Republic, Democratic Republic of the Congo, Kenya, Malawi, Republic of the Congo, Rwanda, South Sudan, Tanzania, Uganda, and Zambia) in the previous 21 days. </w:t>
      </w:r>
    </w:p>
    <w:p w14:paraId="2128D169" w14:textId="77777777" w:rsidR="009C45B1" w:rsidRPr="009C45B1" w:rsidRDefault="009C45B1" w:rsidP="004079EB">
      <w:pPr>
        <w:pStyle w:val="paragraph"/>
        <w:numPr>
          <w:ilvl w:val="0"/>
          <w:numId w:val="14"/>
        </w:numPr>
        <w:spacing w:before="0" w:beforeAutospacing="0" w:after="0" w:afterAutospacing="0"/>
        <w:rPr>
          <w:rFonts w:ascii="Arial" w:hAnsi="Arial" w:cs="Arial"/>
          <w:sz w:val="20"/>
        </w:rPr>
      </w:pPr>
      <w:r w:rsidRPr="009C45B1">
        <w:rPr>
          <w:rFonts w:ascii="Arial" w:hAnsi="Arial" w:cs="Arial"/>
          <w:sz w:val="20"/>
        </w:rPr>
        <w:lastRenderedPageBreak/>
        <w:t xml:space="preserve">This also includes people who had close or intimate contact with symptomatic people who have been </w:t>
      </w:r>
      <w:proofErr w:type="gramStart"/>
      <w:r w:rsidRPr="009C45B1">
        <w:rPr>
          <w:rFonts w:ascii="Arial" w:hAnsi="Arial" w:cs="Arial"/>
          <w:sz w:val="20"/>
        </w:rPr>
        <w:t>in</w:t>
      </w:r>
      <w:proofErr w:type="gramEnd"/>
      <w:r w:rsidRPr="009C45B1">
        <w:rPr>
          <w:rFonts w:ascii="Arial" w:hAnsi="Arial" w:cs="Arial"/>
          <w:sz w:val="20"/>
        </w:rPr>
        <w:t xml:space="preserve"> these countries.  </w:t>
      </w:r>
    </w:p>
    <w:p w14:paraId="35F67A25" w14:textId="77777777" w:rsidR="009C45B1" w:rsidRPr="009C45B1" w:rsidRDefault="009C45B1" w:rsidP="004079EB">
      <w:pPr>
        <w:pStyle w:val="paragraph"/>
        <w:numPr>
          <w:ilvl w:val="0"/>
          <w:numId w:val="15"/>
        </w:numPr>
        <w:spacing w:before="0" w:beforeAutospacing="0" w:after="0" w:afterAutospacing="0"/>
        <w:rPr>
          <w:rFonts w:ascii="Arial" w:hAnsi="Arial" w:cs="Arial"/>
          <w:sz w:val="20"/>
        </w:rPr>
      </w:pPr>
      <w:r w:rsidRPr="009C45B1">
        <w:rPr>
          <w:rFonts w:ascii="Arial" w:hAnsi="Arial" w:cs="Arial"/>
          <w:sz w:val="20"/>
        </w:rPr>
        <w:t>Clinical Findings: </w:t>
      </w:r>
    </w:p>
    <w:p w14:paraId="4BB89E7B" w14:textId="77777777" w:rsidR="009C45B1" w:rsidRPr="009C45B1" w:rsidRDefault="009C45B1" w:rsidP="004079EB">
      <w:pPr>
        <w:pStyle w:val="paragraph"/>
        <w:numPr>
          <w:ilvl w:val="0"/>
          <w:numId w:val="16"/>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After an incubation period of 3-17 days, some individuals will develop a prodrome that may include fever, malaise, headache, sore throat, or cough, and (in many cases) swollen lymph nodes. Not all cases will develop a prodrome. </w:t>
      </w:r>
    </w:p>
    <w:p w14:paraId="04A4A1A4" w14:textId="73CB770B" w:rsidR="009C45B1" w:rsidRPr="009C45B1" w:rsidRDefault="510E14DF" w:rsidP="64CC0F30">
      <w:pPr>
        <w:pStyle w:val="paragraph"/>
        <w:numPr>
          <w:ilvl w:val="0"/>
          <w:numId w:val="17"/>
        </w:numPr>
        <w:tabs>
          <w:tab w:val="clear" w:pos="720"/>
          <w:tab w:val="num" w:pos="1080"/>
        </w:tabs>
        <w:spacing w:before="0" w:beforeAutospacing="0" w:after="0" w:afterAutospacing="0"/>
        <w:ind w:left="1080"/>
        <w:rPr>
          <w:rFonts w:ascii="Arial" w:hAnsi="Arial" w:cs="Arial"/>
          <w:sz w:val="20"/>
          <w:szCs w:val="20"/>
        </w:rPr>
      </w:pPr>
      <w:r w:rsidRPr="64CC0F30">
        <w:rPr>
          <w:rFonts w:ascii="Arial" w:hAnsi="Arial" w:cs="Arial"/>
          <w:sz w:val="20"/>
          <w:szCs w:val="20"/>
        </w:rPr>
        <w:t xml:space="preserve">Mpox infection typically causes lesions that progress from macules, papules, </w:t>
      </w:r>
      <w:r w:rsidR="19EBF666" w:rsidRPr="64CC0F30">
        <w:rPr>
          <w:rFonts w:ascii="Arial" w:hAnsi="Arial" w:cs="Arial"/>
          <w:sz w:val="20"/>
          <w:szCs w:val="20"/>
        </w:rPr>
        <w:t xml:space="preserve">and </w:t>
      </w:r>
      <w:r w:rsidRPr="64CC0F30">
        <w:rPr>
          <w:rFonts w:ascii="Arial" w:hAnsi="Arial" w:cs="Arial"/>
          <w:sz w:val="20"/>
          <w:szCs w:val="20"/>
        </w:rPr>
        <w:t xml:space="preserve">vesicles, to pustules, and then scabs.  Mature lesions are firm or </w:t>
      </w:r>
      <w:proofErr w:type="gramStart"/>
      <w:r w:rsidRPr="64CC0F30">
        <w:rPr>
          <w:rFonts w:ascii="Arial" w:hAnsi="Arial" w:cs="Arial"/>
          <w:sz w:val="20"/>
          <w:szCs w:val="20"/>
        </w:rPr>
        <w:t>rubbery</w:t>
      </w:r>
      <w:proofErr w:type="gramEnd"/>
      <w:r w:rsidRPr="64CC0F30">
        <w:rPr>
          <w:rFonts w:ascii="Arial" w:hAnsi="Arial" w:cs="Arial"/>
          <w:sz w:val="20"/>
          <w:szCs w:val="20"/>
        </w:rPr>
        <w:t>, well-circumscribed, deep-seated, and often develop umbilication (resembles a dot on the top of the lesion). </w:t>
      </w:r>
    </w:p>
    <w:p w14:paraId="3AD9B299" w14:textId="77777777" w:rsidR="009C45B1" w:rsidRPr="009C45B1" w:rsidRDefault="009C45B1" w:rsidP="004079EB">
      <w:pPr>
        <w:pStyle w:val="paragraph"/>
        <w:numPr>
          <w:ilvl w:val="0"/>
          <w:numId w:val="18"/>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Rash may be confined to only a few lesions or only a single lesion and doesn’t always involve the palms and soles. </w:t>
      </w:r>
    </w:p>
    <w:p w14:paraId="4CA55CE4" w14:textId="77777777" w:rsidR="009C45B1" w:rsidRPr="009C45B1" w:rsidRDefault="009C45B1" w:rsidP="004079EB">
      <w:pPr>
        <w:pStyle w:val="paragraph"/>
        <w:numPr>
          <w:ilvl w:val="0"/>
          <w:numId w:val="19"/>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Lesions are often described as painful until the healing phase when they become itchy (crusts). </w:t>
      </w:r>
    </w:p>
    <w:p w14:paraId="7EE97157" w14:textId="77777777" w:rsidR="009C45B1" w:rsidRPr="009C45B1" w:rsidRDefault="009C45B1" w:rsidP="004079EB">
      <w:pPr>
        <w:pStyle w:val="paragraph"/>
        <w:numPr>
          <w:ilvl w:val="0"/>
          <w:numId w:val="20"/>
        </w:numPr>
        <w:tabs>
          <w:tab w:val="clear" w:pos="720"/>
          <w:tab w:val="num" w:pos="1080"/>
        </w:tabs>
        <w:spacing w:before="0" w:beforeAutospacing="0" w:after="0" w:afterAutospacing="0"/>
        <w:ind w:left="1080"/>
        <w:rPr>
          <w:rFonts w:ascii="Arial" w:hAnsi="Arial" w:cs="Arial"/>
          <w:sz w:val="20"/>
        </w:rPr>
      </w:pPr>
      <w:r w:rsidRPr="009C45B1">
        <w:rPr>
          <w:rFonts w:ascii="Arial" w:hAnsi="Arial" w:cs="Arial"/>
          <w:sz w:val="20"/>
        </w:rPr>
        <w:t>Lesions often occur in the genital and anorectal areas or in the mouth. </w:t>
      </w:r>
    </w:p>
    <w:p w14:paraId="5CAE00A1" w14:textId="71CB6D19" w:rsidR="009C45B1" w:rsidRPr="009C45B1" w:rsidRDefault="510E14DF" w:rsidP="64CC0F30">
      <w:pPr>
        <w:pStyle w:val="paragraph"/>
        <w:numPr>
          <w:ilvl w:val="0"/>
          <w:numId w:val="21"/>
        </w:numPr>
        <w:spacing w:before="0" w:beforeAutospacing="0" w:after="0" w:afterAutospacing="0"/>
        <w:rPr>
          <w:rFonts w:ascii="Arial" w:hAnsi="Arial" w:cs="Arial"/>
          <w:sz w:val="20"/>
          <w:szCs w:val="20"/>
        </w:rPr>
      </w:pPr>
      <w:r w:rsidRPr="64CC0F30">
        <w:rPr>
          <w:rFonts w:ascii="Arial" w:hAnsi="Arial" w:cs="Arial"/>
          <w:sz w:val="20"/>
          <w:szCs w:val="20"/>
        </w:rPr>
        <w:t xml:space="preserve">Rectal symptoms (e.g., purulent or bloody stools, rectal pain, or rectal bleeding) have been frequently reported in the current </w:t>
      </w:r>
      <w:r w:rsidR="5AB692F0" w:rsidRPr="64CC0F30">
        <w:rPr>
          <w:rFonts w:ascii="Arial" w:hAnsi="Arial" w:cs="Arial"/>
          <w:sz w:val="20"/>
          <w:szCs w:val="20"/>
        </w:rPr>
        <w:t xml:space="preserve">clade I and clade II </w:t>
      </w:r>
      <w:r w:rsidRPr="64CC0F30">
        <w:rPr>
          <w:rFonts w:ascii="Arial" w:hAnsi="Arial" w:cs="Arial"/>
          <w:sz w:val="20"/>
          <w:szCs w:val="20"/>
        </w:rPr>
        <w:t>outbreak</w:t>
      </w:r>
      <w:r w:rsidR="632CA34E" w:rsidRPr="64CC0F30">
        <w:rPr>
          <w:rFonts w:ascii="Arial" w:hAnsi="Arial" w:cs="Arial"/>
          <w:sz w:val="20"/>
          <w:szCs w:val="20"/>
        </w:rPr>
        <w:t>s</w:t>
      </w:r>
      <w:r w:rsidRPr="64CC0F30">
        <w:rPr>
          <w:rFonts w:ascii="Arial" w:hAnsi="Arial" w:cs="Arial"/>
          <w:sz w:val="20"/>
          <w:szCs w:val="20"/>
        </w:rPr>
        <w:t>. </w:t>
      </w:r>
    </w:p>
    <w:p w14:paraId="2C9356E0" w14:textId="77777777" w:rsidR="000E51BB" w:rsidRDefault="510E14DF" w:rsidP="64CC0F30">
      <w:pPr>
        <w:pStyle w:val="paragraph"/>
        <w:numPr>
          <w:ilvl w:val="0"/>
          <w:numId w:val="22"/>
        </w:numPr>
        <w:spacing w:before="0" w:beforeAutospacing="0" w:after="0" w:afterAutospacing="0"/>
        <w:rPr>
          <w:rFonts w:ascii="Arial" w:hAnsi="Arial" w:cs="Arial"/>
          <w:sz w:val="20"/>
          <w:szCs w:val="20"/>
        </w:rPr>
      </w:pPr>
      <w:r w:rsidRPr="64CC0F30">
        <w:rPr>
          <w:rFonts w:ascii="Arial" w:hAnsi="Arial" w:cs="Arial"/>
          <w:sz w:val="20"/>
          <w:szCs w:val="20"/>
        </w:rPr>
        <w:t>The differential diagnosis of a diffuse or localized rash is broad and may include herpes simplex virus (HSV), syphilis, herpes zoster (shingles), disseminated varicella-zoster virus infection, molluscum contagiosum, scabies, lymphogranuloma venereum, allergic skin rashes, and drug eruptions</w:t>
      </w:r>
      <w:r w:rsidR="19EBF666" w:rsidRPr="64CC0F30">
        <w:rPr>
          <w:rFonts w:ascii="Arial" w:hAnsi="Arial" w:cs="Arial"/>
          <w:sz w:val="20"/>
          <w:szCs w:val="20"/>
        </w:rPr>
        <w:t>.</w:t>
      </w:r>
      <w:r w:rsidRPr="64CC0F30">
        <w:rPr>
          <w:rFonts w:ascii="Arial" w:hAnsi="Arial" w:cs="Arial"/>
          <w:sz w:val="20"/>
          <w:szCs w:val="20"/>
        </w:rPr>
        <w:t xml:space="preserve"> </w:t>
      </w:r>
    </w:p>
    <w:p w14:paraId="1A5AFB3B" w14:textId="28DFCB9F" w:rsidR="009C45B1" w:rsidRPr="009C45B1" w:rsidRDefault="009C45B1" w:rsidP="004079EB">
      <w:pPr>
        <w:pStyle w:val="paragraph"/>
        <w:numPr>
          <w:ilvl w:val="0"/>
          <w:numId w:val="22"/>
        </w:numPr>
        <w:spacing w:before="0" w:beforeAutospacing="0" w:after="0" w:afterAutospacing="0"/>
        <w:rPr>
          <w:rFonts w:ascii="Arial" w:hAnsi="Arial" w:cs="Arial"/>
          <w:sz w:val="20"/>
        </w:rPr>
      </w:pPr>
      <w:r w:rsidRPr="009C45B1">
        <w:rPr>
          <w:rFonts w:ascii="Arial" w:hAnsi="Arial" w:cs="Arial"/>
          <w:sz w:val="20"/>
        </w:rPr>
        <w:t xml:space="preserve">Follow CDC guidance on mpox </w:t>
      </w:r>
      <w:hyperlink r:id="rId19" w:tgtFrame="_blank" w:history="1">
        <w:r w:rsidRPr="009C45B1">
          <w:rPr>
            <w:rStyle w:val="Hyperlink"/>
            <w:rFonts w:ascii="Arial" w:hAnsi="Arial" w:cs="Arial"/>
            <w:sz w:val="20"/>
          </w:rPr>
          <w:t>infection prevention and control</w:t>
        </w:r>
      </w:hyperlink>
      <w:r w:rsidRPr="009C45B1">
        <w:rPr>
          <w:rFonts w:ascii="Arial" w:hAnsi="Arial" w:cs="Arial"/>
          <w:sz w:val="20"/>
        </w:rPr>
        <w:t xml:space="preserve"> to minimize transmission risk when evaluating and providing care to patients with suspected mpox. </w:t>
      </w:r>
    </w:p>
    <w:p w14:paraId="2F64B8A3" w14:textId="77777777" w:rsidR="009C45B1" w:rsidRPr="009C45B1" w:rsidRDefault="009C45B1" w:rsidP="004079EB">
      <w:pPr>
        <w:pStyle w:val="paragraph"/>
        <w:numPr>
          <w:ilvl w:val="0"/>
          <w:numId w:val="23"/>
        </w:numPr>
        <w:spacing w:before="0" w:beforeAutospacing="0" w:after="0" w:afterAutospacing="0"/>
        <w:rPr>
          <w:rFonts w:ascii="Arial" w:hAnsi="Arial" w:cs="Arial"/>
          <w:sz w:val="20"/>
        </w:rPr>
      </w:pPr>
      <w:r w:rsidRPr="009C45B1">
        <w:rPr>
          <w:rFonts w:ascii="Arial" w:hAnsi="Arial" w:cs="Arial"/>
          <w:sz w:val="20"/>
        </w:rPr>
        <w:t>Advise all patients suspected of having mpox to stay at home and from others until mpox has been ruled out by laboratory testing.  </w:t>
      </w:r>
    </w:p>
    <w:p w14:paraId="460C1384" w14:textId="382207BD" w:rsidR="009C45B1" w:rsidRPr="009C45B1" w:rsidRDefault="510E14DF" w:rsidP="64CC0F30">
      <w:pPr>
        <w:pStyle w:val="paragraph"/>
        <w:numPr>
          <w:ilvl w:val="0"/>
          <w:numId w:val="24"/>
        </w:numPr>
        <w:spacing w:before="0" w:beforeAutospacing="0" w:after="0" w:afterAutospacing="0"/>
        <w:rPr>
          <w:rFonts w:ascii="Arial" w:hAnsi="Arial" w:cs="Arial"/>
          <w:sz w:val="20"/>
          <w:szCs w:val="20"/>
        </w:rPr>
      </w:pPr>
      <w:r w:rsidRPr="64CC0F30">
        <w:rPr>
          <w:rFonts w:ascii="Arial" w:hAnsi="Arial" w:cs="Arial"/>
          <w:sz w:val="20"/>
          <w:szCs w:val="20"/>
        </w:rPr>
        <w:t>All suspected cases of mpox (either clade I or clade II) should be reported to DPH Division of Epidemiology (24/7) at 617-983-6800 to discuss testing and recommendations to prevent further spread of the disease. </w:t>
      </w:r>
    </w:p>
    <w:p w14:paraId="585581AC" w14:textId="1ED109AE" w:rsidR="009C45B1" w:rsidRPr="009C45B1" w:rsidRDefault="510E14DF" w:rsidP="64CC0F30">
      <w:pPr>
        <w:pStyle w:val="paragraph"/>
        <w:numPr>
          <w:ilvl w:val="0"/>
          <w:numId w:val="25"/>
        </w:numPr>
        <w:spacing w:before="0" w:beforeAutospacing="0" w:after="0" w:afterAutospacing="0"/>
        <w:rPr>
          <w:rFonts w:ascii="Arial" w:hAnsi="Arial" w:cs="Arial"/>
          <w:sz w:val="20"/>
          <w:szCs w:val="20"/>
        </w:rPr>
      </w:pPr>
      <w:r w:rsidRPr="64CC0F30">
        <w:rPr>
          <w:rFonts w:ascii="Arial" w:hAnsi="Arial" w:cs="Arial"/>
          <w:sz w:val="20"/>
          <w:szCs w:val="20"/>
        </w:rPr>
        <w:t xml:space="preserve">Test all suspected cases for MPXV. </w:t>
      </w:r>
      <w:r w:rsidR="73650852" w:rsidRPr="64CC0F30">
        <w:rPr>
          <w:rFonts w:ascii="Arial" w:hAnsi="Arial" w:cs="Arial"/>
          <w:sz w:val="20"/>
          <w:szCs w:val="20"/>
        </w:rPr>
        <w:t xml:space="preserve">Testing can be performed by </w:t>
      </w:r>
      <w:r w:rsidR="0448E0F0" w:rsidRPr="64CC0F30">
        <w:rPr>
          <w:rFonts w:ascii="Arial" w:hAnsi="Arial" w:cs="Arial"/>
          <w:sz w:val="20"/>
          <w:szCs w:val="20"/>
        </w:rPr>
        <w:t>commercial</w:t>
      </w:r>
      <w:r w:rsidR="73650852" w:rsidRPr="64CC0F30">
        <w:rPr>
          <w:rFonts w:ascii="Arial" w:hAnsi="Arial" w:cs="Arial"/>
          <w:sz w:val="20"/>
          <w:szCs w:val="20"/>
        </w:rPr>
        <w:t xml:space="preserve"> clinical laboratories or by </w:t>
      </w:r>
      <w:r w:rsidR="19AEDD6E" w:rsidRPr="64CC0F30">
        <w:rPr>
          <w:rFonts w:ascii="Arial" w:hAnsi="Arial" w:cs="Arial"/>
          <w:sz w:val="20"/>
          <w:szCs w:val="20"/>
        </w:rPr>
        <w:t>the Massachusetts State Public Health Laboratory</w:t>
      </w:r>
      <w:r w:rsidR="73650852" w:rsidRPr="64CC0F30">
        <w:rPr>
          <w:rFonts w:ascii="Arial" w:hAnsi="Arial" w:cs="Arial"/>
          <w:sz w:val="20"/>
          <w:szCs w:val="20"/>
        </w:rPr>
        <w:t xml:space="preserve"> </w:t>
      </w:r>
      <w:r w:rsidR="724DF91D" w:rsidRPr="64CC0F30">
        <w:rPr>
          <w:rFonts w:ascii="Arial" w:hAnsi="Arial" w:cs="Arial"/>
          <w:sz w:val="20"/>
          <w:szCs w:val="20"/>
        </w:rPr>
        <w:t>(</w:t>
      </w:r>
      <w:r w:rsidR="73650852" w:rsidRPr="64CC0F30">
        <w:rPr>
          <w:rFonts w:ascii="Arial" w:hAnsi="Arial" w:cs="Arial"/>
          <w:sz w:val="20"/>
          <w:szCs w:val="20"/>
        </w:rPr>
        <w:t>SPHL</w:t>
      </w:r>
      <w:r w:rsidR="57F00DB4" w:rsidRPr="64CC0F30">
        <w:rPr>
          <w:rFonts w:ascii="Arial" w:hAnsi="Arial" w:cs="Arial"/>
          <w:sz w:val="20"/>
          <w:szCs w:val="20"/>
        </w:rPr>
        <w:t>)</w:t>
      </w:r>
      <w:r w:rsidR="73650852" w:rsidRPr="64CC0F30">
        <w:rPr>
          <w:rFonts w:ascii="Arial" w:hAnsi="Arial" w:cs="Arial"/>
          <w:sz w:val="20"/>
          <w:szCs w:val="20"/>
        </w:rPr>
        <w:t xml:space="preserve">. </w:t>
      </w:r>
      <w:r w:rsidRPr="64CC0F30">
        <w:rPr>
          <w:rFonts w:ascii="Arial" w:hAnsi="Arial" w:cs="Arial"/>
          <w:sz w:val="20"/>
          <w:szCs w:val="20"/>
        </w:rPr>
        <w:t xml:space="preserve">If a symptomatic patient reports travel to Central or Eastern </w:t>
      </w:r>
      <w:proofErr w:type="gramStart"/>
      <w:r w:rsidRPr="64CC0F30">
        <w:rPr>
          <w:rFonts w:ascii="Arial" w:hAnsi="Arial" w:cs="Arial"/>
          <w:sz w:val="20"/>
          <w:szCs w:val="20"/>
        </w:rPr>
        <w:t>Africa,</w:t>
      </w:r>
      <w:r w:rsidR="223EB412" w:rsidRPr="64CC0F30">
        <w:rPr>
          <w:rFonts w:ascii="Arial" w:hAnsi="Arial" w:cs="Arial"/>
          <w:sz w:val="20"/>
          <w:szCs w:val="20"/>
        </w:rPr>
        <w:t xml:space="preserve"> </w:t>
      </w:r>
      <w:r w:rsidRPr="64CC0F30">
        <w:rPr>
          <w:rFonts w:ascii="Arial" w:hAnsi="Arial" w:cs="Arial"/>
          <w:sz w:val="20"/>
          <w:szCs w:val="20"/>
        </w:rPr>
        <w:t>or</w:t>
      </w:r>
      <w:proofErr w:type="gramEnd"/>
      <w:r w:rsidRPr="64CC0F30">
        <w:rPr>
          <w:rFonts w:ascii="Arial" w:hAnsi="Arial" w:cs="Arial"/>
          <w:sz w:val="20"/>
          <w:szCs w:val="20"/>
        </w:rPr>
        <w:t xml:space="preserve"> contact with people who had recently been in Central or Eastern Africa and who were symptomatic for mpox in the 21 days prior to relevant symptom onset, prioritize submission of specimens to the SPHL. </w:t>
      </w:r>
      <w:r w:rsidR="2C7D1810" w:rsidRPr="64CC0F30">
        <w:rPr>
          <w:rFonts w:ascii="Arial" w:hAnsi="Arial" w:cs="Arial"/>
          <w:sz w:val="20"/>
          <w:szCs w:val="20"/>
        </w:rPr>
        <w:t>Samples may also be submitted directly to SPHL i</w:t>
      </w:r>
      <w:r w:rsidR="06F336C9" w:rsidRPr="64CC0F30">
        <w:rPr>
          <w:rFonts w:ascii="Arial" w:hAnsi="Arial" w:cs="Arial"/>
          <w:sz w:val="20"/>
          <w:szCs w:val="20"/>
        </w:rPr>
        <w:t>f</w:t>
      </w:r>
      <w:r w:rsidR="1718BDE9" w:rsidRPr="64CC0F30">
        <w:rPr>
          <w:rFonts w:ascii="Arial" w:hAnsi="Arial" w:cs="Arial"/>
          <w:sz w:val="20"/>
          <w:szCs w:val="20"/>
        </w:rPr>
        <w:t xml:space="preserve"> there are other </w:t>
      </w:r>
      <w:r w:rsidR="00B41B42" w:rsidRPr="64CC0F30">
        <w:rPr>
          <w:rFonts w:ascii="Arial" w:hAnsi="Arial" w:cs="Arial"/>
          <w:sz w:val="20"/>
          <w:szCs w:val="20"/>
        </w:rPr>
        <w:t>epidemiological</w:t>
      </w:r>
      <w:r w:rsidR="232D5BC5" w:rsidRPr="64CC0F30">
        <w:rPr>
          <w:rFonts w:ascii="Arial" w:hAnsi="Arial" w:cs="Arial"/>
          <w:sz w:val="20"/>
          <w:szCs w:val="20"/>
        </w:rPr>
        <w:t xml:space="preserve"> or </w:t>
      </w:r>
      <w:r w:rsidR="1718BDE9" w:rsidRPr="64CC0F30">
        <w:rPr>
          <w:rFonts w:ascii="Arial" w:hAnsi="Arial" w:cs="Arial"/>
          <w:sz w:val="20"/>
          <w:szCs w:val="20"/>
        </w:rPr>
        <w:t xml:space="preserve">clinical features </w:t>
      </w:r>
      <w:r w:rsidR="76A72A2D" w:rsidRPr="64CC0F30">
        <w:rPr>
          <w:rFonts w:ascii="Arial" w:hAnsi="Arial" w:cs="Arial"/>
          <w:sz w:val="20"/>
          <w:szCs w:val="20"/>
        </w:rPr>
        <w:t xml:space="preserve">(e.g. severe disease) </w:t>
      </w:r>
      <w:r w:rsidR="1718BDE9" w:rsidRPr="64CC0F30">
        <w:rPr>
          <w:rFonts w:ascii="Arial" w:hAnsi="Arial" w:cs="Arial"/>
          <w:sz w:val="20"/>
          <w:szCs w:val="20"/>
        </w:rPr>
        <w:t>that raise the possibility of</w:t>
      </w:r>
      <w:r w:rsidR="06F336C9" w:rsidRPr="64CC0F30">
        <w:rPr>
          <w:rFonts w:ascii="Arial" w:hAnsi="Arial" w:cs="Arial"/>
          <w:sz w:val="20"/>
          <w:szCs w:val="20"/>
        </w:rPr>
        <w:t xml:space="preserve"> </w:t>
      </w:r>
      <w:r w:rsidR="00B41B42">
        <w:rPr>
          <w:rFonts w:ascii="Arial" w:hAnsi="Arial" w:cs="Arial"/>
          <w:sz w:val="20"/>
          <w:szCs w:val="20"/>
        </w:rPr>
        <w:t>c</w:t>
      </w:r>
      <w:r w:rsidR="06F336C9" w:rsidRPr="64CC0F30">
        <w:rPr>
          <w:rFonts w:ascii="Arial" w:hAnsi="Arial" w:cs="Arial"/>
          <w:sz w:val="20"/>
          <w:szCs w:val="20"/>
        </w:rPr>
        <w:t>lade I</w:t>
      </w:r>
      <w:r w:rsidR="0E18E9D7" w:rsidRPr="64CC0F30">
        <w:rPr>
          <w:rFonts w:ascii="Arial" w:hAnsi="Arial" w:cs="Arial"/>
          <w:sz w:val="20"/>
          <w:szCs w:val="20"/>
        </w:rPr>
        <w:t xml:space="preserve"> infection</w:t>
      </w:r>
      <w:r w:rsidR="429F29F5" w:rsidRPr="64CC0F30">
        <w:rPr>
          <w:rFonts w:ascii="Arial" w:hAnsi="Arial" w:cs="Arial"/>
          <w:sz w:val="20"/>
          <w:szCs w:val="20"/>
        </w:rPr>
        <w:t>.</w:t>
      </w:r>
      <w:r w:rsidR="3FF01B37" w:rsidRPr="64CC0F30">
        <w:rPr>
          <w:rFonts w:ascii="Arial" w:hAnsi="Arial" w:cs="Arial"/>
          <w:sz w:val="20"/>
          <w:szCs w:val="20"/>
        </w:rPr>
        <w:t xml:space="preserve"> </w:t>
      </w:r>
      <w:r w:rsidRPr="64CC0F30">
        <w:rPr>
          <w:rFonts w:ascii="Arial" w:hAnsi="Arial" w:cs="Arial"/>
          <w:sz w:val="20"/>
          <w:szCs w:val="20"/>
        </w:rPr>
        <w:t> </w:t>
      </w:r>
    </w:p>
    <w:p w14:paraId="635C91B4" w14:textId="77777777" w:rsidR="009C45B1" w:rsidRPr="009C45B1" w:rsidRDefault="009C45B1" w:rsidP="004079EB">
      <w:pPr>
        <w:pStyle w:val="paragraph"/>
        <w:numPr>
          <w:ilvl w:val="0"/>
          <w:numId w:val="26"/>
        </w:numPr>
        <w:spacing w:before="0" w:beforeAutospacing="0" w:after="0" w:afterAutospacing="0"/>
        <w:rPr>
          <w:rFonts w:ascii="Arial" w:hAnsi="Arial" w:cs="Arial"/>
          <w:sz w:val="20"/>
        </w:rPr>
      </w:pPr>
      <w:r w:rsidRPr="009C45B1">
        <w:rPr>
          <w:rFonts w:ascii="Arial" w:hAnsi="Arial" w:cs="Arial"/>
          <w:sz w:val="20"/>
        </w:rPr>
        <w:t xml:space="preserve">Follow </w:t>
      </w:r>
      <w:hyperlink r:id="rId20" w:tgtFrame="_blank" w:history="1">
        <w:r w:rsidRPr="009C45B1">
          <w:rPr>
            <w:rStyle w:val="Hyperlink"/>
            <w:rFonts w:ascii="Arial" w:hAnsi="Arial" w:cs="Arial"/>
            <w:sz w:val="20"/>
          </w:rPr>
          <w:t>specimen collection guidelines</w:t>
        </w:r>
      </w:hyperlink>
      <w:r w:rsidRPr="009C45B1">
        <w:rPr>
          <w:rFonts w:ascii="Arial" w:hAnsi="Arial" w:cs="Arial"/>
          <w:sz w:val="20"/>
        </w:rPr>
        <w:t xml:space="preserve"> (including collecting two swabs per 2-3 lesions) to ensure specimen availability for clade-specific testing. This testing will help distinguish cases that are part of the ongoing clade II mpox global outbreak from those that are part of the clade I outbreak. </w:t>
      </w:r>
    </w:p>
    <w:p w14:paraId="714E87A5" w14:textId="77777777" w:rsidR="009C45B1" w:rsidRPr="009C45B1" w:rsidRDefault="009C45B1" w:rsidP="004079EB">
      <w:pPr>
        <w:pStyle w:val="paragraph"/>
        <w:numPr>
          <w:ilvl w:val="0"/>
          <w:numId w:val="27"/>
        </w:numPr>
        <w:spacing w:before="0" w:beforeAutospacing="0" w:after="0" w:afterAutospacing="0"/>
        <w:rPr>
          <w:rFonts w:ascii="Arial" w:hAnsi="Arial" w:cs="Arial"/>
          <w:sz w:val="20"/>
        </w:rPr>
      </w:pPr>
      <w:r w:rsidRPr="009C45B1">
        <w:rPr>
          <w:rFonts w:ascii="Arial" w:hAnsi="Arial" w:cs="Arial"/>
          <w:sz w:val="20"/>
        </w:rPr>
        <w:t xml:space="preserve">Avoid unroofing or aspirating lesions (or otherwise using sharp instruments for mpox testing) to minimize the risk of a </w:t>
      </w:r>
      <w:proofErr w:type="gramStart"/>
      <w:r w:rsidRPr="009C45B1">
        <w:rPr>
          <w:rFonts w:ascii="Arial" w:hAnsi="Arial" w:cs="Arial"/>
          <w:sz w:val="20"/>
        </w:rPr>
        <w:t>sharps</w:t>
      </w:r>
      <w:proofErr w:type="gramEnd"/>
      <w:r w:rsidRPr="009C45B1">
        <w:rPr>
          <w:rFonts w:ascii="Arial" w:hAnsi="Arial" w:cs="Arial"/>
          <w:sz w:val="20"/>
        </w:rPr>
        <w:t xml:space="preserve"> injury. </w:t>
      </w:r>
    </w:p>
    <w:p w14:paraId="6CB6BC4D" w14:textId="73E48036" w:rsidR="009C45B1" w:rsidRPr="009C45B1" w:rsidRDefault="510E14DF" w:rsidP="64CC0F30">
      <w:pPr>
        <w:pStyle w:val="paragraph"/>
        <w:numPr>
          <w:ilvl w:val="0"/>
          <w:numId w:val="28"/>
        </w:numPr>
        <w:spacing w:before="0" w:beforeAutospacing="0" w:after="0" w:afterAutospacing="0"/>
        <w:rPr>
          <w:rFonts w:ascii="Arial" w:hAnsi="Arial" w:cs="Arial"/>
          <w:sz w:val="20"/>
          <w:szCs w:val="20"/>
        </w:rPr>
      </w:pPr>
      <w:r w:rsidRPr="64CC0F30">
        <w:rPr>
          <w:rFonts w:ascii="Arial" w:hAnsi="Arial" w:cs="Arial"/>
          <w:sz w:val="20"/>
          <w:szCs w:val="20"/>
        </w:rPr>
        <w:t xml:space="preserve">Note that specimen collection instructions may differ for different laboratories. Specimens sent to the SPHL should be sent on </w:t>
      </w:r>
      <w:r w:rsidRPr="64CC0F30">
        <w:rPr>
          <w:rFonts w:ascii="Arial" w:hAnsi="Arial" w:cs="Arial"/>
          <w:b/>
          <w:bCs/>
          <w:sz w:val="20"/>
          <w:szCs w:val="20"/>
        </w:rPr>
        <w:t>dry swabs</w:t>
      </w:r>
      <w:r w:rsidRPr="64CC0F30">
        <w:rPr>
          <w:rFonts w:ascii="Arial" w:hAnsi="Arial" w:cs="Arial"/>
          <w:sz w:val="20"/>
          <w:szCs w:val="20"/>
        </w:rPr>
        <w:t>. </w:t>
      </w:r>
    </w:p>
    <w:p w14:paraId="3962BD73"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1C0AB8C6"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i/>
          <w:iCs/>
          <w:sz w:val="20"/>
        </w:rPr>
        <w:t>Treatment </w:t>
      </w:r>
      <w:r w:rsidRPr="009C45B1">
        <w:rPr>
          <w:rFonts w:ascii="Arial" w:hAnsi="Arial" w:cs="Arial"/>
          <w:sz w:val="20"/>
        </w:rPr>
        <w:t> </w:t>
      </w:r>
    </w:p>
    <w:p w14:paraId="625F4F28" w14:textId="67EB62FC" w:rsidR="009C45B1" w:rsidRPr="009C45B1" w:rsidRDefault="510E14DF" w:rsidP="64CC0F30">
      <w:pPr>
        <w:pStyle w:val="paragraph"/>
        <w:numPr>
          <w:ilvl w:val="0"/>
          <w:numId w:val="29"/>
        </w:numPr>
        <w:spacing w:before="0" w:beforeAutospacing="0" w:after="0" w:afterAutospacing="0"/>
        <w:rPr>
          <w:rFonts w:ascii="Arial" w:hAnsi="Arial" w:cs="Arial"/>
          <w:sz w:val="20"/>
          <w:szCs w:val="20"/>
        </w:rPr>
      </w:pPr>
      <w:r w:rsidRPr="64CC0F30">
        <w:rPr>
          <w:rFonts w:ascii="Arial" w:hAnsi="Arial" w:cs="Arial"/>
          <w:sz w:val="20"/>
          <w:szCs w:val="20"/>
        </w:rPr>
        <w:t>Promptly consult DPH about any mpox cases for which severe manifestations might occur (e.g., in people with advanced HIV infection or severe immunocompromise).  </w:t>
      </w:r>
    </w:p>
    <w:p w14:paraId="7D6C9974"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4A47F4DF"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sz w:val="20"/>
        </w:rPr>
        <w:t>Recommendations for Laboratories</w:t>
      </w:r>
      <w:r w:rsidRPr="009C45B1">
        <w:rPr>
          <w:rFonts w:ascii="Arial" w:hAnsi="Arial" w:cs="Arial"/>
          <w:sz w:val="20"/>
        </w:rPr>
        <w:t> </w:t>
      </w:r>
    </w:p>
    <w:p w14:paraId="4589E10F" w14:textId="77777777" w:rsidR="009C45B1" w:rsidRPr="009C45B1" w:rsidRDefault="009C45B1" w:rsidP="004079EB">
      <w:pPr>
        <w:pStyle w:val="paragraph"/>
        <w:numPr>
          <w:ilvl w:val="0"/>
          <w:numId w:val="30"/>
        </w:numPr>
        <w:spacing w:before="0" w:beforeAutospacing="0" w:after="0" w:afterAutospacing="0"/>
        <w:rPr>
          <w:rFonts w:ascii="Arial" w:hAnsi="Arial" w:cs="Arial"/>
          <w:sz w:val="20"/>
        </w:rPr>
      </w:pPr>
      <w:r w:rsidRPr="009C45B1">
        <w:rPr>
          <w:rFonts w:ascii="Arial" w:hAnsi="Arial" w:cs="Arial"/>
          <w:sz w:val="20"/>
        </w:rPr>
        <w:t xml:space="preserve">According to Advisory Committee on Immunization Practices (ACIP) recommendations, employers should offer pre-exposure </w:t>
      </w:r>
      <w:proofErr w:type="spellStart"/>
      <w:r w:rsidRPr="009C45B1">
        <w:rPr>
          <w:rFonts w:ascii="Arial" w:hAnsi="Arial" w:cs="Arial"/>
          <w:i/>
          <w:iCs/>
          <w:sz w:val="20"/>
        </w:rPr>
        <w:t>orthopoxvirus</w:t>
      </w:r>
      <w:proofErr w:type="spellEnd"/>
      <w:r w:rsidRPr="009C45B1">
        <w:rPr>
          <w:rFonts w:ascii="Arial" w:hAnsi="Arial" w:cs="Arial"/>
          <w:sz w:val="20"/>
        </w:rPr>
        <w:t xml:space="preserve"> vaccination to workers at risk of occupational exposure.  </w:t>
      </w:r>
    </w:p>
    <w:p w14:paraId="558BD251" w14:textId="0A5EF9A4" w:rsidR="009C45B1" w:rsidRPr="009C45B1" w:rsidRDefault="510E14DF" w:rsidP="64CC0F30">
      <w:pPr>
        <w:pStyle w:val="paragraph"/>
        <w:numPr>
          <w:ilvl w:val="0"/>
          <w:numId w:val="31"/>
        </w:numPr>
        <w:spacing w:before="0" w:beforeAutospacing="0" w:after="0" w:afterAutospacing="0"/>
        <w:rPr>
          <w:rFonts w:ascii="Arial" w:hAnsi="Arial" w:cs="Arial"/>
          <w:sz w:val="20"/>
          <w:szCs w:val="20"/>
        </w:rPr>
      </w:pPr>
      <w:r w:rsidRPr="64CC0F30">
        <w:rPr>
          <w:rFonts w:ascii="Arial" w:hAnsi="Arial" w:cs="Arial"/>
          <w:sz w:val="20"/>
          <w:szCs w:val="20"/>
        </w:rPr>
        <w:t xml:space="preserve">Clinical laboratories that perform clade-specific </w:t>
      </w:r>
      <w:proofErr w:type="gramStart"/>
      <w:r w:rsidRPr="64CC0F30">
        <w:rPr>
          <w:rFonts w:ascii="Arial" w:hAnsi="Arial" w:cs="Arial"/>
          <w:sz w:val="20"/>
          <w:szCs w:val="20"/>
        </w:rPr>
        <w:t>testing, (</w:t>
      </w:r>
      <w:proofErr w:type="gramEnd"/>
      <w:r w:rsidRPr="64CC0F30">
        <w:rPr>
          <w:rFonts w:ascii="Arial" w:hAnsi="Arial" w:cs="Arial"/>
          <w:sz w:val="20"/>
          <w:szCs w:val="20"/>
        </w:rPr>
        <w:t>e.g., molecular testing or genetic sequencing) should alert DPH if results from tests indicate detection of clade I MPXV. </w:t>
      </w:r>
    </w:p>
    <w:p w14:paraId="70104D68" w14:textId="77777777" w:rsidR="009C45B1" w:rsidRPr="009C45B1" w:rsidRDefault="510E14DF" w:rsidP="64CC0F30">
      <w:pPr>
        <w:pStyle w:val="paragraph"/>
        <w:numPr>
          <w:ilvl w:val="0"/>
          <w:numId w:val="32"/>
        </w:numPr>
        <w:spacing w:before="0" w:beforeAutospacing="0" w:after="0" w:afterAutospacing="0"/>
        <w:rPr>
          <w:rFonts w:ascii="Arial" w:hAnsi="Arial" w:cs="Arial"/>
          <w:sz w:val="20"/>
          <w:szCs w:val="20"/>
        </w:rPr>
      </w:pPr>
      <w:r w:rsidRPr="64CC0F30">
        <w:rPr>
          <w:rFonts w:ascii="Arial" w:hAnsi="Arial" w:cs="Arial"/>
          <w:sz w:val="20"/>
          <w:szCs w:val="20"/>
        </w:rPr>
        <w:t xml:space="preserve">Laboratories should be aware of potential genetic mutation impacts on the molecular test(s) that they are using. For instance, the subclade </w:t>
      </w:r>
      <w:proofErr w:type="spellStart"/>
      <w:r w:rsidRPr="64CC0F30">
        <w:rPr>
          <w:rFonts w:ascii="Arial" w:hAnsi="Arial" w:cs="Arial"/>
          <w:sz w:val="20"/>
          <w:szCs w:val="20"/>
        </w:rPr>
        <w:t>Ib</w:t>
      </w:r>
      <w:proofErr w:type="spellEnd"/>
      <w:r w:rsidRPr="64CC0F30">
        <w:rPr>
          <w:rFonts w:ascii="Arial" w:hAnsi="Arial" w:cs="Arial"/>
          <w:sz w:val="20"/>
          <w:szCs w:val="20"/>
        </w:rPr>
        <w:t xml:space="preserve"> is not detected with the previously </w:t>
      </w:r>
      <w:r w:rsidRPr="64CC0F30">
        <w:rPr>
          <w:rFonts w:ascii="Arial" w:hAnsi="Arial" w:cs="Arial"/>
          <w:sz w:val="20"/>
          <w:szCs w:val="20"/>
        </w:rPr>
        <w:lastRenderedPageBreak/>
        <w:t xml:space="preserve">developed “clade I PCR test”. This test is now considered a </w:t>
      </w:r>
      <w:proofErr w:type="gramStart"/>
      <w:r w:rsidRPr="64CC0F30">
        <w:rPr>
          <w:rFonts w:ascii="Arial" w:hAnsi="Arial" w:cs="Arial"/>
          <w:sz w:val="20"/>
          <w:szCs w:val="20"/>
        </w:rPr>
        <w:t>clade</w:t>
      </w:r>
      <w:proofErr w:type="gramEnd"/>
      <w:r w:rsidRPr="64CC0F30">
        <w:rPr>
          <w:rFonts w:ascii="Arial" w:hAnsi="Arial" w:cs="Arial"/>
          <w:sz w:val="20"/>
          <w:szCs w:val="20"/>
        </w:rPr>
        <w:t xml:space="preserve"> </w:t>
      </w:r>
      <w:proofErr w:type="spellStart"/>
      <w:r w:rsidRPr="64CC0F30">
        <w:rPr>
          <w:rFonts w:ascii="Arial" w:hAnsi="Arial" w:cs="Arial"/>
          <w:sz w:val="20"/>
          <w:szCs w:val="20"/>
        </w:rPr>
        <w:t>Ia</w:t>
      </w:r>
      <w:proofErr w:type="spellEnd"/>
      <w:r w:rsidRPr="64CC0F30">
        <w:rPr>
          <w:rFonts w:ascii="Arial" w:hAnsi="Arial" w:cs="Arial"/>
          <w:sz w:val="20"/>
          <w:szCs w:val="20"/>
        </w:rPr>
        <w:t xml:space="preserve"> test. Visit </w:t>
      </w:r>
      <w:hyperlink r:id="rId21">
        <w:r w:rsidRPr="64CC0F30">
          <w:rPr>
            <w:rStyle w:val="Hyperlink"/>
            <w:rFonts w:ascii="Arial" w:hAnsi="Arial" w:cs="Arial"/>
            <w:sz w:val="20"/>
            <w:szCs w:val="20"/>
          </w:rPr>
          <w:t>Monkeypox Laboratory Information</w:t>
        </w:r>
      </w:hyperlink>
      <w:r w:rsidRPr="64CC0F30">
        <w:rPr>
          <w:rFonts w:ascii="Arial" w:hAnsi="Arial" w:cs="Arial"/>
          <w:sz w:val="20"/>
          <w:szCs w:val="20"/>
        </w:rPr>
        <w:t xml:space="preserve"> for additional information. </w:t>
      </w:r>
    </w:p>
    <w:p w14:paraId="3C7682C5" w14:textId="77777777" w:rsidR="009C45B1" w:rsidRPr="009C45B1" w:rsidRDefault="009C45B1" w:rsidP="004079EB">
      <w:pPr>
        <w:pStyle w:val="paragraph"/>
        <w:numPr>
          <w:ilvl w:val="0"/>
          <w:numId w:val="33"/>
        </w:numPr>
        <w:spacing w:before="0" w:beforeAutospacing="0" w:after="0" w:afterAutospacing="0"/>
        <w:rPr>
          <w:rFonts w:ascii="Arial" w:hAnsi="Arial" w:cs="Arial"/>
          <w:sz w:val="20"/>
        </w:rPr>
      </w:pPr>
      <w:r w:rsidRPr="009C45B1">
        <w:rPr>
          <w:rFonts w:ascii="Arial" w:hAnsi="Arial" w:cs="Arial"/>
          <w:sz w:val="20"/>
        </w:rPr>
        <w:t>As with all procedures, laboratories should perform a site-specific and activity-specific risk assessment to identify and mitigate risks. </w:t>
      </w:r>
    </w:p>
    <w:p w14:paraId="2983A04D" w14:textId="77777777" w:rsidR="009C45B1" w:rsidRPr="009C45B1" w:rsidRDefault="009C45B1" w:rsidP="004079EB">
      <w:pPr>
        <w:pStyle w:val="paragraph"/>
        <w:numPr>
          <w:ilvl w:val="0"/>
          <w:numId w:val="34"/>
        </w:numPr>
        <w:spacing w:before="0" w:beforeAutospacing="0" w:after="0" w:afterAutospacing="0"/>
        <w:rPr>
          <w:rFonts w:ascii="Arial" w:hAnsi="Arial" w:cs="Arial"/>
          <w:sz w:val="20"/>
        </w:rPr>
      </w:pPr>
      <w:r w:rsidRPr="009C45B1">
        <w:rPr>
          <w:rFonts w:ascii="Arial" w:hAnsi="Arial" w:cs="Arial"/>
          <w:sz w:val="20"/>
        </w:rPr>
        <w:t>Follow CDC guidance on infection prevention and control for mpox to minimize risk when working with suspected mpox specimens. </w:t>
      </w:r>
    </w:p>
    <w:p w14:paraId="39A9708E"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344FD579"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sz w:val="20"/>
        </w:rPr>
        <w:t>For Clinicians and Public Health Partners</w:t>
      </w:r>
      <w:r w:rsidRPr="009C45B1">
        <w:rPr>
          <w:rFonts w:ascii="Arial" w:hAnsi="Arial" w:cs="Arial"/>
          <w:sz w:val="20"/>
        </w:rPr>
        <w:t> </w:t>
      </w:r>
    </w:p>
    <w:p w14:paraId="75BD4D48" w14:textId="77777777" w:rsidR="009C45B1" w:rsidRPr="009C45B1" w:rsidRDefault="009C45B1" w:rsidP="004079EB">
      <w:pPr>
        <w:pStyle w:val="paragraph"/>
        <w:numPr>
          <w:ilvl w:val="0"/>
          <w:numId w:val="35"/>
        </w:numPr>
        <w:spacing w:before="0" w:beforeAutospacing="0" w:after="0" w:afterAutospacing="0"/>
        <w:rPr>
          <w:rFonts w:ascii="Arial" w:hAnsi="Arial" w:cs="Arial"/>
          <w:sz w:val="20"/>
        </w:rPr>
      </w:pPr>
      <w:hyperlink r:id="rId22" w:tgtFrame="_blank" w:history="1">
        <w:r w:rsidRPr="009C45B1">
          <w:rPr>
            <w:rStyle w:val="Hyperlink"/>
            <w:rFonts w:ascii="Arial" w:hAnsi="Arial" w:cs="Arial"/>
            <w:sz w:val="20"/>
          </w:rPr>
          <w:t>Clade I Mpox Outbreak Originating in Central Africa | Mpox | CDC</w:t>
        </w:r>
      </w:hyperlink>
      <w:r w:rsidRPr="009C45B1">
        <w:rPr>
          <w:rFonts w:ascii="Arial" w:hAnsi="Arial" w:cs="Arial"/>
          <w:sz w:val="20"/>
        </w:rPr>
        <w:t> </w:t>
      </w:r>
    </w:p>
    <w:p w14:paraId="7A4ACA8C" w14:textId="77777777" w:rsidR="009C45B1" w:rsidRPr="009C45B1" w:rsidRDefault="009C45B1" w:rsidP="004079EB">
      <w:pPr>
        <w:pStyle w:val="paragraph"/>
        <w:numPr>
          <w:ilvl w:val="0"/>
          <w:numId w:val="36"/>
        </w:numPr>
        <w:spacing w:before="0" w:beforeAutospacing="0" w:after="0" w:afterAutospacing="0"/>
        <w:rPr>
          <w:rFonts w:ascii="Arial" w:hAnsi="Arial" w:cs="Arial"/>
          <w:sz w:val="20"/>
        </w:rPr>
      </w:pPr>
      <w:hyperlink r:id="rId23" w:tgtFrame="_blank" w:history="1">
        <w:r w:rsidRPr="009C45B1">
          <w:rPr>
            <w:rStyle w:val="Hyperlink"/>
            <w:rFonts w:ascii="Arial" w:hAnsi="Arial" w:cs="Arial"/>
            <w:sz w:val="20"/>
          </w:rPr>
          <w:t>Ongoing Clade II Mpox Global Outbreak | Mpox | CDC</w:t>
        </w:r>
      </w:hyperlink>
      <w:r w:rsidRPr="009C45B1">
        <w:rPr>
          <w:rFonts w:ascii="Arial" w:hAnsi="Arial" w:cs="Arial"/>
          <w:sz w:val="20"/>
        </w:rPr>
        <w:t> </w:t>
      </w:r>
    </w:p>
    <w:p w14:paraId="224965C1" w14:textId="77777777" w:rsidR="009C45B1" w:rsidRPr="009C45B1" w:rsidRDefault="009C45B1" w:rsidP="004079EB">
      <w:pPr>
        <w:pStyle w:val="paragraph"/>
        <w:numPr>
          <w:ilvl w:val="0"/>
          <w:numId w:val="37"/>
        </w:numPr>
        <w:spacing w:before="0" w:beforeAutospacing="0" w:after="0" w:afterAutospacing="0"/>
        <w:rPr>
          <w:rFonts w:ascii="Arial" w:hAnsi="Arial" w:cs="Arial"/>
          <w:sz w:val="20"/>
        </w:rPr>
      </w:pPr>
      <w:hyperlink r:id="rId24" w:tgtFrame="_blank" w:history="1">
        <w:r w:rsidRPr="009C45B1">
          <w:rPr>
            <w:rStyle w:val="Hyperlink"/>
            <w:rFonts w:ascii="Arial" w:hAnsi="Arial" w:cs="Arial"/>
            <w:sz w:val="20"/>
          </w:rPr>
          <w:t>Clinical Overview of Mpox | Mpox | CDC</w:t>
        </w:r>
      </w:hyperlink>
      <w:r w:rsidRPr="009C45B1">
        <w:rPr>
          <w:rFonts w:ascii="Arial" w:hAnsi="Arial" w:cs="Arial"/>
          <w:sz w:val="20"/>
        </w:rPr>
        <w:t> </w:t>
      </w:r>
    </w:p>
    <w:p w14:paraId="74D1718E" w14:textId="77777777" w:rsidR="009C45B1" w:rsidRPr="009C45B1" w:rsidRDefault="009C45B1" w:rsidP="004079EB">
      <w:pPr>
        <w:pStyle w:val="paragraph"/>
        <w:numPr>
          <w:ilvl w:val="0"/>
          <w:numId w:val="38"/>
        </w:numPr>
        <w:spacing w:before="0" w:beforeAutospacing="0" w:after="0" w:afterAutospacing="0"/>
        <w:rPr>
          <w:rFonts w:ascii="Arial" w:hAnsi="Arial" w:cs="Arial"/>
          <w:sz w:val="20"/>
        </w:rPr>
      </w:pPr>
      <w:hyperlink r:id="rId25" w:tgtFrame="_blank" w:history="1">
        <w:r w:rsidRPr="009C45B1">
          <w:rPr>
            <w:rStyle w:val="Hyperlink"/>
            <w:rFonts w:ascii="Arial" w:hAnsi="Arial" w:cs="Arial"/>
            <w:sz w:val="20"/>
          </w:rPr>
          <w:t>Public Health Strategies for Mpox | Mpox | CDC</w:t>
        </w:r>
      </w:hyperlink>
      <w:r w:rsidRPr="009C45B1">
        <w:rPr>
          <w:rFonts w:ascii="Arial" w:hAnsi="Arial" w:cs="Arial"/>
          <w:sz w:val="20"/>
        </w:rPr>
        <w:t> </w:t>
      </w:r>
    </w:p>
    <w:p w14:paraId="21FE49A0" w14:textId="77777777" w:rsidR="009C45B1" w:rsidRPr="009C45B1" w:rsidRDefault="009C45B1" w:rsidP="004079EB">
      <w:pPr>
        <w:pStyle w:val="paragraph"/>
        <w:numPr>
          <w:ilvl w:val="0"/>
          <w:numId w:val="39"/>
        </w:numPr>
        <w:spacing w:before="0" w:beforeAutospacing="0" w:after="0" w:afterAutospacing="0"/>
        <w:rPr>
          <w:rFonts w:ascii="Arial" w:hAnsi="Arial" w:cs="Arial"/>
          <w:sz w:val="20"/>
        </w:rPr>
      </w:pPr>
      <w:hyperlink r:id="rId26" w:tgtFrame="_blank" w:history="1">
        <w:r w:rsidRPr="009C45B1">
          <w:rPr>
            <w:rStyle w:val="Hyperlink"/>
            <w:rFonts w:ascii="Arial" w:hAnsi="Arial" w:cs="Arial"/>
            <w:sz w:val="20"/>
          </w:rPr>
          <w:t>Guide to Taking a Sexual History | CDC</w:t>
        </w:r>
      </w:hyperlink>
      <w:r w:rsidRPr="009C45B1">
        <w:rPr>
          <w:rFonts w:ascii="Arial" w:hAnsi="Arial" w:cs="Arial"/>
          <w:sz w:val="20"/>
        </w:rPr>
        <w:t> </w:t>
      </w:r>
    </w:p>
    <w:p w14:paraId="335B4E7A" w14:textId="77777777" w:rsidR="009C45B1" w:rsidRPr="009C45B1" w:rsidRDefault="009C45B1" w:rsidP="004079EB">
      <w:pPr>
        <w:pStyle w:val="paragraph"/>
        <w:numPr>
          <w:ilvl w:val="0"/>
          <w:numId w:val="40"/>
        </w:numPr>
        <w:spacing w:before="0" w:beforeAutospacing="0" w:after="0" w:afterAutospacing="0"/>
        <w:rPr>
          <w:rFonts w:ascii="Arial" w:hAnsi="Arial" w:cs="Arial"/>
          <w:sz w:val="20"/>
        </w:rPr>
      </w:pPr>
      <w:hyperlink r:id="rId27" w:tgtFrame="_blank" w:history="1">
        <w:r w:rsidRPr="009C45B1">
          <w:rPr>
            <w:rStyle w:val="Hyperlink"/>
            <w:rFonts w:ascii="Arial" w:hAnsi="Arial" w:cs="Arial"/>
            <w:sz w:val="20"/>
          </w:rPr>
          <w:t>Mpox Considerations for People Who Are Pregnant or Breastfeeding | Mpox | CDC</w:t>
        </w:r>
      </w:hyperlink>
      <w:r w:rsidRPr="009C45B1">
        <w:rPr>
          <w:rFonts w:ascii="Arial" w:hAnsi="Arial" w:cs="Arial"/>
          <w:sz w:val="20"/>
        </w:rPr>
        <w:t>  </w:t>
      </w:r>
    </w:p>
    <w:p w14:paraId="50DE5F82" w14:textId="77777777" w:rsidR="009C45B1" w:rsidRPr="009C45B1" w:rsidRDefault="009C45B1" w:rsidP="004079EB">
      <w:pPr>
        <w:pStyle w:val="paragraph"/>
        <w:numPr>
          <w:ilvl w:val="0"/>
          <w:numId w:val="41"/>
        </w:numPr>
        <w:spacing w:before="0" w:beforeAutospacing="0" w:after="0" w:afterAutospacing="0"/>
        <w:rPr>
          <w:rFonts w:ascii="Arial" w:hAnsi="Arial" w:cs="Arial"/>
          <w:sz w:val="20"/>
        </w:rPr>
      </w:pPr>
      <w:hyperlink r:id="rId28" w:tgtFrame="_blank" w:history="1">
        <w:r w:rsidRPr="009C45B1">
          <w:rPr>
            <w:rStyle w:val="Hyperlink"/>
            <w:rFonts w:ascii="Arial" w:hAnsi="Arial" w:cs="Arial"/>
            <w:sz w:val="20"/>
          </w:rPr>
          <w:t>Clinical Considerations for Mpox in Children and Adolescents in the U.S.</w:t>
        </w:r>
      </w:hyperlink>
      <w:r w:rsidRPr="009C45B1">
        <w:rPr>
          <w:rFonts w:ascii="Arial" w:hAnsi="Arial" w:cs="Arial"/>
          <w:sz w:val="20"/>
        </w:rPr>
        <w:t> </w:t>
      </w:r>
    </w:p>
    <w:p w14:paraId="7E02D91C" w14:textId="77777777" w:rsidR="009C45B1" w:rsidRPr="009C45B1" w:rsidRDefault="009C45B1" w:rsidP="004079EB">
      <w:pPr>
        <w:pStyle w:val="paragraph"/>
        <w:numPr>
          <w:ilvl w:val="0"/>
          <w:numId w:val="42"/>
        </w:numPr>
        <w:spacing w:before="0" w:beforeAutospacing="0" w:after="0" w:afterAutospacing="0"/>
        <w:rPr>
          <w:rFonts w:ascii="Arial" w:hAnsi="Arial" w:cs="Arial"/>
          <w:sz w:val="20"/>
        </w:rPr>
      </w:pPr>
      <w:hyperlink r:id="rId29" w:tgtFrame="_blank" w:history="1">
        <w:r w:rsidRPr="009C45B1">
          <w:rPr>
            <w:rStyle w:val="Hyperlink"/>
            <w:rFonts w:ascii="Arial" w:hAnsi="Arial" w:cs="Arial"/>
            <w:sz w:val="20"/>
          </w:rPr>
          <w:t>Select Agent Regulations | Biosafety Laboratory Guidance for Handling and Processing Mpox Specimens | CDC</w:t>
        </w:r>
      </w:hyperlink>
      <w:r w:rsidRPr="009C45B1">
        <w:rPr>
          <w:rFonts w:ascii="Arial" w:hAnsi="Arial" w:cs="Arial"/>
          <w:sz w:val="20"/>
          <w:u w:val="single"/>
        </w:rPr>
        <w:t> </w:t>
      </w:r>
      <w:r w:rsidRPr="009C45B1">
        <w:rPr>
          <w:rFonts w:ascii="Arial" w:hAnsi="Arial" w:cs="Arial"/>
          <w:sz w:val="20"/>
        </w:rPr>
        <w:t> </w:t>
      </w:r>
    </w:p>
    <w:p w14:paraId="4E501409" w14:textId="77777777" w:rsidR="009C45B1" w:rsidRPr="009C45B1" w:rsidRDefault="009C45B1" w:rsidP="004079EB">
      <w:pPr>
        <w:pStyle w:val="paragraph"/>
        <w:numPr>
          <w:ilvl w:val="0"/>
          <w:numId w:val="43"/>
        </w:numPr>
        <w:spacing w:before="0" w:beforeAutospacing="0" w:after="0" w:afterAutospacing="0"/>
        <w:rPr>
          <w:rFonts w:ascii="Arial" w:hAnsi="Arial" w:cs="Arial"/>
          <w:sz w:val="20"/>
        </w:rPr>
      </w:pPr>
      <w:hyperlink r:id="rId30" w:tgtFrame="_blank" w:history="1">
        <w:r w:rsidRPr="009C45B1">
          <w:rPr>
            <w:rStyle w:val="Hyperlink"/>
            <w:rFonts w:ascii="Arial" w:hAnsi="Arial" w:cs="Arial"/>
            <w:sz w:val="20"/>
          </w:rPr>
          <w:t>Information for Clinical/Diagnostic Laboratories, Healthcare Facilities, and Other Entities Not Registered with the Federal Select Agent Program | FSAP</w:t>
        </w:r>
      </w:hyperlink>
      <w:r w:rsidRPr="009C45B1">
        <w:rPr>
          <w:rFonts w:ascii="Arial" w:hAnsi="Arial" w:cs="Arial"/>
          <w:sz w:val="20"/>
          <w:u w:val="single"/>
        </w:rPr>
        <w:t> </w:t>
      </w:r>
      <w:r w:rsidRPr="009C45B1">
        <w:rPr>
          <w:rFonts w:ascii="Arial" w:hAnsi="Arial" w:cs="Arial"/>
          <w:sz w:val="20"/>
        </w:rPr>
        <w:t> </w:t>
      </w:r>
    </w:p>
    <w:p w14:paraId="711D89B0"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15381EC6"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b/>
          <w:bCs/>
          <w:sz w:val="20"/>
        </w:rPr>
        <w:t>References</w:t>
      </w:r>
      <w:r w:rsidRPr="009C45B1">
        <w:rPr>
          <w:rFonts w:ascii="Arial" w:hAnsi="Arial" w:cs="Arial"/>
          <w:sz w:val="20"/>
        </w:rPr>
        <w:t> </w:t>
      </w:r>
    </w:p>
    <w:p w14:paraId="250152E5" w14:textId="77777777" w:rsidR="009C45B1" w:rsidRPr="009C45B1" w:rsidRDefault="009C45B1" w:rsidP="004079EB">
      <w:pPr>
        <w:pStyle w:val="paragraph"/>
        <w:numPr>
          <w:ilvl w:val="0"/>
          <w:numId w:val="44"/>
        </w:numPr>
        <w:spacing w:before="0" w:beforeAutospacing="0" w:after="0" w:afterAutospacing="0"/>
        <w:rPr>
          <w:rFonts w:ascii="Arial" w:hAnsi="Arial" w:cs="Arial"/>
          <w:sz w:val="20"/>
        </w:rPr>
      </w:pPr>
      <w:r w:rsidRPr="009C45B1">
        <w:rPr>
          <w:rFonts w:ascii="Arial" w:hAnsi="Arial" w:cs="Arial"/>
          <w:sz w:val="20"/>
        </w:rPr>
        <w:t xml:space="preserve">Rao AK. “Use of JYNNEOS During Mpox Outbreaks: Clinical Guidance.” Advisory Committee on Immunization Practices (ACIP) presentation. Atlanta, GA, June 23, 2023. </w:t>
      </w:r>
      <w:hyperlink r:id="rId31" w:tgtFrame="_blank" w:history="1">
        <w:r w:rsidRPr="009C45B1">
          <w:rPr>
            <w:rStyle w:val="Hyperlink"/>
            <w:rFonts w:ascii="Arial" w:hAnsi="Arial" w:cs="Arial"/>
            <w:sz w:val="20"/>
          </w:rPr>
          <w:t>https://www.cdc.gov/acip/downloads/slides-2023-06-21-23/03-mpox-Rao-508.pdf</w:t>
        </w:r>
      </w:hyperlink>
      <w:r w:rsidRPr="009C45B1">
        <w:rPr>
          <w:rFonts w:ascii="Arial" w:hAnsi="Arial" w:cs="Arial"/>
          <w:sz w:val="20"/>
        </w:rPr>
        <w:t> </w:t>
      </w:r>
    </w:p>
    <w:p w14:paraId="3ED5E12D" w14:textId="77777777" w:rsidR="009C45B1" w:rsidRPr="009C45B1" w:rsidRDefault="009C45B1" w:rsidP="004079EB">
      <w:pPr>
        <w:pStyle w:val="paragraph"/>
        <w:numPr>
          <w:ilvl w:val="0"/>
          <w:numId w:val="45"/>
        </w:numPr>
        <w:spacing w:before="0" w:beforeAutospacing="0" w:after="0" w:afterAutospacing="0"/>
        <w:rPr>
          <w:rFonts w:ascii="Arial" w:hAnsi="Arial" w:cs="Arial"/>
          <w:sz w:val="20"/>
        </w:rPr>
      </w:pPr>
      <w:r w:rsidRPr="009C45B1">
        <w:rPr>
          <w:rFonts w:ascii="Arial" w:hAnsi="Arial" w:cs="Arial"/>
          <w:sz w:val="20"/>
        </w:rPr>
        <w:t xml:space="preserve">Rao AK. “Evidence to Recommendations Framework: Vaccination with JYNNEOS During Mpox Outbreaks.” Advisory Committee on Immunization Practices (ACIP) presentation. Atlanta, GA, February 22, 2023. </w:t>
      </w:r>
      <w:hyperlink r:id="rId32" w:tgtFrame="_blank" w:history="1">
        <w:r w:rsidRPr="009C45B1">
          <w:rPr>
            <w:rStyle w:val="Hyperlink"/>
            <w:rFonts w:ascii="Arial" w:hAnsi="Arial" w:cs="Arial"/>
            <w:sz w:val="20"/>
          </w:rPr>
          <w:t>https://www.cdc.gov/acip/downloads/slides-2023-02-22-24/Mpox-07-Rao-508.pdf</w:t>
        </w:r>
      </w:hyperlink>
      <w:r w:rsidRPr="009C45B1">
        <w:rPr>
          <w:rFonts w:ascii="Arial" w:hAnsi="Arial" w:cs="Arial"/>
          <w:sz w:val="20"/>
        </w:rPr>
        <w:t> </w:t>
      </w:r>
    </w:p>
    <w:p w14:paraId="2E2C47DA" w14:textId="77777777" w:rsidR="009C45B1" w:rsidRPr="009C45B1" w:rsidRDefault="009C45B1" w:rsidP="004079EB">
      <w:pPr>
        <w:pStyle w:val="paragraph"/>
        <w:numPr>
          <w:ilvl w:val="0"/>
          <w:numId w:val="46"/>
        </w:numPr>
        <w:spacing w:before="0" w:beforeAutospacing="0" w:after="0" w:afterAutospacing="0"/>
        <w:rPr>
          <w:rFonts w:ascii="Arial" w:hAnsi="Arial" w:cs="Arial"/>
          <w:sz w:val="20"/>
        </w:rPr>
      </w:pPr>
      <w:proofErr w:type="spellStart"/>
      <w:r w:rsidRPr="009C45B1">
        <w:rPr>
          <w:rFonts w:ascii="Arial" w:hAnsi="Arial" w:cs="Arial"/>
          <w:sz w:val="20"/>
        </w:rPr>
        <w:t>Kibungu</w:t>
      </w:r>
      <w:proofErr w:type="spellEnd"/>
      <w:r w:rsidRPr="009C45B1">
        <w:rPr>
          <w:rFonts w:ascii="Arial" w:hAnsi="Arial" w:cs="Arial"/>
          <w:sz w:val="20"/>
        </w:rPr>
        <w:t xml:space="preserve">, E. M., Vakaniaki, E. H., </w:t>
      </w:r>
      <w:proofErr w:type="spellStart"/>
      <w:r w:rsidRPr="009C45B1">
        <w:rPr>
          <w:rFonts w:ascii="Arial" w:hAnsi="Arial" w:cs="Arial"/>
          <w:sz w:val="20"/>
        </w:rPr>
        <w:t>Kinganda-Lusamaki</w:t>
      </w:r>
      <w:proofErr w:type="spellEnd"/>
      <w:r w:rsidRPr="009C45B1">
        <w:rPr>
          <w:rFonts w:ascii="Arial" w:hAnsi="Arial" w:cs="Arial"/>
          <w:sz w:val="20"/>
        </w:rPr>
        <w:t xml:space="preserve">, E., Kalonji-Mukendi, T., </w:t>
      </w:r>
      <w:proofErr w:type="spellStart"/>
      <w:r w:rsidRPr="009C45B1">
        <w:rPr>
          <w:rFonts w:ascii="Arial" w:hAnsi="Arial" w:cs="Arial"/>
          <w:sz w:val="20"/>
        </w:rPr>
        <w:t>Pukuta</w:t>
      </w:r>
      <w:proofErr w:type="spellEnd"/>
      <w:r w:rsidRPr="009C45B1">
        <w:rPr>
          <w:rFonts w:ascii="Arial" w:hAnsi="Arial" w:cs="Arial"/>
          <w:sz w:val="20"/>
        </w:rPr>
        <w:t xml:space="preserve">, E., Hoff, N. A, </w:t>
      </w:r>
      <w:proofErr w:type="spellStart"/>
      <w:r w:rsidRPr="009C45B1">
        <w:rPr>
          <w:rFonts w:ascii="Arial" w:hAnsi="Arial" w:cs="Arial"/>
          <w:sz w:val="20"/>
        </w:rPr>
        <w:t>Lushima</w:t>
      </w:r>
      <w:proofErr w:type="spellEnd"/>
      <w:r w:rsidRPr="009C45B1">
        <w:rPr>
          <w:rFonts w:ascii="Arial" w:hAnsi="Arial" w:cs="Arial"/>
          <w:sz w:val="20"/>
        </w:rPr>
        <w:t xml:space="preserve">, R. S. (2024). Clade I–Associated Mpox Cases Associated with Sexual Contact, the Democratic Republic of </w:t>
      </w:r>
      <w:proofErr w:type="gramStart"/>
      <w:r w:rsidRPr="009C45B1">
        <w:rPr>
          <w:rFonts w:ascii="Arial" w:hAnsi="Arial" w:cs="Arial"/>
          <w:sz w:val="20"/>
        </w:rPr>
        <w:t>the Congo</w:t>
      </w:r>
      <w:proofErr w:type="gramEnd"/>
      <w:r w:rsidRPr="009C45B1">
        <w:rPr>
          <w:rFonts w:ascii="Arial" w:hAnsi="Arial" w:cs="Arial"/>
          <w:sz w:val="20"/>
        </w:rPr>
        <w:t>. </w:t>
      </w:r>
      <w:r w:rsidRPr="009C45B1">
        <w:rPr>
          <w:rFonts w:ascii="Arial" w:hAnsi="Arial" w:cs="Arial"/>
          <w:i/>
          <w:iCs/>
          <w:sz w:val="20"/>
        </w:rPr>
        <w:t>Emerging Infectious Diseases</w:t>
      </w:r>
      <w:r w:rsidRPr="009C45B1">
        <w:rPr>
          <w:rFonts w:ascii="Arial" w:hAnsi="Arial" w:cs="Arial"/>
          <w:sz w:val="20"/>
        </w:rPr>
        <w:t>, </w:t>
      </w:r>
      <w:r w:rsidRPr="009C45B1">
        <w:rPr>
          <w:rFonts w:ascii="Arial" w:hAnsi="Arial" w:cs="Arial"/>
          <w:i/>
          <w:iCs/>
          <w:sz w:val="20"/>
        </w:rPr>
        <w:t>30</w:t>
      </w:r>
      <w:r w:rsidRPr="009C45B1">
        <w:rPr>
          <w:rFonts w:ascii="Arial" w:hAnsi="Arial" w:cs="Arial"/>
          <w:sz w:val="20"/>
        </w:rPr>
        <w:t xml:space="preserve">(1), 172-176. </w:t>
      </w:r>
      <w:hyperlink r:id="rId33" w:tgtFrame="_blank" w:history="1">
        <w:r w:rsidRPr="009C45B1">
          <w:rPr>
            <w:rStyle w:val="Hyperlink"/>
            <w:rFonts w:ascii="Arial" w:hAnsi="Arial" w:cs="Arial"/>
            <w:sz w:val="20"/>
          </w:rPr>
          <w:t>https://doi.org/10.3201/eid3001.231164</w:t>
        </w:r>
      </w:hyperlink>
      <w:r w:rsidRPr="009C45B1">
        <w:rPr>
          <w:rFonts w:ascii="Arial" w:hAnsi="Arial" w:cs="Arial"/>
          <w:sz w:val="20"/>
        </w:rPr>
        <w:t>. </w:t>
      </w:r>
    </w:p>
    <w:p w14:paraId="73CD3B20" w14:textId="77777777" w:rsidR="009C45B1" w:rsidRPr="009C45B1" w:rsidRDefault="009C45B1" w:rsidP="004079EB">
      <w:pPr>
        <w:pStyle w:val="paragraph"/>
        <w:numPr>
          <w:ilvl w:val="0"/>
          <w:numId w:val="47"/>
        </w:numPr>
        <w:spacing w:before="0" w:beforeAutospacing="0" w:after="0" w:afterAutospacing="0"/>
        <w:rPr>
          <w:rFonts w:ascii="Arial" w:hAnsi="Arial" w:cs="Arial"/>
          <w:sz w:val="20"/>
        </w:rPr>
      </w:pPr>
      <w:proofErr w:type="spellStart"/>
      <w:r w:rsidRPr="009C45B1">
        <w:rPr>
          <w:rFonts w:ascii="Arial" w:hAnsi="Arial" w:cs="Arial"/>
          <w:sz w:val="20"/>
        </w:rPr>
        <w:t>Yinda</w:t>
      </w:r>
      <w:proofErr w:type="spellEnd"/>
      <w:r w:rsidRPr="009C45B1">
        <w:rPr>
          <w:rFonts w:ascii="Arial" w:hAnsi="Arial" w:cs="Arial"/>
          <w:sz w:val="20"/>
        </w:rPr>
        <w:t xml:space="preserve"> CK, </w:t>
      </w:r>
      <w:proofErr w:type="spellStart"/>
      <w:r w:rsidRPr="009C45B1">
        <w:rPr>
          <w:rFonts w:ascii="Arial" w:hAnsi="Arial" w:cs="Arial"/>
          <w:sz w:val="20"/>
        </w:rPr>
        <w:t>Koukouikila-Koussounda</w:t>
      </w:r>
      <w:proofErr w:type="spellEnd"/>
      <w:r w:rsidRPr="009C45B1">
        <w:rPr>
          <w:rFonts w:ascii="Arial" w:hAnsi="Arial" w:cs="Arial"/>
          <w:sz w:val="20"/>
        </w:rPr>
        <w:t xml:space="preserve"> F, </w:t>
      </w:r>
      <w:proofErr w:type="spellStart"/>
      <w:r w:rsidRPr="009C45B1">
        <w:rPr>
          <w:rFonts w:ascii="Arial" w:hAnsi="Arial" w:cs="Arial"/>
          <w:sz w:val="20"/>
        </w:rPr>
        <w:t>Mayengue</w:t>
      </w:r>
      <w:proofErr w:type="spellEnd"/>
      <w:r w:rsidRPr="009C45B1">
        <w:rPr>
          <w:rFonts w:ascii="Arial" w:hAnsi="Arial" w:cs="Arial"/>
          <w:sz w:val="20"/>
        </w:rPr>
        <w:t xml:space="preserve"> PI, et al. Genetic sequencing analysis of monkeypox virus clade I in Republic of </w:t>
      </w:r>
      <w:proofErr w:type="gramStart"/>
      <w:r w:rsidRPr="009C45B1">
        <w:rPr>
          <w:rFonts w:ascii="Arial" w:hAnsi="Arial" w:cs="Arial"/>
          <w:sz w:val="20"/>
        </w:rPr>
        <w:t>the Congo</w:t>
      </w:r>
      <w:proofErr w:type="gramEnd"/>
      <w:r w:rsidRPr="009C45B1">
        <w:rPr>
          <w:rFonts w:ascii="Arial" w:hAnsi="Arial" w:cs="Arial"/>
          <w:sz w:val="20"/>
        </w:rPr>
        <w:t xml:space="preserve">: a cross-sectional, descriptive study. </w:t>
      </w:r>
      <w:r w:rsidRPr="009C45B1">
        <w:rPr>
          <w:rFonts w:ascii="Arial" w:hAnsi="Arial" w:cs="Arial"/>
          <w:i/>
          <w:iCs/>
          <w:sz w:val="20"/>
        </w:rPr>
        <w:t>Lancet</w:t>
      </w:r>
      <w:r w:rsidRPr="009C45B1">
        <w:rPr>
          <w:rFonts w:ascii="Arial" w:hAnsi="Arial" w:cs="Arial"/>
          <w:sz w:val="20"/>
        </w:rPr>
        <w:t xml:space="preserve">. 2024; 404:1815-1822. </w:t>
      </w:r>
      <w:hyperlink r:id="rId34" w:tgtFrame="_blank" w:history="1">
        <w:r w:rsidRPr="009C45B1">
          <w:rPr>
            <w:rStyle w:val="Hyperlink"/>
            <w:rFonts w:ascii="Arial" w:hAnsi="Arial" w:cs="Arial"/>
            <w:sz w:val="20"/>
          </w:rPr>
          <w:t>https://www.thelancet.com/journals/lancet/article/PIIS0140-6736(24)02188-3/fulltext</w:t>
        </w:r>
      </w:hyperlink>
      <w:r w:rsidRPr="009C45B1">
        <w:rPr>
          <w:rFonts w:ascii="Arial" w:hAnsi="Arial" w:cs="Arial"/>
          <w:sz w:val="20"/>
        </w:rPr>
        <w:t>. </w:t>
      </w:r>
    </w:p>
    <w:p w14:paraId="23623F06" w14:textId="77777777" w:rsidR="009C45B1" w:rsidRPr="009C45B1" w:rsidRDefault="009C45B1" w:rsidP="00B95D64">
      <w:pPr>
        <w:pStyle w:val="paragraph"/>
        <w:spacing w:before="0" w:beforeAutospacing="0" w:after="0" w:afterAutospacing="0"/>
        <w:rPr>
          <w:rFonts w:ascii="Arial" w:hAnsi="Arial" w:cs="Arial"/>
          <w:sz w:val="20"/>
        </w:rPr>
      </w:pPr>
      <w:r w:rsidRPr="009C45B1">
        <w:rPr>
          <w:rFonts w:ascii="Arial" w:hAnsi="Arial" w:cs="Arial"/>
          <w:sz w:val="20"/>
        </w:rPr>
        <w:t> </w:t>
      </w:r>
    </w:p>
    <w:p w14:paraId="319B72B9" w14:textId="3E20B196" w:rsidR="007435FD" w:rsidRDefault="007435FD" w:rsidP="00B95D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p>
    <w:p w14:paraId="74BAC1E1" w14:textId="3625F5EE"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5C"/>
    <w:multiLevelType w:val="multilevel"/>
    <w:tmpl w:val="083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34C2A"/>
    <w:multiLevelType w:val="multilevel"/>
    <w:tmpl w:val="50403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5F146A"/>
    <w:multiLevelType w:val="multilevel"/>
    <w:tmpl w:val="A8041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3615A"/>
    <w:multiLevelType w:val="multilevel"/>
    <w:tmpl w:val="F172405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9327872"/>
    <w:multiLevelType w:val="multilevel"/>
    <w:tmpl w:val="1FF68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29130D"/>
    <w:multiLevelType w:val="multilevel"/>
    <w:tmpl w:val="3E0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24AD0"/>
    <w:multiLevelType w:val="multilevel"/>
    <w:tmpl w:val="B6D23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824CAA"/>
    <w:multiLevelType w:val="multilevel"/>
    <w:tmpl w:val="BD9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717B1"/>
    <w:multiLevelType w:val="multilevel"/>
    <w:tmpl w:val="18A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D03D0"/>
    <w:multiLevelType w:val="multilevel"/>
    <w:tmpl w:val="D316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70AF6"/>
    <w:multiLevelType w:val="multilevel"/>
    <w:tmpl w:val="57D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92608C"/>
    <w:multiLevelType w:val="multilevel"/>
    <w:tmpl w:val="67D4A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7422F07"/>
    <w:multiLevelType w:val="multilevel"/>
    <w:tmpl w:val="AF0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A50CC"/>
    <w:multiLevelType w:val="multilevel"/>
    <w:tmpl w:val="AB403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C22659"/>
    <w:multiLevelType w:val="multilevel"/>
    <w:tmpl w:val="988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11379E"/>
    <w:multiLevelType w:val="multilevel"/>
    <w:tmpl w:val="B016E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FE6BDE"/>
    <w:multiLevelType w:val="multilevel"/>
    <w:tmpl w:val="C8EEE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B7502"/>
    <w:multiLevelType w:val="multilevel"/>
    <w:tmpl w:val="3F4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035AA5"/>
    <w:multiLevelType w:val="multilevel"/>
    <w:tmpl w:val="85F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125EC"/>
    <w:multiLevelType w:val="multilevel"/>
    <w:tmpl w:val="14AC5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EF59D4"/>
    <w:multiLevelType w:val="multilevel"/>
    <w:tmpl w:val="E14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2B40ED"/>
    <w:multiLevelType w:val="multilevel"/>
    <w:tmpl w:val="004A8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4E3C3F"/>
    <w:multiLevelType w:val="multilevel"/>
    <w:tmpl w:val="E5E6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F381D"/>
    <w:multiLevelType w:val="multilevel"/>
    <w:tmpl w:val="D9A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C35552"/>
    <w:multiLevelType w:val="multilevel"/>
    <w:tmpl w:val="E12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D5C73"/>
    <w:multiLevelType w:val="multilevel"/>
    <w:tmpl w:val="FA1E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032BD"/>
    <w:multiLevelType w:val="multilevel"/>
    <w:tmpl w:val="869CB1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5DCE6F36"/>
    <w:multiLevelType w:val="multilevel"/>
    <w:tmpl w:val="5AC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1D788B"/>
    <w:multiLevelType w:val="multilevel"/>
    <w:tmpl w:val="9F1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010C2"/>
    <w:multiLevelType w:val="multilevel"/>
    <w:tmpl w:val="19E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8458B"/>
    <w:multiLevelType w:val="multilevel"/>
    <w:tmpl w:val="5FAA8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3156E89"/>
    <w:multiLevelType w:val="multilevel"/>
    <w:tmpl w:val="811C82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63284236"/>
    <w:multiLevelType w:val="multilevel"/>
    <w:tmpl w:val="AC2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2923D3"/>
    <w:multiLevelType w:val="multilevel"/>
    <w:tmpl w:val="3F6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DD6723"/>
    <w:multiLevelType w:val="multilevel"/>
    <w:tmpl w:val="006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62490"/>
    <w:multiLevelType w:val="multilevel"/>
    <w:tmpl w:val="C85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8A0AAA"/>
    <w:multiLevelType w:val="multilevel"/>
    <w:tmpl w:val="88222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08A3CBB"/>
    <w:multiLevelType w:val="multilevel"/>
    <w:tmpl w:val="0FC8D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0DD1BB2"/>
    <w:multiLevelType w:val="multilevel"/>
    <w:tmpl w:val="61C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592105"/>
    <w:multiLevelType w:val="multilevel"/>
    <w:tmpl w:val="C6E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5361F"/>
    <w:multiLevelType w:val="multilevel"/>
    <w:tmpl w:val="1A4E83F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732352B4"/>
    <w:multiLevelType w:val="multilevel"/>
    <w:tmpl w:val="1B5AA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6946E93"/>
    <w:multiLevelType w:val="multilevel"/>
    <w:tmpl w:val="922AE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69E4F4B"/>
    <w:multiLevelType w:val="multilevel"/>
    <w:tmpl w:val="6BCC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01210"/>
    <w:multiLevelType w:val="multilevel"/>
    <w:tmpl w:val="2E16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C4364B"/>
    <w:multiLevelType w:val="multilevel"/>
    <w:tmpl w:val="16A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C13FEC"/>
    <w:multiLevelType w:val="multilevel"/>
    <w:tmpl w:val="EA601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05337278">
    <w:abstractNumId w:val="0"/>
  </w:num>
  <w:num w:numId="2" w16cid:durableId="617371903">
    <w:abstractNumId w:val="35"/>
  </w:num>
  <w:num w:numId="3" w16cid:durableId="1798525714">
    <w:abstractNumId w:val="46"/>
  </w:num>
  <w:num w:numId="4" w16cid:durableId="228543352">
    <w:abstractNumId w:val="6"/>
  </w:num>
  <w:num w:numId="5" w16cid:durableId="1141772074">
    <w:abstractNumId w:val="42"/>
  </w:num>
  <w:num w:numId="6" w16cid:durableId="1262370888">
    <w:abstractNumId w:val="30"/>
  </w:num>
  <w:num w:numId="7" w16cid:durableId="302590299">
    <w:abstractNumId w:val="21"/>
  </w:num>
  <w:num w:numId="8" w16cid:durableId="519393468">
    <w:abstractNumId w:val="14"/>
  </w:num>
  <w:num w:numId="9" w16cid:durableId="396393602">
    <w:abstractNumId w:val="1"/>
  </w:num>
  <w:num w:numId="10" w16cid:durableId="1212573011">
    <w:abstractNumId w:val="19"/>
  </w:num>
  <w:num w:numId="11" w16cid:durableId="740178402">
    <w:abstractNumId w:val="36"/>
  </w:num>
  <w:num w:numId="12" w16cid:durableId="10572063">
    <w:abstractNumId w:val="20"/>
  </w:num>
  <w:num w:numId="13" w16cid:durableId="1690327145">
    <w:abstractNumId w:val="17"/>
  </w:num>
  <w:num w:numId="14" w16cid:durableId="508177763">
    <w:abstractNumId w:val="39"/>
  </w:num>
  <w:num w:numId="15" w16cid:durableId="1815373825">
    <w:abstractNumId w:val="43"/>
  </w:num>
  <w:num w:numId="16" w16cid:durableId="711811030">
    <w:abstractNumId w:val="11"/>
  </w:num>
  <w:num w:numId="17" w16cid:durableId="862674552">
    <w:abstractNumId w:val="37"/>
  </w:num>
  <w:num w:numId="18" w16cid:durableId="1024818385">
    <w:abstractNumId w:val="41"/>
  </w:num>
  <w:num w:numId="19" w16cid:durableId="331949862">
    <w:abstractNumId w:val="15"/>
  </w:num>
  <w:num w:numId="20" w16cid:durableId="793057444">
    <w:abstractNumId w:val="4"/>
  </w:num>
  <w:num w:numId="21" w16cid:durableId="1166674306">
    <w:abstractNumId w:val="3"/>
  </w:num>
  <w:num w:numId="22" w16cid:durableId="1855800209">
    <w:abstractNumId w:val="29"/>
  </w:num>
  <w:num w:numId="23" w16cid:durableId="1113785787">
    <w:abstractNumId w:val="24"/>
  </w:num>
  <w:num w:numId="24" w16cid:durableId="1667782924">
    <w:abstractNumId w:val="7"/>
  </w:num>
  <w:num w:numId="25" w16cid:durableId="1489321973">
    <w:abstractNumId w:val="38"/>
  </w:num>
  <w:num w:numId="26" w16cid:durableId="360210344">
    <w:abstractNumId w:val="27"/>
  </w:num>
  <w:num w:numId="27" w16cid:durableId="1091465914">
    <w:abstractNumId w:val="40"/>
  </w:num>
  <w:num w:numId="28" w16cid:durableId="1910574856">
    <w:abstractNumId w:val="9"/>
  </w:num>
  <w:num w:numId="29" w16cid:durableId="698774921">
    <w:abstractNumId w:val="23"/>
  </w:num>
  <w:num w:numId="30" w16cid:durableId="693187266">
    <w:abstractNumId w:val="33"/>
  </w:num>
  <w:num w:numId="31" w16cid:durableId="1995143131">
    <w:abstractNumId w:val="34"/>
  </w:num>
  <w:num w:numId="32" w16cid:durableId="2061856757">
    <w:abstractNumId w:val="26"/>
  </w:num>
  <w:num w:numId="33" w16cid:durableId="962737044">
    <w:abstractNumId w:val="28"/>
  </w:num>
  <w:num w:numId="34" w16cid:durableId="469059900">
    <w:abstractNumId w:val="31"/>
  </w:num>
  <w:num w:numId="35" w16cid:durableId="289475735">
    <w:abstractNumId w:val="12"/>
  </w:num>
  <w:num w:numId="36" w16cid:durableId="1041636395">
    <w:abstractNumId w:val="8"/>
  </w:num>
  <w:num w:numId="37" w16cid:durableId="1510831622">
    <w:abstractNumId w:val="32"/>
  </w:num>
  <w:num w:numId="38" w16cid:durableId="1585384377">
    <w:abstractNumId w:val="5"/>
  </w:num>
  <w:num w:numId="39" w16cid:durableId="486554880">
    <w:abstractNumId w:val="25"/>
  </w:num>
  <w:num w:numId="40" w16cid:durableId="1749378299">
    <w:abstractNumId w:val="44"/>
  </w:num>
  <w:num w:numId="41" w16cid:durableId="1580141487">
    <w:abstractNumId w:val="18"/>
  </w:num>
  <w:num w:numId="42" w16cid:durableId="1887452498">
    <w:abstractNumId w:val="45"/>
  </w:num>
  <w:num w:numId="43" w16cid:durableId="1226986173">
    <w:abstractNumId w:val="10"/>
  </w:num>
  <w:num w:numId="44" w16cid:durableId="1680814599">
    <w:abstractNumId w:val="22"/>
  </w:num>
  <w:num w:numId="45" w16cid:durableId="674575110">
    <w:abstractNumId w:val="2"/>
  </w:num>
  <w:num w:numId="46" w16cid:durableId="2118941622">
    <w:abstractNumId w:val="13"/>
  </w:num>
  <w:num w:numId="47" w16cid:durableId="51739696">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C2E20"/>
    <w:rsid w:val="000E51BB"/>
    <w:rsid w:val="000F315B"/>
    <w:rsid w:val="000F42DC"/>
    <w:rsid w:val="001125C0"/>
    <w:rsid w:val="0013262D"/>
    <w:rsid w:val="001441D3"/>
    <w:rsid w:val="0015268B"/>
    <w:rsid w:val="0015709E"/>
    <w:rsid w:val="0017749A"/>
    <w:rsid w:val="00177C77"/>
    <w:rsid w:val="001A7E66"/>
    <w:rsid w:val="001B6693"/>
    <w:rsid w:val="001C11ED"/>
    <w:rsid w:val="001D799F"/>
    <w:rsid w:val="0021698C"/>
    <w:rsid w:val="00237280"/>
    <w:rsid w:val="00260D54"/>
    <w:rsid w:val="00276957"/>
    <w:rsid w:val="00276DCC"/>
    <w:rsid w:val="002A132F"/>
    <w:rsid w:val="002B5A45"/>
    <w:rsid w:val="002D1C21"/>
    <w:rsid w:val="002D21FF"/>
    <w:rsid w:val="002D50F0"/>
    <w:rsid w:val="00301022"/>
    <w:rsid w:val="00327D15"/>
    <w:rsid w:val="00357A68"/>
    <w:rsid w:val="0037371A"/>
    <w:rsid w:val="00375EAD"/>
    <w:rsid w:val="00382F51"/>
    <w:rsid w:val="00385812"/>
    <w:rsid w:val="00392D0B"/>
    <w:rsid w:val="003A7AFC"/>
    <w:rsid w:val="003B35A2"/>
    <w:rsid w:val="003C60EF"/>
    <w:rsid w:val="003D2340"/>
    <w:rsid w:val="003E72C9"/>
    <w:rsid w:val="004079EB"/>
    <w:rsid w:val="0043513D"/>
    <w:rsid w:val="0047508A"/>
    <w:rsid w:val="00480ED3"/>
    <w:rsid w:val="004813AC"/>
    <w:rsid w:val="00492128"/>
    <w:rsid w:val="004A79A3"/>
    <w:rsid w:val="004B37A0"/>
    <w:rsid w:val="004B5CFB"/>
    <w:rsid w:val="004D6B39"/>
    <w:rsid w:val="004E0C3F"/>
    <w:rsid w:val="00503F2D"/>
    <w:rsid w:val="00504C45"/>
    <w:rsid w:val="00511DB0"/>
    <w:rsid w:val="00512956"/>
    <w:rsid w:val="00530145"/>
    <w:rsid w:val="005448AA"/>
    <w:rsid w:val="00546645"/>
    <w:rsid w:val="00572A6E"/>
    <w:rsid w:val="005B7E41"/>
    <w:rsid w:val="005F163E"/>
    <w:rsid w:val="006271E4"/>
    <w:rsid w:val="006D06D9"/>
    <w:rsid w:val="006D77A6"/>
    <w:rsid w:val="00702109"/>
    <w:rsid w:val="007210FB"/>
    <w:rsid w:val="0072610D"/>
    <w:rsid w:val="007359C3"/>
    <w:rsid w:val="007435FD"/>
    <w:rsid w:val="00757006"/>
    <w:rsid w:val="00771FEB"/>
    <w:rsid w:val="007B3F4B"/>
    <w:rsid w:val="007B7347"/>
    <w:rsid w:val="007D10F3"/>
    <w:rsid w:val="007D1D51"/>
    <w:rsid w:val="007E06B4"/>
    <w:rsid w:val="007F3CDB"/>
    <w:rsid w:val="00802852"/>
    <w:rsid w:val="00807DF5"/>
    <w:rsid w:val="00823AD1"/>
    <w:rsid w:val="00850407"/>
    <w:rsid w:val="00864910"/>
    <w:rsid w:val="0088305B"/>
    <w:rsid w:val="00917B0F"/>
    <w:rsid w:val="00951305"/>
    <w:rsid w:val="009730E5"/>
    <w:rsid w:val="009908FF"/>
    <w:rsid w:val="00995505"/>
    <w:rsid w:val="009A17E7"/>
    <w:rsid w:val="009C4428"/>
    <w:rsid w:val="009C45B1"/>
    <w:rsid w:val="009D1751"/>
    <w:rsid w:val="009D48CD"/>
    <w:rsid w:val="00A46B2B"/>
    <w:rsid w:val="00A5547C"/>
    <w:rsid w:val="00A65101"/>
    <w:rsid w:val="00B403BF"/>
    <w:rsid w:val="00B41B42"/>
    <w:rsid w:val="00B608D9"/>
    <w:rsid w:val="00B95D64"/>
    <w:rsid w:val="00BA15C5"/>
    <w:rsid w:val="00BA4055"/>
    <w:rsid w:val="00BA7FB6"/>
    <w:rsid w:val="00BC3AB1"/>
    <w:rsid w:val="00C20BFE"/>
    <w:rsid w:val="00C46D29"/>
    <w:rsid w:val="00CC1778"/>
    <w:rsid w:val="00CD2041"/>
    <w:rsid w:val="00CE575B"/>
    <w:rsid w:val="00CF3DE8"/>
    <w:rsid w:val="00D01F32"/>
    <w:rsid w:val="00D0493F"/>
    <w:rsid w:val="00D10DDE"/>
    <w:rsid w:val="00D17C27"/>
    <w:rsid w:val="00D31793"/>
    <w:rsid w:val="00D33C73"/>
    <w:rsid w:val="00D44075"/>
    <w:rsid w:val="00D544FA"/>
    <w:rsid w:val="00D56F91"/>
    <w:rsid w:val="00D709C2"/>
    <w:rsid w:val="00D76119"/>
    <w:rsid w:val="00D8671C"/>
    <w:rsid w:val="00D91390"/>
    <w:rsid w:val="00D94A8B"/>
    <w:rsid w:val="00DA57C3"/>
    <w:rsid w:val="00DC3855"/>
    <w:rsid w:val="00DC5989"/>
    <w:rsid w:val="00DE7E2D"/>
    <w:rsid w:val="00E14C1A"/>
    <w:rsid w:val="00E242A8"/>
    <w:rsid w:val="00E274B8"/>
    <w:rsid w:val="00E72707"/>
    <w:rsid w:val="00E814A1"/>
    <w:rsid w:val="00EA281A"/>
    <w:rsid w:val="00EF0780"/>
    <w:rsid w:val="00F01387"/>
    <w:rsid w:val="00F03202"/>
    <w:rsid w:val="00F0586E"/>
    <w:rsid w:val="00F25497"/>
    <w:rsid w:val="00F4302A"/>
    <w:rsid w:val="00F43932"/>
    <w:rsid w:val="00F60F7B"/>
    <w:rsid w:val="00FA575E"/>
    <w:rsid w:val="00FC6B42"/>
    <w:rsid w:val="0117CF02"/>
    <w:rsid w:val="0141CFB7"/>
    <w:rsid w:val="020BB4EA"/>
    <w:rsid w:val="022D4116"/>
    <w:rsid w:val="02FB5844"/>
    <w:rsid w:val="04289ED0"/>
    <w:rsid w:val="0448E0F0"/>
    <w:rsid w:val="05BAD319"/>
    <w:rsid w:val="06F336C9"/>
    <w:rsid w:val="07091BF0"/>
    <w:rsid w:val="0883A4ED"/>
    <w:rsid w:val="0ABF0BB7"/>
    <w:rsid w:val="0E18E9D7"/>
    <w:rsid w:val="10444D4F"/>
    <w:rsid w:val="107B61C1"/>
    <w:rsid w:val="12DC0850"/>
    <w:rsid w:val="13193DC4"/>
    <w:rsid w:val="134DA68B"/>
    <w:rsid w:val="14BC7A1A"/>
    <w:rsid w:val="1718BDE9"/>
    <w:rsid w:val="17ACFE9B"/>
    <w:rsid w:val="19A6C306"/>
    <w:rsid w:val="19AEDD6E"/>
    <w:rsid w:val="19CA7E2C"/>
    <w:rsid w:val="19EBF666"/>
    <w:rsid w:val="1BB0468A"/>
    <w:rsid w:val="1BB23B6D"/>
    <w:rsid w:val="1BCD26E4"/>
    <w:rsid w:val="1C41EAC5"/>
    <w:rsid w:val="1DDA8C14"/>
    <w:rsid w:val="1E7F9168"/>
    <w:rsid w:val="1F01BC81"/>
    <w:rsid w:val="20107F92"/>
    <w:rsid w:val="222485DE"/>
    <w:rsid w:val="223EB412"/>
    <w:rsid w:val="232D5BC5"/>
    <w:rsid w:val="23DECA3A"/>
    <w:rsid w:val="242B6C97"/>
    <w:rsid w:val="2469177A"/>
    <w:rsid w:val="2545EBE2"/>
    <w:rsid w:val="257AFD45"/>
    <w:rsid w:val="265DA343"/>
    <w:rsid w:val="27BC2722"/>
    <w:rsid w:val="27FE73A3"/>
    <w:rsid w:val="2A616353"/>
    <w:rsid w:val="2B2B5FA2"/>
    <w:rsid w:val="2C7D1810"/>
    <w:rsid w:val="2E2A0ABB"/>
    <w:rsid w:val="2E527A64"/>
    <w:rsid w:val="305C288A"/>
    <w:rsid w:val="313D2703"/>
    <w:rsid w:val="3153DCB6"/>
    <w:rsid w:val="315502F8"/>
    <w:rsid w:val="33A0E6B1"/>
    <w:rsid w:val="33D89E3A"/>
    <w:rsid w:val="34DC7C59"/>
    <w:rsid w:val="35BA9271"/>
    <w:rsid w:val="360505A6"/>
    <w:rsid w:val="363D80F0"/>
    <w:rsid w:val="36EF452C"/>
    <w:rsid w:val="37631B4E"/>
    <w:rsid w:val="3A879332"/>
    <w:rsid w:val="3C684A53"/>
    <w:rsid w:val="3EEE433B"/>
    <w:rsid w:val="3FF01B37"/>
    <w:rsid w:val="40D668F7"/>
    <w:rsid w:val="417AADD1"/>
    <w:rsid w:val="425D1D55"/>
    <w:rsid w:val="429F29F5"/>
    <w:rsid w:val="44EFB85F"/>
    <w:rsid w:val="46EA6F19"/>
    <w:rsid w:val="47D99C7B"/>
    <w:rsid w:val="4886611F"/>
    <w:rsid w:val="507E93F4"/>
    <w:rsid w:val="510E14DF"/>
    <w:rsid w:val="51952607"/>
    <w:rsid w:val="528E497B"/>
    <w:rsid w:val="534D80F6"/>
    <w:rsid w:val="537B9F6B"/>
    <w:rsid w:val="5661DCEA"/>
    <w:rsid w:val="56990413"/>
    <w:rsid w:val="56B11555"/>
    <w:rsid w:val="56E8DFBD"/>
    <w:rsid w:val="57F00DB4"/>
    <w:rsid w:val="5AB692F0"/>
    <w:rsid w:val="5F5E3146"/>
    <w:rsid w:val="62998C9D"/>
    <w:rsid w:val="632CA34E"/>
    <w:rsid w:val="647A4978"/>
    <w:rsid w:val="64CC0F30"/>
    <w:rsid w:val="652C2489"/>
    <w:rsid w:val="659B3275"/>
    <w:rsid w:val="65DC2E98"/>
    <w:rsid w:val="65F587BE"/>
    <w:rsid w:val="6800D7A4"/>
    <w:rsid w:val="684C921F"/>
    <w:rsid w:val="69974A5B"/>
    <w:rsid w:val="6A186F7A"/>
    <w:rsid w:val="6C22D136"/>
    <w:rsid w:val="6DD891EF"/>
    <w:rsid w:val="6EBAE866"/>
    <w:rsid w:val="719D29DC"/>
    <w:rsid w:val="724DF91D"/>
    <w:rsid w:val="728E3D79"/>
    <w:rsid w:val="73650852"/>
    <w:rsid w:val="75363AC4"/>
    <w:rsid w:val="76A72A2D"/>
    <w:rsid w:val="7870B2C3"/>
    <w:rsid w:val="7D6C7A41"/>
    <w:rsid w:val="7F7FB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6C92E2FD-C921-4B2F-82ED-23A92425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paragraph" w:customStyle="1" w:styleId="paragraph">
    <w:name w:val="paragraph"/>
    <w:basedOn w:val="Normal"/>
    <w:rsid w:val="007435FD"/>
    <w:pPr>
      <w:spacing w:before="100" w:beforeAutospacing="1" w:after="100" w:afterAutospacing="1"/>
    </w:pPr>
    <w:rPr>
      <w:szCs w:val="24"/>
    </w:rPr>
  </w:style>
  <w:style w:type="character" w:customStyle="1" w:styleId="normaltextrun">
    <w:name w:val="normaltextrun"/>
    <w:basedOn w:val="DefaultParagraphFont"/>
    <w:rsid w:val="007435FD"/>
  </w:style>
  <w:style w:type="character" w:customStyle="1" w:styleId="eop">
    <w:name w:val="eop"/>
    <w:basedOn w:val="DefaultParagraphFont"/>
    <w:rsid w:val="007435FD"/>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3262D"/>
    <w:rPr>
      <w:b/>
      <w:bCs/>
    </w:rPr>
  </w:style>
  <w:style w:type="character" w:customStyle="1" w:styleId="CommentSubjectChar">
    <w:name w:val="Comment Subject Char"/>
    <w:basedOn w:val="CommentTextChar"/>
    <w:link w:val="CommentSubject"/>
    <w:rsid w:val="00132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vailability-table-adult-0/download" TargetMode="External"/><Relationship Id="rId18" Type="http://schemas.openxmlformats.org/officeDocument/2006/relationships/hyperlink" Target="https://www.cdc.gov/monkeypox/hcp/clinical-signs/index.html" TargetMode="External"/><Relationship Id="rId26" Type="http://schemas.openxmlformats.org/officeDocument/2006/relationships/hyperlink" Target="https://www.cdc.gov/sti/hcp/clinical-guidance/taking-a-sexual-history.html" TargetMode="External"/><Relationship Id="rId3" Type="http://schemas.openxmlformats.org/officeDocument/2006/relationships/customXml" Target="../customXml/item3.xml"/><Relationship Id="rId21" Type="http://schemas.openxmlformats.org/officeDocument/2006/relationships/hyperlink" Target="https://www.cdc.gov/monkeypox/hcp/laboratories/index.html" TargetMode="External"/><Relationship Id="rId34" Type="http://schemas.openxmlformats.org/officeDocument/2006/relationships/hyperlink" Target="https://urldefense.com/v3/__https:/www.thelancet.com/journals/lancet/article/PIIS0140-6736(24)02188-3/fulltext__;!!CPANwP4y!TQuFvjYsKgVQMa31QaK4uU58wVG91Volp9JOf1Sq5tCAU5YyF-EokKu2SNrBvrSNBKteef3H-ckV1AH4_xpB7VHnO-o0cg$" TargetMode="External"/><Relationship Id="rId7" Type="http://schemas.openxmlformats.org/officeDocument/2006/relationships/webSettings" Target="webSettings.xml"/><Relationship Id="rId12" Type="http://schemas.openxmlformats.org/officeDocument/2006/relationships/hyperlink" Target="https://www.mass.gov/massachusetts-immunization-information-system-miis" TargetMode="External"/><Relationship Id="rId17" Type="http://schemas.openxmlformats.org/officeDocument/2006/relationships/hyperlink" Target="https://www.cdc.gov/monkeypox/hcp/case-definitions/index.html" TargetMode="External"/><Relationship Id="rId25" Type="http://schemas.openxmlformats.org/officeDocument/2006/relationships/hyperlink" Target="https://www.cdc.gov/monkeypox/php/public-health-strategy/index.html" TargetMode="External"/><Relationship Id="rId33" Type="http://schemas.openxmlformats.org/officeDocument/2006/relationships/hyperlink" Target="https://urldefense.com/v3/__https:/doi.org/10.3201/eid3001.231164__;!!CPANwP4y!TQuFvjYsKgVQMa31QaK4uU58wVG91Volp9JOf1Sq5tCAU5YyF-EokKu2SNrBvrSNBKteef3H-ckV1AH4_xpB7VHrwYczgA$" TargetMode="External"/><Relationship Id="rId2" Type="http://schemas.openxmlformats.org/officeDocument/2006/relationships/customXml" Target="../customXml/item2.xml"/><Relationship Id="rId16" Type="http://schemas.openxmlformats.org/officeDocument/2006/relationships/hyperlink" Target="https://www.cdc.gov/monkeypox/outbreaks/2023/index.html" TargetMode="External"/><Relationship Id="rId20" Type="http://schemas.openxmlformats.org/officeDocument/2006/relationships/hyperlink" Target="https://www.mass.gov/doc/instructions-for-specimen-collection-for-orthopoxvirus-testing/download?_ga=2.61791915.647888204.1731967709-1038448085.1689706401&amp;_gl=1*1csq32g*_ga*MTAzODQ0ODA4NS4xNjg5NzA2NDAx*_ga_MCLPEGW7WM*MTczMjEyNzkzOC4zMC4wLjE3MzIxMjc5NDUuMC4wLjA." TargetMode="External"/><Relationship Id="rId29" Type="http://schemas.openxmlformats.org/officeDocument/2006/relationships/hyperlink" Target="https://www.cdc.gov/monkeypox/hcp/laboratories/biosafet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monkeypox/media/pdfs/2024/10/JYNNEOS-Coverage-Fact-Sheet-10-24.pdf" TargetMode="External"/><Relationship Id="rId24" Type="http://schemas.openxmlformats.org/officeDocument/2006/relationships/hyperlink" Target="https://www.cdc.gov/monkeypox/hcp/clinical-overview/index.html" TargetMode="External"/><Relationship Id="rId32" Type="http://schemas.openxmlformats.org/officeDocument/2006/relationships/hyperlink" Target="https://urldefense.com/v3/__https:/www.cdc.gov/acip/downloads/slides-2023-02-22-24/Mpox-07-Rao-508.pdf__;!!CPANwP4y!TQuFvjYsKgVQMa31QaK4uU58wVG91Volp9JOf1Sq5tCAU5YyF-EokKu2SNrBvrSNBKteef3H-ckV1AH4_xpB7VEGF1mk7A$" TargetMode="External"/><Relationship Id="rId5" Type="http://schemas.openxmlformats.org/officeDocument/2006/relationships/styles" Target="styles.xml"/><Relationship Id="rId15" Type="http://schemas.openxmlformats.org/officeDocument/2006/relationships/hyperlink" Target="https://www.cdc.gov/monkeypox/causes/index.html" TargetMode="External"/><Relationship Id="rId23" Type="http://schemas.openxmlformats.org/officeDocument/2006/relationships/hyperlink" Target="https://www.cdc.gov/monkeypox/outbreaks/2022/index-1.html" TargetMode="External"/><Relationship Id="rId28" Type="http://schemas.openxmlformats.org/officeDocument/2006/relationships/hyperlink" Target="https://www.cdc.gov/monkeypox/hcp/clinical-care/pediatric.html" TargetMode="External"/><Relationship Id="rId36" Type="http://schemas.openxmlformats.org/officeDocument/2006/relationships/theme" Target="theme/theme1.xml"/><Relationship Id="rId10" Type="http://schemas.openxmlformats.org/officeDocument/2006/relationships/hyperlink" Target="https://www.cdc.gov/vaccines/hcp/current-vis/smallpox-monkeypox.html" TargetMode="External"/><Relationship Id="rId19" Type="http://schemas.openxmlformats.org/officeDocument/2006/relationships/hyperlink" Target="https://www.cdc.gov/monkeypox/hcp/infection-control/index.html" TargetMode="External"/><Relationship Id="rId31" Type="http://schemas.openxmlformats.org/officeDocument/2006/relationships/hyperlink" Target="https://urldefense.com/v3/__https:/www.cdc.gov/acip/downloads/slides-2023-06-21-23/03-mpox-Rao-508.pdf__;!!CPANwP4y!TQuFvjYsKgVQMa31QaK4uU58wVG91Volp9JOf1Sq5tCAU5YyF-EokKu2SNrBvrSNBKteef3H-ckV1AH4_xpB7VGqg7d4qA$" TargetMode="External"/><Relationship Id="rId4" Type="http://schemas.openxmlformats.org/officeDocument/2006/relationships/numbering" Target="numbering.xml"/><Relationship Id="rId9" Type="http://schemas.openxmlformats.org/officeDocument/2006/relationships/hyperlink" Target="https://www.cdc.gov/monkeypox/hcp/vaccine-considerations/vaccination-overview.html" TargetMode="External"/><Relationship Id="rId14" Type="http://schemas.openxmlformats.org/officeDocument/2006/relationships/hyperlink" Target="https://www.mass.gov/doc/availability-table-childhood-0/download" TargetMode="External"/><Relationship Id="rId22" Type="http://schemas.openxmlformats.org/officeDocument/2006/relationships/hyperlink" Target="https://www.cdc.gov/monkeypox/outbreaks/2023/index.html" TargetMode="External"/><Relationship Id="rId27" Type="http://schemas.openxmlformats.org/officeDocument/2006/relationships/hyperlink" Target="https://www.cdc.gov/monkeypox/hcp/clinical-care/pregnancy.html" TargetMode="External"/><Relationship Id="rId30" Type="http://schemas.openxmlformats.org/officeDocument/2006/relationships/hyperlink" Target="https://www.selectagents.gov/resources/non-fsap-registered-facilities.htm"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468150FF867489513F077D8145BF0" ma:contentTypeVersion="16" ma:contentTypeDescription="Create a new document." ma:contentTypeScope="" ma:versionID="2b6043398db3f5c5c6d9807b568af536">
  <xsd:schema xmlns:xsd="http://www.w3.org/2001/XMLSchema" xmlns:xs="http://www.w3.org/2001/XMLSchema" xmlns:p="http://schemas.microsoft.com/office/2006/metadata/properties" xmlns:ns2="bdaa42e3-7fa1-4da3-bca7-e780e3ca8251" xmlns:ns3="3e71f66d-c28d-477a-b372-031a975c42e3" targetNamespace="http://schemas.microsoft.com/office/2006/metadata/properties" ma:root="true" ma:fieldsID="1d12f90062300056d33c829c6d550b38" ns2:_="" ns3:_="">
    <xsd:import namespace="bdaa42e3-7fa1-4da3-bca7-e780e3ca8251"/>
    <xsd:import namespace="3e71f66d-c28d-477a-b372-031a975c42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a42e3-7fa1-4da3-bca7-e780e3c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1f66d-c28d-477a-b372-031a975c42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c659e5-d663-4c99-802a-903f1d39af15}" ma:internalName="TaxCatchAll" ma:showField="CatchAllData" ma:web="3e71f66d-c28d-477a-b372-031a975c4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1f66d-c28d-477a-b372-031a975c42e3" xsi:nil="true"/>
    <lcf76f155ced4ddcb4097134ff3c332f xmlns="bdaa42e3-7fa1-4da3-bca7-e780e3ca82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15BA2-0520-44D2-ACE5-17AC7769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a42e3-7fa1-4da3-bca7-e780e3ca8251"/>
    <ds:schemaRef ds:uri="3e71f66d-c28d-477a-b372-031a975c4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 ds:uri="3e71f66d-c28d-477a-b372-031a975c42e3"/>
    <ds:schemaRef ds:uri="bdaa42e3-7fa1-4da3-bca7-e780e3ca825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4</Pages>
  <Words>2551</Words>
  <Characters>14541</Characters>
  <Application>Microsoft Office Word</Application>
  <DocSecurity>4</DocSecurity>
  <Lines>121</Lines>
  <Paragraphs>34</Paragraphs>
  <ScaleCrop>false</ScaleCrop>
  <Company>Commonwealth of Massachusetts</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Gmuer, Fredlyne (DPH)</cp:lastModifiedBy>
  <cp:revision>2</cp:revision>
  <cp:lastPrinted>2015-01-29T17:50:00Z</cp:lastPrinted>
  <dcterms:created xsi:type="dcterms:W3CDTF">2025-10-29T16:55:00Z</dcterms:created>
  <dcterms:modified xsi:type="dcterms:W3CDTF">2025-10-29T16:55:00Z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0x010100C0D468150FF867489513F077D8145BF0</vt:lpwstr>
  </property>
  <property fmtid="{D5CDD505-2E9C-101B-9397-08002B2CF9AE}" pid="3" name="MediaServiceImageTags">
    <vt:lpwstr/>
  </property>
</Properties>
</file>