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B47152" w:rsidRDefault="009F0A2B"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simplePos x="0" y="0"/>
                <wp:positionH relativeFrom="column">
                  <wp:posOffset>4111625</wp:posOffset>
                </wp:positionH>
                <wp:positionV relativeFrom="paragraph">
                  <wp:posOffset>130175</wp:posOffset>
                </wp:positionV>
                <wp:extent cx="1814195" cy="113347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9F0A2B"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9F0A2B" w:rsidP="0072610D">
      <w:r>
        <w:rPr>
          <w:noProof/>
        </w:rPr>
        <mc:AlternateContent>
          <mc:Choice Requires="wps">
            <w:drawing>
              <wp:anchor distT="0" distB="0" distL="114300" distR="114300" simplePos="0" relativeHeight="251657216" behindDoc="0" locked="0" layoutInCell="1" allowOverlap="1">
                <wp:simplePos x="0" y="0"/>
                <wp:positionH relativeFrom="column">
                  <wp:posOffset>-680085</wp:posOffset>
                </wp:positionH>
                <wp:positionV relativeFrom="paragraph">
                  <wp:posOffset>1047750</wp:posOffset>
                </wp:positionV>
                <wp:extent cx="1572895" cy="799465"/>
                <wp:effectExtent l="0" t="0"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Ecgg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9F0A2B" w:rsidRPr="009F0A2B" w:rsidRDefault="009F0A2B" w:rsidP="009F0A2B">
      <w:pPr>
        <w:jc w:val="center"/>
        <w:rPr>
          <w:rFonts w:ascii="Calibri" w:hAnsi="Calibri"/>
          <w:b/>
          <w:szCs w:val="24"/>
        </w:rPr>
      </w:pPr>
      <w:r w:rsidRPr="009F0A2B">
        <w:rPr>
          <w:rFonts w:ascii="Calibri" w:hAnsi="Calibri"/>
          <w:b/>
          <w:szCs w:val="24"/>
        </w:rPr>
        <w:t>Clinical Advisory:</w:t>
      </w:r>
    </w:p>
    <w:p w:rsidR="009F0A2B" w:rsidRPr="009F0A2B" w:rsidRDefault="009F0A2B" w:rsidP="009F0A2B">
      <w:pPr>
        <w:jc w:val="center"/>
        <w:rPr>
          <w:rFonts w:ascii="Calibri" w:hAnsi="Calibri"/>
          <w:b/>
          <w:szCs w:val="24"/>
        </w:rPr>
      </w:pPr>
      <w:r w:rsidRPr="009F0A2B">
        <w:rPr>
          <w:rFonts w:ascii="Calibri" w:hAnsi="Calibri"/>
          <w:b/>
          <w:szCs w:val="24"/>
        </w:rPr>
        <w:t>Latent Tuberculosis Infection Testing and Treatment for High-Risk Populations</w:t>
      </w:r>
    </w:p>
    <w:p w:rsidR="009F0A2B" w:rsidRPr="009F0A2B" w:rsidRDefault="009F0A2B" w:rsidP="009F0A2B">
      <w:pPr>
        <w:jc w:val="center"/>
        <w:rPr>
          <w:rFonts w:ascii="Calibri" w:hAnsi="Calibri"/>
          <w:szCs w:val="24"/>
        </w:rPr>
      </w:pPr>
      <w:r w:rsidRPr="009F0A2B">
        <w:rPr>
          <w:rFonts w:ascii="Calibri" w:hAnsi="Calibri"/>
          <w:b/>
          <w:szCs w:val="24"/>
        </w:rPr>
        <w:t>July 1, 2018</w:t>
      </w:r>
    </w:p>
    <w:p w:rsidR="009F0A2B" w:rsidRDefault="009F0A2B" w:rsidP="009F0A2B">
      <w:pPr>
        <w:rPr>
          <w:rFonts w:ascii="Calibri" w:hAnsi="Calibri"/>
          <w:szCs w:val="24"/>
        </w:rPr>
      </w:pPr>
    </w:p>
    <w:p w:rsidR="009F0A2B" w:rsidRPr="009F0A2B" w:rsidRDefault="009F0A2B" w:rsidP="009F0A2B">
      <w:pPr>
        <w:rPr>
          <w:rFonts w:ascii="Calibri" w:hAnsi="Calibri"/>
          <w:szCs w:val="24"/>
        </w:rPr>
      </w:pPr>
      <w:r w:rsidRPr="009F0A2B">
        <w:rPr>
          <w:rFonts w:ascii="Calibri" w:hAnsi="Calibri"/>
          <w:szCs w:val="24"/>
        </w:rPr>
        <w:t xml:space="preserve">In September 2016, the United States Preventive Services Task Force (USPSTF) published the </w:t>
      </w:r>
      <w:hyperlink r:id="rId10" w:history="1">
        <w:r w:rsidRPr="009F0A2B">
          <w:rPr>
            <w:rStyle w:val="Hyperlink"/>
            <w:rFonts w:ascii="Calibri" w:hAnsi="Calibri"/>
            <w:szCs w:val="24"/>
          </w:rPr>
          <w:t>Final Recommendation Statement</w:t>
        </w:r>
      </w:hyperlink>
      <w:r w:rsidRPr="009F0A2B">
        <w:rPr>
          <w:rFonts w:ascii="Calibri" w:hAnsi="Calibri"/>
          <w:szCs w:val="24"/>
        </w:rPr>
        <w:t xml:space="preserve"> on testing for latent tuberculosis (TB) infection, also referred to as LTBI.  The USPSTF recommends and assigns a “B” grade to the following clinical preventive service:</w:t>
      </w:r>
    </w:p>
    <w:p w:rsidR="009F0A2B" w:rsidRPr="009F0A2B" w:rsidRDefault="009F0A2B" w:rsidP="009F0A2B">
      <w:pPr>
        <w:rPr>
          <w:rFonts w:ascii="Calibri" w:hAnsi="Calibri"/>
          <w:szCs w:val="24"/>
        </w:rPr>
      </w:pPr>
    </w:p>
    <w:tbl>
      <w:tblPr>
        <w:tblStyle w:val="TableGrid"/>
        <w:tblW w:w="0" w:type="auto"/>
        <w:tblInd w:w="720" w:type="dxa"/>
        <w:tblLook w:val="04A0" w:firstRow="1" w:lastRow="0" w:firstColumn="1" w:lastColumn="0" w:noHBand="0" w:noVBand="1"/>
      </w:tblPr>
      <w:tblGrid>
        <w:gridCol w:w="2088"/>
        <w:gridCol w:w="5940"/>
      </w:tblGrid>
      <w:tr w:rsidR="009F0A2B" w:rsidRPr="000A70A0" w:rsidTr="00BA57C0">
        <w:trPr>
          <w:trHeight w:val="432"/>
        </w:trPr>
        <w:tc>
          <w:tcPr>
            <w:tcW w:w="2088" w:type="dxa"/>
            <w:vAlign w:val="center"/>
          </w:tcPr>
          <w:p w:rsidR="009F0A2B" w:rsidRPr="000A70A0" w:rsidRDefault="009F0A2B" w:rsidP="00BA57C0">
            <w:pPr>
              <w:rPr>
                <w:szCs w:val="24"/>
              </w:rPr>
            </w:pPr>
            <w:r w:rsidRPr="000A70A0">
              <w:rPr>
                <w:szCs w:val="24"/>
              </w:rPr>
              <w:t>Population</w:t>
            </w:r>
          </w:p>
        </w:tc>
        <w:tc>
          <w:tcPr>
            <w:tcW w:w="5940" w:type="dxa"/>
            <w:vAlign w:val="center"/>
          </w:tcPr>
          <w:p w:rsidR="009F0A2B" w:rsidRPr="000A70A0" w:rsidRDefault="009F0A2B" w:rsidP="00BA57C0">
            <w:pPr>
              <w:rPr>
                <w:szCs w:val="24"/>
              </w:rPr>
            </w:pPr>
            <w:r w:rsidRPr="000A70A0">
              <w:rPr>
                <w:szCs w:val="24"/>
              </w:rPr>
              <w:t>Asymptomatic adults at increased risk for infection</w:t>
            </w:r>
          </w:p>
        </w:tc>
      </w:tr>
      <w:tr w:rsidR="009F0A2B" w:rsidRPr="000A70A0" w:rsidTr="00BA57C0">
        <w:trPr>
          <w:trHeight w:val="432"/>
        </w:trPr>
        <w:tc>
          <w:tcPr>
            <w:tcW w:w="2088" w:type="dxa"/>
            <w:vAlign w:val="center"/>
          </w:tcPr>
          <w:p w:rsidR="009F0A2B" w:rsidRPr="000A70A0" w:rsidRDefault="009F0A2B" w:rsidP="00BA57C0">
            <w:pPr>
              <w:rPr>
                <w:szCs w:val="24"/>
              </w:rPr>
            </w:pPr>
            <w:r w:rsidRPr="000A70A0">
              <w:rPr>
                <w:szCs w:val="24"/>
              </w:rPr>
              <w:t>Recommendation</w:t>
            </w:r>
          </w:p>
        </w:tc>
        <w:tc>
          <w:tcPr>
            <w:tcW w:w="5940" w:type="dxa"/>
            <w:vAlign w:val="center"/>
          </w:tcPr>
          <w:p w:rsidR="009F0A2B" w:rsidRPr="000A70A0" w:rsidRDefault="009F0A2B" w:rsidP="00BA57C0">
            <w:pPr>
              <w:rPr>
                <w:szCs w:val="24"/>
              </w:rPr>
            </w:pPr>
            <w:r w:rsidRPr="000A70A0">
              <w:rPr>
                <w:szCs w:val="24"/>
              </w:rPr>
              <w:t xml:space="preserve">Screen for latent tuberculosis infection </w:t>
            </w:r>
          </w:p>
        </w:tc>
      </w:tr>
    </w:tbl>
    <w:p w:rsidR="009F0A2B" w:rsidRPr="009F0A2B" w:rsidRDefault="009F0A2B" w:rsidP="009F0A2B">
      <w:pPr>
        <w:spacing w:before="200" w:after="200"/>
        <w:rPr>
          <w:rFonts w:ascii="Calibri" w:hAnsi="Calibri"/>
          <w:szCs w:val="24"/>
        </w:rPr>
      </w:pPr>
      <w:r w:rsidRPr="009F0A2B">
        <w:rPr>
          <w:rFonts w:ascii="Calibri" w:hAnsi="Calibri"/>
          <w:szCs w:val="24"/>
        </w:rPr>
        <w:t>A “B” grade means that providers will have increased opportunities to seek reimbursement for the service. Screening for latent TB infection will be covered by most private and public health insurance in 2018. The Affordable Care Act (ACA) requires that private insurance plans cover USPSTF recommendations that receive an “A” or “B” grade, and to do so without patient co-payment or deductibles.</w:t>
      </w:r>
    </w:p>
    <w:p w:rsidR="009F0A2B" w:rsidRPr="009F0A2B" w:rsidRDefault="009F0A2B" w:rsidP="009F0A2B">
      <w:pPr>
        <w:spacing w:after="200"/>
        <w:rPr>
          <w:rFonts w:ascii="Calibri" w:hAnsi="Calibri"/>
          <w:szCs w:val="24"/>
        </w:rPr>
      </w:pPr>
      <w:r w:rsidRPr="009F0A2B">
        <w:rPr>
          <w:rFonts w:ascii="Calibri" w:hAnsi="Calibri"/>
          <w:szCs w:val="24"/>
        </w:rPr>
        <w:t xml:space="preserve">The USPSTF recommendation applies to adult patients.  The complementary pediatric recommendation for risk-based latent TB infection testing is included in the </w:t>
      </w:r>
      <w:hyperlink r:id="rId11" w:history="1">
        <w:r w:rsidRPr="009F0A2B">
          <w:rPr>
            <w:rStyle w:val="Hyperlink"/>
            <w:rFonts w:ascii="Calibri" w:hAnsi="Calibri"/>
            <w:szCs w:val="24"/>
          </w:rPr>
          <w:t>Recommendations for Preventive Pediatric Health Care</w:t>
        </w:r>
      </w:hyperlink>
      <w:r w:rsidRPr="009F0A2B">
        <w:rPr>
          <w:rFonts w:ascii="Calibri" w:hAnsi="Calibri"/>
          <w:szCs w:val="24"/>
        </w:rPr>
        <w:t xml:space="preserve"> published by Bright Futures and the American Academy of Pediatrics (AAP), based on recommendations of the Committee on Infectious Diseases, published in the AAP “Red Book”. </w:t>
      </w:r>
    </w:p>
    <w:p w:rsidR="009F0A2B" w:rsidRPr="009F0A2B" w:rsidRDefault="009F0A2B" w:rsidP="009F0A2B">
      <w:pPr>
        <w:spacing w:after="200"/>
        <w:rPr>
          <w:rFonts w:ascii="Calibri" w:hAnsi="Calibri"/>
          <w:szCs w:val="24"/>
        </w:rPr>
      </w:pPr>
      <w:r w:rsidRPr="009F0A2B">
        <w:rPr>
          <w:rFonts w:ascii="Calibri" w:hAnsi="Calibri"/>
          <w:szCs w:val="24"/>
        </w:rPr>
        <w:t xml:space="preserve">The Massachusetts Department of Public Health (MDPH) strongly endorses screening for latent TB infection in primary care due to the individual and public health benefits associated with identification of persons infected with TB and linkage with medical evaluation and treatment services.  </w:t>
      </w:r>
    </w:p>
    <w:p w:rsidR="009F0A2B" w:rsidRPr="009F0A2B" w:rsidRDefault="009F0A2B" w:rsidP="009F0A2B">
      <w:pPr>
        <w:spacing w:after="200"/>
        <w:rPr>
          <w:rFonts w:ascii="Calibri" w:hAnsi="Calibri"/>
          <w:szCs w:val="24"/>
        </w:rPr>
      </w:pPr>
      <w:r w:rsidRPr="009F0A2B">
        <w:rPr>
          <w:rFonts w:ascii="Calibri" w:hAnsi="Calibri"/>
          <w:szCs w:val="24"/>
        </w:rPr>
        <w:t>Key recommendations for screening patients for latent TB infection include:</w:t>
      </w:r>
    </w:p>
    <w:p w:rsidR="009F0A2B" w:rsidRPr="009F0A2B" w:rsidRDefault="009F0A2B" w:rsidP="009F0A2B">
      <w:pPr>
        <w:pStyle w:val="ListParagraph"/>
        <w:numPr>
          <w:ilvl w:val="0"/>
          <w:numId w:val="1"/>
        </w:numPr>
        <w:rPr>
          <w:rFonts w:ascii="Calibri" w:hAnsi="Calibri"/>
          <w:b/>
        </w:rPr>
      </w:pPr>
      <w:r w:rsidRPr="009F0A2B">
        <w:rPr>
          <w:rFonts w:ascii="Calibri" w:hAnsi="Calibri"/>
          <w:b/>
        </w:rPr>
        <w:t>Use a TB Risk Assessment to identify patients at increased risk for infection.</w:t>
      </w:r>
    </w:p>
    <w:p w:rsidR="009F0A2B" w:rsidRPr="009F0A2B" w:rsidRDefault="009F0A2B" w:rsidP="009F0A2B">
      <w:pPr>
        <w:pStyle w:val="ListParagraph"/>
        <w:numPr>
          <w:ilvl w:val="0"/>
          <w:numId w:val="1"/>
        </w:numPr>
        <w:rPr>
          <w:rFonts w:ascii="Calibri" w:hAnsi="Calibri"/>
          <w:b/>
        </w:rPr>
      </w:pPr>
      <w:r w:rsidRPr="009F0A2B">
        <w:rPr>
          <w:rFonts w:ascii="Calibri" w:hAnsi="Calibri"/>
          <w:b/>
        </w:rPr>
        <w:t>Choose a diagnostic test for TB infection that is appropriate for your patient.</w:t>
      </w:r>
    </w:p>
    <w:p w:rsidR="009F0A2B" w:rsidRPr="009F0A2B" w:rsidRDefault="009F0A2B" w:rsidP="009F0A2B">
      <w:pPr>
        <w:pStyle w:val="ListParagraph"/>
        <w:numPr>
          <w:ilvl w:val="0"/>
          <w:numId w:val="1"/>
        </w:numPr>
        <w:rPr>
          <w:rFonts w:ascii="Calibri" w:hAnsi="Calibri"/>
          <w:b/>
        </w:rPr>
      </w:pPr>
      <w:r w:rsidRPr="009F0A2B">
        <w:rPr>
          <w:rFonts w:ascii="Calibri" w:hAnsi="Calibri"/>
          <w:b/>
        </w:rPr>
        <w:lastRenderedPageBreak/>
        <w:t>Provide patients who test positive for TB infection with medical evaluation to rule out active TB disease or refer such patients for such evaluation.</w:t>
      </w:r>
    </w:p>
    <w:p w:rsidR="009F0A2B" w:rsidRPr="009F0A2B" w:rsidRDefault="009F0A2B" w:rsidP="009F0A2B">
      <w:pPr>
        <w:pStyle w:val="ListParagraph"/>
        <w:numPr>
          <w:ilvl w:val="0"/>
          <w:numId w:val="1"/>
        </w:numPr>
        <w:rPr>
          <w:rFonts w:ascii="Calibri" w:hAnsi="Calibri"/>
          <w:b/>
        </w:rPr>
      </w:pPr>
      <w:r w:rsidRPr="009F0A2B">
        <w:rPr>
          <w:rFonts w:ascii="Calibri" w:hAnsi="Calibri"/>
          <w:b/>
        </w:rPr>
        <w:t>Report cases of latent TB infection or active TB disease to MDPH.</w:t>
      </w:r>
    </w:p>
    <w:p w:rsidR="009F0A2B" w:rsidRPr="009F0A2B" w:rsidRDefault="009F0A2B" w:rsidP="009F0A2B">
      <w:pPr>
        <w:pStyle w:val="ListParagraph"/>
        <w:numPr>
          <w:ilvl w:val="0"/>
          <w:numId w:val="1"/>
        </w:numPr>
        <w:rPr>
          <w:rFonts w:ascii="Calibri" w:hAnsi="Calibri"/>
          <w:b/>
        </w:rPr>
      </w:pPr>
      <w:r w:rsidRPr="009F0A2B">
        <w:rPr>
          <w:rFonts w:ascii="Calibri" w:hAnsi="Calibri"/>
          <w:b/>
        </w:rPr>
        <w:t>Review treatment options and focus on shorter regimens.</w:t>
      </w:r>
    </w:p>
    <w:p w:rsidR="009F0A2B" w:rsidRPr="009F0A2B" w:rsidRDefault="009F0A2B" w:rsidP="009F0A2B">
      <w:pPr>
        <w:pStyle w:val="ListParagraph"/>
        <w:numPr>
          <w:ilvl w:val="0"/>
          <w:numId w:val="1"/>
        </w:numPr>
        <w:rPr>
          <w:rFonts w:ascii="Calibri" w:hAnsi="Calibri"/>
          <w:b/>
        </w:rPr>
      </w:pPr>
      <w:r w:rsidRPr="009F0A2B">
        <w:rPr>
          <w:rFonts w:ascii="Calibri" w:hAnsi="Calibri"/>
          <w:b/>
        </w:rPr>
        <w:t>Provide education and adherence support to assist patients in completing treatment for latent TB infection.</w:t>
      </w:r>
    </w:p>
    <w:p w:rsidR="009F0A2B" w:rsidRPr="009F0A2B" w:rsidRDefault="009F0A2B" w:rsidP="009F0A2B">
      <w:pPr>
        <w:spacing w:before="200"/>
        <w:rPr>
          <w:rFonts w:ascii="Calibri" w:hAnsi="Calibri"/>
          <w:szCs w:val="24"/>
        </w:rPr>
      </w:pPr>
      <w:r w:rsidRPr="009F0A2B">
        <w:rPr>
          <w:rFonts w:ascii="Calibri" w:hAnsi="Calibri"/>
          <w:szCs w:val="24"/>
        </w:rPr>
        <w:t xml:space="preserve">This MDPH Advisory will review each of these elements and provide links to resources and additional information. </w:t>
      </w:r>
    </w:p>
    <w:p w:rsidR="009F0A2B" w:rsidRPr="009F0A2B" w:rsidRDefault="009F0A2B" w:rsidP="009F0A2B">
      <w:pPr>
        <w:rPr>
          <w:rFonts w:ascii="Calibri" w:hAnsi="Calibri"/>
          <w:b/>
          <w:szCs w:val="24"/>
        </w:rPr>
      </w:pPr>
    </w:p>
    <w:p w:rsidR="009F0A2B" w:rsidRPr="009F0A2B" w:rsidRDefault="009F0A2B" w:rsidP="009F0A2B">
      <w:pPr>
        <w:rPr>
          <w:rFonts w:ascii="Calibri" w:hAnsi="Calibri"/>
          <w:b/>
          <w:szCs w:val="24"/>
        </w:rPr>
      </w:pPr>
    </w:p>
    <w:p w:rsidR="009F0A2B" w:rsidRPr="009F0A2B" w:rsidRDefault="009F0A2B" w:rsidP="009F0A2B">
      <w:pPr>
        <w:pStyle w:val="ListParagraph"/>
        <w:numPr>
          <w:ilvl w:val="0"/>
          <w:numId w:val="2"/>
        </w:numPr>
        <w:rPr>
          <w:rFonts w:ascii="Calibri" w:hAnsi="Calibri"/>
          <w:b/>
        </w:rPr>
      </w:pPr>
      <w:r w:rsidRPr="009F0A2B">
        <w:rPr>
          <w:rFonts w:ascii="Calibri" w:hAnsi="Calibri"/>
          <w:b/>
        </w:rPr>
        <w:t xml:space="preserve">Use a TB Risk Assessment to identify patients at increased risk for infection.  </w:t>
      </w:r>
    </w:p>
    <w:p w:rsidR="009F0A2B" w:rsidRPr="009F0A2B" w:rsidRDefault="009F0A2B" w:rsidP="009F0A2B">
      <w:pPr>
        <w:spacing w:before="200" w:after="200"/>
        <w:rPr>
          <w:rFonts w:ascii="Calibri" w:hAnsi="Calibri"/>
          <w:szCs w:val="24"/>
        </w:rPr>
      </w:pPr>
      <w:r w:rsidRPr="009F0A2B">
        <w:rPr>
          <w:rFonts w:ascii="Calibri" w:hAnsi="Calibri"/>
          <w:szCs w:val="24"/>
        </w:rPr>
        <w:t xml:space="preserve">MDPH, in collaboration with the Medical Advisory Committee for the Elimination of Tuberculosis, has developed Massachusetts TB Risk Assessment and accompanying User Guide </w:t>
      </w:r>
      <w:r w:rsidR="00074DDF">
        <w:rPr>
          <w:rFonts w:ascii="Calibri" w:hAnsi="Calibri"/>
          <w:szCs w:val="24"/>
        </w:rPr>
        <w:t>for all ages, as well as pediatric versions</w:t>
      </w:r>
      <w:r w:rsidRPr="009F0A2B">
        <w:rPr>
          <w:rFonts w:ascii="Calibri" w:hAnsi="Calibri"/>
          <w:szCs w:val="24"/>
        </w:rPr>
        <w:t>. The purpose of the TB Risk Assessment is to identify asymptomatic children and adults for testing for latent TB infection. Testing is indicated if risk is identified through any of these three key questions:</w:t>
      </w:r>
    </w:p>
    <w:p w:rsidR="009F0A2B" w:rsidRPr="009F0A2B" w:rsidRDefault="009F0A2B" w:rsidP="009F0A2B">
      <w:pPr>
        <w:pStyle w:val="ListParagraph"/>
        <w:numPr>
          <w:ilvl w:val="0"/>
          <w:numId w:val="3"/>
        </w:numPr>
        <w:rPr>
          <w:rFonts w:ascii="Calibri" w:hAnsi="Calibri"/>
        </w:rPr>
      </w:pPr>
      <w:r w:rsidRPr="009F0A2B">
        <w:rPr>
          <w:rFonts w:ascii="Calibri" w:hAnsi="Calibri"/>
        </w:rPr>
        <w:t>Was your patient born in or has s/he lived in a country with an elevated TB rate (i.e., any country other than the US, Canada, Australia, New Zealand, or a country in western or northern Europe)?</w:t>
      </w:r>
    </w:p>
    <w:p w:rsidR="009F0A2B" w:rsidRPr="009F0A2B" w:rsidRDefault="009F0A2B" w:rsidP="009F0A2B">
      <w:pPr>
        <w:pStyle w:val="ListParagraph"/>
        <w:numPr>
          <w:ilvl w:val="0"/>
          <w:numId w:val="3"/>
        </w:numPr>
        <w:rPr>
          <w:rFonts w:ascii="Calibri" w:hAnsi="Calibri"/>
        </w:rPr>
      </w:pPr>
      <w:r w:rsidRPr="009F0A2B">
        <w:rPr>
          <w:rFonts w:ascii="Calibri" w:hAnsi="Calibri"/>
        </w:rPr>
        <w:t>Does your patient have immune suppression currently, or is immune suppression anticipated (e.g., due to a medical condition or therapy with a drug or biologic agent)?</w:t>
      </w:r>
    </w:p>
    <w:p w:rsidR="009F0A2B" w:rsidRPr="009F0A2B" w:rsidRDefault="009F0A2B" w:rsidP="009F0A2B">
      <w:pPr>
        <w:pStyle w:val="ListParagraph"/>
        <w:numPr>
          <w:ilvl w:val="0"/>
          <w:numId w:val="3"/>
        </w:numPr>
        <w:spacing w:after="200"/>
        <w:contextualSpacing w:val="0"/>
        <w:rPr>
          <w:rFonts w:ascii="Calibri" w:hAnsi="Calibri"/>
        </w:rPr>
      </w:pPr>
      <w:r w:rsidRPr="009F0A2B">
        <w:rPr>
          <w:rFonts w:ascii="Calibri" w:hAnsi="Calibri"/>
        </w:rPr>
        <w:t>Has your patient had close contact to a person with known or suspected infectious tuberculosis since the last risk assessment?</w:t>
      </w:r>
    </w:p>
    <w:p w:rsidR="009F0A2B" w:rsidRPr="009F0A2B" w:rsidRDefault="009F0A2B" w:rsidP="009F0A2B">
      <w:pPr>
        <w:spacing w:after="200"/>
        <w:rPr>
          <w:rFonts w:ascii="Calibri" w:hAnsi="Calibri"/>
          <w:szCs w:val="24"/>
        </w:rPr>
      </w:pPr>
      <w:r w:rsidRPr="009F0A2B">
        <w:rPr>
          <w:rFonts w:ascii="Calibri" w:hAnsi="Calibri"/>
          <w:szCs w:val="24"/>
        </w:rPr>
        <w:t>Persons at low risk for latent TB infection and disease progression should not be tested. Testing among low risk populations in the absence of new exposure may result in unnecessary evaluation and treatment because of false positive test results.</w:t>
      </w:r>
    </w:p>
    <w:p w:rsidR="009F0A2B" w:rsidRPr="009F0A2B" w:rsidRDefault="009F0A2B" w:rsidP="009F0A2B">
      <w:pPr>
        <w:rPr>
          <w:rFonts w:ascii="Calibri" w:hAnsi="Calibri"/>
          <w:b/>
          <w:szCs w:val="24"/>
        </w:rPr>
      </w:pPr>
      <w:r w:rsidRPr="009F0A2B">
        <w:rPr>
          <w:rFonts w:ascii="Calibri" w:hAnsi="Calibri"/>
          <w:b/>
          <w:szCs w:val="24"/>
        </w:rPr>
        <w:t>Resources:</w:t>
      </w:r>
    </w:p>
    <w:p w:rsidR="009F0A2B" w:rsidRPr="009F0A2B" w:rsidRDefault="009F0A2B" w:rsidP="009F0A2B">
      <w:pPr>
        <w:rPr>
          <w:rFonts w:ascii="Calibri" w:hAnsi="Calibri"/>
          <w:b/>
          <w:szCs w:val="24"/>
        </w:rPr>
      </w:pPr>
    </w:p>
    <w:p w:rsidR="009F0A2B" w:rsidRPr="009F0A2B" w:rsidRDefault="00D930D5" w:rsidP="009F0A2B">
      <w:pPr>
        <w:rPr>
          <w:rFonts w:ascii="Calibri" w:hAnsi="Calibri"/>
          <w:b/>
          <w:szCs w:val="24"/>
        </w:rPr>
      </w:pPr>
      <w:hyperlink r:id="rId12" w:history="1">
        <w:r w:rsidR="009F0A2B" w:rsidRPr="00A772E9">
          <w:rPr>
            <w:rStyle w:val="Hyperlink"/>
            <w:rFonts w:ascii="Calibri" w:hAnsi="Calibri"/>
            <w:b/>
            <w:szCs w:val="24"/>
          </w:rPr>
          <w:t>Massachusetts Tuberculosis Risk Assessment</w:t>
        </w:r>
      </w:hyperlink>
    </w:p>
    <w:p w:rsidR="009F0A2B" w:rsidRPr="009F0A2B" w:rsidRDefault="00D930D5" w:rsidP="009F0A2B">
      <w:pPr>
        <w:rPr>
          <w:rFonts w:ascii="Calibri" w:hAnsi="Calibri"/>
          <w:b/>
          <w:szCs w:val="24"/>
        </w:rPr>
      </w:pPr>
      <w:hyperlink r:id="rId13" w:history="1">
        <w:r w:rsidR="009F0A2B" w:rsidRPr="00A772E9">
          <w:rPr>
            <w:rStyle w:val="Hyperlink"/>
            <w:rFonts w:ascii="Calibri" w:hAnsi="Calibri"/>
            <w:b/>
            <w:szCs w:val="24"/>
          </w:rPr>
          <w:t>Massachusetts Tuberculosis Risk Assessment User Guide</w:t>
        </w:r>
      </w:hyperlink>
    </w:p>
    <w:p w:rsidR="009F0A2B" w:rsidRPr="009F0A2B" w:rsidRDefault="009F0A2B" w:rsidP="009F0A2B">
      <w:pPr>
        <w:rPr>
          <w:rFonts w:ascii="Calibri" w:hAnsi="Calibri"/>
          <w:b/>
          <w:szCs w:val="24"/>
        </w:rPr>
      </w:pPr>
    </w:p>
    <w:p w:rsidR="009F0A2B" w:rsidRPr="00372F3B" w:rsidRDefault="00D930D5" w:rsidP="009F0A2B">
      <w:pPr>
        <w:rPr>
          <w:rFonts w:ascii="Calibri" w:hAnsi="Calibri"/>
          <w:b/>
          <w:szCs w:val="24"/>
        </w:rPr>
      </w:pPr>
      <w:hyperlink r:id="rId14" w:history="1">
        <w:r w:rsidR="009F0A2B" w:rsidRPr="00A772E9">
          <w:rPr>
            <w:rStyle w:val="Hyperlink"/>
            <w:rFonts w:ascii="Calibri" w:hAnsi="Calibri"/>
            <w:b/>
            <w:szCs w:val="24"/>
          </w:rPr>
          <w:t>Massachusetts Tuberculosis Risk Assessment: Pediatrics</w:t>
        </w:r>
      </w:hyperlink>
    </w:p>
    <w:p w:rsidR="009F0A2B" w:rsidRPr="009F0A2B" w:rsidRDefault="00D930D5" w:rsidP="009F0A2B">
      <w:pPr>
        <w:rPr>
          <w:rFonts w:ascii="Calibri" w:hAnsi="Calibri"/>
          <w:b/>
          <w:szCs w:val="24"/>
        </w:rPr>
      </w:pPr>
      <w:hyperlink r:id="rId15" w:history="1">
        <w:r w:rsidR="009F0A2B" w:rsidRPr="00A772E9">
          <w:rPr>
            <w:rStyle w:val="Hyperlink"/>
            <w:rFonts w:ascii="Calibri" w:hAnsi="Calibri"/>
            <w:b/>
            <w:szCs w:val="24"/>
          </w:rPr>
          <w:t>Massachusetts Pediatric Tuberculosis Risk Assessment</w:t>
        </w:r>
      </w:hyperlink>
      <w:r w:rsidR="009F0A2B" w:rsidRPr="009F0A2B">
        <w:rPr>
          <w:rFonts w:ascii="Calibri" w:hAnsi="Calibri"/>
          <w:b/>
          <w:szCs w:val="24"/>
        </w:rPr>
        <w:t xml:space="preserve"> </w:t>
      </w:r>
    </w:p>
    <w:p w:rsidR="009F0A2B" w:rsidRPr="009F0A2B" w:rsidRDefault="009F0A2B" w:rsidP="009F0A2B">
      <w:pPr>
        <w:rPr>
          <w:rFonts w:ascii="Calibri" w:hAnsi="Calibri"/>
          <w:b/>
          <w:szCs w:val="24"/>
          <w:highlight w:val="yellow"/>
        </w:rPr>
      </w:pPr>
    </w:p>
    <w:p w:rsidR="009F0A2B" w:rsidRPr="009F0A2B" w:rsidRDefault="009F0A2B" w:rsidP="009F0A2B">
      <w:pPr>
        <w:rPr>
          <w:rFonts w:ascii="Calibri" w:hAnsi="Calibri"/>
          <w:b/>
          <w:szCs w:val="24"/>
        </w:rPr>
      </w:pPr>
    </w:p>
    <w:p w:rsidR="009F0A2B" w:rsidRPr="009F0A2B" w:rsidRDefault="009F0A2B" w:rsidP="009F0A2B">
      <w:pPr>
        <w:pStyle w:val="ListParagraph"/>
        <w:numPr>
          <w:ilvl w:val="0"/>
          <w:numId w:val="2"/>
        </w:numPr>
        <w:spacing w:after="200"/>
        <w:rPr>
          <w:rFonts w:ascii="Calibri" w:hAnsi="Calibri"/>
          <w:b/>
        </w:rPr>
      </w:pPr>
      <w:r w:rsidRPr="009F0A2B">
        <w:rPr>
          <w:rFonts w:ascii="Calibri" w:hAnsi="Calibri"/>
          <w:b/>
        </w:rPr>
        <w:t>Choose a diagnostic TB test that is appropriate for your patient.</w:t>
      </w:r>
    </w:p>
    <w:p w:rsidR="009F0A2B" w:rsidRPr="009F0A2B" w:rsidRDefault="009F0A2B" w:rsidP="009F0A2B">
      <w:pPr>
        <w:spacing w:after="200"/>
        <w:rPr>
          <w:rFonts w:ascii="Calibri" w:hAnsi="Calibri"/>
          <w:szCs w:val="24"/>
        </w:rPr>
      </w:pPr>
      <w:r w:rsidRPr="009F0A2B">
        <w:rPr>
          <w:rFonts w:ascii="Calibri" w:hAnsi="Calibri"/>
          <w:szCs w:val="24"/>
        </w:rPr>
        <w:t>Screening tests include the interferon-gamma release assays (IGRAs) and Mantoux tuberculin skin test (TST). The primary care provider’s choice of TB test should be based on several factors, including patient age, other medical conditions, test availability, cost</w:t>
      </w:r>
      <w:r w:rsidR="004460DA">
        <w:rPr>
          <w:rFonts w:ascii="Calibri" w:hAnsi="Calibri"/>
          <w:szCs w:val="24"/>
        </w:rPr>
        <w:t>,</w:t>
      </w:r>
      <w:r w:rsidRPr="009F0A2B">
        <w:rPr>
          <w:rFonts w:ascii="Calibri" w:hAnsi="Calibri"/>
          <w:szCs w:val="24"/>
        </w:rPr>
        <w:t xml:space="preserve"> and logistics required for </w:t>
      </w:r>
      <w:r w:rsidRPr="009F0A2B">
        <w:rPr>
          <w:rFonts w:ascii="Calibri" w:hAnsi="Calibri"/>
          <w:szCs w:val="24"/>
        </w:rPr>
        <w:lastRenderedPageBreak/>
        <w:t>TST reading. The TST requires a return visit by the patient in 48-72 hours to have the test read by a trained professional.</w:t>
      </w:r>
    </w:p>
    <w:p w:rsidR="009F0A2B" w:rsidRPr="009F0A2B" w:rsidRDefault="009F0A2B" w:rsidP="009F0A2B">
      <w:pPr>
        <w:spacing w:after="200"/>
        <w:rPr>
          <w:rFonts w:ascii="Calibri" w:hAnsi="Calibri"/>
          <w:szCs w:val="24"/>
        </w:rPr>
      </w:pPr>
      <w:r w:rsidRPr="009F0A2B">
        <w:rPr>
          <w:rFonts w:ascii="Calibri" w:hAnsi="Calibri"/>
          <w:szCs w:val="24"/>
        </w:rPr>
        <w:t xml:space="preserve">Because IGRAs have increased specificity for TB infection in persons vaccinated with </w:t>
      </w:r>
      <w:proofErr w:type="spellStart"/>
      <w:r w:rsidRPr="009F0A2B">
        <w:rPr>
          <w:rFonts w:ascii="Calibri" w:hAnsi="Calibri"/>
          <w:szCs w:val="24"/>
        </w:rPr>
        <w:t>bacille</w:t>
      </w:r>
      <w:proofErr w:type="spellEnd"/>
      <w:r w:rsidRPr="009F0A2B">
        <w:rPr>
          <w:rFonts w:ascii="Calibri" w:hAnsi="Calibri"/>
          <w:szCs w:val="24"/>
        </w:rPr>
        <w:t xml:space="preserve"> </w:t>
      </w:r>
      <w:proofErr w:type="spellStart"/>
      <w:r w:rsidRPr="009F0A2B">
        <w:rPr>
          <w:rFonts w:ascii="Calibri" w:hAnsi="Calibri"/>
          <w:szCs w:val="24"/>
        </w:rPr>
        <w:t>Calmette</w:t>
      </w:r>
      <w:proofErr w:type="spellEnd"/>
      <w:r w:rsidRPr="009F0A2B">
        <w:rPr>
          <w:rFonts w:ascii="Calibri" w:hAnsi="Calibri"/>
          <w:szCs w:val="24"/>
        </w:rPr>
        <w:t xml:space="preserve">-Guerin (BCG), an IGRA is preferred over the TST for patients two years of age and older with a history of BCG vaccination or who are from countries where BCG vaccination is routinely practiced. The primary care provider may presume that most persons born outside the United States may have been vaccinated with BCG. </w:t>
      </w:r>
    </w:p>
    <w:p w:rsidR="009F0A2B" w:rsidRPr="009F0A2B" w:rsidRDefault="009F0A2B" w:rsidP="009F0A2B">
      <w:pPr>
        <w:spacing w:after="200"/>
        <w:rPr>
          <w:rFonts w:ascii="Calibri" w:hAnsi="Calibri"/>
          <w:szCs w:val="24"/>
        </w:rPr>
      </w:pPr>
      <w:r w:rsidRPr="009F0A2B">
        <w:rPr>
          <w:rFonts w:ascii="Calibri" w:hAnsi="Calibri"/>
          <w:szCs w:val="24"/>
        </w:rPr>
        <w:t>An IGRA is the preferred test if the patient is not likely or able to return for the TST reading.</w:t>
      </w:r>
    </w:p>
    <w:p w:rsidR="009F0A2B" w:rsidRPr="009F0A2B" w:rsidRDefault="009F0A2B" w:rsidP="009F0A2B">
      <w:pPr>
        <w:spacing w:after="200"/>
        <w:rPr>
          <w:rFonts w:ascii="Calibri" w:hAnsi="Calibri"/>
          <w:szCs w:val="24"/>
        </w:rPr>
      </w:pPr>
      <w:r w:rsidRPr="009F0A2B">
        <w:rPr>
          <w:rFonts w:ascii="Calibri" w:hAnsi="Calibri"/>
          <w:szCs w:val="24"/>
        </w:rPr>
        <w:t>The TST is an acceptable test, and is preferred if the cost of IGRA would preclude testing (e.g., the patient is uninsured) or if an IGRA is not available.</w:t>
      </w:r>
    </w:p>
    <w:p w:rsidR="009F0A2B" w:rsidRPr="009F0A2B" w:rsidRDefault="009F0A2B" w:rsidP="009F0A2B">
      <w:pPr>
        <w:spacing w:after="200"/>
        <w:rPr>
          <w:rFonts w:ascii="Calibri" w:hAnsi="Calibri"/>
          <w:szCs w:val="24"/>
        </w:rPr>
      </w:pPr>
      <w:r w:rsidRPr="009F0A2B">
        <w:rPr>
          <w:rFonts w:ascii="Calibri" w:hAnsi="Calibri"/>
          <w:szCs w:val="24"/>
        </w:rPr>
        <w:t>The TST should be used for children under two years of age.</w:t>
      </w:r>
    </w:p>
    <w:p w:rsidR="009F0A2B" w:rsidRPr="009F0A2B" w:rsidRDefault="009F0A2B" w:rsidP="009F0A2B">
      <w:pPr>
        <w:spacing w:after="200"/>
        <w:rPr>
          <w:rFonts w:ascii="Calibri" w:hAnsi="Calibri"/>
          <w:szCs w:val="24"/>
        </w:rPr>
      </w:pPr>
      <w:r w:rsidRPr="009F0A2B">
        <w:rPr>
          <w:rFonts w:ascii="Calibri" w:hAnsi="Calibri"/>
          <w:szCs w:val="24"/>
        </w:rPr>
        <w:t xml:space="preserve">In general, it is </w:t>
      </w:r>
      <w:r w:rsidRPr="009F0A2B">
        <w:rPr>
          <w:rFonts w:ascii="Calibri" w:hAnsi="Calibri"/>
          <w:b/>
          <w:szCs w:val="24"/>
        </w:rPr>
        <w:t xml:space="preserve">not </w:t>
      </w:r>
      <w:r w:rsidRPr="009F0A2B">
        <w:rPr>
          <w:rFonts w:ascii="Calibri" w:hAnsi="Calibri"/>
          <w:szCs w:val="24"/>
        </w:rPr>
        <w:t xml:space="preserve">recommended to test a person with both a TST and an IGRA. However, for patients who are at high risk for infection and at high risk for progression to disease, the increased sensitivity in considering a positive result with </w:t>
      </w:r>
      <w:r w:rsidRPr="009F0A2B">
        <w:rPr>
          <w:rFonts w:ascii="Calibri" w:hAnsi="Calibri"/>
          <w:i/>
          <w:szCs w:val="24"/>
        </w:rPr>
        <w:t>either</w:t>
      </w:r>
      <w:r w:rsidRPr="009F0A2B">
        <w:rPr>
          <w:rFonts w:ascii="Calibri" w:hAnsi="Calibri"/>
          <w:szCs w:val="24"/>
        </w:rPr>
        <w:t xml:space="preserve"> test to be positive (i.e., indicative of infection) may be useful. In such situations, a negative TST (i.e., &lt;5 mm induration) would be followed by an IGRA and vice versa.  </w:t>
      </w:r>
    </w:p>
    <w:p w:rsidR="009F0A2B" w:rsidRPr="009F0A2B" w:rsidRDefault="00D930D5" w:rsidP="009F0A2B">
      <w:pPr>
        <w:spacing w:after="200"/>
        <w:rPr>
          <w:rFonts w:ascii="Calibri" w:hAnsi="Calibri"/>
          <w:b/>
          <w:szCs w:val="24"/>
        </w:rPr>
      </w:pPr>
      <w:hyperlink r:id="rId16" w:history="1">
        <w:r w:rsidR="009F0A2B" w:rsidRPr="002412BA">
          <w:rPr>
            <w:rStyle w:val="Hyperlink"/>
            <w:rFonts w:ascii="Calibri" w:hAnsi="Calibri"/>
            <w:b/>
            <w:szCs w:val="24"/>
          </w:rPr>
          <w:t>Guidelines on the Use of Interferon-Gamma Release Assays and the Tuberculin Skin Test in Massachusetts</w:t>
        </w:r>
      </w:hyperlink>
      <w:r w:rsidR="009F0A2B" w:rsidRPr="002412BA">
        <w:rPr>
          <w:rFonts w:ascii="Calibri" w:hAnsi="Calibri"/>
          <w:b/>
          <w:szCs w:val="24"/>
        </w:rPr>
        <w:t xml:space="preserve"> </w:t>
      </w:r>
      <w:r w:rsidR="009F0A2B" w:rsidRPr="009F0A2B">
        <w:rPr>
          <w:rFonts w:ascii="Calibri" w:hAnsi="Calibri"/>
          <w:b/>
          <w:szCs w:val="24"/>
        </w:rPr>
        <w:t xml:space="preserve"> </w:t>
      </w:r>
    </w:p>
    <w:p w:rsidR="009F0A2B" w:rsidRPr="009F0A2B" w:rsidRDefault="009F0A2B" w:rsidP="009F0A2B">
      <w:pPr>
        <w:spacing w:after="200"/>
        <w:rPr>
          <w:rFonts w:ascii="Calibri" w:hAnsi="Calibri"/>
          <w:szCs w:val="24"/>
        </w:rPr>
      </w:pPr>
      <w:r w:rsidRPr="009F0A2B">
        <w:rPr>
          <w:rFonts w:ascii="Calibri" w:hAnsi="Calibri"/>
          <w:b/>
          <w:szCs w:val="24"/>
        </w:rPr>
        <w:tab/>
      </w:r>
    </w:p>
    <w:p w:rsidR="009F0A2B" w:rsidRPr="009F0A2B" w:rsidRDefault="009F0A2B" w:rsidP="009F0A2B">
      <w:pPr>
        <w:pStyle w:val="ListParagraph"/>
        <w:numPr>
          <w:ilvl w:val="0"/>
          <w:numId w:val="2"/>
        </w:numPr>
        <w:spacing w:after="200"/>
        <w:rPr>
          <w:rFonts w:ascii="Calibri" w:hAnsi="Calibri"/>
          <w:b/>
        </w:rPr>
      </w:pPr>
      <w:r w:rsidRPr="009F0A2B">
        <w:rPr>
          <w:rFonts w:ascii="Calibri" w:hAnsi="Calibri"/>
          <w:b/>
        </w:rPr>
        <w:t>Provide patients who test positive for TB infection with medical evaluation to rule out active TB disease or refer such patients for further evaluation.</w:t>
      </w:r>
    </w:p>
    <w:p w:rsidR="009F0A2B" w:rsidRPr="009F0A2B" w:rsidRDefault="009F0A2B" w:rsidP="009F0A2B">
      <w:pPr>
        <w:spacing w:after="200"/>
        <w:rPr>
          <w:rFonts w:ascii="Calibri" w:hAnsi="Calibri"/>
          <w:b/>
          <w:i/>
          <w:szCs w:val="24"/>
        </w:rPr>
      </w:pPr>
      <w:r w:rsidRPr="009F0A2B">
        <w:rPr>
          <w:rFonts w:ascii="Calibri" w:hAnsi="Calibri"/>
          <w:szCs w:val="24"/>
        </w:rPr>
        <w:t>The TST and IGRA cannot distinguish active from latent tuberculosis. Thus, a medical evaluation and chest radiograph are essential for evaluating a positive IGRA or TST result. The primary care provider may perform this evaluation, but diagnostic questions may require referral. The evaluation includes a symptom screen, physical examination, chest radiograph</w:t>
      </w:r>
      <w:r w:rsidR="004460DA">
        <w:rPr>
          <w:rFonts w:ascii="Calibri" w:hAnsi="Calibri"/>
          <w:szCs w:val="24"/>
        </w:rPr>
        <w:t>,</w:t>
      </w:r>
      <w:r w:rsidRPr="009F0A2B">
        <w:rPr>
          <w:rFonts w:ascii="Calibri" w:hAnsi="Calibri"/>
          <w:szCs w:val="24"/>
        </w:rPr>
        <w:t xml:space="preserve"> and, if indicated, smears, cultures, and nucleic acid amplification testing of sputum.  </w:t>
      </w:r>
      <w:r w:rsidRPr="009F0A2B">
        <w:rPr>
          <w:rFonts w:ascii="Calibri" w:hAnsi="Calibri"/>
          <w:b/>
          <w:i/>
          <w:szCs w:val="24"/>
        </w:rPr>
        <w:t>Active disease must be excluded before treatment for latent TB infection is initiated because failure to do so may result in inadequate treatment and development of drug resistance.</w:t>
      </w:r>
    </w:p>
    <w:p w:rsidR="009F0A2B" w:rsidRPr="009F0A2B" w:rsidRDefault="009F0A2B" w:rsidP="009F0A2B">
      <w:pPr>
        <w:spacing w:after="200"/>
        <w:rPr>
          <w:rFonts w:ascii="Calibri" w:hAnsi="Calibri"/>
          <w:szCs w:val="24"/>
        </w:rPr>
      </w:pPr>
      <w:r w:rsidRPr="009F0A2B">
        <w:rPr>
          <w:rFonts w:ascii="Calibri" w:hAnsi="Calibri"/>
          <w:szCs w:val="24"/>
        </w:rPr>
        <w:t xml:space="preserve">MDPH has contracts for TB </w:t>
      </w:r>
      <w:r w:rsidR="004460DA">
        <w:rPr>
          <w:rFonts w:ascii="Calibri" w:hAnsi="Calibri"/>
          <w:szCs w:val="24"/>
        </w:rPr>
        <w:t>outpatient</w:t>
      </w:r>
      <w:r w:rsidRPr="009F0A2B">
        <w:rPr>
          <w:rFonts w:ascii="Calibri" w:hAnsi="Calibri"/>
          <w:szCs w:val="24"/>
        </w:rPr>
        <w:t xml:space="preserve"> services at </w:t>
      </w:r>
      <w:r w:rsidR="004460DA">
        <w:rPr>
          <w:rFonts w:ascii="Calibri" w:hAnsi="Calibri"/>
          <w:szCs w:val="24"/>
        </w:rPr>
        <w:t>facilities</w:t>
      </w:r>
      <w:r w:rsidRPr="009F0A2B">
        <w:rPr>
          <w:rFonts w:ascii="Calibri" w:hAnsi="Calibri"/>
          <w:szCs w:val="24"/>
        </w:rPr>
        <w:t xml:space="preserve"> across the Commonwealth. These facilities may be appropriate for referrals for evaluation and treatment recommendations.  The facilities will bill third party insurers when available, but MDPH is the payer of last resort. </w:t>
      </w:r>
    </w:p>
    <w:p w:rsidR="009F0A2B" w:rsidRPr="009F0A2B" w:rsidRDefault="00D930D5" w:rsidP="009F0A2B">
      <w:pPr>
        <w:spacing w:after="200"/>
        <w:rPr>
          <w:rFonts w:ascii="Calibri" w:hAnsi="Calibri"/>
          <w:b/>
          <w:szCs w:val="24"/>
        </w:rPr>
      </w:pPr>
      <w:hyperlink r:id="rId17" w:history="1">
        <w:r w:rsidR="009F0A2B" w:rsidRPr="002412BA">
          <w:rPr>
            <w:rStyle w:val="Hyperlink"/>
            <w:rFonts w:ascii="Calibri" w:hAnsi="Calibri"/>
            <w:b/>
            <w:szCs w:val="24"/>
          </w:rPr>
          <w:t>Medical Evaluation for Persons with Positive Test Results Indicating TB Infecti</w:t>
        </w:r>
        <w:r w:rsidR="002412BA" w:rsidRPr="002412BA">
          <w:rPr>
            <w:rStyle w:val="Hyperlink"/>
            <w:rFonts w:ascii="Calibri" w:hAnsi="Calibri"/>
            <w:b/>
            <w:szCs w:val="24"/>
          </w:rPr>
          <w:t>on</w:t>
        </w:r>
      </w:hyperlink>
      <w:r w:rsidR="009F0A2B" w:rsidRPr="009F0A2B">
        <w:rPr>
          <w:rFonts w:ascii="Calibri" w:hAnsi="Calibri"/>
          <w:b/>
          <w:szCs w:val="24"/>
        </w:rPr>
        <w:t xml:space="preserve"> </w:t>
      </w:r>
    </w:p>
    <w:p w:rsidR="009F0A2B" w:rsidRPr="009F0A2B" w:rsidRDefault="009F0A2B" w:rsidP="009F0A2B">
      <w:pPr>
        <w:spacing w:after="200"/>
        <w:rPr>
          <w:rFonts w:ascii="Calibri" w:hAnsi="Calibri"/>
          <w:b/>
          <w:szCs w:val="24"/>
        </w:rPr>
      </w:pPr>
    </w:p>
    <w:p w:rsidR="00055F35" w:rsidRDefault="00055F35">
      <w:pPr>
        <w:rPr>
          <w:rFonts w:ascii="Calibri" w:hAnsi="Calibri"/>
          <w:b/>
          <w:szCs w:val="24"/>
        </w:rPr>
      </w:pPr>
      <w:r>
        <w:rPr>
          <w:rFonts w:ascii="Calibri" w:hAnsi="Calibri"/>
          <w:b/>
        </w:rPr>
        <w:br w:type="page"/>
      </w:r>
    </w:p>
    <w:p w:rsidR="009F0A2B" w:rsidRPr="009F0A2B" w:rsidRDefault="009F0A2B" w:rsidP="009F0A2B">
      <w:pPr>
        <w:pStyle w:val="ListParagraph"/>
        <w:numPr>
          <w:ilvl w:val="0"/>
          <w:numId w:val="2"/>
        </w:numPr>
        <w:spacing w:after="200"/>
        <w:rPr>
          <w:rFonts w:ascii="Calibri" w:hAnsi="Calibri"/>
          <w:b/>
        </w:rPr>
      </w:pPr>
      <w:r w:rsidRPr="009F0A2B">
        <w:rPr>
          <w:rFonts w:ascii="Calibri" w:hAnsi="Calibri"/>
          <w:b/>
        </w:rPr>
        <w:lastRenderedPageBreak/>
        <w:t>Report cases of latent TB infection or active TB disease to MDPH.</w:t>
      </w:r>
    </w:p>
    <w:p w:rsidR="009F0A2B" w:rsidRPr="009F0A2B" w:rsidRDefault="009F0A2B" w:rsidP="009F0A2B">
      <w:pPr>
        <w:spacing w:after="200"/>
        <w:rPr>
          <w:rFonts w:ascii="Calibri" w:hAnsi="Calibri"/>
          <w:szCs w:val="24"/>
        </w:rPr>
      </w:pPr>
      <w:r w:rsidRPr="009F0A2B">
        <w:rPr>
          <w:rFonts w:ascii="Calibri" w:hAnsi="Calibri"/>
          <w:szCs w:val="24"/>
        </w:rPr>
        <w:t xml:space="preserve">Latent TB infection and Active/Suspected Active TB disease are reportable conditions as per Massachusetts regulation 105 CMR 300.180. Case reporting forms are </w:t>
      </w:r>
      <w:hyperlink r:id="rId18" w:history="1">
        <w:r w:rsidRPr="009F0A2B">
          <w:rPr>
            <w:rStyle w:val="Hyperlink"/>
            <w:rFonts w:ascii="Calibri" w:hAnsi="Calibri"/>
            <w:szCs w:val="24"/>
          </w:rPr>
          <w:t>on-line</w:t>
        </w:r>
      </w:hyperlink>
      <w:r w:rsidRPr="009F0A2B">
        <w:rPr>
          <w:rFonts w:ascii="Calibri" w:hAnsi="Calibri"/>
          <w:szCs w:val="24"/>
        </w:rPr>
        <w:t xml:space="preserve"> or call 617-983-6801 for assistance.  </w:t>
      </w:r>
    </w:p>
    <w:p w:rsidR="009F0A2B" w:rsidRPr="009F0A2B" w:rsidRDefault="00D930D5" w:rsidP="009F0A2B">
      <w:pPr>
        <w:spacing w:after="200"/>
        <w:rPr>
          <w:rFonts w:ascii="Calibri" w:hAnsi="Calibri"/>
          <w:b/>
          <w:szCs w:val="24"/>
        </w:rPr>
      </w:pPr>
      <w:hyperlink r:id="rId19" w:history="1">
        <w:r w:rsidR="009F0A2B" w:rsidRPr="009F0A2B">
          <w:rPr>
            <w:rStyle w:val="Hyperlink"/>
            <w:rFonts w:ascii="Calibri" w:hAnsi="Calibri"/>
            <w:b/>
            <w:szCs w:val="24"/>
          </w:rPr>
          <w:t>Report a Case of Tuberculosis Disease or Latent TB Infection</w:t>
        </w:r>
      </w:hyperlink>
      <w:r w:rsidR="009F0A2B" w:rsidRPr="009F0A2B">
        <w:rPr>
          <w:rFonts w:ascii="Calibri" w:hAnsi="Calibri"/>
          <w:b/>
          <w:szCs w:val="24"/>
        </w:rPr>
        <w:t xml:space="preserve"> </w:t>
      </w:r>
    </w:p>
    <w:p w:rsidR="009F0A2B" w:rsidRPr="009F0A2B" w:rsidRDefault="009F0A2B" w:rsidP="009F0A2B">
      <w:pPr>
        <w:spacing w:after="200"/>
        <w:rPr>
          <w:rFonts w:ascii="Calibri" w:hAnsi="Calibri"/>
          <w:b/>
          <w:szCs w:val="24"/>
        </w:rPr>
      </w:pPr>
    </w:p>
    <w:p w:rsidR="009F0A2B" w:rsidRPr="009F0A2B" w:rsidRDefault="009F0A2B" w:rsidP="009F0A2B">
      <w:pPr>
        <w:pStyle w:val="ListParagraph"/>
        <w:numPr>
          <w:ilvl w:val="0"/>
          <w:numId w:val="2"/>
        </w:numPr>
        <w:spacing w:after="200"/>
        <w:rPr>
          <w:rFonts w:ascii="Calibri" w:hAnsi="Calibri"/>
          <w:b/>
        </w:rPr>
      </w:pPr>
      <w:r w:rsidRPr="009F0A2B">
        <w:rPr>
          <w:rFonts w:ascii="Calibri" w:hAnsi="Calibri"/>
          <w:b/>
        </w:rPr>
        <w:t>Review treatment options and focus on shorter regimens.</w:t>
      </w:r>
    </w:p>
    <w:p w:rsidR="009F0A2B" w:rsidRPr="009F0A2B" w:rsidRDefault="009F0A2B" w:rsidP="009F0A2B">
      <w:pPr>
        <w:spacing w:after="200"/>
        <w:rPr>
          <w:rFonts w:ascii="Calibri" w:hAnsi="Calibri"/>
          <w:szCs w:val="24"/>
        </w:rPr>
      </w:pPr>
      <w:r w:rsidRPr="009F0A2B">
        <w:rPr>
          <w:rFonts w:ascii="Calibri" w:hAnsi="Calibri"/>
          <w:szCs w:val="24"/>
        </w:rPr>
        <w:t>Because testing should be focused on persons at risk for TB infection who will benefit from treatment, patients who test positive for latent TB infection should generally be treated once active TB disease has been ruled out.</w:t>
      </w:r>
    </w:p>
    <w:p w:rsidR="009F0A2B" w:rsidRPr="009F0A2B" w:rsidRDefault="009F0A2B" w:rsidP="009F0A2B">
      <w:pPr>
        <w:spacing w:after="200"/>
        <w:rPr>
          <w:rFonts w:ascii="Calibri" w:hAnsi="Calibri"/>
          <w:szCs w:val="24"/>
        </w:rPr>
      </w:pPr>
      <w:r w:rsidRPr="009F0A2B">
        <w:rPr>
          <w:rFonts w:ascii="Calibri" w:hAnsi="Calibri"/>
          <w:szCs w:val="24"/>
        </w:rPr>
        <w:t xml:space="preserve">Patients are more likely to complete a shorter regimen for treating latent TB infection.  For this reason, MDPH recommends their use when possible. The twelve-week/twelve-dose regimen via directly observed therapy has been shown to be as effective as nine months of daily self-administered isoniazid. Four months of daily self-administered rifampin recently has been shown to be as effective as nine months of isoniazid. However, because the shorter regimens include </w:t>
      </w:r>
      <w:proofErr w:type="spellStart"/>
      <w:r w:rsidRPr="009F0A2B">
        <w:rPr>
          <w:rFonts w:ascii="Calibri" w:hAnsi="Calibri"/>
          <w:szCs w:val="24"/>
        </w:rPr>
        <w:t>rifamycins</w:t>
      </w:r>
      <w:proofErr w:type="spellEnd"/>
      <w:r w:rsidRPr="009F0A2B">
        <w:rPr>
          <w:rFonts w:ascii="Calibri" w:hAnsi="Calibri"/>
          <w:szCs w:val="24"/>
        </w:rPr>
        <w:t>, drug-drug interactions must be considered and are frequent reasons they are not used.</w:t>
      </w:r>
    </w:p>
    <w:p w:rsidR="009F0A2B" w:rsidRPr="009F0A2B" w:rsidRDefault="009F0A2B" w:rsidP="009F0A2B">
      <w:pPr>
        <w:spacing w:after="120"/>
        <w:jc w:val="center"/>
        <w:rPr>
          <w:rFonts w:ascii="Calibri" w:hAnsi="Calibri"/>
          <w:b/>
          <w:szCs w:val="24"/>
        </w:rPr>
      </w:pPr>
      <w:r w:rsidRPr="009F0A2B">
        <w:rPr>
          <w:rFonts w:ascii="Calibri" w:hAnsi="Calibri"/>
          <w:b/>
          <w:szCs w:val="24"/>
        </w:rPr>
        <w:t>Shorter duration latent TB infection treatment regimens</w:t>
      </w:r>
    </w:p>
    <w:tbl>
      <w:tblPr>
        <w:tblStyle w:val="TableGrid"/>
        <w:tblW w:w="0" w:type="auto"/>
        <w:jc w:val="center"/>
        <w:tblLook w:val="04A0" w:firstRow="1" w:lastRow="0" w:firstColumn="1" w:lastColumn="0" w:noHBand="0" w:noVBand="1"/>
      </w:tblPr>
      <w:tblGrid>
        <w:gridCol w:w="1728"/>
        <w:gridCol w:w="2871"/>
        <w:gridCol w:w="1899"/>
        <w:gridCol w:w="2250"/>
      </w:tblGrid>
      <w:tr w:rsidR="009F0A2B" w:rsidRPr="000A70A0" w:rsidTr="00BA57C0">
        <w:trPr>
          <w:jc w:val="center"/>
        </w:trPr>
        <w:tc>
          <w:tcPr>
            <w:tcW w:w="1728" w:type="dxa"/>
          </w:tcPr>
          <w:p w:rsidR="009F0A2B" w:rsidRPr="000A70A0" w:rsidRDefault="009F0A2B" w:rsidP="00BA57C0">
            <w:pPr>
              <w:rPr>
                <w:b/>
                <w:szCs w:val="24"/>
              </w:rPr>
            </w:pPr>
            <w:r w:rsidRPr="000A70A0">
              <w:rPr>
                <w:b/>
                <w:szCs w:val="24"/>
              </w:rPr>
              <w:t>Regimen</w:t>
            </w:r>
          </w:p>
        </w:tc>
        <w:tc>
          <w:tcPr>
            <w:tcW w:w="2871" w:type="dxa"/>
          </w:tcPr>
          <w:p w:rsidR="009F0A2B" w:rsidRPr="000A70A0" w:rsidRDefault="009F0A2B" w:rsidP="00BA57C0">
            <w:pPr>
              <w:rPr>
                <w:b/>
                <w:szCs w:val="24"/>
              </w:rPr>
            </w:pPr>
            <w:r w:rsidRPr="000A70A0">
              <w:rPr>
                <w:b/>
                <w:szCs w:val="24"/>
              </w:rPr>
              <w:t>Medications</w:t>
            </w:r>
          </w:p>
        </w:tc>
        <w:tc>
          <w:tcPr>
            <w:tcW w:w="1899" w:type="dxa"/>
          </w:tcPr>
          <w:p w:rsidR="009F0A2B" w:rsidRPr="000A70A0" w:rsidRDefault="009F0A2B" w:rsidP="00BA57C0">
            <w:pPr>
              <w:rPr>
                <w:b/>
                <w:szCs w:val="24"/>
              </w:rPr>
            </w:pPr>
            <w:r w:rsidRPr="000A70A0">
              <w:rPr>
                <w:b/>
                <w:szCs w:val="24"/>
              </w:rPr>
              <w:t>Frequency</w:t>
            </w:r>
          </w:p>
        </w:tc>
        <w:tc>
          <w:tcPr>
            <w:tcW w:w="2250" w:type="dxa"/>
          </w:tcPr>
          <w:p w:rsidR="009F0A2B" w:rsidRPr="000A70A0" w:rsidRDefault="009F0A2B" w:rsidP="00BA57C0">
            <w:pPr>
              <w:rPr>
                <w:b/>
                <w:szCs w:val="24"/>
              </w:rPr>
            </w:pPr>
            <w:r w:rsidRPr="000A70A0">
              <w:rPr>
                <w:b/>
                <w:szCs w:val="24"/>
              </w:rPr>
              <w:t>Duration</w:t>
            </w:r>
          </w:p>
        </w:tc>
      </w:tr>
      <w:tr w:rsidR="009F0A2B" w:rsidRPr="000A70A0" w:rsidTr="00BA57C0">
        <w:trPr>
          <w:jc w:val="center"/>
        </w:trPr>
        <w:tc>
          <w:tcPr>
            <w:tcW w:w="1728" w:type="dxa"/>
          </w:tcPr>
          <w:p w:rsidR="009F0A2B" w:rsidRPr="000A70A0" w:rsidRDefault="009F0A2B" w:rsidP="00BA57C0">
            <w:pPr>
              <w:rPr>
                <w:szCs w:val="24"/>
              </w:rPr>
            </w:pPr>
            <w:r w:rsidRPr="000A70A0">
              <w:rPr>
                <w:szCs w:val="24"/>
              </w:rPr>
              <w:t>4R</w:t>
            </w:r>
          </w:p>
        </w:tc>
        <w:tc>
          <w:tcPr>
            <w:tcW w:w="2871" w:type="dxa"/>
            <w:vAlign w:val="center"/>
          </w:tcPr>
          <w:p w:rsidR="009F0A2B" w:rsidRPr="000A70A0" w:rsidRDefault="009F0A2B" w:rsidP="00BA57C0">
            <w:pPr>
              <w:rPr>
                <w:szCs w:val="24"/>
              </w:rPr>
            </w:pPr>
            <w:r w:rsidRPr="000A70A0">
              <w:rPr>
                <w:szCs w:val="24"/>
              </w:rPr>
              <w:t>Rifampin (RIF)</w:t>
            </w:r>
          </w:p>
        </w:tc>
        <w:tc>
          <w:tcPr>
            <w:tcW w:w="1899" w:type="dxa"/>
            <w:vAlign w:val="center"/>
          </w:tcPr>
          <w:p w:rsidR="009F0A2B" w:rsidRPr="000A70A0" w:rsidRDefault="009F0A2B" w:rsidP="00BA57C0">
            <w:pPr>
              <w:rPr>
                <w:szCs w:val="24"/>
              </w:rPr>
            </w:pPr>
            <w:r w:rsidRPr="000A70A0">
              <w:rPr>
                <w:szCs w:val="24"/>
              </w:rPr>
              <w:t>Daily</w:t>
            </w:r>
          </w:p>
        </w:tc>
        <w:tc>
          <w:tcPr>
            <w:tcW w:w="2250" w:type="dxa"/>
            <w:vAlign w:val="center"/>
          </w:tcPr>
          <w:p w:rsidR="009F0A2B" w:rsidRPr="000A70A0" w:rsidRDefault="009F0A2B" w:rsidP="00BA57C0">
            <w:pPr>
              <w:rPr>
                <w:szCs w:val="24"/>
              </w:rPr>
            </w:pPr>
            <w:r w:rsidRPr="000A70A0">
              <w:rPr>
                <w:szCs w:val="24"/>
              </w:rPr>
              <w:t>4 months</w:t>
            </w:r>
          </w:p>
        </w:tc>
      </w:tr>
      <w:tr w:rsidR="009F0A2B" w:rsidRPr="000A70A0" w:rsidTr="00BA57C0">
        <w:trPr>
          <w:jc w:val="center"/>
        </w:trPr>
        <w:tc>
          <w:tcPr>
            <w:tcW w:w="1728" w:type="dxa"/>
          </w:tcPr>
          <w:p w:rsidR="009F0A2B" w:rsidRPr="000A70A0" w:rsidRDefault="009F0A2B" w:rsidP="00BA57C0">
            <w:pPr>
              <w:rPr>
                <w:szCs w:val="24"/>
              </w:rPr>
            </w:pPr>
            <w:r w:rsidRPr="000A70A0">
              <w:rPr>
                <w:szCs w:val="24"/>
              </w:rPr>
              <w:t>3HP</w:t>
            </w:r>
          </w:p>
        </w:tc>
        <w:tc>
          <w:tcPr>
            <w:tcW w:w="2871" w:type="dxa"/>
            <w:vAlign w:val="center"/>
          </w:tcPr>
          <w:p w:rsidR="009F0A2B" w:rsidRPr="000A70A0" w:rsidRDefault="009F0A2B" w:rsidP="00BA57C0">
            <w:pPr>
              <w:rPr>
                <w:szCs w:val="24"/>
              </w:rPr>
            </w:pPr>
            <w:r w:rsidRPr="000A70A0">
              <w:rPr>
                <w:szCs w:val="24"/>
              </w:rPr>
              <w:t>Isoniazid + Rifapentine*</w:t>
            </w:r>
          </w:p>
        </w:tc>
        <w:tc>
          <w:tcPr>
            <w:tcW w:w="1899" w:type="dxa"/>
            <w:vAlign w:val="center"/>
          </w:tcPr>
          <w:p w:rsidR="009F0A2B" w:rsidRPr="000A70A0" w:rsidRDefault="009F0A2B" w:rsidP="00BA57C0">
            <w:pPr>
              <w:rPr>
                <w:szCs w:val="24"/>
              </w:rPr>
            </w:pPr>
            <w:r w:rsidRPr="000A70A0">
              <w:rPr>
                <w:szCs w:val="24"/>
              </w:rPr>
              <w:t>Weekly</w:t>
            </w:r>
          </w:p>
        </w:tc>
        <w:tc>
          <w:tcPr>
            <w:tcW w:w="2250" w:type="dxa"/>
            <w:vAlign w:val="center"/>
          </w:tcPr>
          <w:p w:rsidR="009F0A2B" w:rsidRPr="000A70A0" w:rsidRDefault="009F0A2B" w:rsidP="00BA57C0">
            <w:pPr>
              <w:rPr>
                <w:szCs w:val="24"/>
              </w:rPr>
            </w:pPr>
            <w:r w:rsidRPr="000A70A0">
              <w:rPr>
                <w:szCs w:val="24"/>
              </w:rPr>
              <w:t>12 weeks</w:t>
            </w:r>
          </w:p>
        </w:tc>
      </w:tr>
    </w:tbl>
    <w:p w:rsidR="009F0A2B" w:rsidRPr="009F0A2B" w:rsidRDefault="009F0A2B" w:rsidP="009F0A2B">
      <w:pPr>
        <w:spacing w:after="200"/>
        <w:ind w:left="720"/>
        <w:rPr>
          <w:rFonts w:ascii="Calibri" w:hAnsi="Calibri"/>
          <w:szCs w:val="24"/>
        </w:rPr>
      </w:pPr>
      <w:r w:rsidRPr="009F0A2B">
        <w:rPr>
          <w:rFonts w:ascii="Calibri" w:hAnsi="Calibri"/>
          <w:szCs w:val="24"/>
        </w:rPr>
        <w:t>*MDPH recommends directly observed therapy (DOT) for this regimen.</w:t>
      </w:r>
    </w:p>
    <w:p w:rsidR="009F0A2B" w:rsidRPr="009F0A2B" w:rsidRDefault="009F0A2B" w:rsidP="009F0A2B">
      <w:pPr>
        <w:spacing w:after="200"/>
        <w:rPr>
          <w:rFonts w:ascii="Calibri" w:hAnsi="Calibri"/>
          <w:szCs w:val="24"/>
        </w:rPr>
      </w:pPr>
      <w:r w:rsidRPr="009F0A2B">
        <w:rPr>
          <w:rFonts w:ascii="Calibri" w:hAnsi="Calibri"/>
          <w:szCs w:val="24"/>
        </w:rPr>
        <w:t xml:space="preserve">With any latent TB infection treatment regimen, patients should undergo a clinical assessment at least monthly by a health care provider, including inquiries about adherence and side effects and a physical examination.  In addition to the monthly clinical assessment, MDPH recommends review of side effects at each directly observed isoniazid + rifapentine dose. </w:t>
      </w:r>
    </w:p>
    <w:p w:rsidR="009F0A2B" w:rsidRPr="009F0A2B" w:rsidRDefault="00D930D5" w:rsidP="009F0A2B">
      <w:pPr>
        <w:spacing w:afterLines="200" w:after="480"/>
        <w:rPr>
          <w:rFonts w:ascii="Calibri" w:hAnsi="Calibri"/>
          <w:b/>
          <w:szCs w:val="24"/>
        </w:rPr>
      </w:pPr>
      <w:hyperlink r:id="rId20" w:history="1">
        <w:r w:rsidR="009F0A2B" w:rsidRPr="002412BA">
          <w:rPr>
            <w:rStyle w:val="Hyperlink"/>
            <w:rFonts w:ascii="Calibri" w:hAnsi="Calibri"/>
            <w:b/>
            <w:szCs w:val="24"/>
          </w:rPr>
          <w:t>Treatment Regimens for Latent Tuberculosis Infec</w:t>
        </w:r>
        <w:r w:rsidR="002412BA" w:rsidRPr="002412BA">
          <w:rPr>
            <w:rStyle w:val="Hyperlink"/>
            <w:rFonts w:ascii="Calibri" w:hAnsi="Calibri"/>
            <w:b/>
            <w:szCs w:val="24"/>
          </w:rPr>
          <w:t>tion in Massachusetts</w:t>
        </w:r>
      </w:hyperlink>
      <w:r w:rsidR="002412BA">
        <w:rPr>
          <w:rFonts w:ascii="Calibri" w:hAnsi="Calibri"/>
          <w:b/>
          <w:szCs w:val="24"/>
        </w:rPr>
        <w:t xml:space="preserve"> </w:t>
      </w:r>
      <w:r w:rsidR="009F0A2B" w:rsidRPr="009F0A2B">
        <w:rPr>
          <w:rFonts w:ascii="Calibri" w:hAnsi="Calibri"/>
          <w:b/>
          <w:szCs w:val="24"/>
        </w:rPr>
        <w:t xml:space="preserve"> </w:t>
      </w:r>
    </w:p>
    <w:p w:rsidR="009F0A2B" w:rsidRPr="009F0A2B" w:rsidRDefault="009F0A2B" w:rsidP="009F0A2B">
      <w:pPr>
        <w:pStyle w:val="ListParagraph"/>
        <w:numPr>
          <w:ilvl w:val="0"/>
          <w:numId w:val="2"/>
        </w:numPr>
        <w:spacing w:after="200"/>
        <w:rPr>
          <w:rFonts w:ascii="Calibri" w:hAnsi="Calibri"/>
          <w:b/>
        </w:rPr>
      </w:pPr>
      <w:r w:rsidRPr="009F0A2B">
        <w:rPr>
          <w:rFonts w:ascii="Calibri" w:hAnsi="Calibri"/>
          <w:b/>
        </w:rPr>
        <w:t>Provide education and adherence support to assist patients in completing treatment.</w:t>
      </w:r>
    </w:p>
    <w:p w:rsidR="009F0A2B" w:rsidRPr="009F0A2B" w:rsidRDefault="009F0A2B" w:rsidP="009F0A2B">
      <w:pPr>
        <w:spacing w:after="200"/>
        <w:rPr>
          <w:rFonts w:ascii="Calibri" w:hAnsi="Calibri"/>
          <w:szCs w:val="24"/>
        </w:rPr>
      </w:pPr>
      <w:r w:rsidRPr="009F0A2B">
        <w:rPr>
          <w:rFonts w:ascii="Calibri" w:hAnsi="Calibri"/>
          <w:szCs w:val="24"/>
        </w:rPr>
        <w:t xml:space="preserve">The USPSTF noted adequate evidence that treatment of latent TB infection with regimens recommended by the CDC decreases progression to active tuberculosis. MDPH encourages primary care providers to discuss the importance of treating latent TB infection with patients for whom treatment is recommended. Health care providers play a key role in motivating patients to start, continue and complete treatment. </w:t>
      </w:r>
    </w:p>
    <w:p w:rsidR="009F0A2B" w:rsidRPr="009F0A2B" w:rsidRDefault="009F0A2B" w:rsidP="009F0A2B">
      <w:pPr>
        <w:spacing w:after="200"/>
        <w:rPr>
          <w:rFonts w:ascii="Calibri" w:hAnsi="Calibri"/>
          <w:szCs w:val="24"/>
        </w:rPr>
      </w:pPr>
      <w:r w:rsidRPr="009F0A2B">
        <w:rPr>
          <w:rFonts w:ascii="Calibri" w:hAnsi="Calibri"/>
          <w:szCs w:val="24"/>
        </w:rPr>
        <w:lastRenderedPageBreak/>
        <w:t xml:space="preserve">MDPH has developed patient materials that can support dialogue between patients and providers about latent TB infection, strategies to adhere to treatment, what to do if the patient experiences side effects, and appointment reminders for refills. These materials are available in in </w:t>
      </w:r>
      <w:r w:rsidR="001614DD">
        <w:rPr>
          <w:rFonts w:ascii="Calibri" w:hAnsi="Calibri"/>
          <w:szCs w:val="24"/>
        </w:rPr>
        <w:t>22</w:t>
      </w:r>
      <w:r w:rsidRPr="009F0A2B">
        <w:rPr>
          <w:rFonts w:ascii="Calibri" w:hAnsi="Calibri"/>
          <w:szCs w:val="24"/>
        </w:rPr>
        <w:t xml:space="preserve"> languages in a bilingual format.</w:t>
      </w:r>
      <w:r w:rsidR="007D5922" w:rsidRPr="007D5922">
        <w:t xml:space="preserve"> </w:t>
      </w:r>
      <w:hyperlink r:id="rId21" w:history="1">
        <w:r w:rsidR="007D5922" w:rsidRPr="009F0A2B">
          <w:rPr>
            <w:rStyle w:val="Hyperlink"/>
            <w:rFonts w:ascii="Calibri" w:hAnsi="Calibri"/>
            <w:b/>
            <w:szCs w:val="24"/>
          </w:rPr>
          <w:t>TB Information for Your Patients</w:t>
        </w:r>
      </w:hyperlink>
    </w:p>
    <w:p w:rsidR="006C1605" w:rsidRDefault="009F0A2B" w:rsidP="007D5922">
      <w:pPr>
        <w:spacing w:after="200"/>
        <w:rPr>
          <w:rFonts w:ascii="Calibri" w:hAnsi="Calibri"/>
          <w:b/>
          <w:szCs w:val="24"/>
        </w:rPr>
      </w:pPr>
      <w:r w:rsidRPr="009F0A2B">
        <w:rPr>
          <w:rFonts w:ascii="Calibri" w:hAnsi="Calibri"/>
          <w:szCs w:val="24"/>
        </w:rPr>
        <w:t xml:space="preserve">The CDC has informational materials on latent TB infection that may be appropriate for use with patients. </w:t>
      </w:r>
      <w:hyperlink r:id="rId22" w:history="1">
        <w:r w:rsidRPr="009F0A2B">
          <w:rPr>
            <w:rStyle w:val="Hyperlink"/>
            <w:rFonts w:ascii="Calibri" w:hAnsi="Calibri"/>
            <w:b/>
            <w:szCs w:val="24"/>
          </w:rPr>
          <w:t>CDC Latent Tuberculosis Infection Resources</w:t>
        </w:r>
      </w:hyperlink>
    </w:p>
    <w:p w:rsidR="006C1605" w:rsidRDefault="006C1605" w:rsidP="007D5922">
      <w:pPr>
        <w:spacing w:after="200"/>
        <w:rPr>
          <w:rFonts w:ascii="Calibri" w:hAnsi="Calibri"/>
          <w:b/>
          <w:szCs w:val="24"/>
        </w:rPr>
      </w:pPr>
    </w:p>
    <w:p w:rsidR="006C1605" w:rsidRDefault="006C1605" w:rsidP="007D5922">
      <w:pPr>
        <w:spacing w:after="200"/>
        <w:rPr>
          <w:rFonts w:ascii="Calibri" w:hAnsi="Calibri"/>
          <w:b/>
          <w:szCs w:val="24"/>
        </w:rPr>
      </w:pPr>
    </w:p>
    <w:p w:rsidR="009F0A2B" w:rsidRPr="007D5922" w:rsidRDefault="009F0A2B" w:rsidP="007D5922">
      <w:pPr>
        <w:spacing w:after="200"/>
        <w:rPr>
          <w:rFonts w:ascii="Calibri" w:hAnsi="Calibri"/>
          <w:szCs w:val="24"/>
        </w:rPr>
      </w:pPr>
      <w:r>
        <w:rPr>
          <w:rFonts w:ascii="Calibri" w:hAnsi="Calibri"/>
          <w:b/>
          <w:szCs w:val="24"/>
        </w:rPr>
        <w:t xml:space="preserve">Resource: </w:t>
      </w:r>
      <w:r w:rsidRPr="009F0A2B">
        <w:rPr>
          <w:rFonts w:ascii="Calibri" w:hAnsi="Calibri"/>
          <w:b/>
          <w:szCs w:val="24"/>
        </w:rPr>
        <w:t>Current Procedure Terminology (CPT) and ICD-10 Codes for Latent Tuberculosis Infection</w:t>
      </w:r>
    </w:p>
    <w:p w:rsidR="009F0A2B" w:rsidRPr="009F0A2B" w:rsidRDefault="009F0A2B" w:rsidP="009F0A2B">
      <w:pPr>
        <w:rPr>
          <w:rFonts w:ascii="Calibri" w:hAnsi="Calibri"/>
          <w:szCs w:val="24"/>
        </w:rPr>
      </w:pPr>
      <w:r w:rsidRPr="009F0A2B">
        <w:rPr>
          <w:rFonts w:ascii="Calibri" w:hAnsi="Calibri"/>
          <w:szCs w:val="24"/>
        </w:rPr>
        <w:t>Screening: CPT</w:t>
      </w:r>
    </w:p>
    <w:tbl>
      <w:tblPr>
        <w:tblW w:w="4855" w:type="dxa"/>
        <w:tblInd w:w="113" w:type="dxa"/>
        <w:tblLook w:val="04A0" w:firstRow="1" w:lastRow="0" w:firstColumn="1" w:lastColumn="0" w:noHBand="0" w:noVBand="1"/>
      </w:tblPr>
      <w:tblGrid>
        <w:gridCol w:w="2060"/>
        <w:gridCol w:w="1445"/>
        <w:gridCol w:w="1350"/>
      </w:tblGrid>
      <w:tr w:rsidR="009F0A2B" w:rsidRPr="000A70A0" w:rsidTr="00BA57C0">
        <w:trPr>
          <w:trHeight w:val="42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A2B" w:rsidRPr="009F0A2B" w:rsidRDefault="009F0A2B" w:rsidP="00BA57C0">
            <w:pPr>
              <w:jc w:val="center"/>
              <w:rPr>
                <w:rFonts w:ascii="Calibri" w:hAnsi="Calibri"/>
                <w:b/>
                <w:bCs/>
                <w:color w:val="000000"/>
                <w:szCs w:val="24"/>
              </w:rPr>
            </w:pPr>
            <w:r w:rsidRPr="009F0A2B">
              <w:rPr>
                <w:rFonts w:ascii="Calibri" w:hAnsi="Calibri"/>
                <w:b/>
                <w:bCs/>
                <w:color w:val="000000"/>
                <w:szCs w:val="24"/>
              </w:rPr>
              <w:t>Step</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9F0A2B" w:rsidRPr="009F0A2B" w:rsidRDefault="009F0A2B" w:rsidP="00BA57C0">
            <w:pPr>
              <w:jc w:val="center"/>
              <w:rPr>
                <w:rFonts w:ascii="Calibri" w:hAnsi="Calibri"/>
                <w:b/>
                <w:bCs/>
                <w:color w:val="000000"/>
                <w:szCs w:val="24"/>
              </w:rPr>
            </w:pPr>
            <w:r w:rsidRPr="009F0A2B">
              <w:rPr>
                <w:rFonts w:ascii="Calibri" w:hAnsi="Calibri"/>
                <w:b/>
                <w:bCs/>
                <w:color w:val="000000"/>
                <w:szCs w:val="24"/>
              </w:rPr>
              <w:t>Test 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F0A2B" w:rsidRPr="009F0A2B" w:rsidRDefault="009F0A2B" w:rsidP="00BA57C0">
            <w:pPr>
              <w:jc w:val="center"/>
              <w:rPr>
                <w:rFonts w:ascii="Calibri" w:hAnsi="Calibri"/>
                <w:b/>
                <w:bCs/>
                <w:color w:val="000000"/>
                <w:szCs w:val="24"/>
              </w:rPr>
            </w:pPr>
            <w:r w:rsidRPr="009F0A2B">
              <w:rPr>
                <w:rFonts w:ascii="Calibri" w:hAnsi="Calibri"/>
                <w:b/>
                <w:bCs/>
                <w:color w:val="000000"/>
                <w:szCs w:val="24"/>
              </w:rPr>
              <w:t>CPT</w:t>
            </w:r>
          </w:p>
        </w:tc>
      </w:tr>
      <w:tr w:rsidR="009F0A2B" w:rsidRPr="000A70A0" w:rsidTr="00BA57C0">
        <w:trPr>
          <w:trHeight w:val="28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F0A2B" w:rsidRPr="009F0A2B" w:rsidRDefault="009F0A2B" w:rsidP="00BA57C0">
            <w:pPr>
              <w:rPr>
                <w:rFonts w:ascii="Calibri" w:hAnsi="Calibri"/>
                <w:color w:val="000000"/>
                <w:szCs w:val="24"/>
              </w:rPr>
            </w:pPr>
            <w:r w:rsidRPr="009F0A2B">
              <w:rPr>
                <w:rFonts w:ascii="Calibri" w:hAnsi="Calibri"/>
                <w:color w:val="000000"/>
                <w:szCs w:val="24"/>
              </w:rPr>
              <w:t>Screening/Testing</w:t>
            </w:r>
          </w:p>
        </w:tc>
        <w:tc>
          <w:tcPr>
            <w:tcW w:w="1445" w:type="dxa"/>
            <w:tcBorders>
              <w:top w:val="nil"/>
              <w:left w:val="nil"/>
              <w:bottom w:val="single" w:sz="4" w:space="0" w:color="auto"/>
              <w:right w:val="single" w:sz="4" w:space="0" w:color="auto"/>
            </w:tcBorders>
            <w:shd w:val="clear" w:color="auto" w:fill="auto"/>
            <w:noWrap/>
            <w:vAlign w:val="bottom"/>
            <w:hideMark/>
          </w:tcPr>
          <w:p w:rsidR="009F0A2B" w:rsidRPr="009F0A2B" w:rsidRDefault="009F0A2B" w:rsidP="00BA57C0">
            <w:pPr>
              <w:jc w:val="center"/>
              <w:rPr>
                <w:rFonts w:ascii="Calibri" w:hAnsi="Calibri"/>
                <w:color w:val="000000"/>
                <w:szCs w:val="24"/>
              </w:rPr>
            </w:pPr>
            <w:r w:rsidRPr="009F0A2B">
              <w:rPr>
                <w:rFonts w:ascii="Calibri" w:hAnsi="Calibri"/>
                <w:color w:val="000000"/>
                <w:szCs w:val="24"/>
              </w:rPr>
              <w:t>TST</w:t>
            </w:r>
          </w:p>
        </w:tc>
        <w:tc>
          <w:tcPr>
            <w:tcW w:w="1350" w:type="dxa"/>
            <w:tcBorders>
              <w:top w:val="nil"/>
              <w:left w:val="nil"/>
              <w:bottom w:val="single" w:sz="4" w:space="0" w:color="auto"/>
              <w:right w:val="single" w:sz="4" w:space="0" w:color="auto"/>
            </w:tcBorders>
            <w:shd w:val="clear" w:color="auto" w:fill="auto"/>
            <w:noWrap/>
            <w:vAlign w:val="bottom"/>
            <w:hideMark/>
          </w:tcPr>
          <w:p w:rsidR="009F0A2B" w:rsidRPr="009F0A2B" w:rsidRDefault="009F0A2B" w:rsidP="00BA57C0">
            <w:pPr>
              <w:ind w:right="318"/>
              <w:jc w:val="right"/>
              <w:rPr>
                <w:rFonts w:ascii="Calibri" w:hAnsi="Calibri"/>
                <w:color w:val="000000"/>
                <w:szCs w:val="24"/>
              </w:rPr>
            </w:pPr>
            <w:r w:rsidRPr="009F0A2B">
              <w:rPr>
                <w:rFonts w:ascii="Calibri" w:hAnsi="Calibri"/>
                <w:color w:val="000000"/>
                <w:szCs w:val="24"/>
              </w:rPr>
              <w:t>86580</w:t>
            </w:r>
          </w:p>
        </w:tc>
      </w:tr>
      <w:tr w:rsidR="009F0A2B" w:rsidRPr="000A70A0" w:rsidTr="00BA57C0">
        <w:trPr>
          <w:trHeight w:val="28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F0A2B" w:rsidRPr="009F0A2B" w:rsidRDefault="009F0A2B" w:rsidP="00BA57C0">
            <w:pPr>
              <w:rPr>
                <w:rFonts w:ascii="Calibri" w:hAnsi="Calibri"/>
                <w:color w:val="000000"/>
                <w:szCs w:val="24"/>
              </w:rPr>
            </w:pPr>
            <w:r w:rsidRPr="009F0A2B">
              <w:rPr>
                <w:rFonts w:ascii="Calibri" w:hAnsi="Calibri"/>
                <w:color w:val="000000"/>
                <w:szCs w:val="24"/>
              </w:rPr>
              <w:t>Screening/Testing</w:t>
            </w:r>
          </w:p>
        </w:tc>
        <w:tc>
          <w:tcPr>
            <w:tcW w:w="1445" w:type="dxa"/>
            <w:tcBorders>
              <w:top w:val="nil"/>
              <w:left w:val="nil"/>
              <w:bottom w:val="single" w:sz="4" w:space="0" w:color="auto"/>
              <w:right w:val="single" w:sz="4" w:space="0" w:color="auto"/>
            </w:tcBorders>
            <w:shd w:val="clear" w:color="auto" w:fill="auto"/>
            <w:noWrap/>
            <w:vAlign w:val="bottom"/>
            <w:hideMark/>
          </w:tcPr>
          <w:p w:rsidR="009F0A2B" w:rsidRPr="009F0A2B" w:rsidRDefault="009F0A2B" w:rsidP="00BA57C0">
            <w:pPr>
              <w:jc w:val="center"/>
              <w:rPr>
                <w:rFonts w:ascii="Calibri" w:hAnsi="Calibri"/>
                <w:color w:val="000000"/>
                <w:szCs w:val="24"/>
              </w:rPr>
            </w:pPr>
            <w:r w:rsidRPr="009F0A2B">
              <w:rPr>
                <w:rFonts w:ascii="Calibri" w:hAnsi="Calibri"/>
                <w:color w:val="000000"/>
                <w:szCs w:val="24"/>
              </w:rPr>
              <w:t>QFT*</w:t>
            </w:r>
          </w:p>
        </w:tc>
        <w:tc>
          <w:tcPr>
            <w:tcW w:w="1350" w:type="dxa"/>
            <w:tcBorders>
              <w:top w:val="nil"/>
              <w:left w:val="nil"/>
              <w:bottom w:val="single" w:sz="4" w:space="0" w:color="auto"/>
              <w:right w:val="single" w:sz="4" w:space="0" w:color="auto"/>
            </w:tcBorders>
            <w:shd w:val="clear" w:color="auto" w:fill="auto"/>
            <w:noWrap/>
            <w:vAlign w:val="bottom"/>
            <w:hideMark/>
          </w:tcPr>
          <w:p w:rsidR="009F0A2B" w:rsidRPr="009F0A2B" w:rsidRDefault="009F0A2B" w:rsidP="00BA57C0">
            <w:pPr>
              <w:ind w:right="318"/>
              <w:jc w:val="right"/>
              <w:rPr>
                <w:rFonts w:ascii="Calibri" w:hAnsi="Calibri"/>
                <w:color w:val="000000"/>
                <w:szCs w:val="24"/>
              </w:rPr>
            </w:pPr>
            <w:r w:rsidRPr="009F0A2B">
              <w:rPr>
                <w:rFonts w:ascii="Calibri" w:hAnsi="Calibri"/>
                <w:color w:val="000000"/>
                <w:szCs w:val="24"/>
              </w:rPr>
              <w:t>86480</w:t>
            </w:r>
          </w:p>
        </w:tc>
      </w:tr>
      <w:tr w:rsidR="009F0A2B" w:rsidRPr="000A70A0" w:rsidTr="00BA57C0">
        <w:trPr>
          <w:trHeight w:val="285"/>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A2B" w:rsidRPr="009F0A2B" w:rsidRDefault="009F0A2B" w:rsidP="00BA57C0">
            <w:pPr>
              <w:rPr>
                <w:rFonts w:ascii="Calibri" w:hAnsi="Calibri"/>
                <w:color w:val="000000"/>
                <w:szCs w:val="24"/>
              </w:rPr>
            </w:pPr>
            <w:r w:rsidRPr="009F0A2B">
              <w:rPr>
                <w:rFonts w:ascii="Calibri" w:hAnsi="Calibri"/>
                <w:color w:val="000000"/>
                <w:szCs w:val="24"/>
              </w:rPr>
              <w:t xml:space="preserve">Screening/Testing </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9F0A2B" w:rsidRPr="009F0A2B" w:rsidRDefault="009F0A2B" w:rsidP="00BA57C0">
            <w:pPr>
              <w:jc w:val="center"/>
              <w:rPr>
                <w:rFonts w:ascii="Calibri" w:hAnsi="Calibri"/>
                <w:color w:val="000000"/>
                <w:szCs w:val="24"/>
              </w:rPr>
            </w:pPr>
            <w:proofErr w:type="spellStart"/>
            <w:r w:rsidRPr="009F0A2B">
              <w:rPr>
                <w:rFonts w:ascii="Calibri" w:hAnsi="Calibri"/>
                <w:color w:val="000000"/>
                <w:szCs w:val="24"/>
              </w:rPr>
              <w:t>T.Spot</w:t>
            </w:r>
            <w:proofErr w:type="spellEnd"/>
            <w:r w:rsidRPr="009F0A2B">
              <w:rPr>
                <w:rFonts w:ascii="Calibri" w:hAnsi="Calibri"/>
                <w:color w:val="000000"/>
                <w:szCs w:val="24"/>
              </w:rPr>
              <w:t>**</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9F0A2B" w:rsidRPr="009F0A2B" w:rsidRDefault="009F0A2B" w:rsidP="00BA57C0">
            <w:pPr>
              <w:ind w:right="318"/>
              <w:jc w:val="right"/>
              <w:rPr>
                <w:rFonts w:ascii="Calibri" w:hAnsi="Calibri"/>
                <w:color w:val="000000"/>
                <w:szCs w:val="24"/>
              </w:rPr>
            </w:pPr>
            <w:r w:rsidRPr="009F0A2B">
              <w:rPr>
                <w:rFonts w:ascii="Calibri" w:hAnsi="Calibri"/>
                <w:color w:val="000000"/>
                <w:szCs w:val="24"/>
              </w:rPr>
              <w:t>86481</w:t>
            </w:r>
          </w:p>
        </w:tc>
      </w:tr>
    </w:tbl>
    <w:p w:rsidR="009F0A2B" w:rsidRPr="009F0A2B" w:rsidRDefault="00F33E28" w:rsidP="009F0A2B">
      <w:pPr>
        <w:rPr>
          <w:rFonts w:ascii="Calibri" w:hAnsi="Calibri"/>
          <w:szCs w:val="24"/>
        </w:rPr>
      </w:pPr>
      <w:r>
        <w:rPr>
          <w:rFonts w:ascii="Calibri" w:hAnsi="Calibri"/>
          <w:szCs w:val="24"/>
        </w:rPr>
        <w:t>*</w:t>
      </w:r>
      <w:proofErr w:type="spellStart"/>
      <w:r>
        <w:rPr>
          <w:rFonts w:ascii="Calibri" w:hAnsi="Calibri"/>
          <w:szCs w:val="24"/>
        </w:rPr>
        <w:t>QuantiFERON</w:t>
      </w:r>
      <w:proofErr w:type="spellEnd"/>
      <w:r w:rsidR="002D4DC6">
        <w:rPr>
          <w:rFonts w:ascii="Calibri" w:hAnsi="Calibri"/>
          <w:szCs w:val="24"/>
        </w:rPr>
        <w:t>®</w:t>
      </w:r>
      <w:r w:rsidR="009F0A2B" w:rsidRPr="009F0A2B">
        <w:rPr>
          <w:rFonts w:ascii="Calibri" w:hAnsi="Calibri"/>
          <w:szCs w:val="24"/>
        </w:rPr>
        <w:t xml:space="preserve"> test (IGRA)</w:t>
      </w:r>
    </w:p>
    <w:p w:rsidR="009F0A2B" w:rsidRPr="009F0A2B" w:rsidRDefault="009F0A2B" w:rsidP="009F0A2B">
      <w:pPr>
        <w:rPr>
          <w:rFonts w:ascii="Calibri" w:hAnsi="Calibri"/>
          <w:szCs w:val="24"/>
        </w:rPr>
      </w:pPr>
      <w:r w:rsidRPr="009F0A2B">
        <w:rPr>
          <w:rFonts w:ascii="Calibri" w:hAnsi="Calibri"/>
          <w:szCs w:val="24"/>
        </w:rPr>
        <w:t>**</w:t>
      </w:r>
      <w:proofErr w:type="spellStart"/>
      <w:r w:rsidRPr="009F0A2B">
        <w:rPr>
          <w:rFonts w:ascii="Calibri" w:hAnsi="Calibri"/>
          <w:szCs w:val="24"/>
        </w:rPr>
        <w:t>T.spot</w:t>
      </w:r>
      <w:proofErr w:type="spellEnd"/>
      <w:r w:rsidR="006C1605">
        <w:rPr>
          <w:rFonts w:ascii="Calibri" w:hAnsi="Calibri"/>
          <w:szCs w:val="24"/>
        </w:rPr>
        <w:t>-TB</w:t>
      </w:r>
      <w:r w:rsidR="002D4DC6">
        <w:rPr>
          <w:rFonts w:ascii="Calibri" w:hAnsi="Calibri"/>
          <w:szCs w:val="24"/>
        </w:rPr>
        <w:t>®</w:t>
      </w:r>
      <w:r w:rsidRPr="009F0A2B">
        <w:rPr>
          <w:rFonts w:ascii="Calibri" w:hAnsi="Calibri"/>
          <w:szCs w:val="24"/>
        </w:rPr>
        <w:t xml:space="preserve"> test (IGRA)</w:t>
      </w:r>
    </w:p>
    <w:p w:rsidR="009F0A2B" w:rsidRPr="009F0A2B" w:rsidRDefault="009F0A2B" w:rsidP="009F0A2B">
      <w:pPr>
        <w:rPr>
          <w:rFonts w:ascii="Calibri" w:hAnsi="Calibri"/>
          <w:szCs w:val="24"/>
        </w:rPr>
      </w:pPr>
    </w:p>
    <w:p w:rsidR="009F0A2B" w:rsidRPr="009F0A2B" w:rsidRDefault="009F0A2B" w:rsidP="009F0A2B">
      <w:pPr>
        <w:rPr>
          <w:rFonts w:ascii="Calibri" w:hAnsi="Calibri"/>
          <w:szCs w:val="24"/>
        </w:rPr>
      </w:pPr>
    </w:p>
    <w:p w:rsidR="009F0A2B" w:rsidRPr="009F0A2B" w:rsidRDefault="009F0A2B" w:rsidP="009F0A2B">
      <w:pPr>
        <w:rPr>
          <w:rFonts w:ascii="Calibri" w:hAnsi="Calibri"/>
          <w:szCs w:val="24"/>
        </w:rPr>
      </w:pPr>
      <w:r w:rsidRPr="009F0A2B">
        <w:rPr>
          <w:rFonts w:ascii="Calibri" w:hAnsi="Calibri"/>
          <w:szCs w:val="24"/>
        </w:rPr>
        <w:t>Follow-up: ICD-10</w:t>
      </w:r>
    </w:p>
    <w:tbl>
      <w:tblPr>
        <w:tblStyle w:val="TableGrid"/>
        <w:tblW w:w="0" w:type="auto"/>
        <w:tblLook w:val="04A0" w:firstRow="1" w:lastRow="0" w:firstColumn="1" w:lastColumn="0" w:noHBand="0" w:noVBand="1"/>
      </w:tblPr>
      <w:tblGrid>
        <w:gridCol w:w="1998"/>
        <w:gridCol w:w="4410"/>
        <w:gridCol w:w="2160"/>
      </w:tblGrid>
      <w:tr w:rsidR="009F0A2B" w:rsidRPr="000A70A0" w:rsidTr="00BA57C0">
        <w:tc>
          <w:tcPr>
            <w:tcW w:w="1998" w:type="dxa"/>
          </w:tcPr>
          <w:p w:rsidR="009F0A2B" w:rsidRPr="000A70A0" w:rsidRDefault="009F0A2B" w:rsidP="00BA57C0">
            <w:pPr>
              <w:jc w:val="center"/>
              <w:rPr>
                <w:b/>
                <w:szCs w:val="24"/>
              </w:rPr>
            </w:pPr>
            <w:r w:rsidRPr="000A70A0">
              <w:rPr>
                <w:b/>
                <w:szCs w:val="24"/>
              </w:rPr>
              <w:t>Diagnosis</w:t>
            </w:r>
          </w:p>
        </w:tc>
        <w:tc>
          <w:tcPr>
            <w:tcW w:w="4410" w:type="dxa"/>
          </w:tcPr>
          <w:p w:rsidR="009F0A2B" w:rsidRPr="000A70A0" w:rsidRDefault="009F0A2B" w:rsidP="00BA57C0">
            <w:pPr>
              <w:jc w:val="center"/>
              <w:rPr>
                <w:b/>
                <w:szCs w:val="24"/>
              </w:rPr>
            </w:pPr>
            <w:r w:rsidRPr="000A70A0">
              <w:rPr>
                <w:b/>
                <w:szCs w:val="24"/>
              </w:rPr>
              <w:t>Description</w:t>
            </w:r>
          </w:p>
        </w:tc>
        <w:tc>
          <w:tcPr>
            <w:tcW w:w="2160" w:type="dxa"/>
          </w:tcPr>
          <w:p w:rsidR="009F0A2B" w:rsidRPr="000A70A0" w:rsidRDefault="009F0A2B" w:rsidP="00BA57C0">
            <w:pPr>
              <w:jc w:val="center"/>
              <w:rPr>
                <w:b/>
                <w:szCs w:val="24"/>
              </w:rPr>
            </w:pPr>
            <w:r w:rsidRPr="000A70A0">
              <w:rPr>
                <w:b/>
                <w:szCs w:val="24"/>
              </w:rPr>
              <w:t>ICD-10</w:t>
            </w:r>
          </w:p>
        </w:tc>
      </w:tr>
      <w:tr w:rsidR="009F0A2B" w:rsidRPr="000A70A0" w:rsidTr="00BA57C0">
        <w:tc>
          <w:tcPr>
            <w:tcW w:w="1998" w:type="dxa"/>
            <w:vAlign w:val="center"/>
          </w:tcPr>
          <w:p w:rsidR="009F0A2B" w:rsidRPr="000A70A0" w:rsidRDefault="009F0A2B" w:rsidP="00BA57C0">
            <w:pPr>
              <w:rPr>
                <w:szCs w:val="24"/>
              </w:rPr>
            </w:pPr>
            <w:r w:rsidRPr="000A70A0">
              <w:rPr>
                <w:szCs w:val="24"/>
              </w:rPr>
              <w:t>TST-positive</w:t>
            </w:r>
          </w:p>
        </w:tc>
        <w:tc>
          <w:tcPr>
            <w:tcW w:w="4410" w:type="dxa"/>
            <w:vAlign w:val="center"/>
          </w:tcPr>
          <w:p w:rsidR="009F0A2B" w:rsidRPr="000A70A0" w:rsidRDefault="009F0A2B" w:rsidP="00BA57C0">
            <w:pPr>
              <w:rPr>
                <w:szCs w:val="24"/>
              </w:rPr>
            </w:pPr>
            <w:r w:rsidRPr="000A70A0">
              <w:rPr>
                <w:rFonts w:eastAsia="Times New Roman"/>
                <w:color w:val="000000"/>
                <w:szCs w:val="24"/>
              </w:rPr>
              <w:t>Nonspecific reaction to TST without active tuberculosis.</w:t>
            </w:r>
          </w:p>
        </w:tc>
        <w:tc>
          <w:tcPr>
            <w:tcW w:w="2160" w:type="dxa"/>
            <w:vAlign w:val="center"/>
          </w:tcPr>
          <w:p w:rsidR="009F0A2B" w:rsidRPr="000A70A0" w:rsidRDefault="009F0A2B" w:rsidP="00BA57C0">
            <w:pPr>
              <w:ind w:right="615"/>
              <w:jc w:val="right"/>
              <w:rPr>
                <w:szCs w:val="24"/>
              </w:rPr>
            </w:pPr>
            <w:r w:rsidRPr="000A70A0">
              <w:rPr>
                <w:szCs w:val="24"/>
              </w:rPr>
              <w:t>R76.11</w:t>
            </w:r>
          </w:p>
        </w:tc>
      </w:tr>
      <w:tr w:rsidR="009F0A2B" w:rsidRPr="000A70A0" w:rsidTr="00BA57C0">
        <w:tc>
          <w:tcPr>
            <w:tcW w:w="1998" w:type="dxa"/>
            <w:vAlign w:val="center"/>
          </w:tcPr>
          <w:p w:rsidR="009F0A2B" w:rsidRPr="000A70A0" w:rsidRDefault="009F0A2B" w:rsidP="00BA57C0">
            <w:pPr>
              <w:rPr>
                <w:szCs w:val="24"/>
              </w:rPr>
            </w:pPr>
            <w:r w:rsidRPr="000A70A0">
              <w:rPr>
                <w:szCs w:val="24"/>
              </w:rPr>
              <w:t>IGRA-positive</w:t>
            </w:r>
          </w:p>
        </w:tc>
        <w:tc>
          <w:tcPr>
            <w:tcW w:w="4410" w:type="dxa"/>
            <w:vAlign w:val="center"/>
          </w:tcPr>
          <w:p w:rsidR="009F0A2B" w:rsidRPr="000A70A0" w:rsidRDefault="009F0A2B" w:rsidP="00BA57C0">
            <w:pPr>
              <w:rPr>
                <w:szCs w:val="24"/>
              </w:rPr>
            </w:pPr>
            <w:r w:rsidRPr="000A70A0">
              <w:rPr>
                <w:rFonts w:eastAsia="Times New Roman"/>
                <w:color w:val="000000"/>
                <w:szCs w:val="24"/>
              </w:rPr>
              <w:t>Nonspecific reaction to IGRA without active tuberculosis.</w:t>
            </w:r>
          </w:p>
        </w:tc>
        <w:tc>
          <w:tcPr>
            <w:tcW w:w="2160" w:type="dxa"/>
            <w:vAlign w:val="center"/>
          </w:tcPr>
          <w:p w:rsidR="009F0A2B" w:rsidRPr="000A70A0" w:rsidRDefault="009F0A2B" w:rsidP="00BA57C0">
            <w:pPr>
              <w:ind w:right="615"/>
              <w:jc w:val="right"/>
              <w:rPr>
                <w:szCs w:val="24"/>
              </w:rPr>
            </w:pPr>
            <w:r w:rsidRPr="000A70A0">
              <w:rPr>
                <w:szCs w:val="24"/>
              </w:rPr>
              <w:t>R76.12</w:t>
            </w:r>
          </w:p>
        </w:tc>
      </w:tr>
    </w:tbl>
    <w:p w:rsidR="009F0A2B" w:rsidRPr="009F0A2B" w:rsidRDefault="009F0A2B" w:rsidP="009F0A2B">
      <w:pPr>
        <w:rPr>
          <w:rFonts w:ascii="Calibri" w:hAnsi="Calibri"/>
          <w:szCs w:val="24"/>
        </w:rPr>
      </w:pPr>
    </w:p>
    <w:p w:rsidR="00B47152" w:rsidRPr="00EE433A" w:rsidRDefault="00B47152" w:rsidP="0072610D">
      <w:pPr>
        <w:rPr>
          <w:sz w:val="22"/>
          <w:szCs w:val="22"/>
        </w:rPr>
      </w:pPr>
    </w:p>
    <w:sectPr w:rsidR="00B47152" w:rsidRPr="00EE433A" w:rsidSect="00AE3F85">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6B" w:rsidRDefault="00F13A6B" w:rsidP="009D3B51">
      <w:r>
        <w:separator/>
      </w:r>
    </w:p>
  </w:endnote>
  <w:endnote w:type="continuationSeparator" w:id="0">
    <w:p w:rsidR="00F13A6B" w:rsidRDefault="00F13A6B" w:rsidP="009D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83201"/>
      <w:docPartObj>
        <w:docPartGallery w:val="Page Numbers (Bottom of Page)"/>
        <w:docPartUnique/>
      </w:docPartObj>
    </w:sdtPr>
    <w:sdtEndPr>
      <w:rPr>
        <w:noProof/>
      </w:rPr>
    </w:sdtEndPr>
    <w:sdtContent>
      <w:p w:rsidR="009D3B51" w:rsidRDefault="009D3B51">
        <w:pPr>
          <w:pStyle w:val="Footer"/>
          <w:jc w:val="right"/>
        </w:pPr>
        <w:r>
          <w:fldChar w:fldCharType="begin"/>
        </w:r>
        <w:r>
          <w:instrText xml:space="preserve"> PAGE   \* MERGEFORMAT </w:instrText>
        </w:r>
        <w:r>
          <w:fldChar w:fldCharType="separate"/>
        </w:r>
        <w:r w:rsidR="00D930D5">
          <w:rPr>
            <w:noProof/>
          </w:rPr>
          <w:t>1</w:t>
        </w:r>
        <w:r>
          <w:rPr>
            <w:noProof/>
          </w:rPr>
          <w:fldChar w:fldCharType="end"/>
        </w:r>
      </w:p>
    </w:sdtContent>
  </w:sdt>
  <w:p w:rsidR="009D3B51" w:rsidRDefault="009D3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6B" w:rsidRDefault="00F13A6B" w:rsidP="009D3B51">
      <w:r>
        <w:separator/>
      </w:r>
    </w:p>
  </w:footnote>
  <w:footnote w:type="continuationSeparator" w:id="0">
    <w:p w:rsidR="00F13A6B" w:rsidRDefault="00F13A6B" w:rsidP="009D3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5DE8"/>
    <w:multiLevelType w:val="hybridMultilevel"/>
    <w:tmpl w:val="6CD0F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156E94"/>
    <w:multiLevelType w:val="hybridMultilevel"/>
    <w:tmpl w:val="F0D6D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797A8C"/>
    <w:multiLevelType w:val="hybridMultilevel"/>
    <w:tmpl w:val="251E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55F35"/>
    <w:rsid w:val="00074DDF"/>
    <w:rsid w:val="000E59E8"/>
    <w:rsid w:val="000F315B"/>
    <w:rsid w:val="0015268B"/>
    <w:rsid w:val="001614DD"/>
    <w:rsid w:val="00174433"/>
    <w:rsid w:val="00177C77"/>
    <w:rsid w:val="001A5680"/>
    <w:rsid w:val="001C22C3"/>
    <w:rsid w:val="002412BA"/>
    <w:rsid w:val="00274D45"/>
    <w:rsid w:val="00276957"/>
    <w:rsid w:val="00276DCC"/>
    <w:rsid w:val="002C3A70"/>
    <w:rsid w:val="002D4DC6"/>
    <w:rsid w:val="0037084E"/>
    <w:rsid w:val="00372F3B"/>
    <w:rsid w:val="00385812"/>
    <w:rsid w:val="00385FC7"/>
    <w:rsid w:val="00392D0B"/>
    <w:rsid w:val="003A7AFC"/>
    <w:rsid w:val="003C60EF"/>
    <w:rsid w:val="004460DA"/>
    <w:rsid w:val="00476AF3"/>
    <w:rsid w:val="004813AC"/>
    <w:rsid w:val="004B37A0"/>
    <w:rsid w:val="004D6B39"/>
    <w:rsid w:val="005448AA"/>
    <w:rsid w:val="00570DEB"/>
    <w:rsid w:val="005809E2"/>
    <w:rsid w:val="005E40E3"/>
    <w:rsid w:val="006B37F0"/>
    <w:rsid w:val="006C1605"/>
    <w:rsid w:val="006D06D9"/>
    <w:rsid w:val="006D77A6"/>
    <w:rsid w:val="00702109"/>
    <w:rsid w:val="0072610D"/>
    <w:rsid w:val="007B3F4B"/>
    <w:rsid w:val="007B7347"/>
    <w:rsid w:val="007D10F3"/>
    <w:rsid w:val="007D5922"/>
    <w:rsid w:val="00830AA2"/>
    <w:rsid w:val="00833F50"/>
    <w:rsid w:val="008A1605"/>
    <w:rsid w:val="008C15D2"/>
    <w:rsid w:val="00904C80"/>
    <w:rsid w:val="009908FF"/>
    <w:rsid w:val="0099542E"/>
    <w:rsid w:val="00995505"/>
    <w:rsid w:val="009A50F8"/>
    <w:rsid w:val="009D3B51"/>
    <w:rsid w:val="009E4F08"/>
    <w:rsid w:val="009F0A2B"/>
    <w:rsid w:val="00A61E1A"/>
    <w:rsid w:val="00A65101"/>
    <w:rsid w:val="00A772E9"/>
    <w:rsid w:val="00AE3F85"/>
    <w:rsid w:val="00B403BF"/>
    <w:rsid w:val="00B47152"/>
    <w:rsid w:val="00B608D9"/>
    <w:rsid w:val="00BA4055"/>
    <w:rsid w:val="00BA6211"/>
    <w:rsid w:val="00BA7FB6"/>
    <w:rsid w:val="00C20BFE"/>
    <w:rsid w:val="00CC1778"/>
    <w:rsid w:val="00CE575B"/>
    <w:rsid w:val="00CF0F53"/>
    <w:rsid w:val="00CF3DE8"/>
    <w:rsid w:val="00D0493F"/>
    <w:rsid w:val="00D44DFC"/>
    <w:rsid w:val="00D56F91"/>
    <w:rsid w:val="00D8671C"/>
    <w:rsid w:val="00D930D5"/>
    <w:rsid w:val="00DA57C3"/>
    <w:rsid w:val="00DC3855"/>
    <w:rsid w:val="00DD06C4"/>
    <w:rsid w:val="00DF3496"/>
    <w:rsid w:val="00E274B8"/>
    <w:rsid w:val="00E72707"/>
    <w:rsid w:val="00EA0ABA"/>
    <w:rsid w:val="00EE433A"/>
    <w:rsid w:val="00F0586E"/>
    <w:rsid w:val="00F13A6B"/>
    <w:rsid w:val="00F33E28"/>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paragraph" w:styleId="ListParagraph">
    <w:name w:val="List Paragraph"/>
    <w:basedOn w:val="Normal"/>
    <w:uiPriority w:val="99"/>
    <w:qFormat/>
    <w:rsid w:val="009F0A2B"/>
    <w:pPr>
      <w:ind w:left="720"/>
      <w:contextualSpacing/>
    </w:pPr>
    <w:rPr>
      <w:szCs w:val="24"/>
    </w:rPr>
  </w:style>
  <w:style w:type="table" w:styleId="TableGrid">
    <w:name w:val="Table Grid"/>
    <w:basedOn w:val="TableNormal"/>
    <w:uiPriority w:val="59"/>
    <w:rsid w:val="009F0A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F0A2B"/>
    <w:rPr>
      <w:sz w:val="16"/>
      <w:szCs w:val="16"/>
    </w:rPr>
  </w:style>
  <w:style w:type="paragraph" w:styleId="CommentText">
    <w:name w:val="annotation text"/>
    <w:basedOn w:val="Normal"/>
    <w:link w:val="CommentTextChar"/>
    <w:uiPriority w:val="99"/>
    <w:semiHidden/>
    <w:unhideWhenUsed/>
    <w:rsid w:val="009F0A2B"/>
    <w:rPr>
      <w:sz w:val="20"/>
    </w:rPr>
  </w:style>
  <w:style w:type="character" w:customStyle="1" w:styleId="CommentTextChar">
    <w:name w:val="Comment Text Char"/>
    <w:basedOn w:val="DefaultParagraphFont"/>
    <w:link w:val="CommentText"/>
    <w:uiPriority w:val="99"/>
    <w:semiHidden/>
    <w:rsid w:val="009F0A2B"/>
    <w:rPr>
      <w:sz w:val="20"/>
      <w:szCs w:val="20"/>
    </w:rPr>
  </w:style>
  <w:style w:type="character" w:styleId="FollowedHyperlink">
    <w:name w:val="FollowedHyperlink"/>
    <w:basedOn w:val="DefaultParagraphFont"/>
    <w:uiPriority w:val="99"/>
    <w:semiHidden/>
    <w:unhideWhenUsed/>
    <w:rsid w:val="009F0A2B"/>
    <w:rPr>
      <w:color w:val="800080" w:themeColor="followedHyperlink"/>
      <w:u w:val="single"/>
    </w:rPr>
  </w:style>
  <w:style w:type="paragraph" w:styleId="Header">
    <w:name w:val="header"/>
    <w:basedOn w:val="Normal"/>
    <w:link w:val="HeaderChar"/>
    <w:uiPriority w:val="99"/>
    <w:unhideWhenUsed/>
    <w:rsid w:val="009D3B51"/>
    <w:pPr>
      <w:tabs>
        <w:tab w:val="center" w:pos="4680"/>
        <w:tab w:val="right" w:pos="9360"/>
      </w:tabs>
    </w:pPr>
  </w:style>
  <w:style w:type="character" w:customStyle="1" w:styleId="HeaderChar">
    <w:name w:val="Header Char"/>
    <w:basedOn w:val="DefaultParagraphFont"/>
    <w:link w:val="Header"/>
    <w:uiPriority w:val="99"/>
    <w:rsid w:val="009D3B51"/>
    <w:rPr>
      <w:sz w:val="24"/>
      <w:szCs w:val="20"/>
    </w:rPr>
  </w:style>
  <w:style w:type="paragraph" w:styleId="Footer">
    <w:name w:val="footer"/>
    <w:basedOn w:val="Normal"/>
    <w:link w:val="FooterChar"/>
    <w:uiPriority w:val="99"/>
    <w:unhideWhenUsed/>
    <w:rsid w:val="009D3B51"/>
    <w:pPr>
      <w:tabs>
        <w:tab w:val="center" w:pos="4680"/>
        <w:tab w:val="right" w:pos="9360"/>
      </w:tabs>
    </w:pPr>
  </w:style>
  <w:style w:type="character" w:customStyle="1" w:styleId="FooterChar">
    <w:name w:val="Footer Char"/>
    <w:basedOn w:val="DefaultParagraphFont"/>
    <w:link w:val="Footer"/>
    <w:uiPriority w:val="99"/>
    <w:rsid w:val="009D3B51"/>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paragraph" w:styleId="ListParagraph">
    <w:name w:val="List Paragraph"/>
    <w:basedOn w:val="Normal"/>
    <w:uiPriority w:val="99"/>
    <w:qFormat/>
    <w:rsid w:val="009F0A2B"/>
    <w:pPr>
      <w:ind w:left="720"/>
      <w:contextualSpacing/>
    </w:pPr>
    <w:rPr>
      <w:szCs w:val="24"/>
    </w:rPr>
  </w:style>
  <w:style w:type="table" w:styleId="TableGrid">
    <w:name w:val="Table Grid"/>
    <w:basedOn w:val="TableNormal"/>
    <w:uiPriority w:val="59"/>
    <w:rsid w:val="009F0A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F0A2B"/>
    <w:rPr>
      <w:sz w:val="16"/>
      <w:szCs w:val="16"/>
    </w:rPr>
  </w:style>
  <w:style w:type="paragraph" w:styleId="CommentText">
    <w:name w:val="annotation text"/>
    <w:basedOn w:val="Normal"/>
    <w:link w:val="CommentTextChar"/>
    <w:uiPriority w:val="99"/>
    <w:semiHidden/>
    <w:unhideWhenUsed/>
    <w:rsid w:val="009F0A2B"/>
    <w:rPr>
      <w:sz w:val="20"/>
    </w:rPr>
  </w:style>
  <w:style w:type="character" w:customStyle="1" w:styleId="CommentTextChar">
    <w:name w:val="Comment Text Char"/>
    <w:basedOn w:val="DefaultParagraphFont"/>
    <w:link w:val="CommentText"/>
    <w:uiPriority w:val="99"/>
    <w:semiHidden/>
    <w:rsid w:val="009F0A2B"/>
    <w:rPr>
      <w:sz w:val="20"/>
      <w:szCs w:val="20"/>
    </w:rPr>
  </w:style>
  <w:style w:type="character" w:styleId="FollowedHyperlink">
    <w:name w:val="FollowedHyperlink"/>
    <w:basedOn w:val="DefaultParagraphFont"/>
    <w:uiPriority w:val="99"/>
    <w:semiHidden/>
    <w:unhideWhenUsed/>
    <w:rsid w:val="009F0A2B"/>
    <w:rPr>
      <w:color w:val="800080" w:themeColor="followedHyperlink"/>
      <w:u w:val="single"/>
    </w:rPr>
  </w:style>
  <w:style w:type="paragraph" w:styleId="Header">
    <w:name w:val="header"/>
    <w:basedOn w:val="Normal"/>
    <w:link w:val="HeaderChar"/>
    <w:uiPriority w:val="99"/>
    <w:unhideWhenUsed/>
    <w:rsid w:val="009D3B51"/>
    <w:pPr>
      <w:tabs>
        <w:tab w:val="center" w:pos="4680"/>
        <w:tab w:val="right" w:pos="9360"/>
      </w:tabs>
    </w:pPr>
  </w:style>
  <w:style w:type="character" w:customStyle="1" w:styleId="HeaderChar">
    <w:name w:val="Header Char"/>
    <w:basedOn w:val="DefaultParagraphFont"/>
    <w:link w:val="Header"/>
    <w:uiPriority w:val="99"/>
    <w:rsid w:val="009D3B51"/>
    <w:rPr>
      <w:sz w:val="24"/>
      <w:szCs w:val="20"/>
    </w:rPr>
  </w:style>
  <w:style w:type="paragraph" w:styleId="Footer">
    <w:name w:val="footer"/>
    <w:basedOn w:val="Normal"/>
    <w:link w:val="FooterChar"/>
    <w:uiPriority w:val="99"/>
    <w:unhideWhenUsed/>
    <w:rsid w:val="009D3B51"/>
    <w:pPr>
      <w:tabs>
        <w:tab w:val="center" w:pos="4680"/>
        <w:tab w:val="right" w:pos="9360"/>
      </w:tabs>
    </w:pPr>
  </w:style>
  <w:style w:type="character" w:customStyle="1" w:styleId="FooterChar">
    <w:name w:val="Footer Char"/>
    <w:basedOn w:val="DefaultParagraphFont"/>
    <w:link w:val="Footer"/>
    <w:uiPriority w:val="99"/>
    <w:rsid w:val="009D3B51"/>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8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media/1816501/download" TargetMode="External"/><Relationship Id="rId18" Type="http://schemas.openxmlformats.org/officeDocument/2006/relationships/hyperlink" Target="https://www.mass.gov/how-to/report-a-case-of-tuberculosis-disease-or-latent-tb-infection" TargetMode="External"/><Relationship Id="rId3" Type="http://schemas.openxmlformats.org/officeDocument/2006/relationships/styles" Target="styles.xml"/><Relationship Id="rId21" Type="http://schemas.openxmlformats.org/officeDocument/2006/relationships/hyperlink" Target="https://www.mass.gov/lists/tb-information-for-your-patients-in-english-and-other-languages" TargetMode="External"/><Relationship Id="rId7" Type="http://schemas.openxmlformats.org/officeDocument/2006/relationships/footnotes" Target="footnotes.xml"/><Relationship Id="rId12" Type="http://schemas.openxmlformats.org/officeDocument/2006/relationships/hyperlink" Target="https://www.mass.gov/media/1816491/download" TargetMode="External"/><Relationship Id="rId17" Type="http://schemas.openxmlformats.org/officeDocument/2006/relationships/hyperlink" Target="https://www.mass.gov/media/1884131/downlo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media/1884126/download" TargetMode="External"/><Relationship Id="rId20" Type="http://schemas.openxmlformats.org/officeDocument/2006/relationships/hyperlink" Target="https://www.mass.gov/media/1884116/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p.org/en-us/Documents/periodicity_schedule_oral_health.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ss.gov/media/1883941/download" TargetMode="External"/><Relationship Id="rId23" Type="http://schemas.openxmlformats.org/officeDocument/2006/relationships/footer" Target="footer1.xml"/><Relationship Id="rId10" Type="http://schemas.openxmlformats.org/officeDocument/2006/relationships/hyperlink" Target="https://www.uspreventiveservicestaskforce.org/Page/Document/RecommendationStatementFinal/latent-tuberculosis-infection-screening" TargetMode="External"/><Relationship Id="rId19" Type="http://schemas.openxmlformats.org/officeDocument/2006/relationships/hyperlink" Target="https://www.mass.gov/how-to/report-a-case-of-tuberculosis-disease-or-latent-tb-infec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media/1884106/download" TargetMode="External"/><Relationship Id="rId22" Type="http://schemas.openxmlformats.org/officeDocument/2006/relationships/hyperlink" Target="https://www.cdc.gov/tb/publications/ltbi/ltbiresource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01D1-1E96-44F4-90DE-4AC6F0C9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5</Pages>
  <Words>1532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 </cp:lastModifiedBy>
  <cp:revision>2</cp:revision>
  <cp:lastPrinted>2018-10-02T11:50:00Z</cp:lastPrinted>
  <dcterms:created xsi:type="dcterms:W3CDTF">2018-10-03T17:59:00Z</dcterms:created>
  <dcterms:modified xsi:type="dcterms:W3CDTF">2018-10-03T17:59:00Z</dcterms:modified>
</cp:coreProperties>
</file>