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52" w:rsidRDefault="00B47152"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B47152" w:rsidRDefault="00B47152" w:rsidP="00385FC7">
      <w:pPr>
        <w:pStyle w:val="ExecOffice"/>
        <w:framePr w:w="7556" w:wrap="notBeside" w:vAnchor="page" w:x="2526" w:y="1261"/>
      </w:pPr>
      <w:r>
        <w:t>Executive Office of Health and Human Services</w:t>
      </w:r>
    </w:p>
    <w:p w:rsidR="00B47152" w:rsidRDefault="00B47152" w:rsidP="00385FC7">
      <w:pPr>
        <w:pStyle w:val="ExecOffice"/>
        <w:framePr w:w="7556" w:wrap="notBeside" w:vAnchor="page" w:x="2526" w:y="1261"/>
      </w:pPr>
      <w:r>
        <w:t>Department of Public Health</w:t>
      </w:r>
    </w:p>
    <w:p w:rsidR="00B47152" w:rsidRDefault="00B47152" w:rsidP="00385FC7">
      <w:pPr>
        <w:pStyle w:val="ExecOffice"/>
        <w:framePr w:w="7556" w:wrap="notBeside" w:vAnchor="page" w:x="2526" w:y="1261"/>
      </w:pPr>
      <w:r w:rsidRPr="009A50F8">
        <w:t>Bureau of Infectious Disease and Laboratory Sciences</w:t>
      </w:r>
    </w:p>
    <w:p w:rsidR="00B47152" w:rsidRDefault="00B47152" w:rsidP="00385FC7">
      <w:pPr>
        <w:pStyle w:val="ExecOffice"/>
        <w:framePr w:w="7556" w:wrap="notBeside" w:vAnchor="page" w:x="2526" w:y="1261"/>
      </w:pPr>
      <w:r>
        <w:t>305 South Street, Jamaica Plain, MA 02130</w:t>
      </w:r>
    </w:p>
    <w:p w:rsidR="00B47152" w:rsidRDefault="00AF30BE"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simplePos x="0" y="0"/>
                <wp:positionH relativeFrom="column">
                  <wp:posOffset>4111625</wp:posOffset>
                </wp:positionH>
                <wp:positionV relativeFrom="paragraph">
                  <wp:posOffset>130175</wp:posOffset>
                </wp:positionV>
                <wp:extent cx="1814195" cy="11334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Commissioner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www.mass.gov/dph</w:t>
                            </w:r>
                          </w:p>
                          <w:p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" stroked="f">
                <v:textbox style="mso-fit-shape-to-text:t">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Commissioner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www.mass.gov/dph</w:t>
                      </w:r>
                    </w:p>
                    <w:p w:rsidR="00B47152" w:rsidRPr="00FC6B42" w:rsidRDefault="00B47152" w:rsidP="00D44DFC">
                      <w:pPr>
                        <w:jc w:val="center"/>
                        <w:rPr>
                          <w:rFonts w:ascii="Arial Rounded MT Bold" w:hAnsi="Arial Rounded MT Bold"/>
                          <w:sz w:val="14"/>
                          <w:szCs w:val="14"/>
                        </w:rPr>
                      </w:pPr>
                    </w:p>
                  </w:txbxContent>
                </v:textbox>
              </v:shape>
            </w:pict>
          </mc:Fallback>
        </mc:AlternateContent>
      </w:r>
    </w:p>
    <w:p w:rsidR="00B47152" w:rsidRDefault="00AF30BE"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B47152" w:rsidRDefault="00AF30BE" w:rsidP="0072610D">
      <w:r>
        <w:rPr>
          <w:noProof/>
        </w:rPr>
        <mc:AlternateContent>
          <mc:Choice Requires="wps">
            <w:drawing>
              <wp:anchor distT="0" distB="0" distL="114300" distR="114300" simplePos="0" relativeHeight="251657216" behindDoc="0" locked="0" layoutInCell="1" allowOverlap="1">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" stroked="f">
                <v:textbox style="mso-fit-shape-to-text:t">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rsidR="00B47152" w:rsidRPr="00EE433A"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A4B73" w:rsidRPr="00BA4B73" w:rsidRDefault="00BA4B73" w:rsidP="00BA4B73">
      <w:pPr>
        <w:jc w:val="center"/>
        <w:rPr>
          <w:b/>
          <w:szCs w:val="24"/>
        </w:rPr>
      </w:pPr>
      <w:r w:rsidRPr="00BA4B73">
        <w:rPr>
          <w:b/>
          <w:szCs w:val="24"/>
        </w:rPr>
        <w:t>Clinical Advisory</w:t>
      </w:r>
    </w:p>
    <w:p w:rsidR="00BA4B73" w:rsidRPr="00BA4B73" w:rsidRDefault="00BA4B73" w:rsidP="00BA4B73">
      <w:pPr>
        <w:tabs>
          <w:tab w:val="center" w:pos="4824"/>
          <w:tab w:val="left" w:pos="7875"/>
        </w:tabs>
        <w:jc w:val="center"/>
        <w:rPr>
          <w:b/>
          <w:szCs w:val="24"/>
        </w:rPr>
      </w:pPr>
      <w:r w:rsidRPr="00BA4B73">
        <w:rPr>
          <w:b/>
          <w:szCs w:val="24"/>
        </w:rPr>
        <w:t>Pre-Exposure Prophylaxis (PrEP) for HIV Infection</w:t>
      </w:r>
    </w:p>
    <w:p w:rsidR="00BA4B73" w:rsidRPr="00BA4B73" w:rsidRDefault="00BA4B73" w:rsidP="00BA4B73">
      <w:pPr>
        <w:jc w:val="center"/>
        <w:rPr>
          <w:sz w:val="22"/>
          <w:szCs w:val="22"/>
          <w:lang w:val="es-ES_tradnl"/>
        </w:rPr>
      </w:pPr>
      <w:r w:rsidRPr="00BA4B73">
        <w:rPr>
          <w:sz w:val="22"/>
          <w:szCs w:val="22"/>
          <w:lang w:val="es-ES_tradnl"/>
        </w:rPr>
        <w:t>Using Truvada</w:t>
      </w:r>
      <w:r w:rsidRPr="00BA4B73">
        <w:rPr>
          <w:sz w:val="22"/>
          <w:szCs w:val="22"/>
          <w:vertAlign w:val="superscript"/>
          <w:lang w:val="es-ES_tradnl"/>
        </w:rPr>
        <w:t>®</w:t>
      </w:r>
      <w:r w:rsidRPr="00BA4B73">
        <w:rPr>
          <w:sz w:val="22"/>
          <w:szCs w:val="22"/>
          <w:lang w:val="es-ES_tradnl"/>
        </w:rPr>
        <w:t xml:space="preserve"> (emtricitabine/tenofovir disoproxil fumarate)</w:t>
      </w:r>
    </w:p>
    <w:p w:rsidR="00BA4B73" w:rsidRPr="00BA4B73" w:rsidRDefault="00BA4B73" w:rsidP="00BA4B73">
      <w:pPr>
        <w:jc w:val="center"/>
        <w:rPr>
          <w:b/>
          <w:sz w:val="22"/>
          <w:szCs w:val="22"/>
        </w:rPr>
      </w:pPr>
      <w:r w:rsidRPr="00BA4B73">
        <w:rPr>
          <w:b/>
          <w:sz w:val="22"/>
          <w:szCs w:val="22"/>
        </w:rPr>
        <w:t xml:space="preserve">Updated: </w:t>
      </w:r>
      <w:r w:rsidR="00DF5F7D">
        <w:rPr>
          <w:b/>
          <w:sz w:val="22"/>
          <w:szCs w:val="22"/>
        </w:rPr>
        <w:t>September</w:t>
      </w:r>
      <w:r w:rsidR="00DF5F7D" w:rsidRPr="00BA4B73">
        <w:rPr>
          <w:b/>
          <w:sz w:val="22"/>
          <w:szCs w:val="22"/>
        </w:rPr>
        <w:t xml:space="preserve"> </w:t>
      </w:r>
      <w:r w:rsidRPr="00BA4B73">
        <w:rPr>
          <w:b/>
          <w:sz w:val="22"/>
          <w:szCs w:val="22"/>
        </w:rPr>
        <w:t>2016</w:t>
      </w:r>
    </w:p>
    <w:p w:rsidR="00BA4B73" w:rsidRPr="00BA4B73" w:rsidRDefault="00BA4B73" w:rsidP="00BA4B73">
      <w:pPr>
        <w:rPr>
          <w:b/>
          <w:sz w:val="22"/>
          <w:szCs w:val="22"/>
        </w:rPr>
      </w:pPr>
    </w:p>
    <w:p w:rsidR="00BA4B73" w:rsidRPr="00BA4B73" w:rsidRDefault="00BA4B73" w:rsidP="00BA4B73">
      <w:pPr>
        <w:spacing w:after="120"/>
        <w:rPr>
          <w:sz w:val="22"/>
          <w:szCs w:val="22"/>
        </w:rPr>
      </w:pPr>
      <w:r w:rsidRPr="00BA4B73">
        <w:rPr>
          <w:sz w:val="22"/>
          <w:szCs w:val="22"/>
        </w:rPr>
        <w:t xml:space="preserve">The U.S. Centers for Disease Control and Prevention (CDC) recommends that pre-exposure prophylaxis (PrEP) be considered as one of several prevention options for persons at high risk for HIV acquisition, including men who have sex with men (MSM), transgender women who have sex with men, persons in a sexual relationship with one or more HIV+ partners, and persons who inject drugs (PWID). The CDC provides guidelines at </w:t>
      </w:r>
      <w:hyperlink r:id="rId9" w:history="1">
        <w:r w:rsidRPr="00BA4B73">
          <w:rPr>
            <w:color w:val="0000FF"/>
            <w:sz w:val="22"/>
            <w:szCs w:val="22"/>
            <w:u w:val="single"/>
          </w:rPr>
          <w:t>http://www.cdc.gov/hiv/pdf/PrEPguidelines2014.pdf</w:t>
        </w:r>
      </w:hyperlink>
      <w:r w:rsidRPr="00BA4B73">
        <w:rPr>
          <w:sz w:val="22"/>
          <w:szCs w:val="22"/>
        </w:rPr>
        <w:t xml:space="preserve">. Consistent with the CDC’s recommendation, the </w:t>
      </w:r>
      <w:r w:rsidR="002E36DA">
        <w:rPr>
          <w:sz w:val="22"/>
          <w:szCs w:val="22"/>
        </w:rPr>
        <w:t>Massachusetts Department of Public Health (</w:t>
      </w:r>
      <w:r w:rsidRPr="00BA4B73">
        <w:rPr>
          <w:sz w:val="22"/>
          <w:szCs w:val="22"/>
        </w:rPr>
        <w:t>MDPH</w:t>
      </w:r>
      <w:r w:rsidR="002E36DA">
        <w:rPr>
          <w:sz w:val="22"/>
          <w:szCs w:val="22"/>
        </w:rPr>
        <w:t>)</w:t>
      </w:r>
      <w:r w:rsidRPr="00BA4B73">
        <w:rPr>
          <w:sz w:val="22"/>
          <w:szCs w:val="22"/>
        </w:rPr>
        <w:t xml:space="preserve"> supports the use of Truvada</w:t>
      </w:r>
      <w:r w:rsidRPr="00BA4B73">
        <w:rPr>
          <w:sz w:val="22"/>
          <w:szCs w:val="22"/>
          <w:vertAlign w:val="superscript"/>
        </w:rPr>
        <w:t>®</w:t>
      </w:r>
      <w:r w:rsidRPr="00BA4B73">
        <w:rPr>
          <w:sz w:val="22"/>
          <w:szCs w:val="22"/>
        </w:rPr>
        <w:t xml:space="preserve"> for PrEP for HIV-uninfected persons who inject drugs (PWID) and other persons at higher risk of acquiring HIV infection through sex. </w:t>
      </w:r>
    </w:p>
    <w:p w:rsidR="00BA4B73" w:rsidRPr="00BA4B73" w:rsidRDefault="00BA4B73" w:rsidP="00BA4B73">
      <w:pPr>
        <w:spacing w:after="120"/>
        <w:rPr>
          <w:b/>
          <w:sz w:val="22"/>
          <w:szCs w:val="22"/>
        </w:rPr>
      </w:pPr>
    </w:p>
    <w:p w:rsidR="00BA4B73" w:rsidRPr="00BA4B73" w:rsidRDefault="00BA4B73" w:rsidP="00BA4B73">
      <w:pPr>
        <w:spacing w:after="120"/>
        <w:rPr>
          <w:b/>
          <w:sz w:val="22"/>
          <w:szCs w:val="22"/>
        </w:rPr>
      </w:pPr>
      <w:r w:rsidRPr="00BA4B73">
        <w:rPr>
          <w:b/>
          <w:sz w:val="22"/>
          <w:szCs w:val="22"/>
        </w:rPr>
        <w:t>Background</w:t>
      </w:r>
    </w:p>
    <w:p w:rsidR="00BA4B73" w:rsidRPr="00BA4B73" w:rsidRDefault="00BA4B73" w:rsidP="00BA4B73">
      <w:pPr>
        <w:spacing w:after="120"/>
        <w:rPr>
          <w:sz w:val="22"/>
          <w:szCs w:val="22"/>
        </w:rPr>
      </w:pPr>
      <w:r w:rsidRPr="00BA4B73">
        <w:rPr>
          <w:sz w:val="22"/>
          <w:szCs w:val="22"/>
        </w:rPr>
        <w:t>On July 16, 2012, the Food and Drug Administration (FDA) approved the use of Truvada</w:t>
      </w:r>
      <w:r w:rsidRPr="00BA4B73">
        <w:rPr>
          <w:sz w:val="22"/>
          <w:szCs w:val="22"/>
          <w:vertAlign w:val="superscript"/>
        </w:rPr>
        <w:t>®</w:t>
      </w:r>
      <w:r w:rsidRPr="00BA4B73">
        <w:rPr>
          <w:sz w:val="22"/>
          <w:szCs w:val="22"/>
          <w:vertAlign w:val="superscript"/>
        </w:rPr>
        <w:endnoteReference w:id="1"/>
      </w:r>
      <w:r w:rsidRPr="00BA4B73">
        <w:rPr>
          <w:sz w:val="22"/>
          <w:szCs w:val="22"/>
        </w:rPr>
        <w:t xml:space="preserve"> for pre-exposure prophylaxis (PrEP) for HIV-uninfected individuals at high risk of sexually acquired HIV infection. CDC also recommends PrEP for HIV-uninfected adults with a history of sharing injection or drug preparation equipment in the last 6 months.</w:t>
      </w:r>
      <w:r w:rsidRPr="00BA4B73">
        <w:rPr>
          <w:sz w:val="22"/>
          <w:szCs w:val="22"/>
          <w:vertAlign w:val="superscript"/>
        </w:rPr>
        <w:endnoteReference w:id="2"/>
      </w:r>
      <w:r w:rsidRPr="00BA4B73">
        <w:rPr>
          <w:sz w:val="22"/>
          <w:szCs w:val="22"/>
        </w:rPr>
        <w:t xml:space="preserve">  </w:t>
      </w:r>
      <w:r w:rsidRPr="00BA4B73">
        <w:rPr>
          <w:color w:val="000000"/>
          <w:sz w:val="22"/>
          <w:szCs w:val="22"/>
        </w:rPr>
        <w:t>Truvada</w:t>
      </w:r>
      <w:r w:rsidRPr="00BA4B73">
        <w:rPr>
          <w:sz w:val="22"/>
          <w:szCs w:val="22"/>
          <w:vertAlign w:val="superscript"/>
        </w:rPr>
        <w:t>®</w:t>
      </w:r>
      <w:r w:rsidRPr="00BA4B73">
        <w:rPr>
          <w:sz w:val="22"/>
          <w:szCs w:val="22"/>
        </w:rPr>
        <w:t xml:space="preserve"> [emtricitabine (FTC) and tenofovir disoproxil fumarate (TDF)] is an oral, antiretroviral combination medication that has been approved for the treatment of HIV infection since 2004.  </w:t>
      </w:r>
      <w:r w:rsidRPr="00BA4B73">
        <w:rPr>
          <w:color w:val="000000"/>
          <w:sz w:val="22"/>
          <w:szCs w:val="22"/>
        </w:rPr>
        <w:t>Truvada</w:t>
      </w:r>
      <w:r w:rsidRPr="00BA4B73">
        <w:rPr>
          <w:sz w:val="22"/>
          <w:szCs w:val="22"/>
          <w:vertAlign w:val="superscript"/>
        </w:rPr>
        <w:t>®</w:t>
      </w:r>
      <w:r w:rsidRPr="00BA4B73">
        <w:rPr>
          <w:sz w:val="22"/>
          <w:szCs w:val="22"/>
        </w:rPr>
        <w:t xml:space="preserve"> PrEP offers an evidence-based approach to preventing the acquisition of HIV infection in certain circumstances, and should be considered when those circumstances are present.  This clinical advisory provides background on PrEP, evidence of the efficacy of </w:t>
      </w:r>
      <w:r w:rsidRPr="00BA4B73">
        <w:rPr>
          <w:color w:val="000000"/>
          <w:sz w:val="22"/>
          <w:szCs w:val="22"/>
        </w:rPr>
        <w:t>Truvada</w:t>
      </w:r>
      <w:r w:rsidRPr="00BA4B73">
        <w:rPr>
          <w:sz w:val="22"/>
          <w:szCs w:val="22"/>
          <w:vertAlign w:val="superscript"/>
        </w:rPr>
        <w:t>®</w:t>
      </w:r>
      <w:r w:rsidRPr="00BA4B73">
        <w:rPr>
          <w:sz w:val="22"/>
          <w:szCs w:val="22"/>
        </w:rPr>
        <w:t xml:space="preserve"> as PrEP, guidelines for appropriate use, and sources of further information.</w:t>
      </w:r>
    </w:p>
    <w:p w:rsidR="00BA4B73" w:rsidRPr="00BA4B73" w:rsidRDefault="00BA4B73" w:rsidP="00BA4B73">
      <w:pPr>
        <w:spacing w:after="120"/>
        <w:rPr>
          <w:b/>
          <w:sz w:val="22"/>
          <w:szCs w:val="22"/>
        </w:rPr>
      </w:pPr>
    </w:p>
    <w:p w:rsidR="00BA4B73" w:rsidRPr="00BA4B73" w:rsidRDefault="00BA4B73" w:rsidP="00BA4B73">
      <w:pPr>
        <w:spacing w:after="120"/>
        <w:rPr>
          <w:b/>
          <w:sz w:val="22"/>
          <w:szCs w:val="22"/>
        </w:rPr>
      </w:pPr>
      <w:r w:rsidRPr="00BA4B73">
        <w:rPr>
          <w:b/>
          <w:sz w:val="22"/>
          <w:szCs w:val="22"/>
        </w:rPr>
        <w:t>Clinical Trials</w:t>
      </w:r>
      <w:r w:rsidRPr="00BA4B73">
        <w:rPr>
          <w:sz w:val="22"/>
          <w:szCs w:val="22"/>
          <w:vertAlign w:val="superscript"/>
        </w:rPr>
        <w:endnoteReference w:id="3"/>
      </w:r>
      <w:r w:rsidRPr="00BA4B73">
        <w:rPr>
          <w:b/>
          <w:sz w:val="22"/>
          <w:szCs w:val="22"/>
        </w:rPr>
        <w:t xml:space="preserve"> </w:t>
      </w:r>
    </w:p>
    <w:p w:rsidR="00BA4B73" w:rsidRPr="00BA4B73" w:rsidRDefault="00BA4B73" w:rsidP="00BA4B73">
      <w:pPr>
        <w:spacing w:after="120"/>
        <w:rPr>
          <w:sz w:val="22"/>
          <w:szCs w:val="22"/>
        </w:rPr>
      </w:pPr>
      <w:r w:rsidRPr="00BA4B73">
        <w:rPr>
          <w:sz w:val="22"/>
          <w:szCs w:val="22"/>
        </w:rPr>
        <w:t xml:space="preserve">Clinical trials in several populations have demonstrated efficacy of </w:t>
      </w:r>
      <w:r w:rsidRPr="00BA4B73">
        <w:rPr>
          <w:color w:val="000000"/>
          <w:sz w:val="22"/>
          <w:szCs w:val="22"/>
        </w:rPr>
        <w:t>Truvada</w:t>
      </w:r>
      <w:r w:rsidRPr="00BA4B73">
        <w:rPr>
          <w:sz w:val="22"/>
          <w:szCs w:val="22"/>
          <w:vertAlign w:val="superscript"/>
        </w:rPr>
        <w:t>®</w:t>
      </w:r>
      <w:r w:rsidRPr="00BA4B73">
        <w:rPr>
          <w:sz w:val="22"/>
          <w:szCs w:val="22"/>
        </w:rPr>
        <w:t xml:space="preserve"> as </w:t>
      </w:r>
      <w:r w:rsidR="00DF5F7D">
        <w:rPr>
          <w:sz w:val="22"/>
          <w:szCs w:val="22"/>
        </w:rPr>
        <w:t>PrEP</w:t>
      </w:r>
      <w:r w:rsidRPr="00BA4B73">
        <w:rPr>
          <w:sz w:val="22"/>
          <w:szCs w:val="22"/>
        </w:rPr>
        <w:t xml:space="preserve"> to prevent HIV acquisition in HIV-uninfected individuals when combined with counseling about safer sex and other risk reduction methods. Clinical trials included: </w:t>
      </w:r>
    </w:p>
    <w:p w:rsidR="00BA4B73" w:rsidRPr="00BA4B73" w:rsidRDefault="00BA4B73" w:rsidP="00BA4B73">
      <w:pPr>
        <w:spacing w:after="120"/>
        <w:rPr>
          <w:sz w:val="22"/>
          <w:szCs w:val="22"/>
        </w:rPr>
      </w:pPr>
      <w:r w:rsidRPr="00BA4B73">
        <w:rPr>
          <w:sz w:val="22"/>
          <w:szCs w:val="22"/>
          <w:u w:val="single"/>
        </w:rPr>
        <w:t>iPrEx</w:t>
      </w:r>
      <w:r w:rsidRPr="00BA4B73">
        <w:rPr>
          <w:sz w:val="18"/>
          <w:szCs w:val="18"/>
          <w:vertAlign w:val="superscript"/>
        </w:rPr>
        <w:endnoteReference w:id="4"/>
      </w:r>
      <w:r w:rsidRPr="00BA4B73">
        <w:rPr>
          <w:sz w:val="22"/>
          <w:szCs w:val="22"/>
        </w:rPr>
        <w:t xml:space="preserve"> - a randomized double-blind placebo-controlled multinational study evaluating</w:t>
      </w:r>
      <w:r w:rsidRPr="00BA4B73">
        <w:rPr>
          <w:color w:val="000000"/>
          <w:sz w:val="22"/>
          <w:szCs w:val="22"/>
        </w:rPr>
        <w:t xml:space="preserve"> Truvada</w:t>
      </w:r>
      <w:r w:rsidRPr="00BA4B73">
        <w:rPr>
          <w:sz w:val="22"/>
          <w:szCs w:val="22"/>
          <w:vertAlign w:val="superscript"/>
        </w:rPr>
        <w:t>®</w:t>
      </w:r>
      <w:r w:rsidRPr="00BA4B73">
        <w:rPr>
          <w:sz w:val="22"/>
          <w:szCs w:val="22"/>
        </w:rPr>
        <w:t xml:space="preserve">.  All subjects received monthly HIV testing, risk-reduction counseling, condoms, and management of sexually transmitted infections (STI).  The </w:t>
      </w:r>
      <w:r w:rsidRPr="00BA4B73">
        <w:rPr>
          <w:color w:val="000000"/>
          <w:sz w:val="22"/>
          <w:szCs w:val="22"/>
        </w:rPr>
        <w:t>Truvada</w:t>
      </w:r>
      <w:r w:rsidRPr="00BA4B73">
        <w:rPr>
          <w:sz w:val="22"/>
          <w:szCs w:val="22"/>
          <w:vertAlign w:val="superscript"/>
        </w:rPr>
        <w:t>®</w:t>
      </w:r>
      <w:r w:rsidRPr="00BA4B73">
        <w:rPr>
          <w:sz w:val="22"/>
          <w:szCs w:val="22"/>
        </w:rPr>
        <w:t xml:space="preserve"> group achieved a 44% (95% CI: 15% to 63%) reduction of HIV infection as compared to the placebo group.</w:t>
      </w:r>
    </w:p>
    <w:p w:rsidR="00BA4B73" w:rsidRPr="00BA4B73" w:rsidRDefault="00BA4B73" w:rsidP="00BA4B73">
      <w:pPr>
        <w:spacing w:after="120"/>
        <w:rPr>
          <w:sz w:val="18"/>
          <w:szCs w:val="18"/>
        </w:rPr>
      </w:pPr>
      <w:r w:rsidRPr="00BA4B73">
        <w:rPr>
          <w:sz w:val="22"/>
          <w:szCs w:val="22"/>
          <w:u w:val="single"/>
        </w:rPr>
        <w:t>Partners PrEP</w:t>
      </w:r>
      <w:r w:rsidRPr="00BA4B73">
        <w:rPr>
          <w:sz w:val="18"/>
          <w:szCs w:val="18"/>
          <w:vertAlign w:val="superscript"/>
        </w:rPr>
        <w:endnoteReference w:id="5"/>
      </w:r>
      <w:r w:rsidRPr="00BA4B73">
        <w:rPr>
          <w:sz w:val="22"/>
          <w:szCs w:val="22"/>
        </w:rPr>
        <w:t xml:space="preserve"> - a randomized, double-blind, placebo-controlled three-arm trial conducted in Kenya and Uganda to evaluate the efficacy and safety of TDF alone and </w:t>
      </w:r>
      <w:r w:rsidRPr="00BA4B73">
        <w:rPr>
          <w:color w:val="000000"/>
          <w:sz w:val="22"/>
          <w:szCs w:val="22"/>
        </w:rPr>
        <w:t>Truvada</w:t>
      </w:r>
      <w:r w:rsidRPr="00BA4B73">
        <w:rPr>
          <w:sz w:val="22"/>
          <w:szCs w:val="22"/>
          <w:vertAlign w:val="superscript"/>
        </w:rPr>
        <w:t>®</w:t>
      </w:r>
      <w:r w:rsidRPr="00BA4B73">
        <w:rPr>
          <w:sz w:val="22"/>
          <w:szCs w:val="22"/>
        </w:rPr>
        <w:t xml:space="preserve"> versus placebo in preventing HIV </w:t>
      </w:r>
      <w:r w:rsidRPr="00BA4B73">
        <w:rPr>
          <w:sz w:val="22"/>
          <w:szCs w:val="22"/>
        </w:rPr>
        <w:lastRenderedPageBreak/>
        <w:t xml:space="preserve">acquisition by the uninfected partner. The risk reduction for </w:t>
      </w:r>
      <w:r w:rsidRPr="00BA4B73">
        <w:rPr>
          <w:color w:val="000000"/>
          <w:sz w:val="22"/>
          <w:szCs w:val="22"/>
        </w:rPr>
        <w:t>Truvada</w:t>
      </w:r>
      <w:r w:rsidRPr="00BA4B73">
        <w:rPr>
          <w:sz w:val="22"/>
          <w:szCs w:val="22"/>
          <w:vertAlign w:val="superscript"/>
        </w:rPr>
        <w:t>®</w:t>
      </w:r>
      <w:r w:rsidRPr="00BA4B73">
        <w:rPr>
          <w:sz w:val="22"/>
          <w:szCs w:val="22"/>
        </w:rPr>
        <w:t xml:space="preserve"> relative to placebo was 75% (95% CI: 55% to 87%).</w:t>
      </w:r>
    </w:p>
    <w:p w:rsidR="00BA4B73" w:rsidRPr="00BA4B73" w:rsidRDefault="00BA4B73" w:rsidP="00BA4B73">
      <w:pPr>
        <w:spacing w:after="120"/>
        <w:rPr>
          <w:sz w:val="22"/>
          <w:szCs w:val="22"/>
        </w:rPr>
      </w:pPr>
      <w:r w:rsidRPr="00BA4B73">
        <w:rPr>
          <w:sz w:val="22"/>
          <w:szCs w:val="22"/>
          <w:u w:val="single"/>
        </w:rPr>
        <w:t>TDF2</w:t>
      </w:r>
      <w:r w:rsidRPr="00BA4B73">
        <w:rPr>
          <w:sz w:val="18"/>
          <w:szCs w:val="18"/>
          <w:vertAlign w:val="superscript"/>
        </w:rPr>
        <w:endnoteReference w:id="6"/>
      </w:r>
      <w:r w:rsidRPr="00BA4B73">
        <w:rPr>
          <w:sz w:val="22"/>
          <w:szCs w:val="22"/>
        </w:rPr>
        <w:t xml:space="preserve"> - a randomized, double-blind, placebo-controlled trial </w:t>
      </w:r>
      <w:r w:rsidR="002E36DA">
        <w:rPr>
          <w:sz w:val="22"/>
          <w:szCs w:val="22"/>
        </w:rPr>
        <w:t>of Truvada</w:t>
      </w:r>
      <w:r w:rsidR="002E36DA" w:rsidRPr="00AD58F0">
        <w:rPr>
          <w:sz w:val="22"/>
          <w:szCs w:val="22"/>
          <w:vertAlign w:val="superscript"/>
        </w:rPr>
        <w:t>®</w:t>
      </w:r>
      <w:r w:rsidR="002E36DA">
        <w:rPr>
          <w:sz w:val="22"/>
          <w:szCs w:val="22"/>
        </w:rPr>
        <w:t xml:space="preserve"> </w:t>
      </w:r>
      <w:r w:rsidRPr="00BA4B73">
        <w:rPr>
          <w:sz w:val="22"/>
          <w:szCs w:val="22"/>
        </w:rPr>
        <w:t>conducted in Botswana with low retention.  All subjects received counseling for risk reduction, screening and treatment for STI, and monitoring for adverse events.  Overall efficacy was 62% (95% CI: 22% to 83%); however, efficacy was not statistically significantly better than placebo in women.</w:t>
      </w:r>
    </w:p>
    <w:p w:rsidR="00BA4B73" w:rsidRPr="00BA4B73" w:rsidRDefault="00BA4B73" w:rsidP="00BA4B73">
      <w:pPr>
        <w:spacing w:after="120"/>
        <w:rPr>
          <w:sz w:val="22"/>
          <w:szCs w:val="22"/>
        </w:rPr>
      </w:pPr>
      <w:r w:rsidRPr="00BA4B73">
        <w:rPr>
          <w:sz w:val="22"/>
          <w:szCs w:val="22"/>
          <w:u w:val="single"/>
        </w:rPr>
        <w:t>Fem-PrEP</w:t>
      </w:r>
      <w:r w:rsidRPr="00BA4B73">
        <w:rPr>
          <w:sz w:val="18"/>
          <w:szCs w:val="18"/>
          <w:vertAlign w:val="superscript"/>
        </w:rPr>
        <w:endnoteReference w:id="7"/>
      </w:r>
      <w:r w:rsidRPr="00BA4B73">
        <w:rPr>
          <w:sz w:val="22"/>
          <w:szCs w:val="22"/>
        </w:rPr>
        <w:t xml:space="preserve"> - a randomized, double-blind, placebo-controlled trial of </w:t>
      </w:r>
      <w:r w:rsidRPr="00BA4B73">
        <w:rPr>
          <w:color w:val="000000"/>
          <w:sz w:val="22"/>
          <w:szCs w:val="22"/>
        </w:rPr>
        <w:t>Truvada</w:t>
      </w:r>
      <w:r w:rsidRPr="00BA4B73">
        <w:rPr>
          <w:sz w:val="22"/>
          <w:szCs w:val="22"/>
          <w:vertAlign w:val="superscript"/>
        </w:rPr>
        <w:t>®</w:t>
      </w:r>
      <w:r w:rsidRPr="00BA4B73">
        <w:rPr>
          <w:sz w:val="22"/>
          <w:szCs w:val="22"/>
        </w:rPr>
        <w:t xml:space="preserve"> combined with counseling in women in Kenya, South Africa, and Tanzania, which  </w:t>
      </w:r>
      <w:r w:rsidRPr="00BA4B73">
        <w:rPr>
          <w:b/>
          <w:i/>
          <w:sz w:val="22"/>
          <w:szCs w:val="22"/>
        </w:rPr>
        <w:t>failed</w:t>
      </w:r>
      <w:r w:rsidRPr="00BA4B73">
        <w:rPr>
          <w:sz w:val="22"/>
          <w:szCs w:val="22"/>
        </w:rPr>
        <w:t xml:space="preserve"> to reduce the rate of HIV infection. Inadequate adherence seems to have undermined the trial’s ability to assess efficacy.</w:t>
      </w:r>
    </w:p>
    <w:p w:rsidR="00BA4B73" w:rsidRPr="00BA4B73" w:rsidRDefault="00BA4B73" w:rsidP="00BA4B73">
      <w:pPr>
        <w:spacing w:after="120"/>
        <w:rPr>
          <w:sz w:val="22"/>
          <w:szCs w:val="22"/>
        </w:rPr>
      </w:pPr>
      <w:r w:rsidRPr="00BA4B73">
        <w:rPr>
          <w:sz w:val="22"/>
          <w:szCs w:val="22"/>
          <w:u w:val="single"/>
        </w:rPr>
        <w:t xml:space="preserve">Bangkok </w:t>
      </w:r>
      <w:r w:rsidR="000674AF" w:rsidRPr="00BA4B73">
        <w:rPr>
          <w:sz w:val="22"/>
          <w:szCs w:val="22"/>
          <w:u w:val="single"/>
        </w:rPr>
        <w:t>Tenof</w:t>
      </w:r>
      <w:r w:rsidR="000674AF">
        <w:rPr>
          <w:sz w:val="22"/>
          <w:szCs w:val="22"/>
          <w:u w:val="single"/>
        </w:rPr>
        <w:t>o</w:t>
      </w:r>
      <w:r w:rsidR="000674AF" w:rsidRPr="00BA4B73">
        <w:rPr>
          <w:sz w:val="22"/>
          <w:szCs w:val="22"/>
          <w:u w:val="single"/>
        </w:rPr>
        <w:t>vir</w:t>
      </w:r>
      <w:r w:rsidRPr="00BA4B73">
        <w:rPr>
          <w:sz w:val="22"/>
          <w:szCs w:val="22"/>
          <w:u w:val="single"/>
        </w:rPr>
        <w:t xml:space="preserve"> Study</w:t>
      </w:r>
      <w:r w:rsidRPr="00BA4B73">
        <w:rPr>
          <w:sz w:val="22"/>
          <w:szCs w:val="22"/>
          <w:vertAlign w:val="superscript"/>
        </w:rPr>
        <w:endnoteReference w:id="8"/>
      </w:r>
      <w:r w:rsidRPr="00BA4B73">
        <w:rPr>
          <w:b/>
          <w:sz w:val="22"/>
          <w:szCs w:val="22"/>
        </w:rPr>
        <w:t xml:space="preserve"> </w:t>
      </w:r>
      <w:r w:rsidRPr="00BA4B73">
        <w:rPr>
          <w:sz w:val="22"/>
          <w:szCs w:val="22"/>
        </w:rPr>
        <w:t>– a randomized, double-blind, placebo-controlled trial conducted to determine the safety and efficacy of tenofovir disoproxil fumarate (TDF) in preventing HIV acquisition among IDUs in Bangkok, Thailand.  All subjects received HIV testing, risk reduction counseling, hepatitis B vaccine, monitoring for adverse events</w:t>
      </w:r>
      <w:r w:rsidR="00DF5F7D">
        <w:rPr>
          <w:sz w:val="22"/>
          <w:szCs w:val="22"/>
        </w:rPr>
        <w:t>;</w:t>
      </w:r>
      <w:r w:rsidR="00DF5F7D" w:rsidRPr="00BA4B73">
        <w:rPr>
          <w:sz w:val="22"/>
          <w:szCs w:val="22"/>
        </w:rPr>
        <w:t xml:space="preserve"> </w:t>
      </w:r>
      <w:r w:rsidRPr="00BA4B73">
        <w:rPr>
          <w:sz w:val="22"/>
          <w:szCs w:val="22"/>
        </w:rPr>
        <w:t>and were offered methadone treatment, condoms, and bleach to clean injection equipment.  Female participants were provided with contraceptives. Directly observed therapy (DOT) was available to participants. TDF decreased the risk of HIV infection by 49% (95% CI: 10% -72%).</w:t>
      </w:r>
    </w:p>
    <w:tbl>
      <w:tblPr>
        <w:tblW w:w="990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40"/>
        <w:gridCol w:w="1440"/>
        <w:gridCol w:w="1380"/>
        <w:gridCol w:w="1380"/>
        <w:gridCol w:w="1380"/>
        <w:gridCol w:w="1807"/>
      </w:tblGrid>
      <w:tr w:rsidR="00BA4B73" w:rsidRPr="00BA4B73" w:rsidTr="00DC1758">
        <w:trPr>
          <w:trHeight w:val="456"/>
        </w:trPr>
        <w:tc>
          <w:tcPr>
            <w:tcW w:w="9907" w:type="dxa"/>
            <w:gridSpan w:val="7"/>
            <w:shd w:val="clear" w:color="auto" w:fill="CCCCCC"/>
            <w:tcMar>
              <w:top w:w="101" w:type="dxa"/>
              <w:left w:w="101" w:type="dxa"/>
              <w:bottom w:w="101" w:type="dxa"/>
              <w:right w:w="101" w:type="dxa"/>
            </w:tcMar>
            <w:vAlign w:val="center"/>
          </w:tcPr>
          <w:p w:rsidR="00921BA7" w:rsidRDefault="00BA4B73" w:rsidP="00BA4B73">
            <w:pPr>
              <w:jc w:val="center"/>
              <w:rPr>
                <w:b/>
                <w:bCs/>
                <w:color w:val="000000"/>
                <w:sz w:val="22"/>
                <w:szCs w:val="22"/>
              </w:rPr>
            </w:pPr>
            <w:r w:rsidRPr="00BA4B73">
              <w:rPr>
                <w:b/>
                <w:bCs/>
                <w:color w:val="000000"/>
                <w:sz w:val="22"/>
                <w:szCs w:val="22"/>
              </w:rPr>
              <w:t>Clinical Trials</w:t>
            </w:r>
            <w:r w:rsidR="00921BA7">
              <w:rPr>
                <w:b/>
                <w:bCs/>
                <w:color w:val="000000"/>
                <w:sz w:val="22"/>
                <w:szCs w:val="22"/>
              </w:rPr>
              <w:t xml:space="preserve"> and Other Studies</w:t>
            </w:r>
            <w:r w:rsidRPr="00BA4B73">
              <w:rPr>
                <w:b/>
                <w:bCs/>
                <w:color w:val="000000"/>
                <w:sz w:val="22"/>
                <w:szCs w:val="22"/>
              </w:rPr>
              <w:t xml:space="preserve">:  </w:t>
            </w:r>
          </w:p>
          <w:p w:rsidR="00BA4B73" w:rsidRPr="00BA4B73" w:rsidRDefault="00BA4B73" w:rsidP="00BA4B73">
            <w:pPr>
              <w:jc w:val="center"/>
              <w:rPr>
                <w:b/>
                <w:bCs/>
                <w:color w:val="000000"/>
                <w:sz w:val="22"/>
                <w:szCs w:val="22"/>
              </w:rPr>
            </w:pPr>
            <w:r w:rsidRPr="00BA4B73">
              <w:rPr>
                <w:b/>
                <w:color w:val="000000"/>
                <w:sz w:val="22"/>
                <w:szCs w:val="22"/>
              </w:rPr>
              <w:t>Truvada</w:t>
            </w:r>
            <w:r w:rsidRPr="00BA4B73">
              <w:rPr>
                <w:b/>
                <w:sz w:val="22"/>
                <w:szCs w:val="22"/>
                <w:vertAlign w:val="superscript"/>
              </w:rPr>
              <w:t>®</w:t>
            </w:r>
            <w:r w:rsidRPr="00BA4B73">
              <w:rPr>
                <w:b/>
                <w:sz w:val="22"/>
                <w:szCs w:val="22"/>
              </w:rPr>
              <w:t xml:space="preserve"> as pre-exposure prophylaxis to prevent HIV acquisition</w:t>
            </w:r>
          </w:p>
        </w:tc>
      </w:tr>
      <w:tr w:rsidR="00BA4B73" w:rsidRPr="00BA4B73" w:rsidTr="00DC1758">
        <w:tc>
          <w:tcPr>
            <w:tcW w:w="1080" w:type="dxa"/>
            <w:shd w:val="clear" w:color="auto" w:fill="auto"/>
            <w:tcMar>
              <w:top w:w="101" w:type="dxa"/>
              <w:left w:w="101" w:type="dxa"/>
              <w:bottom w:w="101" w:type="dxa"/>
              <w:right w:w="101" w:type="dxa"/>
            </w:tcMar>
            <w:vAlign w:val="center"/>
          </w:tcPr>
          <w:p w:rsidR="00BA4B73" w:rsidRPr="00BA4B73" w:rsidRDefault="00BA4B73" w:rsidP="00BA4B73">
            <w:pPr>
              <w:jc w:val="center"/>
              <w:rPr>
                <w:b/>
                <w:sz w:val="20"/>
              </w:rPr>
            </w:pPr>
            <w:r w:rsidRPr="00BA4B73">
              <w:rPr>
                <w:b/>
                <w:bCs/>
                <w:color w:val="000000"/>
                <w:sz w:val="20"/>
              </w:rPr>
              <w:t>Study</w:t>
            </w:r>
          </w:p>
        </w:tc>
        <w:tc>
          <w:tcPr>
            <w:tcW w:w="1440" w:type="dxa"/>
            <w:shd w:val="clear" w:color="auto" w:fill="auto"/>
            <w:tcMar>
              <w:top w:w="101" w:type="dxa"/>
              <w:left w:w="101" w:type="dxa"/>
              <w:bottom w:w="101" w:type="dxa"/>
              <w:right w:w="101" w:type="dxa"/>
            </w:tcMar>
            <w:vAlign w:val="center"/>
          </w:tcPr>
          <w:p w:rsidR="00BA4B73" w:rsidRPr="00BA4B73" w:rsidRDefault="00BA4B73" w:rsidP="00BA4B73">
            <w:pPr>
              <w:jc w:val="center"/>
              <w:rPr>
                <w:b/>
                <w:sz w:val="20"/>
              </w:rPr>
            </w:pPr>
            <w:r w:rsidRPr="00BA4B73">
              <w:rPr>
                <w:b/>
                <w:bCs/>
                <w:color w:val="000000"/>
                <w:sz w:val="20"/>
              </w:rPr>
              <w:t>Population</w:t>
            </w:r>
          </w:p>
        </w:tc>
        <w:tc>
          <w:tcPr>
            <w:tcW w:w="1440" w:type="dxa"/>
            <w:shd w:val="clear" w:color="auto" w:fill="auto"/>
            <w:tcMar>
              <w:top w:w="101" w:type="dxa"/>
              <w:left w:w="101" w:type="dxa"/>
              <w:bottom w:w="101" w:type="dxa"/>
              <w:right w:w="101" w:type="dxa"/>
            </w:tcMar>
            <w:vAlign w:val="center"/>
          </w:tcPr>
          <w:p w:rsidR="00BA4B73" w:rsidRPr="00BA4B73" w:rsidRDefault="00BA4B73" w:rsidP="00BA4B73">
            <w:pPr>
              <w:jc w:val="center"/>
              <w:rPr>
                <w:b/>
                <w:sz w:val="20"/>
              </w:rPr>
            </w:pPr>
            <w:r w:rsidRPr="00BA4B73">
              <w:rPr>
                <w:b/>
                <w:bCs/>
                <w:color w:val="000000"/>
                <w:sz w:val="20"/>
              </w:rPr>
              <w:t>No. and sex of participants</w:t>
            </w:r>
          </w:p>
        </w:tc>
        <w:tc>
          <w:tcPr>
            <w:tcW w:w="4140" w:type="dxa"/>
            <w:gridSpan w:val="3"/>
            <w:shd w:val="clear" w:color="auto" w:fill="auto"/>
            <w:tcMar>
              <w:top w:w="101" w:type="dxa"/>
              <w:left w:w="101" w:type="dxa"/>
              <w:bottom w:w="101" w:type="dxa"/>
              <w:right w:w="101" w:type="dxa"/>
            </w:tcMar>
            <w:vAlign w:val="center"/>
          </w:tcPr>
          <w:p w:rsidR="00BA4B73" w:rsidRPr="00BA4B73" w:rsidRDefault="00BA4B73" w:rsidP="00BA4B73">
            <w:pPr>
              <w:jc w:val="center"/>
              <w:rPr>
                <w:b/>
                <w:sz w:val="20"/>
              </w:rPr>
            </w:pPr>
            <w:r w:rsidRPr="00BA4B73">
              <w:rPr>
                <w:b/>
                <w:bCs/>
                <w:color w:val="000000"/>
                <w:sz w:val="20"/>
              </w:rPr>
              <w:t>mITT</w:t>
            </w:r>
            <w:r w:rsidRPr="00BA4B73">
              <w:rPr>
                <w:b/>
                <w:color w:val="000000"/>
                <w:sz w:val="20"/>
              </w:rPr>
              <w:t>*</w:t>
            </w:r>
            <w:r w:rsidRPr="00BA4B73">
              <w:rPr>
                <w:b/>
                <w:bCs/>
                <w:color w:val="000000"/>
                <w:sz w:val="20"/>
              </w:rPr>
              <w:t xml:space="preserve"> % reduction in HIV incidence </w:t>
            </w:r>
            <w:r w:rsidRPr="00BA4B73">
              <w:rPr>
                <w:b/>
                <w:bCs/>
                <w:color w:val="000000"/>
                <w:sz w:val="20"/>
              </w:rPr>
              <w:br w:type="textWrapping" w:clear="all"/>
              <w:t>(95% CI)</w:t>
            </w:r>
          </w:p>
        </w:tc>
        <w:tc>
          <w:tcPr>
            <w:tcW w:w="1807" w:type="dxa"/>
            <w:shd w:val="clear" w:color="auto" w:fill="auto"/>
            <w:tcMar>
              <w:top w:w="101" w:type="dxa"/>
              <w:left w:w="101" w:type="dxa"/>
              <w:bottom w:w="101" w:type="dxa"/>
              <w:right w:w="101" w:type="dxa"/>
            </w:tcMar>
            <w:vAlign w:val="center"/>
          </w:tcPr>
          <w:p w:rsidR="00BA4B73" w:rsidRPr="00BA4B73" w:rsidRDefault="00DF5F7D" w:rsidP="00BA4B73">
            <w:pPr>
              <w:jc w:val="center"/>
              <w:rPr>
                <w:b/>
                <w:sz w:val="20"/>
              </w:rPr>
            </w:pPr>
            <w:r>
              <w:rPr>
                <w:b/>
                <w:bCs/>
                <w:color w:val="000000"/>
                <w:sz w:val="20"/>
              </w:rPr>
              <w:t xml:space="preserve">% reduction in HIV incidence with </w:t>
            </w:r>
            <w:r w:rsidR="00BA4B73" w:rsidRPr="00BA4B73">
              <w:rPr>
                <w:b/>
                <w:bCs/>
                <w:color w:val="000000"/>
                <w:sz w:val="20"/>
              </w:rPr>
              <w:t>TDF blood detection</w:t>
            </w:r>
            <w:r w:rsidR="00BA4B73" w:rsidRPr="00BA4B73">
              <w:rPr>
                <w:b/>
                <w:color w:val="000000"/>
                <w:sz w:val="20"/>
              </w:rPr>
              <w:t>†</w:t>
            </w:r>
            <w:r w:rsidR="00BA4B73" w:rsidRPr="00BA4B73">
              <w:rPr>
                <w:b/>
                <w:bCs/>
                <w:color w:val="000000"/>
                <w:sz w:val="20"/>
              </w:rPr>
              <w:t xml:space="preserve"> (95% CI)</w:t>
            </w:r>
          </w:p>
        </w:tc>
      </w:tr>
      <w:tr w:rsidR="00BA4B73" w:rsidRPr="00BA4B73" w:rsidTr="00DC1758">
        <w:tc>
          <w:tcPr>
            <w:tcW w:w="1080" w:type="dxa"/>
            <w:tcBorders>
              <w:bottom w:val="single" w:sz="4" w:space="0" w:color="auto"/>
            </w:tcBorders>
            <w:shd w:val="clear" w:color="auto" w:fill="auto"/>
            <w:tcMar>
              <w:top w:w="101" w:type="dxa"/>
              <w:left w:w="101" w:type="dxa"/>
              <w:bottom w:w="101" w:type="dxa"/>
              <w:right w:w="101" w:type="dxa"/>
            </w:tcMar>
          </w:tcPr>
          <w:p w:rsidR="00BA4B73" w:rsidRPr="00BA4B73" w:rsidRDefault="00BA4B73" w:rsidP="00BA4B73">
            <w:pPr>
              <w:rPr>
                <w:b/>
                <w:sz w:val="20"/>
              </w:rPr>
            </w:pPr>
            <w:r w:rsidRPr="00BA4B73">
              <w:rPr>
                <w:color w:val="000000"/>
                <w:sz w:val="20"/>
              </w:rPr>
              <w:t>iPrEx</w:t>
            </w:r>
          </w:p>
        </w:tc>
        <w:tc>
          <w:tcPr>
            <w:tcW w:w="1440" w:type="dxa"/>
            <w:tcBorders>
              <w:bottom w:val="single" w:sz="4" w:space="0" w:color="auto"/>
            </w:tcBorders>
            <w:shd w:val="clear" w:color="auto" w:fill="auto"/>
            <w:tcMar>
              <w:top w:w="101" w:type="dxa"/>
              <w:left w:w="101" w:type="dxa"/>
              <w:bottom w:w="101" w:type="dxa"/>
              <w:right w:w="101" w:type="dxa"/>
            </w:tcMar>
          </w:tcPr>
          <w:p w:rsidR="00BA4B73" w:rsidRPr="00BA4B73" w:rsidRDefault="00BA4B73" w:rsidP="00BA4B73">
            <w:pPr>
              <w:rPr>
                <w:b/>
                <w:sz w:val="20"/>
              </w:rPr>
            </w:pPr>
            <w:r w:rsidRPr="00BA4B73">
              <w:rPr>
                <w:color w:val="000000"/>
                <w:sz w:val="20"/>
              </w:rPr>
              <w:t>Men who have sex with men</w:t>
            </w:r>
          </w:p>
        </w:tc>
        <w:tc>
          <w:tcPr>
            <w:tcW w:w="1440" w:type="dxa"/>
            <w:tcBorders>
              <w:bottom w:val="single" w:sz="4" w:space="0" w:color="auto"/>
            </w:tcBorders>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2,499</w:t>
            </w:r>
          </w:p>
          <w:p w:rsidR="00BA4B73" w:rsidRPr="00BA4B73" w:rsidRDefault="00BA4B73" w:rsidP="00BA4B73">
            <w:pPr>
              <w:jc w:val="center"/>
              <w:rPr>
                <w:b/>
                <w:sz w:val="20"/>
              </w:rPr>
            </w:pPr>
            <w:r w:rsidRPr="00BA4B73">
              <w:rPr>
                <w:color w:val="000000"/>
                <w:sz w:val="20"/>
              </w:rPr>
              <w:t>(100% male)</w:t>
            </w:r>
          </w:p>
        </w:tc>
        <w:tc>
          <w:tcPr>
            <w:tcW w:w="4140" w:type="dxa"/>
            <w:gridSpan w:val="3"/>
            <w:shd w:val="clear" w:color="auto" w:fill="auto"/>
            <w:tcMar>
              <w:top w:w="101" w:type="dxa"/>
              <w:left w:w="101" w:type="dxa"/>
              <w:bottom w:w="101" w:type="dxa"/>
              <w:right w:w="101" w:type="dxa"/>
            </w:tcMar>
            <w:vAlign w:val="center"/>
          </w:tcPr>
          <w:p w:rsidR="00BA4B73" w:rsidRPr="00BA4B73" w:rsidRDefault="00BA4B73" w:rsidP="00BA4B73">
            <w:pPr>
              <w:jc w:val="center"/>
              <w:rPr>
                <w:b/>
                <w:sz w:val="20"/>
              </w:rPr>
            </w:pPr>
            <w:r w:rsidRPr="00BA4B73">
              <w:rPr>
                <w:color w:val="000000"/>
                <w:sz w:val="20"/>
              </w:rPr>
              <w:t>44% (15%–63%)</w:t>
            </w:r>
          </w:p>
        </w:tc>
        <w:tc>
          <w:tcPr>
            <w:tcW w:w="1807" w:type="dxa"/>
            <w:tcBorders>
              <w:bottom w:val="single" w:sz="4" w:space="0" w:color="auto"/>
            </w:tcBorders>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92%</w:t>
            </w:r>
          </w:p>
          <w:p w:rsidR="00BA4B73" w:rsidRPr="00BA4B73" w:rsidRDefault="00BA4B73" w:rsidP="00BA4B73">
            <w:pPr>
              <w:jc w:val="center"/>
              <w:rPr>
                <w:b/>
                <w:sz w:val="20"/>
              </w:rPr>
            </w:pPr>
            <w:r w:rsidRPr="00BA4B73">
              <w:rPr>
                <w:color w:val="000000"/>
                <w:sz w:val="20"/>
              </w:rPr>
              <w:t>(40%–99%)</w:t>
            </w:r>
          </w:p>
        </w:tc>
      </w:tr>
      <w:tr w:rsidR="00BA4B73" w:rsidRPr="00BA4B73" w:rsidTr="00DC1758">
        <w:tc>
          <w:tcPr>
            <w:tcW w:w="3960" w:type="dxa"/>
            <w:gridSpan w:val="3"/>
            <w:tcBorders>
              <w:top w:val="single" w:sz="4" w:space="0" w:color="auto"/>
              <w:left w:val="single" w:sz="4" w:space="0" w:color="auto"/>
              <w:bottom w:val="single" w:sz="4" w:space="0" w:color="auto"/>
              <w:right w:val="single" w:sz="4" w:space="0" w:color="auto"/>
            </w:tcBorders>
            <w:shd w:val="clear" w:color="auto" w:fill="CCCCCC"/>
            <w:tcMar>
              <w:top w:w="0" w:type="dxa"/>
              <w:left w:w="101" w:type="dxa"/>
              <w:bottom w:w="0" w:type="dxa"/>
              <w:right w:w="101" w:type="dxa"/>
            </w:tcMar>
            <w:vAlign w:val="center"/>
          </w:tcPr>
          <w:p w:rsidR="00BA4B73" w:rsidRPr="00BA4B73" w:rsidRDefault="00BA4B73" w:rsidP="00BA4B73">
            <w:pPr>
              <w:jc w:val="center"/>
              <w:rPr>
                <w:b/>
                <w:sz w:val="20"/>
              </w:rPr>
            </w:pPr>
          </w:p>
        </w:tc>
        <w:tc>
          <w:tcPr>
            <w:tcW w:w="1380" w:type="dxa"/>
            <w:tcBorders>
              <w:left w:val="single" w:sz="4" w:space="0" w:color="auto"/>
            </w:tcBorders>
            <w:shd w:val="clear" w:color="auto" w:fill="auto"/>
            <w:tcMar>
              <w:top w:w="0" w:type="dxa"/>
              <w:left w:w="101" w:type="dxa"/>
              <w:bottom w:w="0" w:type="dxa"/>
              <w:right w:w="101" w:type="dxa"/>
            </w:tcMar>
            <w:vAlign w:val="center"/>
          </w:tcPr>
          <w:p w:rsidR="00BA4B73" w:rsidRPr="00BA4B73" w:rsidRDefault="00BA4B73" w:rsidP="00BA4B73">
            <w:pPr>
              <w:jc w:val="center"/>
              <w:rPr>
                <w:b/>
                <w:sz w:val="20"/>
              </w:rPr>
            </w:pPr>
            <w:r w:rsidRPr="00BA4B73">
              <w:rPr>
                <w:bCs/>
                <w:color w:val="000000"/>
                <w:sz w:val="20"/>
              </w:rPr>
              <w:t>All</w:t>
            </w:r>
          </w:p>
        </w:tc>
        <w:tc>
          <w:tcPr>
            <w:tcW w:w="1380" w:type="dxa"/>
            <w:shd w:val="clear" w:color="auto" w:fill="auto"/>
            <w:tcMar>
              <w:top w:w="0" w:type="dxa"/>
              <w:left w:w="101" w:type="dxa"/>
              <w:bottom w:w="0" w:type="dxa"/>
              <w:right w:w="101" w:type="dxa"/>
            </w:tcMar>
            <w:vAlign w:val="center"/>
          </w:tcPr>
          <w:p w:rsidR="00BA4B73" w:rsidRPr="00BA4B73" w:rsidRDefault="00BA4B73" w:rsidP="00BA4B73">
            <w:pPr>
              <w:jc w:val="center"/>
              <w:rPr>
                <w:b/>
                <w:sz w:val="20"/>
              </w:rPr>
            </w:pPr>
            <w:r w:rsidRPr="00BA4B73">
              <w:rPr>
                <w:bCs/>
                <w:color w:val="000000"/>
                <w:sz w:val="20"/>
              </w:rPr>
              <w:t>Men</w:t>
            </w:r>
          </w:p>
        </w:tc>
        <w:tc>
          <w:tcPr>
            <w:tcW w:w="1380" w:type="dxa"/>
            <w:shd w:val="clear" w:color="auto" w:fill="auto"/>
            <w:tcMar>
              <w:top w:w="0" w:type="dxa"/>
              <w:left w:w="101" w:type="dxa"/>
              <w:bottom w:w="0" w:type="dxa"/>
              <w:right w:w="101" w:type="dxa"/>
            </w:tcMar>
            <w:vAlign w:val="center"/>
          </w:tcPr>
          <w:p w:rsidR="00BA4B73" w:rsidRPr="00BA4B73" w:rsidRDefault="00BA4B73" w:rsidP="00BA4B73">
            <w:pPr>
              <w:jc w:val="center"/>
              <w:rPr>
                <w:b/>
                <w:sz w:val="20"/>
              </w:rPr>
            </w:pPr>
            <w:r w:rsidRPr="00BA4B73">
              <w:rPr>
                <w:bCs/>
                <w:color w:val="000000"/>
                <w:sz w:val="20"/>
              </w:rPr>
              <w:t>Women</w:t>
            </w:r>
          </w:p>
        </w:tc>
        <w:tc>
          <w:tcPr>
            <w:tcW w:w="1807" w:type="dxa"/>
            <w:shd w:val="clear" w:color="auto" w:fill="CCCCCC"/>
            <w:tcMar>
              <w:top w:w="0" w:type="dxa"/>
              <w:left w:w="101" w:type="dxa"/>
              <w:bottom w:w="0" w:type="dxa"/>
              <w:right w:w="101" w:type="dxa"/>
            </w:tcMar>
          </w:tcPr>
          <w:p w:rsidR="00BA4B73" w:rsidRPr="00BA4B73" w:rsidRDefault="00BA4B73" w:rsidP="00BA4B73">
            <w:pPr>
              <w:rPr>
                <w:b/>
                <w:sz w:val="20"/>
              </w:rPr>
            </w:pPr>
          </w:p>
        </w:tc>
      </w:tr>
      <w:tr w:rsidR="00BA4B73" w:rsidRPr="00BA4B73" w:rsidTr="00DC1758">
        <w:trPr>
          <w:trHeight w:val="827"/>
        </w:trPr>
        <w:tc>
          <w:tcPr>
            <w:tcW w:w="1080" w:type="dxa"/>
            <w:tcBorders>
              <w:top w:val="single" w:sz="4" w:space="0" w:color="auto"/>
            </w:tcBorders>
            <w:shd w:val="clear" w:color="auto" w:fill="auto"/>
            <w:tcMar>
              <w:top w:w="101" w:type="dxa"/>
              <w:left w:w="101" w:type="dxa"/>
              <w:bottom w:w="101" w:type="dxa"/>
              <w:right w:w="101" w:type="dxa"/>
            </w:tcMar>
          </w:tcPr>
          <w:p w:rsidR="00BA4B73" w:rsidRPr="00BA4B73" w:rsidRDefault="00BA4B73" w:rsidP="00BA4B73">
            <w:pPr>
              <w:rPr>
                <w:b/>
                <w:sz w:val="20"/>
              </w:rPr>
            </w:pPr>
            <w:r w:rsidRPr="00BA4B73">
              <w:rPr>
                <w:color w:val="000000"/>
                <w:sz w:val="20"/>
              </w:rPr>
              <w:t>Partners PrEP</w:t>
            </w:r>
          </w:p>
        </w:tc>
        <w:tc>
          <w:tcPr>
            <w:tcW w:w="1440" w:type="dxa"/>
            <w:tcBorders>
              <w:top w:val="single" w:sz="4" w:space="0" w:color="auto"/>
            </w:tcBorders>
            <w:shd w:val="clear" w:color="auto" w:fill="auto"/>
            <w:tcMar>
              <w:top w:w="101" w:type="dxa"/>
              <w:left w:w="101" w:type="dxa"/>
              <w:bottom w:w="101" w:type="dxa"/>
              <w:right w:w="101" w:type="dxa"/>
            </w:tcMar>
          </w:tcPr>
          <w:p w:rsidR="00BA4B73" w:rsidRPr="00BA4B73" w:rsidRDefault="00BA4B73" w:rsidP="00BA4B73">
            <w:pPr>
              <w:rPr>
                <w:b/>
                <w:sz w:val="20"/>
              </w:rPr>
            </w:pPr>
            <w:r w:rsidRPr="00BA4B73">
              <w:rPr>
                <w:color w:val="000000"/>
                <w:sz w:val="20"/>
              </w:rPr>
              <w:t>Heterosexual HIV-discordant couples</w:t>
            </w:r>
          </w:p>
        </w:tc>
        <w:tc>
          <w:tcPr>
            <w:tcW w:w="1440" w:type="dxa"/>
            <w:tcBorders>
              <w:top w:val="single" w:sz="4" w:space="0" w:color="auto"/>
            </w:tcBorders>
            <w:shd w:val="clear" w:color="auto" w:fill="auto"/>
            <w:tcMar>
              <w:top w:w="101" w:type="dxa"/>
              <w:left w:w="101" w:type="dxa"/>
              <w:bottom w:w="101" w:type="dxa"/>
              <w:right w:w="101" w:type="dxa"/>
            </w:tcMar>
            <w:vAlign w:val="center"/>
          </w:tcPr>
          <w:p w:rsidR="00BA4B73" w:rsidRPr="00BA4B73" w:rsidRDefault="00BA4B73" w:rsidP="00BA4B73">
            <w:pPr>
              <w:jc w:val="center"/>
              <w:rPr>
                <w:b/>
                <w:sz w:val="20"/>
              </w:rPr>
            </w:pPr>
            <w:r w:rsidRPr="00BA4B73">
              <w:rPr>
                <w:color w:val="000000"/>
                <w:sz w:val="20"/>
              </w:rPr>
              <w:t>4,758 couples (38% with female HIV+ partner)</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75%</w:t>
            </w:r>
          </w:p>
          <w:p w:rsidR="00BA4B73" w:rsidRPr="00BA4B73" w:rsidRDefault="00BA4B73" w:rsidP="00BA4B73">
            <w:pPr>
              <w:jc w:val="center"/>
              <w:rPr>
                <w:color w:val="000000"/>
                <w:sz w:val="20"/>
              </w:rPr>
            </w:pPr>
            <w:r w:rsidRPr="00BA4B73">
              <w:rPr>
                <w:color w:val="000000"/>
                <w:sz w:val="20"/>
              </w:rPr>
              <w:t>(55%–87%)</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84%</w:t>
            </w:r>
          </w:p>
          <w:p w:rsidR="00BA4B73" w:rsidRPr="00BA4B73" w:rsidRDefault="00BA4B73" w:rsidP="00BA4B73">
            <w:pPr>
              <w:jc w:val="center"/>
              <w:rPr>
                <w:color w:val="000000"/>
                <w:sz w:val="20"/>
              </w:rPr>
            </w:pPr>
            <w:r w:rsidRPr="00BA4B73">
              <w:rPr>
                <w:color w:val="000000"/>
                <w:sz w:val="20"/>
              </w:rPr>
              <w:t>(54%–95%)</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66%</w:t>
            </w:r>
          </w:p>
          <w:p w:rsidR="00BA4B73" w:rsidRPr="00BA4B73" w:rsidRDefault="00BA4B73" w:rsidP="00BA4B73">
            <w:pPr>
              <w:jc w:val="center"/>
              <w:rPr>
                <w:color w:val="000000"/>
                <w:sz w:val="20"/>
              </w:rPr>
            </w:pPr>
            <w:r w:rsidRPr="00BA4B73">
              <w:rPr>
                <w:color w:val="000000"/>
                <w:sz w:val="20"/>
              </w:rPr>
              <w:t>(28%–84%)</w:t>
            </w:r>
          </w:p>
        </w:tc>
        <w:tc>
          <w:tcPr>
            <w:tcW w:w="1807"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90%</w:t>
            </w:r>
          </w:p>
          <w:p w:rsidR="00BA4B73" w:rsidRPr="00BA4B73" w:rsidRDefault="00BA4B73" w:rsidP="00BA4B73">
            <w:pPr>
              <w:jc w:val="center"/>
              <w:rPr>
                <w:b/>
                <w:sz w:val="20"/>
              </w:rPr>
            </w:pPr>
            <w:r w:rsidRPr="00BA4B73">
              <w:rPr>
                <w:color w:val="000000"/>
                <w:sz w:val="20"/>
              </w:rPr>
              <w:t>(58%–98%)</w:t>
            </w:r>
          </w:p>
        </w:tc>
      </w:tr>
      <w:tr w:rsidR="00BA4B73" w:rsidRPr="00BA4B73" w:rsidTr="00DC1758">
        <w:tc>
          <w:tcPr>
            <w:tcW w:w="1080" w:type="dxa"/>
            <w:shd w:val="clear" w:color="auto" w:fill="auto"/>
            <w:tcMar>
              <w:top w:w="101" w:type="dxa"/>
              <w:left w:w="101" w:type="dxa"/>
              <w:bottom w:w="101" w:type="dxa"/>
              <w:right w:w="101" w:type="dxa"/>
            </w:tcMar>
          </w:tcPr>
          <w:p w:rsidR="00BA4B73" w:rsidRPr="00BA4B73" w:rsidRDefault="00BA4B73" w:rsidP="00BA4B73">
            <w:pPr>
              <w:rPr>
                <w:b/>
                <w:sz w:val="20"/>
              </w:rPr>
            </w:pPr>
            <w:r w:rsidRPr="00BA4B73">
              <w:rPr>
                <w:color w:val="000000"/>
                <w:sz w:val="20"/>
              </w:rPr>
              <w:t>TDF2</w:t>
            </w:r>
          </w:p>
        </w:tc>
        <w:tc>
          <w:tcPr>
            <w:tcW w:w="1440" w:type="dxa"/>
            <w:shd w:val="clear" w:color="auto" w:fill="auto"/>
            <w:tcMar>
              <w:top w:w="101" w:type="dxa"/>
              <w:left w:w="101" w:type="dxa"/>
              <w:bottom w:w="101" w:type="dxa"/>
              <w:right w:w="101" w:type="dxa"/>
            </w:tcMar>
          </w:tcPr>
          <w:p w:rsidR="00BA4B73" w:rsidRPr="00BA4B73" w:rsidRDefault="00BA4B73" w:rsidP="00BA4B73">
            <w:pPr>
              <w:rPr>
                <w:b/>
                <w:sz w:val="20"/>
              </w:rPr>
            </w:pPr>
            <w:r w:rsidRPr="00BA4B73">
              <w:rPr>
                <w:color w:val="000000"/>
                <w:sz w:val="20"/>
              </w:rPr>
              <w:t>Heterosexual men and women</w:t>
            </w:r>
          </w:p>
        </w:tc>
        <w:tc>
          <w:tcPr>
            <w:tcW w:w="144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1,216</w:t>
            </w:r>
          </w:p>
          <w:p w:rsidR="00BA4B73" w:rsidRPr="00BA4B73" w:rsidRDefault="00BA4B73" w:rsidP="00BA4B73">
            <w:pPr>
              <w:jc w:val="center"/>
              <w:rPr>
                <w:b/>
                <w:sz w:val="20"/>
              </w:rPr>
            </w:pPr>
            <w:r w:rsidRPr="00BA4B73">
              <w:rPr>
                <w:color w:val="000000"/>
                <w:sz w:val="20"/>
              </w:rPr>
              <w:t>(46% female)</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62%</w:t>
            </w:r>
          </w:p>
          <w:p w:rsidR="00BA4B73" w:rsidRPr="00BA4B73" w:rsidRDefault="00BA4B73" w:rsidP="00BA4B73">
            <w:pPr>
              <w:jc w:val="center"/>
              <w:rPr>
                <w:color w:val="000000"/>
                <w:sz w:val="20"/>
              </w:rPr>
            </w:pPr>
            <w:r w:rsidRPr="00BA4B73">
              <w:rPr>
                <w:color w:val="000000"/>
                <w:sz w:val="20"/>
              </w:rPr>
              <w:t>(22%–83%)</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80%</w:t>
            </w:r>
          </w:p>
          <w:p w:rsidR="00BA4B73" w:rsidRPr="00BA4B73" w:rsidRDefault="00BA4B73" w:rsidP="00BA4B73">
            <w:pPr>
              <w:jc w:val="center"/>
              <w:rPr>
                <w:color w:val="000000"/>
                <w:sz w:val="20"/>
              </w:rPr>
            </w:pPr>
            <w:r w:rsidRPr="00BA4B73">
              <w:rPr>
                <w:color w:val="000000"/>
                <w:sz w:val="20"/>
              </w:rPr>
              <w:t>(25%–97%)</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49%</w:t>
            </w:r>
          </w:p>
          <w:p w:rsidR="00BA4B73" w:rsidRPr="00BA4B73" w:rsidRDefault="00BA4B73" w:rsidP="00BA4B73">
            <w:pPr>
              <w:jc w:val="center"/>
              <w:rPr>
                <w:color w:val="000000"/>
                <w:sz w:val="20"/>
                <w:highlight w:val="yellow"/>
              </w:rPr>
            </w:pPr>
            <w:r w:rsidRPr="00BA4B73">
              <w:rPr>
                <w:color w:val="000000"/>
                <w:sz w:val="20"/>
              </w:rPr>
              <w:t>(-21%–81%, NS)</w:t>
            </w:r>
          </w:p>
        </w:tc>
        <w:tc>
          <w:tcPr>
            <w:tcW w:w="1807"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84%</w:t>
            </w:r>
          </w:p>
          <w:p w:rsidR="00BA4B73" w:rsidRPr="00BA4B73" w:rsidRDefault="00BA4B73" w:rsidP="00BA4B73">
            <w:pPr>
              <w:jc w:val="center"/>
              <w:rPr>
                <w:color w:val="000000"/>
                <w:sz w:val="20"/>
              </w:rPr>
            </w:pPr>
            <w:r w:rsidRPr="00BA4B73">
              <w:rPr>
                <w:color w:val="000000"/>
                <w:sz w:val="20"/>
              </w:rPr>
              <w:t>(-62%–98%, NS)</w:t>
            </w:r>
          </w:p>
        </w:tc>
      </w:tr>
      <w:tr w:rsidR="00BA4B73" w:rsidRPr="00BA4B73" w:rsidTr="00DC1758">
        <w:tc>
          <w:tcPr>
            <w:tcW w:w="1080" w:type="dxa"/>
            <w:shd w:val="clear" w:color="auto" w:fill="auto"/>
            <w:tcMar>
              <w:top w:w="101" w:type="dxa"/>
              <w:left w:w="101" w:type="dxa"/>
              <w:bottom w:w="101" w:type="dxa"/>
              <w:right w:w="101" w:type="dxa"/>
            </w:tcMar>
          </w:tcPr>
          <w:p w:rsidR="00BA4B73" w:rsidRPr="00BA4B73" w:rsidRDefault="00BA4B73" w:rsidP="00BA4B73">
            <w:pPr>
              <w:rPr>
                <w:b/>
                <w:sz w:val="20"/>
              </w:rPr>
            </w:pPr>
            <w:r w:rsidRPr="00BA4B73">
              <w:rPr>
                <w:color w:val="000000"/>
                <w:sz w:val="20"/>
              </w:rPr>
              <w:t>FEM-PrEP</w:t>
            </w:r>
          </w:p>
        </w:tc>
        <w:tc>
          <w:tcPr>
            <w:tcW w:w="1440" w:type="dxa"/>
            <w:shd w:val="clear" w:color="auto" w:fill="auto"/>
            <w:tcMar>
              <w:top w:w="101" w:type="dxa"/>
              <w:left w:w="101" w:type="dxa"/>
              <w:bottom w:w="101" w:type="dxa"/>
              <w:right w:w="101" w:type="dxa"/>
            </w:tcMar>
          </w:tcPr>
          <w:p w:rsidR="00BA4B73" w:rsidRPr="00BA4B73" w:rsidRDefault="00BA4B73" w:rsidP="00BA4B73">
            <w:pPr>
              <w:rPr>
                <w:b/>
                <w:sz w:val="20"/>
              </w:rPr>
            </w:pPr>
            <w:r w:rsidRPr="00BA4B73">
              <w:rPr>
                <w:color w:val="000000"/>
                <w:sz w:val="20"/>
              </w:rPr>
              <w:t>Heterosexual women</w:t>
            </w:r>
          </w:p>
        </w:tc>
        <w:tc>
          <w:tcPr>
            <w:tcW w:w="144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2,056</w:t>
            </w:r>
          </w:p>
          <w:p w:rsidR="00BA4B73" w:rsidRPr="00BA4B73" w:rsidRDefault="00BA4B73" w:rsidP="00BA4B73">
            <w:pPr>
              <w:jc w:val="center"/>
              <w:rPr>
                <w:b/>
                <w:sz w:val="20"/>
              </w:rPr>
            </w:pPr>
            <w:r w:rsidRPr="00BA4B73">
              <w:rPr>
                <w:color w:val="000000"/>
                <w:sz w:val="20"/>
              </w:rPr>
              <w:t>(100% female)</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NS</w:t>
            </w:r>
          </w:p>
        </w:tc>
        <w:tc>
          <w:tcPr>
            <w:tcW w:w="1380" w:type="dxa"/>
            <w:shd w:val="clear" w:color="auto" w:fill="auto"/>
            <w:tcMar>
              <w:top w:w="101" w:type="dxa"/>
              <w:left w:w="101" w:type="dxa"/>
              <w:bottom w:w="101" w:type="dxa"/>
              <w:right w:w="101" w:type="dxa"/>
            </w:tcMar>
            <w:vAlign w:val="center"/>
          </w:tcPr>
          <w:p w:rsidR="00BA4B73" w:rsidRPr="00BA4B73" w:rsidRDefault="00A8558C" w:rsidP="00BA4B73">
            <w:pPr>
              <w:jc w:val="center"/>
              <w:rPr>
                <w:color w:val="000000"/>
                <w:sz w:val="20"/>
              </w:rPr>
            </w:pPr>
            <w:r>
              <w:rPr>
                <w:color w:val="000000"/>
                <w:sz w:val="20"/>
              </w:rPr>
              <w:t>-</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NS</w:t>
            </w:r>
          </w:p>
        </w:tc>
        <w:tc>
          <w:tcPr>
            <w:tcW w:w="1807"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NS</w:t>
            </w:r>
          </w:p>
        </w:tc>
      </w:tr>
      <w:tr w:rsidR="00BA4B73" w:rsidRPr="00BA4B73" w:rsidTr="00DC1758">
        <w:tc>
          <w:tcPr>
            <w:tcW w:w="1080" w:type="dxa"/>
            <w:shd w:val="clear" w:color="auto" w:fill="auto"/>
            <w:tcMar>
              <w:top w:w="101" w:type="dxa"/>
              <w:left w:w="101" w:type="dxa"/>
              <w:bottom w:w="101" w:type="dxa"/>
              <w:right w:w="101" w:type="dxa"/>
            </w:tcMar>
          </w:tcPr>
          <w:p w:rsidR="00BA4B73" w:rsidRPr="00BA4B73" w:rsidRDefault="00BA4B73" w:rsidP="00BA4B73">
            <w:pPr>
              <w:rPr>
                <w:color w:val="000000"/>
                <w:sz w:val="20"/>
              </w:rPr>
            </w:pPr>
            <w:r w:rsidRPr="00BA4B73">
              <w:rPr>
                <w:color w:val="000000"/>
                <w:sz w:val="20"/>
              </w:rPr>
              <w:t xml:space="preserve">Bangkok </w:t>
            </w:r>
            <w:r w:rsidR="000674AF" w:rsidRPr="00BA4B73">
              <w:rPr>
                <w:color w:val="000000"/>
                <w:sz w:val="20"/>
              </w:rPr>
              <w:t>Tenofovir</w:t>
            </w:r>
            <w:r w:rsidRPr="00BA4B73">
              <w:rPr>
                <w:color w:val="000000"/>
                <w:sz w:val="20"/>
              </w:rPr>
              <w:t xml:space="preserve"> Study</w:t>
            </w:r>
          </w:p>
        </w:tc>
        <w:tc>
          <w:tcPr>
            <w:tcW w:w="1440" w:type="dxa"/>
            <w:shd w:val="clear" w:color="auto" w:fill="auto"/>
            <w:tcMar>
              <w:top w:w="101" w:type="dxa"/>
              <w:left w:w="101" w:type="dxa"/>
              <w:bottom w:w="101" w:type="dxa"/>
              <w:right w:w="101" w:type="dxa"/>
            </w:tcMar>
          </w:tcPr>
          <w:p w:rsidR="00BA4B73" w:rsidRPr="00BA4B73" w:rsidRDefault="00BA4B73" w:rsidP="00BA4B73">
            <w:pPr>
              <w:rPr>
                <w:color w:val="000000"/>
                <w:sz w:val="20"/>
              </w:rPr>
            </w:pPr>
            <w:r w:rsidRPr="00BA4B73">
              <w:rPr>
                <w:color w:val="000000"/>
                <w:sz w:val="20"/>
              </w:rPr>
              <w:t>Injecting drug using men and women</w:t>
            </w:r>
          </w:p>
        </w:tc>
        <w:tc>
          <w:tcPr>
            <w:tcW w:w="144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2,413</w:t>
            </w:r>
          </w:p>
          <w:p w:rsidR="00BA4B73" w:rsidRPr="00BA4B73" w:rsidRDefault="00BA4B73" w:rsidP="00BA4B73">
            <w:pPr>
              <w:jc w:val="center"/>
              <w:rPr>
                <w:color w:val="000000"/>
                <w:sz w:val="20"/>
              </w:rPr>
            </w:pPr>
            <w:r w:rsidRPr="00BA4B73">
              <w:rPr>
                <w:color w:val="000000"/>
                <w:sz w:val="20"/>
              </w:rPr>
              <w:t>(20% female)</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49%</w:t>
            </w:r>
          </w:p>
          <w:p w:rsidR="00BA4B73" w:rsidRPr="00BA4B73" w:rsidRDefault="00BA4B73" w:rsidP="00BA4B73">
            <w:pPr>
              <w:jc w:val="center"/>
              <w:rPr>
                <w:color w:val="000000"/>
                <w:sz w:val="20"/>
              </w:rPr>
            </w:pPr>
            <w:r w:rsidRPr="00BA4B73">
              <w:rPr>
                <w:color w:val="000000"/>
                <w:sz w:val="20"/>
              </w:rPr>
              <w:t>(10-72%)</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38%</w:t>
            </w:r>
          </w:p>
          <w:p w:rsidR="00BA4B73" w:rsidRPr="00BA4B73" w:rsidRDefault="00BA4B73" w:rsidP="00BA4B73">
            <w:pPr>
              <w:jc w:val="center"/>
              <w:rPr>
                <w:color w:val="000000"/>
                <w:sz w:val="20"/>
              </w:rPr>
            </w:pPr>
            <w:r w:rsidRPr="00BA4B73">
              <w:rPr>
                <w:color w:val="000000"/>
                <w:sz w:val="20"/>
              </w:rPr>
              <w:t>(-18-68%)</w:t>
            </w:r>
          </w:p>
        </w:tc>
        <w:tc>
          <w:tcPr>
            <w:tcW w:w="1380"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79%</w:t>
            </w:r>
          </w:p>
          <w:p w:rsidR="00BA4B73" w:rsidRPr="00BA4B73" w:rsidRDefault="00BA4B73" w:rsidP="00BA4B73">
            <w:pPr>
              <w:jc w:val="center"/>
              <w:rPr>
                <w:color w:val="000000"/>
                <w:sz w:val="20"/>
              </w:rPr>
            </w:pPr>
            <w:r w:rsidRPr="00BA4B73">
              <w:rPr>
                <w:color w:val="000000"/>
                <w:sz w:val="20"/>
              </w:rPr>
              <w:t>(17-97%)</w:t>
            </w:r>
          </w:p>
        </w:tc>
        <w:tc>
          <w:tcPr>
            <w:tcW w:w="1807" w:type="dxa"/>
            <w:shd w:val="clear" w:color="auto" w:fill="auto"/>
            <w:tcMar>
              <w:top w:w="101" w:type="dxa"/>
              <w:left w:w="101" w:type="dxa"/>
              <w:bottom w:w="101" w:type="dxa"/>
              <w:right w:w="101" w:type="dxa"/>
            </w:tcMar>
            <w:vAlign w:val="center"/>
          </w:tcPr>
          <w:p w:rsidR="00BA4B73" w:rsidRPr="00BA4B73" w:rsidRDefault="00BA4B73" w:rsidP="00BA4B73">
            <w:pPr>
              <w:jc w:val="center"/>
              <w:rPr>
                <w:color w:val="000000"/>
                <w:sz w:val="20"/>
              </w:rPr>
            </w:pPr>
            <w:r w:rsidRPr="00BA4B73">
              <w:rPr>
                <w:color w:val="000000"/>
                <w:sz w:val="20"/>
              </w:rPr>
              <w:t>70%</w:t>
            </w:r>
          </w:p>
          <w:p w:rsidR="00BA4B73" w:rsidRPr="00BA4B73" w:rsidRDefault="00BA4B73" w:rsidP="00BA4B73">
            <w:pPr>
              <w:jc w:val="center"/>
              <w:rPr>
                <w:color w:val="000000"/>
                <w:sz w:val="20"/>
              </w:rPr>
            </w:pPr>
            <w:r w:rsidRPr="00BA4B73">
              <w:rPr>
                <w:color w:val="000000"/>
                <w:sz w:val="20"/>
              </w:rPr>
              <w:t>(2% - 91%)</w:t>
            </w:r>
          </w:p>
        </w:tc>
      </w:tr>
      <w:tr w:rsidR="00C618C6" w:rsidRPr="00BA4B73" w:rsidTr="0082385E">
        <w:trPr>
          <w:trHeight w:val="717"/>
        </w:trPr>
        <w:tc>
          <w:tcPr>
            <w:tcW w:w="1080" w:type="dxa"/>
            <w:shd w:val="clear" w:color="auto" w:fill="auto"/>
            <w:tcMar>
              <w:top w:w="101" w:type="dxa"/>
              <w:left w:w="101" w:type="dxa"/>
              <w:bottom w:w="101" w:type="dxa"/>
              <w:right w:w="101" w:type="dxa"/>
            </w:tcMar>
          </w:tcPr>
          <w:p w:rsidR="00C618C6" w:rsidRPr="00BA4B73" w:rsidRDefault="00C618C6" w:rsidP="00BA4B73">
            <w:pPr>
              <w:rPr>
                <w:color w:val="000000"/>
                <w:sz w:val="20"/>
              </w:rPr>
            </w:pPr>
            <w:proofErr w:type="spellStart"/>
            <w:r>
              <w:rPr>
                <w:color w:val="000000"/>
                <w:sz w:val="20"/>
              </w:rPr>
              <w:t>Ipergay</w:t>
            </w:r>
            <w:proofErr w:type="spellEnd"/>
          </w:p>
        </w:tc>
        <w:tc>
          <w:tcPr>
            <w:tcW w:w="1440" w:type="dxa"/>
            <w:shd w:val="clear" w:color="auto" w:fill="auto"/>
            <w:tcMar>
              <w:top w:w="101" w:type="dxa"/>
              <w:left w:w="101" w:type="dxa"/>
              <w:bottom w:w="101" w:type="dxa"/>
              <w:right w:w="101" w:type="dxa"/>
            </w:tcMar>
          </w:tcPr>
          <w:p w:rsidR="00C618C6" w:rsidRPr="00BA4B73" w:rsidRDefault="00C618C6" w:rsidP="00921BA7">
            <w:pPr>
              <w:rPr>
                <w:color w:val="000000"/>
                <w:sz w:val="20"/>
              </w:rPr>
            </w:pPr>
            <w:r>
              <w:rPr>
                <w:color w:val="000000"/>
                <w:sz w:val="20"/>
              </w:rPr>
              <w:t>Men and who have sex with men</w:t>
            </w:r>
          </w:p>
        </w:tc>
        <w:tc>
          <w:tcPr>
            <w:tcW w:w="1440" w:type="dxa"/>
            <w:shd w:val="clear" w:color="auto" w:fill="auto"/>
            <w:tcMar>
              <w:top w:w="101" w:type="dxa"/>
              <w:left w:w="101" w:type="dxa"/>
              <w:bottom w:w="101" w:type="dxa"/>
              <w:right w:w="101" w:type="dxa"/>
            </w:tcMar>
            <w:vAlign w:val="center"/>
          </w:tcPr>
          <w:p w:rsidR="00C618C6" w:rsidRDefault="00C618C6" w:rsidP="00BA4B73">
            <w:pPr>
              <w:jc w:val="center"/>
              <w:rPr>
                <w:color w:val="000000"/>
                <w:sz w:val="20"/>
              </w:rPr>
            </w:pPr>
            <w:r>
              <w:rPr>
                <w:color w:val="000000"/>
                <w:sz w:val="20"/>
              </w:rPr>
              <w:t>400</w:t>
            </w:r>
          </w:p>
          <w:p w:rsidR="00C618C6" w:rsidRPr="00BA4B73" w:rsidRDefault="00921BA7" w:rsidP="00BA4B73">
            <w:pPr>
              <w:jc w:val="center"/>
              <w:rPr>
                <w:color w:val="000000"/>
                <w:sz w:val="20"/>
              </w:rPr>
            </w:pPr>
            <w:r>
              <w:rPr>
                <w:color w:val="000000"/>
                <w:sz w:val="20"/>
              </w:rPr>
              <w:t>(100% male)</w:t>
            </w:r>
          </w:p>
        </w:tc>
        <w:tc>
          <w:tcPr>
            <w:tcW w:w="1380" w:type="dxa"/>
            <w:shd w:val="clear" w:color="auto" w:fill="auto"/>
            <w:tcMar>
              <w:top w:w="101" w:type="dxa"/>
              <w:left w:w="101" w:type="dxa"/>
              <w:bottom w:w="101" w:type="dxa"/>
              <w:right w:w="101" w:type="dxa"/>
            </w:tcMar>
            <w:vAlign w:val="center"/>
          </w:tcPr>
          <w:p w:rsidR="00C618C6" w:rsidRPr="00BA4B73" w:rsidRDefault="00A8558C" w:rsidP="00BA4B73">
            <w:pPr>
              <w:jc w:val="center"/>
              <w:rPr>
                <w:color w:val="000000"/>
                <w:sz w:val="20"/>
              </w:rPr>
            </w:pPr>
            <w:r>
              <w:rPr>
                <w:color w:val="000000"/>
                <w:sz w:val="20"/>
              </w:rPr>
              <w:t>-</w:t>
            </w:r>
          </w:p>
        </w:tc>
        <w:tc>
          <w:tcPr>
            <w:tcW w:w="1380" w:type="dxa"/>
            <w:shd w:val="clear" w:color="auto" w:fill="auto"/>
            <w:tcMar>
              <w:top w:w="101" w:type="dxa"/>
              <w:left w:w="101" w:type="dxa"/>
              <w:bottom w:w="101" w:type="dxa"/>
              <w:right w:w="101" w:type="dxa"/>
            </w:tcMar>
            <w:vAlign w:val="center"/>
          </w:tcPr>
          <w:p w:rsidR="00A8558C" w:rsidRDefault="00A8558C" w:rsidP="00A8558C">
            <w:pPr>
              <w:jc w:val="center"/>
              <w:rPr>
                <w:color w:val="000000"/>
                <w:sz w:val="20"/>
              </w:rPr>
            </w:pPr>
            <w:r>
              <w:rPr>
                <w:color w:val="000000"/>
                <w:sz w:val="20"/>
              </w:rPr>
              <w:t>86%</w:t>
            </w:r>
          </w:p>
          <w:p w:rsidR="00C618C6" w:rsidRPr="00BA4B73" w:rsidRDefault="00A8558C" w:rsidP="00A8558C">
            <w:pPr>
              <w:jc w:val="center"/>
              <w:rPr>
                <w:color w:val="000000"/>
                <w:sz w:val="20"/>
              </w:rPr>
            </w:pPr>
            <w:r>
              <w:rPr>
                <w:color w:val="000000"/>
                <w:sz w:val="20"/>
              </w:rPr>
              <w:t>(40%-99%)</w:t>
            </w:r>
          </w:p>
        </w:tc>
        <w:tc>
          <w:tcPr>
            <w:tcW w:w="1380" w:type="dxa"/>
            <w:shd w:val="clear" w:color="auto" w:fill="auto"/>
            <w:tcMar>
              <w:top w:w="101" w:type="dxa"/>
              <w:left w:w="101" w:type="dxa"/>
              <w:bottom w:w="101" w:type="dxa"/>
              <w:right w:w="101" w:type="dxa"/>
            </w:tcMar>
            <w:vAlign w:val="center"/>
          </w:tcPr>
          <w:p w:rsidR="00C618C6" w:rsidRPr="00BA4B73" w:rsidRDefault="00A8558C" w:rsidP="00BA4B73">
            <w:pPr>
              <w:jc w:val="center"/>
              <w:rPr>
                <w:color w:val="000000"/>
                <w:sz w:val="20"/>
              </w:rPr>
            </w:pPr>
            <w:r>
              <w:rPr>
                <w:color w:val="000000"/>
                <w:sz w:val="20"/>
              </w:rPr>
              <w:t>-</w:t>
            </w:r>
          </w:p>
        </w:tc>
        <w:tc>
          <w:tcPr>
            <w:tcW w:w="1807" w:type="dxa"/>
            <w:shd w:val="clear" w:color="auto" w:fill="auto"/>
            <w:tcMar>
              <w:top w:w="101" w:type="dxa"/>
              <w:left w:w="101" w:type="dxa"/>
              <w:bottom w:w="101" w:type="dxa"/>
              <w:right w:w="101" w:type="dxa"/>
            </w:tcMar>
            <w:vAlign w:val="center"/>
          </w:tcPr>
          <w:p w:rsidR="00C618C6" w:rsidRPr="00BA4B73" w:rsidRDefault="00A8558C" w:rsidP="00BA4B73">
            <w:pPr>
              <w:jc w:val="center"/>
              <w:rPr>
                <w:color w:val="000000"/>
                <w:sz w:val="20"/>
              </w:rPr>
            </w:pPr>
            <w:r>
              <w:rPr>
                <w:color w:val="000000"/>
                <w:sz w:val="20"/>
              </w:rPr>
              <w:t>-</w:t>
            </w:r>
          </w:p>
        </w:tc>
      </w:tr>
      <w:tr w:rsidR="0082385E" w:rsidRPr="00BA4B73" w:rsidTr="00DC1758">
        <w:tc>
          <w:tcPr>
            <w:tcW w:w="1080" w:type="dxa"/>
            <w:shd w:val="clear" w:color="auto" w:fill="auto"/>
            <w:tcMar>
              <w:top w:w="101" w:type="dxa"/>
              <w:left w:w="101" w:type="dxa"/>
              <w:bottom w:w="101" w:type="dxa"/>
              <w:right w:w="101" w:type="dxa"/>
            </w:tcMar>
          </w:tcPr>
          <w:p w:rsidR="0082385E" w:rsidRPr="0082385E" w:rsidRDefault="0082385E" w:rsidP="00BA4B73">
            <w:pPr>
              <w:rPr>
                <w:color w:val="000000"/>
                <w:sz w:val="18"/>
                <w:szCs w:val="18"/>
              </w:rPr>
            </w:pPr>
            <w:r w:rsidRPr="0082385E">
              <w:rPr>
                <w:color w:val="000000"/>
                <w:sz w:val="18"/>
                <w:szCs w:val="18"/>
              </w:rPr>
              <w:t>Kaiser Permanente</w:t>
            </w:r>
          </w:p>
        </w:tc>
        <w:tc>
          <w:tcPr>
            <w:tcW w:w="1440" w:type="dxa"/>
            <w:shd w:val="clear" w:color="auto" w:fill="auto"/>
            <w:tcMar>
              <w:top w:w="101" w:type="dxa"/>
              <w:left w:w="101" w:type="dxa"/>
              <w:bottom w:w="101" w:type="dxa"/>
              <w:right w:w="101" w:type="dxa"/>
            </w:tcMar>
          </w:tcPr>
          <w:p w:rsidR="0082385E" w:rsidRDefault="0082385E" w:rsidP="00921BA7">
            <w:pPr>
              <w:rPr>
                <w:color w:val="000000"/>
                <w:sz w:val="20"/>
              </w:rPr>
            </w:pPr>
            <w:r w:rsidRPr="0082385E">
              <w:rPr>
                <w:color w:val="000000"/>
                <w:sz w:val="20"/>
              </w:rPr>
              <w:t xml:space="preserve">Men who have sex with men </w:t>
            </w:r>
          </w:p>
        </w:tc>
        <w:tc>
          <w:tcPr>
            <w:tcW w:w="1440" w:type="dxa"/>
            <w:shd w:val="clear" w:color="auto" w:fill="auto"/>
            <w:tcMar>
              <w:top w:w="101" w:type="dxa"/>
              <w:left w:w="101" w:type="dxa"/>
              <w:bottom w:w="101" w:type="dxa"/>
              <w:right w:w="101" w:type="dxa"/>
            </w:tcMar>
            <w:vAlign w:val="center"/>
          </w:tcPr>
          <w:p w:rsidR="0082385E" w:rsidRPr="0082385E" w:rsidRDefault="0082385E" w:rsidP="0082385E">
            <w:pPr>
              <w:jc w:val="center"/>
              <w:rPr>
                <w:color w:val="000000"/>
                <w:sz w:val="20"/>
              </w:rPr>
            </w:pPr>
            <w:r w:rsidRPr="0082385E">
              <w:rPr>
                <w:color w:val="000000"/>
                <w:sz w:val="20"/>
              </w:rPr>
              <w:t>657</w:t>
            </w:r>
          </w:p>
          <w:p w:rsidR="0082385E" w:rsidRDefault="0082385E" w:rsidP="0082385E">
            <w:pPr>
              <w:jc w:val="center"/>
              <w:rPr>
                <w:color w:val="000000"/>
                <w:sz w:val="20"/>
              </w:rPr>
            </w:pPr>
            <w:r w:rsidRPr="0082385E">
              <w:rPr>
                <w:color w:val="000000"/>
                <w:sz w:val="20"/>
              </w:rPr>
              <w:t>(99% male)</w:t>
            </w:r>
          </w:p>
        </w:tc>
        <w:tc>
          <w:tcPr>
            <w:tcW w:w="1380" w:type="dxa"/>
            <w:shd w:val="clear" w:color="auto" w:fill="auto"/>
            <w:tcMar>
              <w:top w:w="101" w:type="dxa"/>
              <w:left w:w="101" w:type="dxa"/>
              <w:bottom w:w="101" w:type="dxa"/>
              <w:right w:w="101" w:type="dxa"/>
            </w:tcMar>
            <w:vAlign w:val="center"/>
          </w:tcPr>
          <w:p w:rsidR="0082385E" w:rsidRDefault="0082385E" w:rsidP="00BA4B73">
            <w:pPr>
              <w:jc w:val="center"/>
              <w:rPr>
                <w:color w:val="000000"/>
                <w:sz w:val="20"/>
              </w:rPr>
            </w:pPr>
            <w:r>
              <w:rPr>
                <w:color w:val="000000"/>
                <w:sz w:val="20"/>
              </w:rPr>
              <w:t>100%</w:t>
            </w:r>
            <w:r w:rsidR="00AD6F6A">
              <w:rPr>
                <w:color w:val="000000"/>
                <w:sz w:val="20"/>
              </w:rPr>
              <w:t>§</w:t>
            </w:r>
          </w:p>
        </w:tc>
        <w:tc>
          <w:tcPr>
            <w:tcW w:w="1380" w:type="dxa"/>
            <w:shd w:val="clear" w:color="auto" w:fill="auto"/>
            <w:tcMar>
              <w:top w:w="101" w:type="dxa"/>
              <w:left w:w="101" w:type="dxa"/>
              <w:bottom w:w="101" w:type="dxa"/>
              <w:right w:w="101" w:type="dxa"/>
            </w:tcMar>
            <w:vAlign w:val="center"/>
          </w:tcPr>
          <w:p w:rsidR="0082385E" w:rsidRPr="00BA4B73" w:rsidRDefault="0082385E" w:rsidP="00BA4B73">
            <w:pPr>
              <w:jc w:val="center"/>
              <w:rPr>
                <w:color w:val="000000"/>
                <w:sz w:val="20"/>
              </w:rPr>
            </w:pPr>
          </w:p>
        </w:tc>
        <w:tc>
          <w:tcPr>
            <w:tcW w:w="1380" w:type="dxa"/>
            <w:shd w:val="clear" w:color="auto" w:fill="auto"/>
            <w:tcMar>
              <w:top w:w="101" w:type="dxa"/>
              <w:left w:w="101" w:type="dxa"/>
              <w:bottom w:w="101" w:type="dxa"/>
              <w:right w:w="101" w:type="dxa"/>
            </w:tcMar>
            <w:vAlign w:val="center"/>
          </w:tcPr>
          <w:p w:rsidR="0082385E" w:rsidRPr="00BA4B73" w:rsidRDefault="0082385E" w:rsidP="00BA4B73">
            <w:pPr>
              <w:jc w:val="center"/>
              <w:rPr>
                <w:color w:val="000000"/>
                <w:sz w:val="20"/>
              </w:rPr>
            </w:pPr>
          </w:p>
        </w:tc>
        <w:tc>
          <w:tcPr>
            <w:tcW w:w="1807" w:type="dxa"/>
            <w:shd w:val="clear" w:color="auto" w:fill="auto"/>
            <w:tcMar>
              <w:top w:w="101" w:type="dxa"/>
              <w:left w:w="101" w:type="dxa"/>
              <w:bottom w:w="101" w:type="dxa"/>
              <w:right w:w="101" w:type="dxa"/>
            </w:tcMar>
            <w:vAlign w:val="center"/>
          </w:tcPr>
          <w:p w:rsidR="0082385E" w:rsidRPr="00BA4B73" w:rsidRDefault="00A8558C" w:rsidP="00BA4B73">
            <w:pPr>
              <w:jc w:val="center"/>
              <w:rPr>
                <w:color w:val="000000"/>
                <w:sz w:val="20"/>
              </w:rPr>
            </w:pPr>
            <w:r>
              <w:rPr>
                <w:color w:val="000000"/>
                <w:sz w:val="20"/>
              </w:rPr>
              <w:t>-</w:t>
            </w:r>
          </w:p>
        </w:tc>
      </w:tr>
      <w:tr w:rsidR="00BA4B73" w:rsidRPr="00BA4B73" w:rsidTr="00DC1758">
        <w:trPr>
          <w:trHeight w:val="1392"/>
        </w:trPr>
        <w:tc>
          <w:tcPr>
            <w:tcW w:w="9907" w:type="dxa"/>
            <w:gridSpan w:val="7"/>
            <w:shd w:val="clear" w:color="auto" w:fill="auto"/>
            <w:tcMar>
              <w:top w:w="101" w:type="dxa"/>
              <w:left w:w="101" w:type="dxa"/>
              <w:bottom w:w="101" w:type="dxa"/>
              <w:right w:w="101" w:type="dxa"/>
            </w:tcMar>
          </w:tcPr>
          <w:p w:rsidR="00BA4B73" w:rsidRPr="00BA4B73" w:rsidRDefault="00BA4B73" w:rsidP="00BA4B73">
            <w:pPr>
              <w:spacing w:after="120"/>
              <w:rPr>
                <w:color w:val="000000"/>
                <w:sz w:val="18"/>
                <w:szCs w:val="18"/>
              </w:rPr>
            </w:pPr>
            <w:r w:rsidRPr="00BA4B73">
              <w:rPr>
                <w:bCs/>
                <w:color w:val="000000"/>
                <w:sz w:val="18"/>
                <w:szCs w:val="18"/>
              </w:rPr>
              <w:lastRenderedPageBreak/>
              <w:t>Abbreviations:</w:t>
            </w:r>
            <w:r w:rsidRPr="00BA4B73">
              <w:rPr>
                <w:color w:val="000000"/>
                <w:sz w:val="18"/>
                <w:szCs w:val="18"/>
              </w:rPr>
              <w:t xml:space="preserve"> </w:t>
            </w:r>
            <w:proofErr w:type="spellStart"/>
            <w:r w:rsidRPr="00BA4B73">
              <w:rPr>
                <w:color w:val="000000"/>
                <w:sz w:val="18"/>
                <w:szCs w:val="18"/>
              </w:rPr>
              <w:t>mITT</w:t>
            </w:r>
            <w:proofErr w:type="spellEnd"/>
            <w:r w:rsidRPr="00BA4B73">
              <w:rPr>
                <w:color w:val="000000"/>
                <w:sz w:val="18"/>
                <w:szCs w:val="18"/>
              </w:rPr>
              <w:t xml:space="preserve"> = modified intent to treat analysis; CI = confidence interval; NS = finding not statistically significant</w:t>
            </w:r>
            <w:r w:rsidR="00DF5F7D">
              <w:rPr>
                <w:color w:val="000000"/>
                <w:sz w:val="18"/>
                <w:szCs w:val="18"/>
              </w:rPr>
              <w:t xml:space="preserve"> at p=0.05</w:t>
            </w:r>
            <w:r w:rsidRPr="00BA4B73">
              <w:rPr>
                <w:color w:val="000000"/>
                <w:sz w:val="18"/>
                <w:szCs w:val="18"/>
              </w:rPr>
              <w:t>.</w:t>
            </w:r>
          </w:p>
          <w:p w:rsidR="00BA4B73" w:rsidRPr="00BA4B73" w:rsidRDefault="00BA4B73" w:rsidP="00BA4B73">
            <w:pPr>
              <w:spacing w:after="120"/>
              <w:rPr>
                <w:color w:val="000000"/>
                <w:sz w:val="18"/>
                <w:szCs w:val="18"/>
              </w:rPr>
            </w:pPr>
            <w:r w:rsidRPr="00BA4B73">
              <w:rPr>
                <w:color w:val="000000"/>
                <w:sz w:val="18"/>
                <w:szCs w:val="18"/>
              </w:rPr>
              <w:t xml:space="preserve">*Excluded only those enrolled participants later found to be infected at randomization and those with no follow-up visit or </w:t>
            </w:r>
            <w:r w:rsidRPr="00BA4B73">
              <w:rPr>
                <w:color w:val="000000"/>
                <w:sz w:val="18"/>
                <w:szCs w:val="18"/>
              </w:rPr>
              <w:br w:type="textWrapping" w:clear="all"/>
              <w:t>HIV test.</w:t>
            </w:r>
          </w:p>
          <w:p w:rsidR="00BA4B73" w:rsidRDefault="00BA4B73" w:rsidP="00BA4B73">
            <w:pPr>
              <w:spacing w:after="120"/>
              <w:rPr>
                <w:color w:val="000000"/>
                <w:sz w:val="18"/>
                <w:szCs w:val="18"/>
              </w:rPr>
            </w:pPr>
            <w:r w:rsidRPr="00BA4B73">
              <w:rPr>
                <w:color w:val="000000"/>
                <w:sz w:val="18"/>
                <w:szCs w:val="18"/>
              </w:rPr>
              <w:t xml:space="preserve">†The percentage of reduction in HIV incidence among persons with </w:t>
            </w:r>
            <w:r w:rsidRPr="00BA4B73">
              <w:rPr>
                <w:sz w:val="18"/>
                <w:szCs w:val="18"/>
              </w:rPr>
              <w:t>TDF</w:t>
            </w:r>
            <w:r w:rsidRPr="00BA4B73">
              <w:rPr>
                <w:color w:val="000000"/>
                <w:sz w:val="18"/>
                <w:szCs w:val="18"/>
              </w:rPr>
              <w:t xml:space="preserve"> detected in blood, compared with those without detectable TDF.</w:t>
            </w:r>
          </w:p>
          <w:p w:rsidR="00AD6F6A" w:rsidRPr="00BA4B73" w:rsidRDefault="00AD6F6A" w:rsidP="00BA4B73">
            <w:pPr>
              <w:spacing w:after="120"/>
              <w:rPr>
                <w:color w:val="000000"/>
                <w:sz w:val="18"/>
                <w:szCs w:val="18"/>
              </w:rPr>
            </w:pPr>
            <w:r>
              <w:rPr>
                <w:color w:val="000000"/>
                <w:sz w:val="18"/>
                <w:szCs w:val="18"/>
              </w:rPr>
              <w:t xml:space="preserve">§ At </w:t>
            </w:r>
            <w:r w:rsidRPr="00AD6F6A">
              <w:rPr>
                <w:color w:val="000000"/>
                <w:sz w:val="18"/>
                <w:szCs w:val="18"/>
              </w:rPr>
              <w:t xml:space="preserve">388 person-years of </w:t>
            </w:r>
            <w:proofErr w:type="spellStart"/>
            <w:r w:rsidRPr="00AD6F6A">
              <w:rPr>
                <w:color w:val="000000"/>
                <w:sz w:val="18"/>
                <w:szCs w:val="18"/>
              </w:rPr>
              <w:t>PrEP</w:t>
            </w:r>
            <w:proofErr w:type="spellEnd"/>
            <w:r w:rsidRPr="00AD6F6A">
              <w:rPr>
                <w:color w:val="000000"/>
                <w:sz w:val="18"/>
                <w:szCs w:val="18"/>
              </w:rPr>
              <w:t xml:space="preserve"> use</w:t>
            </w:r>
            <w:r>
              <w:rPr>
                <w:color w:val="000000"/>
                <w:sz w:val="18"/>
                <w:szCs w:val="18"/>
              </w:rPr>
              <w:t>.</w:t>
            </w:r>
          </w:p>
        </w:tc>
      </w:tr>
    </w:tbl>
    <w:p w:rsidR="00BA4B73" w:rsidRPr="00BA4B73" w:rsidRDefault="00BA4B73" w:rsidP="00BA4B73">
      <w:pPr>
        <w:rPr>
          <w:b/>
          <w:sz w:val="22"/>
          <w:szCs w:val="22"/>
        </w:rPr>
      </w:pPr>
    </w:p>
    <w:p w:rsidR="00BA4B73" w:rsidRPr="00BA4B73" w:rsidRDefault="00BA4B73" w:rsidP="00BA4B73">
      <w:pPr>
        <w:spacing w:after="120"/>
        <w:rPr>
          <w:sz w:val="22"/>
          <w:szCs w:val="22"/>
        </w:rPr>
      </w:pPr>
      <w:r w:rsidRPr="00BA4B73">
        <w:rPr>
          <w:sz w:val="22"/>
          <w:szCs w:val="22"/>
        </w:rPr>
        <w:t xml:space="preserve">In these five clinical trials, resistance to FTC and </w:t>
      </w:r>
      <w:r w:rsidR="002E36DA">
        <w:rPr>
          <w:sz w:val="22"/>
          <w:szCs w:val="22"/>
        </w:rPr>
        <w:t>TDF</w:t>
      </w:r>
      <w:r w:rsidRPr="00BA4B73">
        <w:rPr>
          <w:sz w:val="22"/>
          <w:szCs w:val="22"/>
        </w:rPr>
        <w:t xml:space="preserve"> was observed in some participants who were unknown to be acutely HIV infected upon initiation or who seroconverted during the trial.  Therefore, the potential for HIV drug resistance in persons taking PrEP does exist if acute HIV infection is not ruled out on initiation of PrEP or in cases of PrEP failure, which is most likely due to poor adherence.  Poor adherence makes selection of resistant viral strains more likely.</w:t>
      </w:r>
    </w:p>
    <w:p w:rsidR="00BA4B73" w:rsidRPr="00BA4B73" w:rsidRDefault="00BA4B73" w:rsidP="00BA4B73">
      <w:pPr>
        <w:spacing w:after="120"/>
        <w:rPr>
          <w:sz w:val="22"/>
          <w:szCs w:val="22"/>
        </w:rPr>
      </w:pPr>
      <w:r w:rsidRPr="00BA4B73">
        <w:rPr>
          <w:sz w:val="22"/>
          <w:szCs w:val="22"/>
        </w:rPr>
        <w:t>A study of “on demand” PrEP with Truvada</w:t>
      </w:r>
      <w:r w:rsidRPr="00BA4B73">
        <w:rPr>
          <w:sz w:val="22"/>
          <w:szCs w:val="22"/>
          <w:vertAlign w:val="superscript"/>
        </w:rPr>
        <w:t>®</w:t>
      </w:r>
      <w:r w:rsidRPr="00BA4B73">
        <w:rPr>
          <w:sz w:val="22"/>
          <w:szCs w:val="22"/>
        </w:rPr>
        <w:t xml:space="preserve"> in the United Kingdom in men who have sex with men who took PrEP before or after high risk sexual activity demonstrated an 86% (40-98%) reduction in HIV infection.</w:t>
      </w:r>
      <w:r w:rsidRPr="00BA4B73">
        <w:rPr>
          <w:sz w:val="22"/>
          <w:szCs w:val="22"/>
          <w:vertAlign w:val="superscript"/>
        </w:rPr>
        <w:endnoteReference w:id="9"/>
      </w:r>
      <w:r w:rsidRPr="00BA4B73">
        <w:rPr>
          <w:sz w:val="22"/>
          <w:szCs w:val="22"/>
        </w:rPr>
        <w:t xml:space="preserve">  On-demand PrEP refers to a dosing schedule where PrEP is taken intermittently, or only around times of sexual activity instead of every day.</w:t>
      </w:r>
      <w:r w:rsidRPr="00BA4B73">
        <w:rPr>
          <w:sz w:val="22"/>
          <w:szCs w:val="22"/>
          <w:vertAlign w:val="superscript"/>
        </w:rPr>
        <w:endnoteReference w:id="10"/>
      </w:r>
      <w:r w:rsidRPr="00BA4B73">
        <w:rPr>
          <w:sz w:val="22"/>
          <w:szCs w:val="22"/>
        </w:rPr>
        <w:t xml:space="preserve"> Participants took a median of 15 doses of Truvada</w:t>
      </w:r>
      <w:r w:rsidRPr="00BA4B73">
        <w:rPr>
          <w:sz w:val="22"/>
          <w:szCs w:val="22"/>
          <w:vertAlign w:val="superscript"/>
        </w:rPr>
        <w:t xml:space="preserve">® </w:t>
      </w:r>
      <w:r w:rsidRPr="00BA4B73">
        <w:rPr>
          <w:sz w:val="22"/>
          <w:szCs w:val="22"/>
        </w:rPr>
        <w:t>or placebo per month. While adherence to daily dosing is important when PrEP is used routinely, even intermittent situational PrEP (or post-exposure prophylaxis) may offer significant prevention advantage.</w:t>
      </w:r>
    </w:p>
    <w:p w:rsidR="00BA4B73" w:rsidRPr="00BA4B73" w:rsidRDefault="00BA4B73" w:rsidP="00BA4B73">
      <w:pPr>
        <w:spacing w:after="120"/>
        <w:rPr>
          <w:sz w:val="22"/>
          <w:szCs w:val="22"/>
        </w:rPr>
      </w:pPr>
      <w:r w:rsidRPr="00BA4B73">
        <w:rPr>
          <w:b/>
          <w:sz w:val="22"/>
          <w:szCs w:val="22"/>
        </w:rPr>
        <w:t>Important Considerations</w:t>
      </w:r>
    </w:p>
    <w:p w:rsidR="00BA4B73" w:rsidRPr="00BA4B73" w:rsidRDefault="00BA4B73" w:rsidP="00BA4B73">
      <w:pPr>
        <w:spacing w:after="120"/>
        <w:rPr>
          <w:sz w:val="22"/>
          <w:szCs w:val="22"/>
        </w:rPr>
      </w:pPr>
      <w:r w:rsidRPr="00BA4B73">
        <w:rPr>
          <w:sz w:val="22"/>
          <w:szCs w:val="22"/>
        </w:rPr>
        <w:t xml:space="preserve">In determining the appropriateness of </w:t>
      </w:r>
      <w:r w:rsidRPr="00BA4B73">
        <w:rPr>
          <w:color w:val="000000"/>
          <w:sz w:val="22"/>
          <w:szCs w:val="22"/>
        </w:rPr>
        <w:t>Truvada</w:t>
      </w:r>
      <w:r w:rsidRPr="00BA4B73">
        <w:rPr>
          <w:sz w:val="22"/>
          <w:szCs w:val="22"/>
          <w:vertAlign w:val="superscript"/>
        </w:rPr>
        <w:t>®</w:t>
      </w:r>
      <w:r w:rsidRPr="00BA4B73">
        <w:rPr>
          <w:sz w:val="22"/>
          <w:szCs w:val="22"/>
        </w:rPr>
        <w:t xml:space="preserve"> as PrEP, the following points should be considered:</w:t>
      </w:r>
    </w:p>
    <w:p w:rsidR="005C13FC" w:rsidRPr="005C13FC" w:rsidRDefault="005C13FC" w:rsidP="005C13FC">
      <w:pPr>
        <w:numPr>
          <w:ilvl w:val="0"/>
          <w:numId w:val="1"/>
        </w:numPr>
        <w:rPr>
          <w:sz w:val="22"/>
          <w:szCs w:val="22"/>
        </w:rPr>
      </w:pPr>
      <w:r w:rsidRPr="005C13FC">
        <w:rPr>
          <w:sz w:val="22"/>
          <w:szCs w:val="22"/>
        </w:rPr>
        <w:t xml:space="preserve">The majority of available data on efficacy of </w:t>
      </w:r>
      <w:proofErr w:type="spellStart"/>
      <w:r w:rsidRPr="005C13FC">
        <w:rPr>
          <w:sz w:val="22"/>
          <w:szCs w:val="22"/>
        </w:rPr>
        <w:t>PrEP</w:t>
      </w:r>
      <w:proofErr w:type="spellEnd"/>
      <w:r w:rsidRPr="005C13FC">
        <w:rPr>
          <w:sz w:val="22"/>
          <w:szCs w:val="22"/>
        </w:rPr>
        <w:t xml:space="preserve"> are from clinical trials. One recent, observational study by Kaiser Permanente in San Francisco found no new HIV infections among patients on </w:t>
      </w:r>
      <w:proofErr w:type="spellStart"/>
      <w:r w:rsidRPr="005C13FC">
        <w:rPr>
          <w:sz w:val="22"/>
          <w:szCs w:val="22"/>
        </w:rPr>
        <w:t>PrEP</w:t>
      </w:r>
      <w:proofErr w:type="spellEnd"/>
      <w:r w:rsidRPr="005C13FC">
        <w:rPr>
          <w:sz w:val="22"/>
          <w:szCs w:val="22"/>
        </w:rPr>
        <w:t xml:space="preserve"> during more than 32 months of observation.  Additional experience outside of a research environment is needed to assess effectiveness in the "real world."</w:t>
      </w:r>
    </w:p>
    <w:p w:rsidR="00B36D3F" w:rsidRDefault="00B36D3F" w:rsidP="00B36D3F">
      <w:pPr>
        <w:spacing w:after="120" w:line="276" w:lineRule="auto"/>
        <w:ind w:left="360"/>
        <w:rPr>
          <w:sz w:val="22"/>
          <w:szCs w:val="22"/>
        </w:rPr>
      </w:pPr>
    </w:p>
    <w:p w:rsidR="00BA4B73" w:rsidRPr="00BA4B73" w:rsidRDefault="00BA4B73" w:rsidP="00BA4B73">
      <w:pPr>
        <w:numPr>
          <w:ilvl w:val="0"/>
          <w:numId w:val="1"/>
        </w:numPr>
        <w:spacing w:after="120" w:line="276" w:lineRule="auto"/>
        <w:rPr>
          <w:sz w:val="22"/>
          <w:szCs w:val="22"/>
        </w:rPr>
      </w:pPr>
      <w:r w:rsidRPr="00BA4B73">
        <w:rPr>
          <w:sz w:val="22"/>
          <w:szCs w:val="22"/>
        </w:rPr>
        <w:t xml:space="preserve">In the absence of an HIV prevention vaccine, </w:t>
      </w:r>
      <w:r w:rsidRPr="00BA4B73">
        <w:rPr>
          <w:color w:val="000000"/>
          <w:sz w:val="22"/>
          <w:szCs w:val="22"/>
        </w:rPr>
        <w:t>Truvada</w:t>
      </w:r>
      <w:r w:rsidRPr="00BA4B73">
        <w:rPr>
          <w:sz w:val="22"/>
          <w:szCs w:val="22"/>
          <w:vertAlign w:val="superscript"/>
        </w:rPr>
        <w:t>®</w:t>
      </w:r>
      <w:r w:rsidRPr="00BA4B73">
        <w:rPr>
          <w:sz w:val="22"/>
          <w:szCs w:val="22"/>
        </w:rPr>
        <w:t xml:space="preserve"> as PrEP presents an evidence-based prevention option for individuals at high risk of sexual and drug-injection associated acquisition of HIV infection.</w:t>
      </w:r>
      <w:r w:rsidRPr="00BA4B73">
        <w:rPr>
          <w:sz w:val="22"/>
          <w:szCs w:val="22"/>
          <w:vertAlign w:val="superscript"/>
        </w:rPr>
        <w:endnoteReference w:id="11"/>
      </w:r>
    </w:p>
    <w:p w:rsidR="00BA4B73" w:rsidRPr="00BA4B73" w:rsidRDefault="00BA4B73" w:rsidP="00BA4B73">
      <w:pPr>
        <w:numPr>
          <w:ilvl w:val="0"/>
          <w:numId w:val="1"/>
        </w:numPr>
        <w:spacing w:after="120" w:line="276" w:lineRule="auto"/>
        <w:rPr>
          <w:sz w:val="22"/>
          <w:szCs w:val="22"/>
        </w:rPr>
      </w:pPr>
      <w:r w:rsidRPr="00BA4B73">
        <w:rPr>
          <w:sz w:val="22"/>
          <w:szCs w:val="22"/>
        </w:rPr>
        <w:t>In all of the trials, Truvada</w:t>
      </w:r>
      <w:r w:rsidRPr="00BA4B73">
        <w:rPr>
          <w:sz w:val="22"/>
          <w:szCs w:val="22"/>
          <w:vertAlign w:val="superscript"/>
        </w:rPr>
        <w:t>®</w:t>
      </w:r>
      <w:r w:rsidRPr="00BA4B73">
        <w:rPr>
          <w:sz w:val="22"/>
          <w:szCs w:val="22"/>
        </w:rPr>
        <w:t xml:space="preserve"> was only one part of a multi-component intervention.  Truvada</w:t>
      </w:r>
      <w:r w:rsidRPr="00BA4B73">
        <w:rPr>
          <w:sz w:val="22"/>
          <w:szCs w:val="22"/>
          <w:vertAlign w:val="superscript"/>
        </w:rPr>
        <w:t>®</w:t>
      </w:r>
      <w:r w:rsidRPr="00BA4B73">
        <w:rPr>
          <w:sz w:val="22"/>
          <w:szCs w:val="22"/>
        </w:rPr>
        <w:t xml:space="preserve"> was combined with relatively intensive, standard behavioral interventions, including risk reduction counseling, condom distribution, frequent HIV and STI testing, prompt STI treatment for newly diagnosed infections, and partner services. In the Bangkok Tenofovir Study, IDUs were provided with bleach to clean drug injection equipment and were offered methadone treatment. </w:t>
      </w:r>
    </w:p>
    <w:p w:rsidR="00BA4B73" w:rsidRPr="00BA4B73" w:rsidRDefault="00BA4B73" w:rsidP="00BA4B73">
      <w:pPr>
        <w:numPr>
          <w:ilvl w:val="0"/>
          <w:numId w:val="1"/>
        </w:numPr>
        <w:spacing w:after="120" w:line="276" w:lineRule="auto"/>
        <w:rPr>
          <w:sz w:val="22"/>
          <w:szCs w:val="22"/>
        </w:rPr>
      </w:pPr>
      <w:r w:rsidRPr="00BA4B73">
        <w:rPr>
          <w:sz w:val="22"/>
          <w:szCs w:val="22"/>
        </w:rPr>
        <w:t>All but one of the published studies were done in the developing world.  The iPrEx trial included men who have sex with men (MSM) and transgender women who have sex with men from the United States along with subjects at similar risk from five other countries.</w:t>
      </w:r>
    </w:p>
    <w:p w:rsidR="00BA4B73" w:rsidRPr="00BA4B73" w:rsidRDefault="00BA4B73" w:rsidP="00BA4B73">
      <w:pPr>
        <w:numPr>
          <w:ilvl w:val="0"/>
          <w:numId w:val="1"/>
        </w:numPr>
        <w:spacing w:after="120" w:line="276" w:lineRule="auto"/>
        <w:rPr>
          <w:sz w:val="22"/>
          <w:szCs w:val="22"/>
        </w:rPr>
      </w:pPr>
      <w:r w:rsidRPr="00BA4B73">
        <w:rPr>
          <w:sz w:val="22"/>
          <w:szCs w:val="22"/>
        </w:rPr>
        <w:t xml:space="preserve">Adherence to therapy, with adequate blood/tissue levels of active antiviral agents, appears to be the most important determinant of efficacy of </w:t>
      </w:r>
      <w:r w:rsidRPr="00BA4B73">
        <w:rPr>
          <w:color w:val="000000"/>
          <w:sz w:val="22"/>
          <w:szCs w:val="22"/>
        </w:rPr>
        <w:t>Truvada</w:t>
      </w:r>
      <w:r w:rsidRPr="00BA4B73">
        <w:rPr>
          <w:sz w:val="22"/>
          <w:szCs w:val="22"/>
          <w:vertAlign w:val="superscript"/>
        </w:rPr>
        <w:t>®</w:t>
      </w:r>
      <w:r w:rsidRPr="00BA4B73">
        <w:rPr>
          <w:sz w:val="22"/>
          <w:szCs w:val="22"/>
        </w:rPr>
        <w:t xml:space="preserve"> as PrEP.</w:t>
      </w:r>
    </w:p>
    <w:p w:rsidR="00BA4B73" w:rsidRPr="00BA4B73" w:rsidRDefault="00BA4B73" w:rsidP="00BA4B73">
      <w:pPr>
        <w:numPr>
          <w:ilvl w:val="0"/>
          <w:numId w:val="1"/>
        </w:numPr>
        <w:spacing w:after="120" w:line="276" w:lineRule="auto"/>
        <w:rPr>
          <w:sz w:val="22"/>
          <w:szCs w:val="22"/>
        </w:rPr>
      </w:pPr>
      <w:r w:rsidRPr="00BA4B73">
        <w:rPr>
          <w:sz w:val="22"/>
          <w:szCs w:val="22"/>
        </w:rPr>
        <w:t xml:space="preserve">While </w:t>
      </w:r>
      <w:r w:rsidRPr="00BA4B73">
        <w:rPr>
          <w:color w:val="000000"/>
          <w:sz w:val="22"/>
          <w:szCs w:val="22"/>
        </w:rPr>
        <w:t>Truvada</w:t>
      </w:r>
      <w:r w:rsidRPr="00BA4B73">
        <w:rPr>
          <w:sz w:val="22"/>
          <w:szCs w:val="22"/>
          <w:vertAlign w:val="superscript"/>
        </w:rPr>
        <w:t>®</w:t>
      </w:r>
      <w:r w:rsidRPr="00BA4B73">
        <w:rPr>
          <w:sz w:val="22"/>
          <w:szCs w:val="22"/>
        </w:rPr>
        <w:t xml:space="preserve"> combined with other antiviral medications is well tolerated in patients being treated for HIV infection, the clinical trials reported variable, but in some instances not insignificant, levels of nausea, vomiting, and dizziness (particularly during the initiation phase), as well as some evidence of diminished bone density, serum creatinine changes, lactic acidosis, and abnormal hepatic </w:t>
      </w:r>
      <w:r w:rsidRPr="00BA4B73">
        <w:rPr>
          <w:sz w:val="22"/>
          <w:szCs w:val="22"/>
        </w:rPr>
        <w:lastRenderedPageBreak/>
        <w:t xml:space="preserve">transaminase values.  Adverse events in long term administration of </w:t>
      </w:r>
      <w:r w:rsidRPr="00BA4B73">
        <w:rPr>
          <w:color w:val="000000"/>
          <w:sz w:val="22"/>
          <w:szCs w:val="22"/>
        </w:rPr>
        <w:t>Truvada</w:t>
      </w:r>
      <w:r w:rsidRPr="00BA4B73">
        <w:rPr>
          <w:sz w:val="22"/>
          <w:szCs w:val="22"/>
          <w:vertAlign w:val="superscript"/>
        </w:rPr>
        <w:t>®</w:t>
      </w:r>
      <w:r w:rsidRPr="00BA4B73">
        <w:rPr>
          <w:sz w:val="22"/>
          <w:szCs w:val="22"/>
        </w:rPr>
        <w:t xml:space="preserve"> in HIV-uninfected individuals have not been fully assessed.  However, in a recent analysis the case is made that, in the short and medium term, user safety of PrEP compares favorably with use of daily aspirin.</w:t>
      </w:r>
      <w:r w:rsidRPr="00BA4B73">
        <w:rPr>
          <w:sz w:val="22"/>
          <w:szCs w:val="22"/>
          <w:vertAlign w:val="superscript"/>
        </w:rPr>
        <w:endnoteReference w:id="12"/>
      </w:r>
    </w:p>
    <w:p w:rsidR="00BA4B73" w:rsidRPr="00BA4B73" w:rsidRDefault="00BA4B73" w:rsidP="00BA4B73">
      <w:pPr>
        <w:numPr>
          <w:ilvl w:val="0"/>
          <w:numId w:val="1"/>
        </w:numPr>
        <w:spacing w:after="120" w:line="276" w:lineRule="auto"/>
        <w:rPr>
          <w:sz w:val="22"/>
          <w:szCs w:val="22"/>
        </w:rPr>
      </w:pPr>
      <w:r w:rsidRPr="00BA4B73">
        <w:rPr>
          <w:sz w:val="22"/>
          <w:szCs w:val="22"/>
        </w:rPr>
        <w:t>Among serodiscordant sexual partners, a protection rate of 92- 96% has been demonstrated for the HIV-uninfected partner when the HIV-positive partner is treated early, and effectively with highly active antiretroviral therapy.</w:t>
      </w:r>
      <w:r w:rsidRPr="00BA4B73">
        <w:rPr>
          <w:sz w:val="22"/>
          <w:szCs w:val="22"/>
          <w:vertAlign w:val="superscript"/>
        </w:rPr>
        <w:endnoteReference w:id="13"/>
      </w:r>
      <w:r w:rsidRPr="00BA4B73">
        <w:rPr>
          <w:sz w:val="22"/>
          <w:szCs w:val="22"/>
          <w:vertAlign w:val="superscript"/>
        </w:rPr>
        <w:t>,</w:t>
      </w:r>
      <w:r w:rsidRPr="00BA4B73">
        <w:rPr>
          <w:sz w:val="22"/>
          <w:szCs w:val="22"/>
          <w:vertAlign w:val="superscript"/>
        </w:rPr>
        <w:endnoteReference w:id="14"/>
      </w:r>
      <w:r w:rsidRPr="00BA4B73">
        <w:rPr>
          <w:sz w:val="22"/>
          <w:szCs w:val="22"/>
        </w:rPr>
        <w:t xml:space="preserve">  Thus, "treatment as prevention" may be the best option for stable discordant partnerships.</w:t>
      </w:r>
    </w:p>
    <w:p w:rsidR="00BA4B73" w:rsidRPr="00BA4B73" w:rsidRDefault="00BA4B73" w:rsidP="00BA4B73">
      <w:pPr>
        <w:spacing w:after="120"/>
        <w:rPr>
          <w:b/>
          <w:sz w:val="22"/>
          <w:szCs w:val="22"/>
        </w:rPr>
      </w:pPr>
      <w:r w:rsidRPr="00BA4B73">
        <w:rPr>
          <w:b/>
          <w:sz w:val="22"/>
          <w:szCs w:val="22"/>
        </w:rPr>
        <w:t>Initiating PrEP</w:t>
      </w:r>
    </w:p>
    <w:p w:rsidR="00BA4B73" w:rsidRPr="00BA4B73" w:rsidRDefault="00BA4B73" w:rsidP="00BA4B73">
      <w:pPr>
        <w:spacing w:after="120"/>
        <w:rPr>
          <w:sz w:val="22"/>
          <w:szCs w:val="22"/>
        </w:rPr>
      </w:pPr>
      <w:r w:rsidRPr="00BA4B73">
        <w:rPr>
          <w:sz w:val="22"/>
          <w:szCs w:val="22"/>
        </w:rPr>
        <w:t>Research studies demonstrating efficacy of oral PrEP have involved particular high-risk populations, concomitant standardized behavioral interventions, fairly intensive support services, and use of Truvada</w:t>
      </w:r>
      <w:r w:rsidRPr="00BA4B73">
        <w:rPr>
          <w:sz w:val="22"/>
          <w:szCs w:val="22"/>
          <w:vertAlign w:val="superscript"/>
        </w:rPr>
        <w:t>®</w:t>
      </w:r>
      <w:r w:rsidRPr="00BA4B73">
        <w:rPr>
          <w:sz w:val="22"/>
          <w:szCs w:val="22"/>
        </w:rPr>
        <w:t>.  Generalizability to other and broader population groups needs further assessment.  Use of other antiviral regimens for PrEP cannot be recommended.</w:t>
      </w:r>
    </w:p>
    <w:p w:rsidR="00BA4B73" w:rsidRPr="00BA4B73" w:rsidRDefault="00BA4B73" w:rsidP="00BA4B73">
      <w:pPr>
        <w:spacing w:after="120"/>
        <w:rPr>
          <w:sz w:val="22"/>
          <w:szCs w:val="22"/>
        </w:rPr>
      </w:pPr>
      <w:r w:rsidRPr="00BA4B73">
        <w:rPr>
          <w:sz w:val="22"/>
          <w:szCs w:val="22"/>
        </w:rPr>
        <w:t>In light of the data available from clinical trials and the considerations above, the MDPH identifies certain high risk individuals who may particularly benefit from PrEP</w:t>
      </w:r>
      <w:r w:rsidR="002E36DA">
        <w:rPr>
          <w:sz w:val="22"/>
          <w:szCs w:val="22"/>
        </w:rPr>
        <w:t>,</w:t>
      </w:r>
      <w:r w:rsidRPr="00BA4B73">
        <w:rPr>
          <w:sz w:val="22"/>
          <w:szCs w:val="22"/>
        </w:rPr>
        <w:t xml:space="preserve"> and who should be evaluated for their risk for HIV acquisition, as well as readiness and clinical eligibility for PrEP.  </w:t>
      </w:r>
    </w:p>
    <w:p w:rsidR="00BA4B73" w:rsidRPr="00BA4B73" w:rsidRDefault="00BA4B73" w:rsidP="00BA4B73">
      <w:pPr>
        <w:rPr>
          <w:sz w:val="22"/>
          <w:szCs w:val="22"/>
        </w:rPr>
      </w:pPr>
      <w:r w:rsidRPr="00BA4B73">
        <w:rPr>
          <w:sz w:val="22"/>
          <w:szCs w:val="22"/>
        </w:rPr>
        <w:t>PrEP should only be prescribed for persons who are confirmed to be HIV-uninfected:</w:t>
      </w:r>
    </w:p>
    <w:p w:rsidR="00BA4B73" w:rsidRPr="00BA4B73" w:rsidRDefault="00BA4B73" w:rsidP="00BA4B73">
      <w:pPr>
        <w:rPr>
          <w:sz w:val="22"/>
          <w:szCs w:val="22"/>
        </w:rPr>
      </w:pPr>
    </w:p>
    <w:p w:rsidR="00BA4B73" w:rsidRPr="00BA4B73" w:rsidRDefault="00BA4B73" w:rsidP="00BA4B73">
      <w:pPr>
        <w:numPr>
          <w:ilvl w:val="0"/>
          <w:numId w:val="6"/>
        </w:numPr>
        <w:spacing w:after="120" w:line="276" w:lineRule="auto"/>
        <w:rPr>
          <w:sz w:val="22"/>
          <w:szCs w:val="22"/>
        </w:rPr>
      </w:pPr>
      <w:r w:rsidRPr="00BA4B73">
        <w:rPr>
          <w:sz w:val="22"/>
          <w:szCs w:val="22"/>
        </w:rPr>
        <w:t>Men who have sex with men (including transgender men) who currently have recent, repeated, condomless  anal sex;</w:t>
      </w:r>
    </w:p>
    <w:p w:rsidR="00BA4B73" w:rsidRPr="00BA4B73" w:rsidRDefault="00BA4B73" w:rsidP="00BA4B73">
      <w:pPr>
        <w:numPr>
          <w:ilvl w:val="0"/>
          <w:numId w:val="6"/>
        </w:numPr>
        <w:spacing w:after="120" w:line="276" w:lineRule="auto"/>
        <w:rPr>
          <w:sz w:val="22"/>
          <w:szCs w:val="22"/>
        </w:rPr>
      </w:pPr>
      <w:r w:rsidRPr="00BA4B73">
        <w:rPr>
          <w:sz w:val="22"/>
          <w:szCs w:val="22"/>
        </w:rPr>
        <w:t>Transgender females who currently have repeated, condomless, anal and/or vaginal sex with men</w:t>
      </w:r>
    </w:p>
    <w:p w:rsidR="00BA4B73" w:rsidRPr="00BA4B73" w:rsidRDefault="00BA4B73" w:rsidP="00BA4B73">
      <w:pPr>
        <w:numPr>
          <w:ilvl w:val="0"/>
          <w:numId w:val="6"/>
        </w:numPr>
        <w:spacing w:after="120" w:line="276" w:lineRule="auto"/>
        <w:rPr>
          <w:sz w:val="22"/>
          <w:szCs w:val="22"/>
        </w:rPr>
      </w:pPr>
      <w:r w:rsidRPr="00BA4B73">
        <w:rPr>
          <w:sz w:val="22"/>
          <w:szCs w:val="22"/>
        </w:rPr>
        <w:t>Members of heterosexual, serodiscordant couple wishing to conceive and who have been educated about the potential risks/benefit</w:t>
      </w:r>
    </w:p>
    <w:p w:rsidR="00BA4B73" w:rsidRPr="00BA4B73" w:rsidRDefault="00BA4B73" w:rsidP="00BA4B73">
      <w:pPr>
        <w:numPr>
          <w:ilvl w:val="0"/>
          <w:numId w:val="6"/>
        </w:numPr>
        <w:spacing w:after="120" w:line="276" w:lineRule="auto"/>
        <w:rPr>
          <w:sz w:val="22"/>
          <w:szCs w:val="22"/>
        </w:rPr>
      </w:pPr>
      <w:r w:rsidRPr="00BA4B73">
        <w:rPr>
          <w:sz w:val="22"/>
          <w:szCs w:val="22"/>
        </w:rPr>
        <w:t>Other individuals in a sexual relationship with a known HIV+ partner</w:t>
      </w:r>
    </w:p>
    <w:p w:rsidR="00BA4B73" w:rsidRPr="00BA4B73" w:rsidRDefault="00BA4B73" w:rsidP="00BA4B73">
      <w:pPr>
        <w:numPr>
          <w:ilvl w:val="0"/>
          <w:numId w:val="6"/>
        </w:numPr>
        <w:spacing w:after="120" w:line="276" w:lineRule="auto"/>
        <w:rPr>
          <w:sz w:val="22"/>
          <w:szCs w:val="22"/>
        </w:rPr>
      </w:pPr>
      <w:r w:rsidRPr="00BA4B73">
        <w:rPr>
          <w:sz w:val="22"/>
          <w:szCs w:val="22"/>
        </w:rPr>
        <w:t>Injecting drug users at risk for HIV acquisition through blood exposure secondary to sharing injection equipment, for whom other HIV prevention strategies are not expected to be effective</w:t>
      </w:r>
    </w:p>
    <w:p w:rsidR="00BA4B73" w:rsidRPr="00BA4B73" w:rsidRDefault="00BA4B73" w:rsidP="00BA4B73">
      <w:pPr>
        <w:numPr>
          <w:ilvl w:val="0"/>
          <w:numId w:val="6"/>
        </w:numPr>
        <w:spacing w:after="120" w:line="276" w:lineRule="auto"/>
        <w:rPr>
          <w:sz w:val="22"/>
          <w:szCs w:val="22"/>
        </w:rPr>
      </w:pPr>
      <w:r w:rsidRPr="00BA4B73">
        <w:rPr>
          <w:sz w:val="22"/>
          <w:szCs w:val="22"/>
        </w:rPr>
        <w:t>Individuals with recent and/or repeated diagnoses of syphilis, rectal gonorrhea or rectal chlamydia infection indicating risk for HIV infection</w:t>
      </w:r>
    </w:p>
    <w:p w:rsidR="00BA4B73" w:rsidRPr="00BA4B73" w:rsidRDefault="00BA4B73" w:rsidP="00BA4B73">
      <w:pPr>
        <w:numPr>
          <w:ilvl w:val="0"/>
          <w:numId w:val="6"/>
        </w:numPr>
        <w:spacing w:after="120" w:line="276" w:lineRule="auto"/>
        <w:rPr>
          <w:sz w:val="22"/>
          <w:szCs w:val="22"/>
        </w:rPr>
      </w:pPr>
      <w:r w:rsidRPr="00BA4B73">
        <w:rPr>
          <w:sz w:val="22"/>
          <w:szCs w:val="22"/>
        </w:rPr>
        <w:t>Individuals otherwise deemed appropriate by the prescribing clinician</w:t>
      </w:r>
    </w:p>
    <w:p w:rsidR="00BA4B73" w:rsidRPr="00BA4B73" w:rsidRDefault="00BA4B73" w:rsidP="00BA4B73">
      <w:pPr>
        <w:spacing w:after="120"/>
        <w:rPr>
          <w:sz w:val="22"/>
          <w:szCs w:val="22"/>
        </w:rPr>
      </w:pPr>
      <w:r w:rsidRPr="00BA4B73">
        <w:rPr>
          <w:sz w:val="22"/>
          <w:szCs w:val="22"/>
        </w:rPr>
        <w:t xml:space="preserve">Once a candidate for PrEP is confirmed at high risk for HIV infection: </w:t>
      </w:r>
    </w:p>
    <w:p w:rsidR="00BA4B73" w:rsidRPr="00BA4B73" w:rsidRDefault="00BA4B73" w:rsidP="00BA4B73">
      <w:pPr>
        <w:numPr>
          <w:ilvl w:val="0"/>
          <w:numId w:val="5"/>
        </w:numPr>
        <w:tabs>
          <w:tab w:val="num" w:pos="0"/>
        </w:tabs>
        <w:spacing w:after="120" w:line="276" w:lineRule="auto"/>
        <w:ind w:hanging="720"/>
        <w:rPr>
          <w:sz w:val="22"/>
          <w:szCs w:val="22"/>
        </w:rPr>
      </w:pPr>
      <w:r w:rsidRPr="00BA4B73">
        <w:rPr>
          <w:sz w:val="22"/>
          <w:szCs w:val="22"/>
        </w:rPr>
        <w:t>HIV infection should be ruled out by HIV antibody/antigen testing using a 4</w:t>
      </w:r>
      <w:r w:rsidRPr="00BA4B73">
        <w:rPr>
          <w:sz w:val="22"/>
          <w:szCs w:val="22"/>
          <w:vertAlign w:val="superscript"/>
        </w:rPr>
        <w:t>th</w:t>
      </w:r>
      <w:r w:rsidRPr="00BA4B73">
        <w:rPr>
          <w:sz w:val="22"/>
          <w:szCs w:val="22"/>
        </w:rPr>
        <w:t xml:space="preserve"> generation HIV assay.</w:t>
      </w:r>
      <w:r w:rsidRPr="00BA4B73">
        <w:rPr>
          <w:sz w:val="22"/>
          <w:szCs w:val="22"/>
          <w:vertAlign w:val="superscript"/>
        </w:rPr>
        <w:endnoteReference w:id="15"/>
      </w:r>
      <w:r w:rsidRPr="00BA4B73">
        <w:rPr>
          <w:sz w:val="22"/>
          <w:szCs w:val="22"/>
        </w:rPr>
        <w:t xml:space="preserve">  </w:t>
      </w:r>
    </w:p>
    <w:p w:rsidR="00BA4B73" w:rsidRPr="00BA4B73" w:rsidRDefault="00BA4B73" w:rsidP="00BA4B73">
      <w:pPr>
        <w:numPr>
          <w:ilvl w:val="0"/>
          <w:numId w:val="5"/>
        </w:numPr>
        <w:tabs>
          <w:tab w:val="num" w:pos="0"/>
        </w:tabs>
        <w:spacing w:after="120" w:line="276" w:lineRule="auto"/>
        <w:ind w:hanging="720"/>
        <w:rPr>
          <w:sz w:val="22"/>
          <w:szCs w:val="22"/>
        </w:rPr>
      </w:pPr>
      <w:r w:rsidRPr="00BA4B73">
        <w:rPr>
          <w:sz w:val="22"/>
          <w:szCs w:val="22"/>
        </w:rPr>
        <w:t>If signs and symptoms suggestive of acute HIV infection are present, rule out acute infection using an RNA test.</w:t>
      </w:r>
      <w:r w:rsidRPr="00BA4B73">
        <w:rPr>
          <w:bCs/>
          <w:sz w:val="22"/>
          <w:szCs w:val="22"/>
          <w:vertAlign w:val="superscript"/>
        </w:rPr>
        <w:endnoteReference w:id="16"/>
      </w:r>
      <w:r w:rsidRPr="00BA4B73">
        <w:rPr>
          <w:sz w:val="22"/>
          <w:szCs w:val="22"/>
        </w:rPr>
        <w:t xml:space="preserve">  PrEP should not be initiated until results </w:t>
      </w:r>
      <w:r w:rsidR="005949DF">
        <w:rPr>
          <w:sz w:val="22"/>
          <w:szCs w:val="22"/>
        </w:rPr>
        <w:t>are</w:t>
      </w:r>
      <w:r w:rsidRPr="00BA4B73">
        <w:rPr>
          <w:sz w:val="22"/>
          <w:szCs w:val="22"/>
        </w:rPr>
        <w:t xml:space="preserve"> known.  </w:t>
      </w:r>
    </w:p>
    <w:p w:rsidR="00BA4B73" w:rsidRPr="00BA4B73" w:rsidRDefault="00BA4B73" w:rsidP="00BA4B73">
      <w:pPr>
        <w:numPr>
          <w:ilvl w:val="0"/>
          <w:numId w:val="5"/>
        </w:numPr>
        <w:tabs>
          <w:tab w:val="num" w:pos="0"/>
        </w:tabs>
        <w:spacing w:after="120" w:line="276" w:lineRule="auto"/>
        <w:ind w:hanging="720"/>
        <w:rPr>
          <w:sz w:val="22"/>
          <w:szCs w:val="22"/>
        </w:rPr>
      </w:pPr>
      <w:r w:rsidRPr="00BA4B73">
        <w:rPr>
          <w:sz w:val="22"/>
          <w:szCs w:val="22"/>
        </w:rPr>
        <w:t>The PrEP candidate should be screened for STI and viral hepatitis, and immunized against hepatitis A and B</w:t>
      </w:r>
      <w:r w:rsidR="005949DF">
        <w:rPr>
          <w:sz w:val="22"/>
          <w:szCs w:val="22"/>
        </w:rPr>
        <w:t>, if susceptible</w:t>
      </w:r>
      <w:r w:rsidRPr="00BA4B73">
        <w:rPr>
          <w:sz w:val="22"/>
          <w:szCs w:val="22"/>
        </w:rPr>
        <w:t>.</w:t>
      </w:r>
    </w:p>
    <w:p w:rsidR="00BA4B73" w:rsidRPr="00BA4B73" w:rsidRDefault="00BA4B73" w:rsidP="00BA4B73">
      <w:pPr>
        <w:numPr>
          <w:ilvl w:val="0"/>
          <w:numId w:val="5"/>
        </w:numPr>
        <w:tabs>
          <w:tab w:val="num" w:pos="0"/>
        </w:tabs>
        <w:spacing w:after="120" w:line="276" w:lineRule="auto"/>
        <w:ind w:hanging="720"/>
        <w:rPr>
          <w:sz w:val="22"/>
          <w:szCs w:val="22"/>
        </w:rPr>
      </w:pPr>
      <w:r w:rsidRPr="00BA4B73">
        <w:rPr>
          <w:sz w:val="22"/>
          <w:szCs w:val="22"/>
        </w:rPr>
        <w:t>Possible drug interactions should be ruled out.</w:t>
      </w:r>
      <w:r w:rsidRPr="00BA4B73">
        <w:rPr>
          <w:sz w:val="22"/>
          <w:szCs w:val="22"/>
          <w:vertAlign w:val="superscript"/>
        </w:rPr>
        <w:endnoteReference w:id="17"/>
      </w:r>
    </w:p>
    <w:p w:rsidR="00BA4B73" w:rsidRPr="00BA4B73" w:rsidRDefault="00BA4B73" w:rsidP="00BA4B73">
      <w:pPr>
        <w:numPr>
          <w:ilvl w:val="0"/>
          <w:numId w:val="5"/>
        </w:numPr>
        <w:tabs>
          <w:tab w:val="num" w:pos="0"/>
        </w:tabs>
        <w:spacing w:after="120" w:line="276" w:lineRule="auto"/>
        <w:ind w:hanging="720"/>
        <w:rPr>
          <w:sz w:val="22"/>
          <w:szCs w:val="22"/>
        </w:rPr>
      </w:pPr>
      <w:r w:rsidRPr="00BA4B73">
        <w:rPr>
          <w:sz w:val="22"/>
          <w:szCs w:val="22"/>
        </w:rPr>
        <w:lastRenderedPageBreak/>
        <w:t xml:space="preserve">Female candidates should be tested for pregnancy. </w:t>
      </w:r>
      <w:r w:rsidRPr="00BA4B73">
        <w:rPr>
          <w:sz w:val="22"/>
          <w:szCs w:val="22"/>
          <w:lang w:val="en"/>
        </w:rPr>
        <w:t xml:space="preserve">If a patient takes PrEP while pregnant, or becomes pregnant during use of PrEP, providers are encouraged to prospectively </w:t>
      </w:r>
      <w:r w:rsidR="005949DF">
        <w:rPr>
          <w:sz w:val="22"/>
          <w:szCs w:val="22"/>
          <w:lang w:val="en"/>
        </w:rPr>
        <w:t>s</w:t>
      </w:r>
      <w:r w:rsidR="005949DF" w:rsidRPr="00BA4B73">
        <w:rPr>
          <w:sz w:val="22"/>
          <w:szCs w:val="22"/>
          <w:lang w:val="en"/>
        </w:rPr>
        <w:t xml:space="preserve">ubmit </w:t>
      </w:r>
      <w:r w:rsidRPr="00BA4B73">
        <w:rPr>
          <w:sz w:val="22"/>
          <w:szCs w:val="22"/>
          <w:lang w:val="en"/>
        </w:rPr>
        <w:t xml:space="preserve">de-identified patient information to the </w:t>
      </w:r>
      <w:r w:rsidRPr="00BA4B73">
        <w:rPr>
          <w:i/>
          <w:sz w:val="22"/>
          <w:szCs w:val="22"/>
          <w:lang w:val="en"/>
        </w:rPr>
        <w:t>Antiretroviral Pregnancy Registry.</w:t>
      </w:r>
      <w:r w:rsidRPr="00BA4B73">
        <w:rPr>
          <w:sz w:val="22"/>
          <w:szCs w:val="22"/>
          <w:vertAlign w:val="superscript"/>
          <w:lang w:val="en"/>
        </w:rPr>
        <w:endnoteReference w:id="18"/>
      </w:r>
      <w:r w:rsidRPr="00BA4B73">
        <w:rPr>
          <w:sz w:val="22"/>
          <w:szCs w:val="22"/>
        </w:rPr>
        <w:t xml:space="preserve"> </w:t>
      </w:r>
    </w:p>
    <w:p w:rsidR="00BA4B73" w:rsidRPr="00BA4B73" w:rsidRDefault="00BA4B73" w:rsidP="00BA4B73">
      <w:pPr>
        <w:numPr>
          <w:ilvl w:val="0"/>
          <w:numId w:val="5"/>
        </w:numPr>
        <w:tabs>
          <w:tab w:val="num" w:pos="0"/>
        </w:tabs>
        <w:spacing w:after="120" w:line="276" w:lineRule="auto"/>
        <w:ind w:hanging="720"/>
        <w:rPr>
          <w:sz w:val="22"/>
          <w:szCs w:val="22"/>
        </w:rPr>
      </w:pPr>
      <w:r w:rsidRPr="00BA4B73">
        <w:rPr>
          <w:sz w:val="22"/>
          <w:szCs w:val="22"/>
        </w:rPr>
        <w:t>Confirm creatinine clearance is greater than or equal to 60mL/min (</w:t>
      </w:r>
      <w:r w:rsidR="005949DF">
        <w:rPr>
          <w:sz w:val="22"/>
          <w:szCs w:val="22"/>
        </w:rPr>
        <w:t xml:space="preserve">using the </w:t>
      </w:r>
      <w:r w:rsidRPr="00BA4B73">
        <w:rPr>
          <w:sz w:val="22"/>
          <w:szCs w:val="22"/>
        </w:rPr>
        <w:t>Cockcroft-Gault formula)</w:t>
      </w:r>
      <w:r w:rsidRPr="00BA4B73">
        <w:rPr>
          <w:sz w:val="22"/>
          <w:szCs w:val="22"/>
          <w:vertAlign w:val="superscript"/>
        </w:rPr>
        <w:endnoteReference w:id="19"/>
      </w:r>
      <w:r w:rsidRPr="00BA4B73">
        <w:rPr>
          <w:sz w:val="22"/>
          <w:szCs w:val="22"/>
        </w:rPr>
        <w:t xml:space="preserve"> </w:t>
      </w:r>
    </w:p>
    <w:p w:rsidR="00BA4B73" w:rsidRPr="00BA4B73" w:rsidRDefault="00BA4B73" w:rsidP="00BA4B73">
      <w:pPr>
        <w:rPr>
          <w:sz w:val="22"/>
          <w:szCs w:val="22"/>
        </w:rPr>
      </w:pPr>
      <w:r w:rsidRPr="00BA4B73">
        <w:rPr>
          <w:color w:val="000000"/>
          <w:sz w:val="22"/>
          <w:szCs w:val="22"/>
        </w:rPr>
        <w:t>Truvada</w:t>
      </w:r>
      <w:r w:rsidRPr="00BA4B73">
        <w:rPr>
          <w:sz w:val="22"/>
          <w:szCs w:val="22"/>
          <w:vertAlign w:val="superscript"/>
        </w:rPr>
        <w:t>®</w:t>
      </w:r>
      <w:r w:rsidRPr="00BA4B73">
        <w:rPr>
          <w:sz w:val="22"/>
          <w:szCs w:val="22"/>
        </w:rPr>
        <w:t xml:space="preserve"> is excreted via the kidney, and increased drug levels can accumulate with renal impairment.  Renal impairment also has been reported with use of TDF.  PrEP is not recommended for individuals with creatinine clearance of &lt;60 mL per minute, and all patients treated with </w:t>
      </w:r>
      <w:r w:rsidRPr="00BA4B73">
        <w:rPr>
          <w:color w:val="000000"/>
          <w:sz w:val="22"/>
          <w:szCs w:val="22"/>
        </w:rPr>
        <w:t>Truvada</w:t>
      </w:r>
      <w:r w:rsidRPr="00BA4B73">
        <w:rPr>
          <w:sz w:val="22"/>
          <w:szCs w:val="22"/>
          <w:vertAlign w:val="superscript"/>
        </w:rPr>
        <w:t>®</w:t>
      </w:r>
      <w:r w:rsidRPr="00BA4B73">
        <w:rPr>
          <w:sz w:val="22"/>
          <w:szCs w:val="22"/>
        </w:rPr>
        <w:t xml:space="preserve"> should have renal function monitored three months after initiation and every six months thereafter while using the PrEP regimen.</w:t>
      </w:r>
    </w:p>
    <w:p w:rsidR="005949DF" w:rsidRDefault="005949DF" w:rsidP="00BA4B73">
      <w:pPr>
        <w:rPr>
          <w:sz w:val="22"/>
          <w:szCs w:val="22"/>
        </w:rPr>
      </w:pPr>
    </w:p>
    <w:p w:rsidR="00BA4B73" w:rsidRPr="00BA4B73" w:rsidRDefault="00BA4B73" w:rsidP="00BA4B73">
      <w:pPr>
        <w:rPr>
          <w:b/>
          <w:sz w:val="22"/>
          <w:szCs w:val="22"/>
        </w:rPr>
      </w:pPr>
      <w:r w:rsidRPr="00BA4B73">
        <w:rPr>
          <w:b/>
          <w:sz w:val="22"/>
          <w:szCs w:val="22"/>
        </w:rPr>
        <w:t>Recommended Protocol</w:t>
      </w:r>
    </w:p>
    <w:p w:rsidR="00BA4B73" w:rsidRPr="00BA4B73" w:rsidRDefault="00BA4B73" w:rsidP="00BA4B73">
      <w:pPr>
        <w:rPr>
          <w:sz w:val="22"/>
          <w:szCs w:val="22"/>
        </w:rPr>
      </w:pPr>
      <w:r w:rsidRPr="00BA4B73">
        <w:rPr>
          <w:sz w:val="22"/>
          <w:szCs w:val="22"/>
        </w:rPr>
        <w:t>Tenofovir disoproxil fumarate (TDF) 300 mg plus emtricitabine (FTC) 200 mg, as one Truvada</w:t>
      </w:r>
      <w:r w:rsidRPr="00BA4B73">
        <w:rPr>
          <w:sz w:val="22"/>
          <w:szCs w:val="22"/>
          <w:vertAlign w:val="superscript"/>
        </w:rPr>
        <w:t xml:space="preserve">® </w:t>
      </w:r>
      <w:r w:rsidRPr="00BA4B73">
        <w:rPr>
          <w:sz w:val="22"/>
          <w:szCs w:val="22"/>
        </w:rPr>
        <w:t>tablet, daily.  At this time, the MDPH does not recommend intermittent PrEP based on periodic risk behavior due to questions about the ability of most individuals to correctly anticipate their high-risk behaviors, and concern about the development of antiviral resistance.</w:t>
      </w:r>
    </w:p>
    <w:p w:rsidR="00BA4B73" w:rsidRPr="00BA4B73" w:rsidRDefault="00BA4B73" w:rsidP="00BA4B73">
      <w:pPr>
        <w:rPr>
          <w:sz w:val="22"/>
          <w:szCs w:val="22"/>
        </w:rPr>
      </w:pPr>
    </w:p>
    <w:p w:rsidR="00BA4B73" w:rsidRPr="00BA4B73" w:rsidRDefault="00BA4B73" w:rsidP="00BA4B73">
      <w:pPr>
        <w:rPr>
          <w:b/>
          <w:sz w:val="22"/>
          <w:szCs w:val="22"/>
        </w:rPr>
      </w:pPr>
      <w:r w:rsidRPr="00BA4B73">
        <w:rPr>
          <w:b/>
          <w:sz w:val="22"/>
          <w:szCs w:val="22"/>
        </w:rPr>
        <w:t>Follow-up and Discontinuation</w:t>
      </w:r>
    </w:p>
    <w:p w:rsidR="00BA4B73" w:rsidRPr="00BA4B73" w:rsidRDefault="00BA4B73" w:rsidP="00BA4B73">
      <w:pPr>
        <w:rPr>
          <w:sz w:val="22"/>
          <w:szCs w:val="22"/>
        </w:rPr>
      </w:pPr>
      <w:r w:rsidRPr="00BA4B73">
        <w:rPr>
          <w:sz w:val="22"/>
          <w:szCs w:val="22"/>
        </w:rPr>
        <w:t xml:space="preserve">The CDC provides guidance for clinicians on the use of PrEP, with detailed recommendations for follow-up of patients on PrEP in </w:t>
      </w:r>
      <w:r w:rsidRPr="00BA4B73">
        <w:rPr>
          <w:i/>
          <w:sz w:val="22"/>
          <w:szCs w:val="22"/>
        </w:rPr>
        <w:t>Preexposure Prophylaxis for the Prevention of HIV Infection in the United States – 2014 Clinical Practice Guideline</w:t>
      </w:r>
      <w:r w:rsidRPr="00BA4B73">
        <w:rPr>
          <w:sz w:val="22"/>
          <w:szCs w:val="22"/>
        </w:rPr>
        <w:t>.</w:t>
      </w:r>
      <w:r w:rsidRPr="00BA4B73">
        <w:rPr>
          <w:sz w:val="22"/>
          <w:szCs w:val="22"/>
          <w:vertAlign w:val="superscript"/>
        </w:rPr>
        <w:endnoteReference w:id="20"/>
      </w:r>
      <w:r w:rsidRPr="00BA4B73">
        <w:rPr>
          <w:i/>
          <w:sz w:val="22"/>
          <w:szCs w:val="22"/>
        </w:rPr>
        <w:t xml:space="preserve"> </w:t>
      </w:r>
      <w:r w:rsidRPr="00BA4B73">
        <w:rPr>
          <w:sz w:val="22"/>
          <w:szCs w:val="22"/>
        </w:rPr>
        <w:t xml:space="preserve">       </w:t>
      </w:r>
    </w:p>
    <w:p w:rsidR="00BA4B73" w:rsidRPr="00BA4B73" w:rsidRDefault="00BA4B73" w:rsidP="00BA4B73">
      <w:pPr>
        <w:rPr>
          <w:sz w:val="22"/>
          <w:szCs w:val="22"/>
        </w:rPr>
      </w:pPr>
    </w:p>
    <w:p w:rsidR="00BA4B73" w:rsidRPr="00BA4B73" w:rsidRDefault="00BA4B73" w:rsidP="00BA4B73">
      <w:pPr>
        <w:rPr>
          <w:sz w:val="22"/>
          <w:szCs w:val="22"/>
        </w:rPr>
      </w:pPr>
      <w:r w:rsidRPr="00BA4B73">
        <w:rPr>
          <w:sz w:val="22"/>
          <w:szCs w:val="22"/>
        </w:rPr>
        <w:t xml:space="preserve">Key points for follow-up include ongoing risk reduction, PrEP adherence counseling and ongoing provision of condoms to support sexual risk reduction.  Drug injectors should have access to sterile injection equipment, naloxone to prevent overdose, and referral to opioid replacement therapy and/or other drug treatment.  </w:t>
      </w:r>
    </w:p>
    <w:p w:rsidR="00BA4B73" w:rsidRPr="00BA4B73" w:rsidRDefault="00BA4B73" w:rsidP="00BA4B73">
      <w:pPr>
        <w:numPr>
          <w:ilvl w:val="0"/>
          <w:numId w:val="2"/>
        </w:numPr>
        <w:spacing w:after="200" w:line="276" w:lineRule="auto"/>
        <w:contextualSpacing/>
        <w:rPr>
          <w:sz w:val="22"/>
          <w:szCs w:val="22"/>
        </w:rPr>
      </w:pPr>
      <w:r w:rsidRPr="00BA4B73">
        <w:rPr>
          <w:sz w:val="22"/>
          <w:szCs w:val="22"/>
        </w:rPr>
        <w:t>Every 2-3 months:</w:t>
      </w:r>
    </w:p>
    <w:p w:rsidR="00BA4B73" w:rsidRPr="00BA4B73" w:rsidRDefault="00BA4B73" w:rsidP="00BA4B73">
      <w:pPr>
        <w:numPr>
          <w:ilvl w:val="1"/>
          <w:numId w:val="2"/>
        </w:numPr>
        <w:spacing w:after="200" w:line="276" w:lineRule="auto"/>
        <w:contextualSpacing/>
        <w:rPr>
          <w:sz w:val="22"/>
          <w:szCs w:val="22"/>
        </w:rPr>
      </w:pPr>
      <w:r w:rsidRPr="00BA4B73">
        <w:rPr>
          <w:sz w:val="22"/>
          <w:szCs w:val="22"/>
        </w:rPr>
        <w:t>HIV antibody/antigen testing (4</w:t>
      </w:r>
      <w:r w:rsidRPr="00BA4B73">
        <w:rPr>
          <w:sz w:val="22"/>
          <w:szCs w:val="22"/>
          <w:vertAlign w:val="superscript"/>
        </w:rPr>
        <w:t>th</w:t>
      </w:r>
      <w:r w:rsidRPr="00BA4B73">
        <w:rPr>
          <w:sz w:val="22"/>
          <w:szCs w:val="22"/>
        </w:rPr>
        <w:t xml:space="preserve"> generation)</w:t>
      </w:r>
    </w:p>
    <w:p w:rsidR="00BA4B73" w:rsidRPr="00BA4B73" w:rsidRDefault="00BA4B73" w:rsidP="00BA4B73">
      <w:pPr>
        <w:numPr>
          <w:ilvl w:val="1"/>
          <w:numId w:val="2"/>
        </w:numPr>
        <w:spacing w:after="200" w:line="276" w:lineRule="auto"/>
        <w:contextualSpacing/>
        <w:rPr>
          <w:sz w:val="22"/>
          <w:szCs w:val="22"/>
        </w:rPr>
      </w:pPr>
      <w:r w:rsidRPr="00BA4B73">
        <w:rPr>
          <w:sz w:val="22"/>
          <w:szCs w:val="22"/>
        </w:rPr>
        <w:t>Pregnancy testing for women</w:t>
      </w:r>
    </w:p>
    <w:p w:rsidR="00BA4B73" w:rsidRPr="00BA4B73" w:rsidRDefault="00BA4B73" w:rsidP="00BA4B73">
      <w:pPr>
        <w:numPr>
          <w:ilvl w:val="1"/>
          <w:numId w:val="2"/>
        </w:numPr>
        <w:spacing w:after="200" w:line="276" w:lineRule="auto"/>
        <w:contextualSpacing/>
        <w:rPr>
          <w:sz w:val="22"/>
          <w:szCs w:val="22"/>
        </w:rPr>
      </w:pPr>
      <w:r w:rsidRPr="00BA4B73">
        <w:rPr>
          <w:sz w:val="22"/>
          <w:szCs w:val="22"/>
        </w:rPr>
        <w:t>Evaluation of adherence and need for more intensive support services</w:t>
      </w:r>
    </w:p>
    <w:p w:rsidR="00BA4B73" w:rsidRPr="00BA4B73" w:rsidRDefault="00BA4B73" w:rsidP="00BA4B73">
      <w:pPr>
        <w:numPr>
          <w:ilvl w:val="1"/>
          <w:numId w:val="2"/>
        </w:numPr>
        <w:spacing w:after="200" w:line="276" w:lineRule="auto"/>
        <w:contextualSpacing/>
        <w:rPr>
          <w:sz w:val="22"/>
          <w:szCs w:val="22"/>
        </w:rPr>
      </w:pPr>
      <w:r w:rsidRPr="00BA4B73">
        <w:rPr>
          <w:sz w:val="22"/>
          <w:szCs w:val="22"/>
        </w:rPr>
        <w:t>Screening/treating for STIs and hepatitis C infection</w:t>
      </w:r>
    </w:p>
    <w:p w:rsidR="00BA4B73" w:rsidRPr="00BA4B73" w:rsidRDefault="00BA4B73" w:rsidP="00BA4B73">
      <w:pPr>
        <w:numPr>
          <w:ilvl w:val="1"/>
          <w:numId w:val="2"/>
        </w:numPr>
        <w:spacing w:after="200" w:line="276" w:lineRule="auto"/>
        <w:contextualSpacing/>
        <w:rPr>
          <w:sz w:val="22"/>
          <w:szCs w:val="22"/>
        </w:rPr>
      </w:pPr>
      <w:r w:rsidRPr="00BA4B73">
        <w:rPr>
          <w:sz w:val="22"/>
          <w:szCs w:val="22"/>
        </w:rPr>
        <w:t>Monitoring serum creatinine 3 months after initiation and every 6 months thereafter</w:t>
      </w:r>
    </w:p>
    <w:p w:rsidR="00BA4B73" w:rsidRPr="00BA4B73" w:rsidRDefault="00BA4B73" w:rsidP="00BA4B73">
      <w:pPr>
        <w:numPr>
          <w:ilvl w:val="0"/>
          <w:numId w:val="2"/>
        </w:numPr>
        <w:spacing w:after="200" w:line="276" w:lineRule="auto"/>
        <w:contextualSpacing/>
        <w:rPr>
          <w:sz w:val="22"/>
          <w:szCs w:val="22"/>
        </w:rPr>
      </w:pPr>
      <w:r w:rsidRPr="00BA4B73">
        <w:rPr>
          <w:sz w:val="22"/>
          <w:szCs w:val="22"/>
        </w:rPr>
        <w:t xml:space="preserve">Report adverse events to FDA at 1-800-FDA-1088 or </w:t>
      </w:r>
      <w:hyperlink r:id="rId10" w:history="1">
        <w:r w:rsidRPr="00BA4B73">
          <w:rPr>
            <w:color w:val="0000FF"/>
            <w:sz w:val="22"/>
            <w:szCs w:val="22"/>
            <w:u w:val="single"/>
          </w:rPr>
          <w:t>www.fda.gov/medwatch</w:t>
        </w:r>
      </w:hyperlink>
      <w:r w:rsidRPr="00BA4B73">
        <w:rPr>
          <w:sz w:val="22"/>
          <w:szCs w:val="22"/>
        </w:rPr>
        <w:t xml:space="preserve"> </w:t>
      </w:r>
    </w:p>
    <w:p w:rsidR="00BA4B73" w:rsidRPr="00BA4B73" w:rsidRDefault="00BA4B73" w:rsidP="00BA4B73">
      <w:pPr>
        <w:rPr>
          <w:sz w:val="22"/>
          <w:szCs w:val="22"/>
        </w:rPr>
      </w:pPr>
    </w:p>
    <w:p w:rsidR="00BA4B73" w:rsidRPr="00BA4B73" w:rsidRDefault="00BA4B73" w:rsidP="00BA4B73">
      <w:pPr>
        <w:rPr>
          <w:sz w:val="22"/>
          <w:szCs w:val="22"/>
        </w:rPr>
      </w:pPr>
      <w:r w:rsidRPr="00BA4B73">
        <w:rPr>
          <w:sz w:val="22"/>
          <w:szCs w:val="22"/>
        </w:rPr>
        <w:t xml:space="preserve">Key indications for discontinuation include: </w:t>
      </w:r>
    </w:p>
    <w:p w:rsidR="00BA4B73" w:rsidRPr="00BA4B73" w:rsidRDefault="00BA4B73" w:rsidP="00BA4B73">
      <w:pPr>
        <w:numPr>
          <w:ilvl w:val="0"/>
          <w:numId w:val="3"/>
        </w:numPr>
        <w:spacing w:after="200" w:line="276" w:lineRule="auto"/>
        <w:contextualSpacing/>
        <w:rPr>
          <w:sz w:val="22"/>
          <w:szCs w:val="22"/>
        </w:rPr>
      </w:pPr>
      <w:r w:rsidRPr="00BA4B73">
        <w:rPr>
          <w:sz w:val="22"/>
          <w:szCs w:val="22"/>
        </w:rPr>
        <w:t>If the patient tests positive for HIV infection or acute infection</w:t>
      </w:r>
      <w:r w:rsidR="005949DF">
        <w:rPr>
          <w:sz w:val="22"/>
          <w:szCs w:val="22"/>
        </w:rPr>
        <w:t xml:space="preserve"> is suspected</w:t>
      </w:r>
    </w:p>
    <w:p w:rsidR="00BA4B73" w:rsidRPr="00BA4B73" w:rsidRDefault="00BA4B73" w:rsidP="00BA4B73">
      <w:pPr>
        <w:numPr>
          <w:ilvl w:val="0"/>
          <w:numId w:val="3"/>
        </w:numPr>
        <w:spacing w:after="200" w:line="276" w:lineRule="auto"/>
        <w:contextualSpacing/>
        <w:rPr>
          <w:sz w:val="22"/>
          <w:szCs w:val="22"/>
        </w:rPr>
      </w:pPr>
      <w:r w:rsidRPr="00BA4B73">
        <w:rPr>
          <w:sz w:val="22"/>
          <w:szCs w:val="22"/>
        </w:rPr>
        <w:t>If the patient wishes to discontinue treatment</w:t>
      </w:r>
    </w:p>
    <w:p w:rsidR="00BA4B73" w:rsidRPr="00BA4B73" w:rsidRDefault="00BA4B73" w:rsidP="00BA4B73">
      <w:pPr>
        <w:numPr>
          <w:ilvl w:val="0"/>
          <w:numId w:val="3"/>
        </w:numPr>
        <w:spacing w:after="60" w:line="276" w:lineRule="auto"/>
        <w:rPr>
          <w:b/>
          <w:sz w:val="22"/>
          <w:szCs w:val="22"/>
        </w:rPr>
      </w:pPr>
      <w:r w:rsidRPr="00BA4B73">
        <w:rPr>
          <w:sz w:val="22"/>
          <w:szCs w:val="22"/>
        </w:rPr>
        <w:t>If the patient is clinically diagnosed with any medical condition or has an abnormal lab</w:t>
      </w:r>
      <w:r w:rsidR="005949DF">
        <w:rPr>
          <w:sz w:val="22"/>
          <w:szCs w:val="22"/>
        </w:rPr>
        <w:t>oratory</w:t>
      </w:r>
      <w:r w:rsidRPr="00BA4B73">
        <w:rPr>
          <w:sz w:val="22"/>
          <w:szCs w:val="22"/>
        </w:rPr>
        <w:t xml:space="preserve"> value inconsistent with the safe administration of Truvada</w:t>
      </w:r>
      <w:r w:rsidRPr="00BA4B73">
        <w:rPr>
          <w:sz w:val="22"/>
          <w:szCs w:val="22"/>
          <w:vertAlign w:val="superscript"/>
        </w:rPr>
        <w:t xml:space="preserve">® </w:t>
      </w:r>
      <w:r w:rsidRPr="00BA4B73">
        <w:rPr>
          <w:sz w:val="22"/>
          <w:szCs w:val="22"/>
        </w:rPr>
        <w:t>as PrEP</w:t>
      </w:r>
    </w:p>
    <w:p w:rsidR="00BA4B73" w:rsidRPr="00BA4B73" w:rsidRDefault="00BA4B73" w:rsidP="00BA4B73">
      <w:pPr>
        <w:numPr>
          <w:ilvl w:val="0"/>
          <w:numId w:val="3"/>
        </w:numPr>
        <w:spacing w:after="60" w:line="276" w:lineRule="auto"/>
      </w:pPr>
      <w:r w:rsidRPr="00BA4B73">
        <w:rPr>
          <w:sz w:val="22"/>
          <w:szCs w:val="22"/>
        </w:rPr>
        <w:t>If the patient expresses diminishing commitment to the treatment protocol</w:t>
      </w:r>
    </w:p>
    <w:p w:rsidR="00BA4B73" w:rsidRPr="00BA4B73" w:rsidRDefault="00BA4B73" w:rsidP="00BA4B73">
      <w:pPr>
        <w:spacing w:after="60"/>
        <w:rPr>
          <w:sz w:val="22"/>
          <w:szCs w:val="22"/>
        </w:rPr>
      </w:pPr>
    </w:p>
    <w:p w:rsidR="00BA4B73" w:rsidRPr="00BA4B73" w:rsidRDefault="00BA4B73" w:rsidP="00BA4B73">
      <w:pPr>
        <w:spacing w:after="60"/>
        <w:rPr>
          <w:sz w:val="22"/>
          <w:szCs w:val="22"/>
        </w:rPr>
      </w:pPr>
    </w:p>
    <w:p w:rsidR="00BA4B73" w:rsidRPr="00BA4B73" w:rsidRDefault="00BA4B73" w:rsidP="00BA4B73">
      <w:pPr>
        <w:spacing w:after="60"/>
        <w:jc w:val="center"/>
        <w:rPr>
          <w:b/>
          <w:sz w:val="22"/>
          <w:szCs w:val="22"/>
        </w:rPr>
      </w:pPr>
    </w:p>
    <w:p w:rsidR="00BA4B73" w:rsidRPr="00BA4B73" w:rsidRDefault="00BA4B73" w:rsidP="00BA4B73">
      <w:pPr>
        <w:spacing w:after="60"/>
        <w:jc w:val="center"/>
        <w:rPr>
          <w:b/>
          <w:sz w:val="22"/>
          <w:szCs w:val="22"/>
        </w:rPr>
      </w:pPr>
    </w:p>
    <w:p w:rsidR="00BA4B73" w:rsidRDefault="00BA4B73" w:rsidP="00BA4B73">
      <w:pPr>
        <w:spacing w:after="60"/>
        <w:jc w:val="center"/>
        <w:rPr>
          <w:b/>
          <w:sz w:val="22"/>
          <w:szCs w:val="22"/>
        </w:rPr>
      </w:pPr>
    </w:p>
    <w:p w:rsidR="00BA4B73" w:rsidRPr="00BA4B73" w:rsidRDefault="00BA4B73" w:rsidP="00BA4B73">
      <w:pPr>
        <w:jc w:val="center"/>
        <w:rPr>
          <w:b/>
          <w:caps/>
          <w:sz w:val="22"/>
          <w:szCs w:val="22"/>
        </w:rPr>
      </w:pPr>
      <w:r w:rsidRPr="00BA4B73">
        <w:rPr>
          <w:b/>
          <w:caps/>
          <w:sz w:val="22"/>
          <w:szCs w:val="22"/>
        </w:rPr>
        <w:lastRenderedPageBreak/>
        <w:t>Additional Resources</w:t>
      </w:r>
    </w:p>
    <w:p w:rsidR="00BA4B73" w:rsidRPr="00BA4B73" w:rsidRDefault="00BA4B73" w:rsidP="00BA4B73">
      <w:pPr>
        <w:jc w:val="center"/>
        <w:rPr>
          <w:b/>
          <w:caps/>
          <w:sz w:val="22"/>
          <w:szCs w:val="22"/>
        </w:rPr>
      </w:pPr>
    </w:p>
    <w:p w:rsidR="00BA4B73" w:rsidRPr="00BA4B73" w:rsidRDefault="00BA4B73" w:rsidP="00BA4B73">
      <w:pPr>
        <w:numPr>
          <w:ilvl w:val="0"/>
          <w:numId w:val="4"/>
        </w:numPr>
        <w:spacing w:after="60" w:line="276" w:lineRule="auto"/>
        <w:rPr>
          <w:sz w:val="22"/>
          <w:szCs w:val="22"/>
        </w:rPr>
      </w:pPr>
      <w:r w:rsidRPr="00BA4B73">
        <w:rPr>
          <w:sz w:val="22"/>
          <w:szCs w:val="22"/>
        </w:rPr>
        <w:t>Truvada</w:t>
      </w:r>
      <w:r w:rsidRPr="00BA4B73">
        <w:rPr>
          <w:sz w:val="22"/>
          <w:szCs w:val="22"/>
          <w:vertAlign w:val="superscript"/>
        </w:rPr>
        <w:t>®</w:t>
      </w:r>
      <w:r w:rsidRPr="00BA4B73">
        <w:rPr>
          <w:sz w:val="22"/>
          <w:szCs w:val="22"/>
        </w:rPr>
        <w:t xml:space="preserve"> was approved by the FDA with a Risk Evaluation and Mitigation Strategy (REMS).  A detailed description of this strategy as well as a list of educational resources for health care professionals is available at </w:t>
      </w:r>
      <w:hyperlink r:id="rId11" w:history="1">
        <w:r w:rsidRPr="00BA4B73">
          <w:rPr>
            <w:color w:val="0000FF"/>
            <w:sz w:val="22"/>
            <w:szCs w:val="22"/>
            <w:u w:val="single"/>
          </w:rPr>
          <w:t>https://www.truvadapreprems.com</w:t>
        </w:r>
      </w:hyperlink>
      <w:r w:rsidRPr="00BA4B73">
        <w:rPr>
          <w:sz w:val="22"/>
          <w:szCs w:val="22"/>
        </w:rPr>
        <w:t xml:space="preserve">.  </w:t>
      </w:r>
    </w:p>
    <w:p w:rsidR="00BA4B73" w:rsidRPr="00BA4B73" w:rsidRDefault="00BA4B73" w:rsidP="00BA4B73">
      <w:pPr>
        <w:numPr>
          <w:ilvl w:val="0"/>
          <w:numId w:val="4"/>
        </w:numPr>
        <w:spacing w:after="60" w:line="276" w:lineRule="auto"/>
        <w:rPr>
          <w:sz w:val="22"/>
          <w:szCs w:val="22"/>
        </w:rPr>
      </w:pPr>
      <w:r w:rsidRPr="00BA4B73">
        <w:rPr>
          <w:sz w:val="22"/>
          <w:szCs w:val="22"/>
        </w:rPr>
        <w:t xml:space="preserve">The CDC offers current PrEP information and links to additional resources at </w:t>
      </w:r>
      <w:hyperlink r:id="rId12" w:history="1">
        <w:r w:rsidRPr="00BA4B73">
          <w:rPr>
            <w:color w:val="0000FF"/>
            <w:sz w:val="22"/>
            <w:szCs w:val="22"/>
            <w:u w:val="single"/>
          </w:rPr>
          <w:t>www.cdc.gov/hiv/prep</w:t>
        </w:r>
      </w:hyperlink>
      <w:r w:rsidRPr="00BA4B73">
        <w:rPr>
          <w:sz w:val="22"/>
          <w:szCs w:val="22"/>
        </w:rPr>
        <w:t xml:space="preserve"> including:   </w:t>
      </w:r>
    </w:p>
    <w:p w:rsidR="00BA4B73" w:rsidRPr="00BA4B73" w:rsidRDefault="00D71EFA" w:rsidP="00BA4B73">
      <w:pPr>
        <w:numPr>
          <w:ilvl w:val="1"/>
          <w:numId w:val="4"/>
        </w:numPr>
        <w:spacing w:after="60" w:line="276" w:lineRule="auto"/>
        <w:rPr>
          <w:sz w:val="22"/>
          <w:szCs w:val="22"/>
        </w:rPr>
      </w:pPr>
      <w:hyperlink r:id="rId13" w:history="1">
        <w:r w:rsidR="00BA4B73" w:rsidRPr="00BA4B73">
          <w:rPr>
            <w:color w:val="0000FF"/>
            <w:sz w:val="22"/>
            <w:szCs w:val="22"/>
            <w:u w:val="single"/>
          </w:rPr>
          <w:t>Update to Interim Guidance for Preexposure Prophylaxis (PrEP) for the Prevention of HIV Infection: PrEP for Injecting Drug Users</w:t>
        </w:r>
      </w:hyperlink>
    </w:p>
    <w:p w:rsidR="00BA4B73" w:rsidRPr="00BA4B73" w:rsidRDefault="00D71EFA" w:rsidP="00BA4B73">
      <w:pPr>
        <w:numPr>
          <w:ilvl w:val="1"/>
          <w:numId w:val="4"/>
        </w:numPr>
        <w:spacing w:after="60" w:line="276" w:lineRule="auto"/>
        <w:rPr>
          <w:sz w:val="22"/>
          <w:szCs w:val="22"/>
        </w:rPr>
      </w:pPr>
      <w:hyperlink r:id="rId14" w:history="1">
        <w:r w:rsidR="00BA4B73" w:rsidRPr="00BA4B73">
          <w:rPr>
            <w:color w:val="0000FF"/>
            <w:sz w:val="22"/>
            <w:szCs w:val="22"/>
            <w:u w:val="single"/>
          </w:rPr>
          <w:t xml:space="preserve">Preexposure Prophylaxis for the Prevention of HIV Infection in the United States – 2014 Clinical Practice Guideline.   </w:t>
        </w:r>
      </w:hyperlink>
      <w:r w:rsidR="00BA4B73" w:rsidRPr="00BA4B73">
        <w:rPr>
          <w:sz w:val="22"/>
          <w:szCs w:val="22"/>
        </w:rPr>
        <w:t xml:space="preserve"> </w:t>
      </w:r>
    </w:p>
    <w:p w:rsidR="00BA4B73" w:rsidRPr="00BA4B73" w:rsidRDefault="00BA4B73" w:rsidP="00BA4B73">
      <w:pPr>
        <w:numPr>
          <w:ilvl w:val="0"/>
          <w:numId w:val="4"/>
        </w:numPr>
        <w:spacing w:after="60" w:line="276" w:lineRule="auto"/>
        <w:rPr>
          <w:sz w:val="22"/>
          <w:szCs w:val="22"/>
        </w:rPr>
      </w:pPr>
      <w:r w:rsidRPr="00BA4B73">
        <w:rPr>
          <w:sz w:val="22"/>
          <w:szCs w:val="22"/>
        </w:rPr>
        <w:t>Massachusetts Department of Public Health http://www.mass.gov/eohhs/gov/departments/dph/programs/id/hiv-aids/pre-exposure-prophylaxis-prep.html</w:t>
      </w:r>
    </w:p>
    <w:p w:rsidR="00BA4B73" w:rsidRPr="00BA4B73" w:rsidRDefault="00BA4B73" w:rsidP="00BA4B73">
      <w:pPr>
        <w:numPr>
          <w:ilvl w:val="0"/>
          <w:numId w:val="4"/>
        </w:numPr>
        <w:spacing w:after="60" w:line="276" w:lineRule="auto"/>
        <w:rPr>
          <w:sz w:val="22"/>
          <w:szCs w:val="22"/>
        </w:rPr>
      </w:pPr>
      <w:r w:rsidRPr="00BA4B73">
        <w:rPr>
          <w:sz w:val="22"/>
          <w:szCs w:val="22"/>
          <w:lang w:val="en"/>
        </w:rPr>
        <w:t xml:space="preserve">Project Inform at   </w:t>
      </w:r>
      <w:hyperlink r:id="rId15" w:history="1">
        <w:r w:rsidRPr="00BA4B73">
          <w:rPr>
            <w:color w:val="0000FF"/>
            <w:sz w:val="22"/>
            <w:szCs w:val="22"/>
            <w:u w:val="single"/>
            <w:lang w:val="en"/>
          </w:rPr>
          <w:t>http://www.projectinform.org/prep/</w:t>
        </w:r>
      </w:hyperlink>
      <w:r w:rsidRPr="00BA4B73">
        <w:rPr>
          <w:sz w:val="22"/>
          <w:szCs w:val="22"/>
          <w:lang w:val="en"/>
        </w:rPr>
        <w:t xml:space="preserve"> </w:t>
      </w:r>
    </w:p>
    <w:p w:rsidR="00BA4B73" w:rsidRPr="00BA4B73" w:rsidRDefault="00BA4B73" w:rsidP="00BA4B73">
      <w:pPr>
        <w:numPr>
          <w:ilvl w:val="0"/>
          <w:numId w:val="4"/>
        </w:numPr>
        <w:spacing w:after="60" w:line="276" w:lineRule="auto"/>
      </w:pPr>
      <w:r w:rsidRPr="00BA4B73">
        <w:rPr>
          <w:color w:val="000000"/>
          <w:sz w:val="22"/>
          <w:szCs w:val="22"/>
          <w:lang w:val="en"/>
        </w:rPr>
        <w:t xml:space="preserve">U.S. Department of Health and Human Services Health Resources and Services Administration </w:t>
      </w:r>
      <w:r w:rsidRPr="00BA4B73">
        <w:rPr>
          <w:i/>
          <w:iCs/>
          <w:color w:val="000000"/>
          <w:sz w:val="22"/>
          <w:szCs w:val="22"/>
          <w:lang w:val="en"/>
        </w:rPr>
        <w:t>Guide to HIV/AIDS Clinical Care</w:t>
      </w:r>
      <w:r w:rsidRPr="00BA4B73">
        <w:rPr>
          <w:color w:val="000000"/>
          <w:sz w:val="22"/>
          <w:szCs w:val="22"/>
          <w:lang w:val="en"/>
        </w:rPr>
        <w:t xml:space="preserve"> </w:t>
      </w:r>
      <w:hyperlink r:id="rId16" w:history="1">
        <w:r w:rsidRPr="00BA4B73">
          <w:rPr>
            <w:color w:val="0000FF"/>
            <w:sz w:val="22"/>
            <w:szCs w:val="22"/>
            <w:u w:val="single"/>
            <w:lang w:val="en"/>
          </w:rPr>
          <w:t>http://hab.hrsa.gov/deliverhivaidscare/clinicalguide11</w:t>
        </w:r>
      </w:hyperlink>
      <w:r w:rsidRPr="00BA4B73">
        <w:rPr>
          <w:color w:val="000000"/>
          <w:sz w:val="22"/>
          <w:szCs w:val="22"/>
          <w:lang w:val="en"/>
        </w:rPr>
        <w:t xml:space="preserve"> </w:t>
      </w:r>
    </w:p>
    <w:p w:rsidR="00BA4B73" w:rsidRPr="00BA4B73" w:rsidRDefault="00BA4B73" w:rsidP="00BA4B73">
      <w:pPr>
        <w:rPr>
          <w:sz w:val="18"/>
          <w:szCs w:val="18"/>
        </w:rPr>
      </w:pPr>
    </w:p>
    <w:p w:rsidR="00BA4B73" w:rsidRPr="00BA4B73" w:rsidRDefault="00BA4B73" w:rsidP="00BA4B73">
      <w:pPr>
        <w:spacing w:after="60"/>
        <w:rPr>
          <w:b/>
          <w:sz w:val="22"/>
          <w:szCs w:val="22"/>
        </w:rPr>
      </w:pPr>
    </w:p>
    <w:p w:rsidR="00B47152" w:rsidRPr="00EE433A" w:rsidRDefault="00B47152" w:rsidP="0072610D">
      <w:pPr>
        <w:rPr>
          <w:sz w:val="22"/>
          <w:szCs w:val="22"/>
        </w:rPr>
      </w:pPr>
    </w:p>
    <w:sectPr w:rsidR="00B47152" w:rsidRPr="00EE433A" w:rsidSect="00AE3F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A91" w:rsidRDefault="00B22A91" w:rsidP="00BA4B73">
      <w:r>
        <w:separator/>
      </w:r>
    </w:p>
  </w:endnote>
  <w:endnote w:type="continuationSeparator" w:id="0">
    <w:p w:rsidR="00B22A91" w:rsidRDefault="00B22A91" w:rsidP="00BA4B73">
      <w:r>
        <w:continuationSeparator/>
      </w:r>
    </w:p>
  </w:endnote>
  <w:endnote w:id="1">
    <w:p w:rsidR="00BA4B73" w:rsidRPr="00AF1AE8" w:rsidRDefault="00BA4B73" w:rsidP="00BA4B73">
      <w:pPr>
        <w:pStyle w:val="EndnoteText"/>
        <w:rPr>
          <w:lang w:val="es-ES_tradnl"/>
        </w:rPr>
      </w:pPr>
      <w:r w:rsidRPr="00BF48EA">
        <w:rPr>
          <w:rStyle w:val="EndnoteReference"/>
        </w:rPr>
        <w:endnoteRef/>
      </w:r>
      <w:r w:rsidRPr="00AF1AE8">
        <w:rPr>
          <w:lang w:val="es-ES_tradnl"/>
        </w:rPr>
        <w:t xml:space="preserve"> Emtricitabtine/tenofovir disoproxil fumarate (TDF/FTC, Truvada®, Gilead)</w:t>
      </w:r>
    </w:p>
  </w:endnote>
  <w:endnote w:id="2">
    <w:p w:rsidR="00BA4B73" w:rsidRDefault="00BA4B73" w:rsidP="00BA4B73">
      <w:pPr>
        <w:pStyle w:val="EndnoteText"/>
      </w:pPr>
      <w:r>
        <w:rPr>
          <w:rStyle w:val="EndnoteReference"/>
        </w:rPr>
        <w:endnoteRef/>
      </w:r>
      <w:r>
        <w:t xml:space="preserve"> </w:t>
      </w:r>
      <w:r w:rsidRPr="001C0491">
        <w:t>CDC. Preexposure Prophylaxis for the Prevention of HIV Infection in the United States – 2014 Clinical Practice Guideline.  At:  https://www.cdc.gov/hiv/pdf/prepguidelines2014.pdf. Accessed: July 15, 2016</w:t>
      </w:r>
    </w:p>
  </w:endnote>
  <w:endnote w:id="3">
    <w:p w:rsidR="00BA4B73" w:rsidRPr="00654EFC" w:rsidRDefault="00BA4B73" w:rsidP="00BA4B73">
      <w:pPr>
        <w:pStyle w:val="EndnoteText"/>
        <w:rPr>
          <w:sz w:val="18"/>
          <w:szCs w:val="18"/>
        </w:rPr>
      </w:pPr>
      <w:r w:rsidRPr="00BF48EA">
        <w:rPr>
          <w:rStyle w:val="EndnoteReference"/>
        </w:rPr>
        <w:endnoteRef/>
      </w:r>
      <w:r w:rsidRPr="00BF48EA">
        <w:t xml:space="preserve"> Further details about completed and ongoing clinical trials can be found at </w:t>
      </w:r>
      <w:hyperlink r:id="rId1" w:history="1">
        <w:r w:rsidRPr="00BF48EA">
          <w:rPr>
            <w:rStyle w:val="Hyperlink"/>
          </w:rPr>
          <w:t>www.avac.org/ht/d/sp/i/326/pid/326</w:t>
        </w:r>
      </w:hyperlink>
      <w:r w:rsidRPr="00BF48EA">
        <w:t>.</w:t>
      </w:r>
      <w:r w:rsidRPr="00654EFC">
        <w:rPr>
          <w:sz w:val="18"/>
          <w:szCs w:val="18"/>
        </w:rPr>
        <w:t xml:space="preserve"> </w:t>
      </w:r>
    </w:p>
  </w:endnote>
  <w:endnote w:id="4">
    <w:p w:rsidR="00BA4B73" w:rsidRPr="00E00AAD" w:rsidRDefault="00BA4B73" w:rsidP="00BA4B73">
      <w:pPr>
        <w:pStyle w:val="EndnoteText"/>
      </w:pPr>
      <w:r w:rsidRPr="00E00AAD">
        <w:rPr>
          <w:rStyle w:val="EndnoteReference"/>
        </w:rPr>
        <w:endnoteRef/>
      </w:r>
      <w:r w:rsidRPr="00E00AAD">
        <w:rPr>
          <w:lang w:val="da-DK"/>
        </w:rPr>
        <w:t xml:space="preserve"> Grant RM, Lama JR, Anderson PL, et al.  </w:t>
      </w:r>
      <w:r w:rsidRPr="00E00AAD">
        <w:t>Preexposure Chemoprophylaxis for HIV Prevention in Men Who Have Sex with Men.  N Engl J Med 2010; 363:2587-99.</w:t>
      </w:r>
    </w:p>
  </w:endnote>
  <w:endnote w:id="5">
    <w:p w:rsidR="00BA4B73" w:rsidRPr="00E00AAD" w:rsidRDefault="00BA4B73" w:rsidP="00BA4B73">
      <w:pPr>
        <w:pStyle w:val="EndnoteText"/>
      </w:pPr>
      <w:r w:rsidRPr="00E00AAD">
        <w:rPr>
          <w:rStyle w:val="EndnoteReference"/>
        </w:rPr>
        <w:endnoteRef/>
      </w:r>
      <w:r w:rsidRPr="00E00AAD">
        <w:rPr>
          <w:lang w:val="da-DK"/>
        </w:rPr>
        <w:t xml:space="preserve"> Baeten JM, Donnell D, Ndase P, et al.  </w:t>
      </w:r>
      <w:r w:rsidRPr="00E00AAD">
        <w:t>Antiretroviral Prophylaxis for HIV Prevention in Heterosexual Men and Women.  N Engl J Med 2012; 367:399-410.</w:t>
      </w:r>
    </w:p>
  </w:endnote>
  <w:endnote w:id="6">
    <w:p w:rsidR="00BA4B73" w:rsidRPr="00E00AAD" w:rsidRDefault="00BA4B73" w:rsidP="00BA4B73">
      <w:pPr>
        <w:pStyle w:val="EndnoteText"/>
        <w:rPr>
          <w:lang w:val="da-DK"/>
        </w:rPr>
      </w:pPr>
      <w:r w:rsidRPr="00E00AAD">
        <w:rPr>
          <w:rStyle w:val="EndnoteReference"/>
        </w:rPr>
        <w:endnoteRef/>
      </w:r>
      <w:r w:rsidRPr="00E00AAD">
        <w:rPr>
          <w:lang w:val="da-DK"/>
        </w:rPr>
        <w:t xml:space="preserve"> Thigpen MC, Kebaabetswe PM, Paxton LA, et al. </w:t>
      </w:r>
      <w:r w:rsidRPr="00E00AAD">
        <w:t xml:space="preserve">Antiretroviral Preexposure Prophylaxis for Heterosexual HIV Transmission in Botswana. </w:t>
      </w:r>
      <w:r w:rsidRPr="00E00AAD">
        <w:rPr>
          <w:lang w:val="da-DK"/>
        </w:rPr>
        <w:t>N Engl J Med 2012;367:423–34.</w:t>
      </w:r>
    </w:p>
  </w:endnote>
  <w:endnote w:id="7">
    <w:p w:rsidR="00BA4B73" w:rsidRPr="00E00AAD" w:rsidRDefault="00BA4B73" w:rsidP="00BA4B73">
      <w:pPr>
        <w:pStyle w:val="EndnoteText"/>
      </w:pPr>
      <w:r w:rsidRPr="00E00AAD">
        <w:rPr>
          <w:rStyle w:val="EndnoteReference"/>
        </w:rPr>
        <w:endnoteRef/>
      </w:r>
      <w:r w:rsidRPr="00E00AAD">
        <w:rPr>
          <w:lang w:val="da-DK"/>
        </w:rPr>
        <w:t xml:space="preserve"> Van Damme L, Corneli A, Ahmed K, et al. </w:t>
      </w:r>
      <w:r w:rsidRPr="00E00AAD">
        <w:t>Preexposure Prophylaxis for HIV Infection Among African Women. N Engl J Med 2012;367:411–22.</w:t>
      </w:r>
    </w:p>
  </w:endnote>
  <w:endnote w:id="8">
    <w:p w:rsidR="00BA4B73" w:rsidRDefault="00BA4B73" w:rsidP="00BA4B73">
      <w:pPr>
        <w:pStyle w:val="EndnoteText"/>
      </w:pPr>
      <w:r w:rsidRPr="00E00AAD">
        <w:rPr>
          <w:rStyle w:val="EndnoteReference"/>
        </w:rPr>
        <w:endnoteRef/>
      </w:r>
      <w:r w:rsidRPr="00E00AAD">
        <w:t xml:space="preserve"> Choopanya K, Martin M, Suntharasamai P, et al. Antiretroviral Prophylaxis for HIV Infection in Injecting Drug Users in Bangkok, Thailand (the Bangkok Tenofovir Study): A Randomised, Double-Blind, Placebo-Controlled Phase 3 Trial.  The Lancet 2013. Published online June 13, 2013 http://dx.doi.org/10.1015/S0140-6736(13)61127-7.</w:t>
      </w:r>
    </w:p>
  </w:endnote>
  <w:endnote w:id="9">
    <w:p w:rsidR="00BA4B73" w:rsidRDefault="00BA4B73" w:rsidP="00BA4B73">
      <w:pPr>
        <w:pStyle w:val="EndnoteText"/>
      </w:pPr>
      <w:r>
        <w:rPr>
          <w:rStyle w:val="EndnoteReference"/>
        </w:rPr>
        <w:endnoteRef/>
      </w:r>
      <w:r>
        <w:t xml:space="preserve"> </w:t>
      </w:r>
      <w:r w:rsidRPr="00641B05">
        <w:t>Molina JM, Capitant C, Spire B,</w:t>
      </w:r>
      <w:r>
        <w:t xml:space="preserve"> et al.  </w:t>
      </w:r>
      <w:r w:rsidRPr="00641B05">
        <w:t>On-demand preexposure prophylaxis in men at high risk for HIV-1 infection.</w:t>
      </w:r>
      <w:r>
        <w:t xml:space="preserve"> </w:t>
      </w:r>
      <w:r w:rsidRPr="00641B05">
        <w:t>N Engl J Med 2015;</w:t>
      </w:r>
      <w:r>
        <w:t xml:space="preserve"> </w:t>
      </w:r>
      <w:r w:rsidRPr="00641B05">
        <w:t>373:2237-46.</w:t>
      </w:r>
    </w:p>
  </w:endnote>
  <w:endnote w:id="10">
    <w:p w:rsidR="00BA4B73" w:rsidRDefault="00BA4B73" w:rsidP="00BA4B73">
      <w:pPr>
        <w:pStyle w:val="EndnoteText"/>
      </w:pPr>
      <w:r>
        <w:rPr>
          <w:rStyle w:val="EndnoteReference"/>
        </w:rPr>
        <w:endnoteRef/>
      </w:r>
      <w:r>
        <w:t xml:space="preserve"> </w:t>
      </w:r>
      <w:r w:rsidRPr="005C5297">
        <w:t>http://betablog.org/demand-prep-shows-high-efficacy-ipergay-trial</w:t>
      </w:r>
    </w:p>
  </w:endnote>
  <w:endnote w:id="11">
    <w:p w:rsidR="00BA4B73" w:rsidRPr="00700A9D" w:rsidRDefault="00BA4B73" w:rsidP="00BA4B73">
      <w:pPr>
        <w:pStyle w:val="EndnoteText"/>
      </w:pPr>
      <w:r w:rsidRPr="00AF1AE8">
        <w:rPr>
          <w:rStyle w:val="EndnoteReference"/>
        </w:rPr>
        <w:endnoteRef/>
      </w:r>
      <w:r w:rsidRPr="00AF1AE8">
        <w:t xml:space="preserve"> The FDA has approved use of Truvada as PrEP for men who have sex with men and heterosexual men and women.  Use of </w:t>
      </w:r>
      <w:r>
        <w:t>Truvada as PrEP for injection</w:t>
      </w:r>
      <w:r w:rsidRPr="00700A9D">
        <w:t xml:space="preserve"> drug users currently represents off-label use.  </w:t>
      </w:r>
    </w:p>
  </w:endnote>
  <w:endnote w:id="12">
    <w:p w:rsidR="00BA4B73" w:rsidRDefault="00BA4B73" w:rsidP="00BA4B73">
      <w:pPr>
        <w:pStyle w:val="EndnoteText"/>
      </w:pPr>
      <w:r>
        <w:rPr>
          <w:rStyle w:val="EndnoteReference"/>
        </w:rPr>
        <w:endnoteRef/>
      </w:r>
      <w:r>
        <w:t xml:space="preserve"> </w:t>
      </w:r>
      <w:r w:rsidRPr="00035F4D">
        <w:t>Kojima N, Klausner JD.</w:t>
      </w:r>
      <w:r>
        <w:t xml:space="preserve"> </w:t>
      </w:r>
      <w:r w:rsidRPr="00035F4D">
        <w:t>Is emtricitabine-tenofovir disoproxil fumarate pre-exposure prophylaxis for the prevention of human immunodeficiency virus infection safer than aspirin?</w:t>
      </w:r>
      <w:r>
        <w:t xml:space="preserve">  </w:t>
      </w:r>
      <w:r w:rsidRPr="00035F4D">
        <w:t>Open Forum Infect Dis. 2016 Jan 6;3(1):ofv221. doi: 10.1093/ofid/ofv221.</w:t>
      </w:r>
    </w:p>
  </w:endnote>
  <w:endnote w:id="13">
    <w:p w:rsidR="00BA4B73" w:rsidRPr="00700A9D" w:rsidRDefault="00BA4B73" w:rsidP="00BA4B73">
      <w:pPr>
        <w:pStyle w:val="EndnoteText"/>
      </w:pPr>
      <w:r w:rsidRPr="00700A9D">
        <w:rPr>
          <w:rStyle w:val="EndnoteReference"/>
        </w:rPr>
        <w:endnoteRef/>
      </w:r>
      <w:r w:rsidRPr="00700A9D">
        <w:rPr>
          <w:lang w:val="da-DK"/>
        </w:rPr>
        <w:t xml:space="preserve"> Donnell D, Baeten JM, Kiarie J, et al.  </w:t>
      </w:r>
      <w:r w:rsidRPr="00700A9D">
        <w:t>Heterosexual HIV transmission after initiation of antiretroviral therapy: a prospective cohort analysis.  Lancet 2010; 375:2092-8.</w:t>
      </w:r>
    </w:p>
  </w:endnote>
  <w:endnote w:id="14">
    <w:p w:rsidR="00BA4B73" w:rsidRPr="00700A9D" w:rsidRDefault="00BA4B73" w:rsidP="00BA4B73">
      <w:pPr>
        <w:pStyle w:val="EndnoteText"/>
      </w:pPr>
      <w:r w:rsidRPr="00700A9D">
        <w:rPr>
          <w:rStyle w:val="EndnoteReference"/>
        </w:rPr>
        <w:endnoteRef/>
      </w:r>
      <w:r w:rsidRPr="00700A9D">
        <w:rPr>
          <w:lang w:val="da-DK"/>
        </w:rPr>
        <w:t xml:space="preserve"> Cohen MS, Chen YQ, McCauley M, et al.  </w:t>
      </w:r>
      <w:r w:rsidRPr="00700A9D">
        <w:t>Prevention of HIV Infection with Early Antiretroviral Therapy.  N Engl J Med 2011; 365:493-505.</w:t>
      </w:r>
    </w:p>
  </w:endnote>
  <w:endnote w:id="15">
    <w:p w:rsidR="00BA4B73" w:rsidRPr="00700A9D" w:rsidRDefault="00BA4B73" w:rsidP="00BA4B73">
      <w:pPr>
        <w:pStyle w:val="EndnoteText"/>
      </w:pPr>
      <w:r w:rsidRPr="00700A9D">
        <w:rPr>
          <w:rStyle w:val="EndnoteReference"/>
        </w:rPr>
        <w:endnoteRef/>
      </w:r>
      <w:r w:rsidRPr="00700A9D">
        <w:t xml:space="preserve"> Development of HIV antibodies can take weeks to months.  In June of 2010, a 4th generation HIV diagnostic test was approved by the FDA.  This highly sensitive test can detect p24 antigen as well as HIV antibodies thus reducing the time from exposure to detection.</w:t>
      </w:r>
    </w:p>
  </w:endnote>
  <w:endnote w:id="16">
    <w:p w:rsidR="00BA4B73" w:rsidRPr="00700A9D" w:rsidRDefault="00BA4B73" w:rsidP="00BA4B73">
      <w:pPr>
        <w:pStyle w:val="EndnoteText"/>
      </w:pPr>
      <w:r w:rsidRPr="00700A9D">
        <w:rPr>
          <w:rStyle w:val="EndnoteReference"/>
        </w:rPr>
        <w:endnoteRef/>
      </w:r>
      <w:r w:rsidRPr="00700A9D">
        <w:t xml:space="preserve"> Acute retroviral syndrome symptoms appear 2-6 weeks post HIV exposure in close to 70% of those infected.  Symptoms may include: fever, rash, fatigue, pharyngitis, generalized lymphadenopathy, urticaria, myalgia, arthralgia, anorexia, mucocutaneous ulceration, headache, retroorbital pain and neurologic symptoms.</w:t>
      </w:r>
    </w:p>
  </w:endnote>
  <w:endnote w:id="17">
    <w:p w:rsidR="00BA4B73" w:rsidRPr="00700A9D" w:rsidRDefault="00BA4B73" w:rsidP="00BA4B73">
      <w:pPr>
        <w:pStyle w:val="EndnoteText"/>
      </w:pPr>
      <w:r w:rsidRPr="00700A9D">
        <w:rPr>
          <w:rStyle w:val="EndnoteReference"/>
        </w:rPr>
        <w:endnoteRef/>
      </w:r>
      <w:r w:rsidRPr="00700A9D">
        <w:t xml:space="preserve"> Full prescribing information can be found at </w:t>
      </w:r>
      <w:hyperlink r:id="rId2" w:history="1">
        <w:r w:rsidRPr="00700A9D">
          <w:rPr>
            <w:rStyle w:val="Hyperlink"/>
          </w:rPr>
          <w:t>http://www.truvada.com</w:t>
        </w:r>
      </w:hyperlink>
      <w:r w:rsidRPr="00700A9D">
        <w:t>.</w:t>
      </w:r>
    </w:p>
  </w:endnote>
  <w:endnote w:id="18">
    <w:p w:rsidR="00BA4B73" w:rsidRPr="00700A9D" w:rsidRDefault="00BA4B73" w:rsidP="00BA4B73">
      <w:pPr>
        <w:pStyle w:val="EndnoteText"/>
      </w:pPr>
      <w:r w:rsidRPr="00700A9D">
        <w:rPr>
          <w:rStyle w:val="EndnoteReference"/>
        </w:rPr>
        <w:endnoteRef/>
      </w:r>
      <w:r w:rsidRPr="00700A9D">
        <w:t xml:space="preserve"> An Antiretroviral Pregnancy Registry (APR) has been established. Register patients by calling 1-800-258-4263.</w:t>
      </w:r>
    </w:p>
  </w:endnote>
  <w:endnote w:id="19">
    <w:p w:rsidR="00BA4B73" w:rsidRDefault="00BA4B73" w:rsidP="00BA4B73">
      <w:pPr>
        <w:pStyle w:val="EndnoteText"/>
      </w:pPr>
      <w:r>
        <w:rPr>
          <w:rStyle w:val="EndnoteReference"/>
        </w:rPr>
        <w:endnoteRef/>
      </w:r>
      <w:r>
        <w:t xml:space="preserve"> See: </w:t>
      </w:r>
      <w:hyperlink r:id="rId3" w:history="1">
        <w:r w:rsidRPr="008B2023">
          <w:rPr>
            <w:rStyle w:val="Hyperlink"/>
          </w:rPr>
          <w:t>http://reference.medscape.com/calculator/creatinine-clearance-cockcroft-gault</w:t>
        </w:r>
      </w:hyperlink>
      <w:r>
        <w:t>.  Accessed: July 15, 2016.</w:t>
      </w:r>
    </w:p>
  </w:endnote>
  <w:endnote w:id="20">
    <w:p w:rsidR="00BA4B73" w:rsidRDefault="00BA4B73" w:rsidP="00BA4B73">
      <w:pPr>
        <w:pStyle w:val="EndnoteText"/>
      </w:pPr>
      <w:r>
        <w:rPr>
          <w:rStyle w:val="EndnoteReference"/>
        </w:rPr>
        <w:endnoteRef/>
      </w:r>
      <w:r>
        <w:t xml:space="preserve"> CDC. Preexposure Prophylaxis for the Prevention of HIV Infection in the United States – 2014 Clinical Practice Guideline.  At:  </w:t>
      </w:r>
      <w:hyperlink r:id="rId4" w:history="1">
        <w:r w:rsidRPr="008B2023">
          <w:rPr>
            <w:rStyle w:val="Hyperlink"/>
          </w:rPr>
          <w:t>https://www.cdc.gov/hiv/pdf/prepguidelines2014.pdf</w:t>
        </w:r>
      </w:hyperlink>
      <w:r>
        <w:t xml:space="preserve">.  Accessed: July 15, 2016.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A91" w:rsidRDefault="00B22A91" w:rsidP="00BA4B73">
      <w:r>
        <w:separator/>
      </w:r>
    </w:p>
  </w:footnote>
  <w:footnote w:type="continuationSeparator" w:id="0">
    <w:p w:rsidR="00B22A91" w:rsidRDefault="00B22A91" w:rsidP="00BA4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0A1"/>
    <w:multiLevelType w:val="hybridMultilevel"/>
    <w:tmpl w:val="B16060FC"/>
    <w:lvl w:ilvl="0" w:tplc="4CB89544">
      <w:start w:val="1"/>
      <w:numFmt w:val="bullet"/>
      <w:lvlText w:val=""/>
      <w:lvlJc w:val="left"/>
      <w:pPr>
        <w:tabs>
          <w:tab w:val="num" w:pos="360"/>
        </w:tabs>
        <w:ind w:left="360" w:hanging="360"/>
      </w:pPr>
      <w:rPr>
        <w:rFonts w:ascii="Symbol" w:hAnsi="Symbol" w:hint="default"/>
      </w:rPr>
    </w:lvl>
    <w:lvl w:ilvl="1" w:tplc="AB4AA100">
      <w:start w:val="1"/>
      <w:numFmt w:val="bullet"/>
      <w:lvlText w:val=""/>
      <w:lvlJc w:val="left"/>
      <w:pPr>
        <w:tabs>
          <w:tab w:val="num" w:pos="1440"/>
        </w:tabs>
        <w:ind w:left="1440" w:hanging="360"/>
      </w:pPr>
      <w:rPr>
        <w:rFonts w:ascii="Symbol" w:hAnsi="Symbol" w:hint="default"/>
        <w:lang w:val="en-US"/>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A24527"/>
    <w:multiLevelType w:val="hybridMultilevel"/>
    <w:tmpl w:val="5120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A7A6F"/>
    <w:multiLevelType w:val="hybridMultilevel"/>
    <w:tmpl w:val="9DBC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4A2787"/>
    <w:multiLevelType w:val="hybridMultilevel"/>
    <w:tmpl w:val="871838C4"/>
    <w:lvl w:ilvl="0" w:tplc="AB4AA100">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99076F2"/>
    <w:multiLevelType w:val="hybridMultilevel"/>
    <w:tmpl w:val="FAE26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EF95EA2"/>
    <w:multiLevelType w:val="hybridMultilevel"/>
    <w:tmpl w:val="5B32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fred DeMaria">
    <w15:presenceInfo w15:providerId="Windows Live" w15:userId="b5c133b9afafc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674AF"/>
    <w:rsid w:val="000E59E8"/>
    <w:rsid w:val="000F315B"/>
    <w:rsid w:val="0015268B"/>
    <w:rsid w:val="00174433"/>
    <w:rsid w:val="00177C77"/>
    <w:rsid w:val="001A5680"/>
    <w:rsid w:val="001C22C3"/>
    <w:rsid w:val="00274D45"/>
    <w:rsid w:val="00276957"/>
    <w:rsid w:val="00276DCC"/>
    <w:rsid w:val="002C3A70"/>
    <w:rsid w:val="002E024C"/>
    <w:rsid w:val="002E36DA"/>
    <w:rsid w:val="00385812"/>
    <w:rsid w:val="00385FC7"/>
    <w:rsid w:val="00392D0B"/>
    <w:rsid w:val="003A7AFC"/>
    <w:rsid w:val="003C60EF"/>
    <w:rsid w:val="00476AF3"/>
    <w:rsid w:val="004813AC"/>
    <w:rsid w:val="004B37A0"/>
    <w:rsid w:val="004D6B39"/>
    <w:rsid w:val="005448AA"/>
    <w:rsid w:val="00570DEB"/>
    <w:rsid w:val="005809E2"/>
    <w:rsid w:val="005949DF"/>
    <w:rsid w:val="005B3F2B"/>
    <w:rsid w:val="005C13FC"/>
    <w:rsid w:val="006D06D9"/>
    <w:rsid w:val="006D77A6"/>
    <w:rsid w:val="00702109"/>
    <w:rsid w:val="0072610D"/>
    <w:rsid w:val="007738D1"/>
    <w:rsid w:val="007B3F4B"/>
    <w:rsid w:val="007B7347"/>
    <w:rsid w:val="007D10F3"/>
    <w:rsid w:val="0081505D"/>
    <w:rsid w:val="0082385E"/>
    <w:rsid w:val="00830AA2"/>
    <w:rsid w:val="00833F50"/>
    <w:rsid w:val="008840F2"/>
    <w:rsid w:val="008A1605"/>
    <w:rsid w:val="008C15D2"/>
    <w:rsid w:val="008E0E5A"/>
    <w:rsid w:val="00921BA7"/>
    <w:rsid w:val="009908FF"/>
    <w:rsid w:val="0099542E"/>
    <w:rsid w:val="00995505"/>
    <w:rsid w:val="009A50F8"/>
    <w:rsid w:val="009E4F08"/>
    <w:rsid w:val="00A65101"/>
    <w:rsid w:val="00A8558C"/>
    <w:rsid w:val="00AB5683"/>
    <w:rsid w:val="00AD58F0"/>
    <w:rsid w:val="00AD6F6A"/>
    <w:rsid w:val="00AE3F85"/>
    <w:rsid w:val="00AF30BE"/>
    <w:rsid w:val="00B22A91"/>
    <w:rsid w:val="00B36D3F"/>
    <w:rsid w:val="00B403BF"/>
    <w:rsid w:val="00B47152"/>
    <w:rsid w:val="00B608D9"/>
    <w:rsid w:val="00B95291"/>
    <w:rsid w:val="00BA4055"/>
    <w:rsid w:val="00BA4B73"/>
    <w:rsid w:val="00BA6211"/>
    <w:rsid w:val="00BA7FB6"/>
    <w:rsid w:val="00BF6250"/>
    <w:rsid w:val="00BF7D3E"/>
    <w:rsid w:val="00C20BFE"/>
    <w:rsid w:val="00C618C6"/>
    <w:rsid w:val="00C8100A"/>
    <w:rsid w:val="00CC1778"/>
    <w:rsid w:val="00CE575B"/>
    <w:rsid w:val="00CF0F53"/>
    <w:rsid w:val="00CF3DE8"/>
    <w:rsid w:val="00D0493F"/>
    <w:rsid w:val="00D44DFC"/>
    <w:rsid w:val="00D56F91"/>
    <w:rsid w:val="00D71EFA"/>
    <w:rsid w:val="00D8671C"/>
    <w:rsid w:val="00DA57C3"/>
    <w:rsid w:val="00DC3855"/>
    <w:rsid w:val="00DD06C4"/>
    <w:rsid w:val="00DF3496"/>
    <w:rsid w:val="00DF5F7D"/>
    <w:rsid w:val="00E274B8"/>
    <w:rsid w:val="00E72707"/>
    <w:rsid w:val="00EA0ABA"/>
    <w:rsid w:val="00EE433A"/>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link w:val="BalloonText"/>
    <w:uiPriority w:val="99"/>
    <w:locked/>
    <w:rsid w:val="00FC6B42"/>
    <w:rPr>
      <w:rFonts w:ascii="Tahoma" w:hAnsi="Tahoma"/>
      <w:sz w:val="16"/>
    </w:rPr>
  </w:style>
  <w:style w:type="paragraph" w:styleId="EndnoteText">
    <w:name w:val="endnote text"/>
    <w:basedOn w:val="Normal"/>
    <w:link w:val="EndnoteTextChar"/>
    <w:semiHidden/>
    <w:rsid w:val="00BA4B73"/>
    <w:rPr>
      <w:sz w:val="20"/>
    </w:rPr>
  </w:style>
  <w:style w:type="character" w:customStyle="1" w:styleId="EndnoteTextChar">
    <w:name w:val="Endnote Text Char"/>
    <w:link w:val="EndnoteText"/>
    <w:semiHidden/>
    <w:rsid w:val="00BA4B73"/>
    <w:rPr>
      <w:sz w:val="20"/>
      <w:szCs w:val="20"/>
    </w:rPr>
  </w:style>
  <w:style w:type="character" w:styleId="EndnoteReference">
    <w:name w:val="endnote reference"/>
    <w:semiHidden/>
    <w:rsid w:val="00BA4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link w:val="BalloonText"/>
    <w:uiPriority w:val="99"/>
    <w:locked/>
    <w:rsid w:val="00FC6B42"/>
    <w:rPr>
      <w:rFonts w:ascii="Tahoma" w:hAnsi="Tahoma"/>
      <w:sz w:val="16"/>
    </w:rPr>
  </w:style>
  <w:style w:type="paragraph" w:styleId="EndnoteText">
    <w:name w:val="endnote text"/>
    <w:basedOn w:val="Normal"/>
    <w:link w:val="EndnoteTextChar"/>
    <w:semiHidden/>
    <w:rsid w:val="00BA4B73"/>
    <w:rPr>
      <w:sz w:val="20"/>
    </w:rPr>
  </w:style>
  <w:style w:type="character" w:customStyle="1" w:styleId="EndnoteTextChar">
    <w:name w:val="Endnote Text Char"/>
    <w:link w:val="EndnoteText"/>
    <w:semiHidden/>
    <w:rsid w:val="00BA4B73"/>
    <w:rPr>
      <w:sz w:val="20"/>
      <w:szCs w:val="20"/>
    </w:rPr>
  </w:style>
  <w:style w:type="character" w:styleId="EndnoteReference">
    <w:name w:val="endnote reference"/>
    <w:semiHidden/>
    <w:rsid w:val="00BA4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mmWr/preview/mmwrhtml/mm6223a2.htm?s_cid=mm6223a2_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dc.gov/hiv/pre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ab.hrsa.gov/deliverhivaidscare/clinicalguide1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ruvadapreprems.com" TargetMode="External"/><Relationship Id="rId5" Type="http://schemas.openxmlformats.org/officeDocument/2006/relationships/webSettings" Target="webSettings.xml"/><Relationship Id="rId15" Type="http://schemas.openxmlformats.org/officeDocument/2006/relationships/hyperlink" Target="http://www.projectinform.org/prep/%20" TargetMode="External"/><Relationship Id="rId10" Type="http://schemas.openxmlformats.org/officeDocument/2006/relationships/hyperlink" Target="http://www.fda.gov/medwatch"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cdc.gov/hiv/pdf/PrEPguidelines2014.pdf" TargetMode="External"/><Relationship Id="rId14" Type="http://schemas.openxmlformats.org/officeDocument/2006/relationships/hyperlink" Target="https://www.cdc.gov/hiv/pdf/prepguidelines2014.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reference.medscape.com/calculator/creatinine-clearance-cockcroft-gault" TargetMode="External"/><Relationship Id="rId2" Type="http://schemas.openxmlformats.org/officeDocument/2006/relationships/hyperlink" Target="http://www.truvada.com" TargetMode="External"/><Relationship Id="rId1" Type="http://schemas.openxmlformats.org/officeDocument/2006/relationships/hyperlink" Target="http://www.avac.org/ht/d/sp/i/326/pid/326" TargetMode="External"/><Relationship Id="rId4" Type="http://schemas.openxmlformats.org/officeDocument/2006/relationships/hyperlink" Target="https://www.cdc.gov/hiv/pdf/prepguidelines20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0</TotalTime>
  <Pages>7</Pages>
  <Words>2164</Words>
  <Characters>13262</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Clinical Advisory: Pre-Exposure Prophylaxis</vt:lpstr>
    </vt:vector>
  </TitlesOfParts>
  <Company>Commonwealth of Massachusetts</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Advisory: Pre-Exposure Prophylaxis</dc:title>
  <dc:creator>Massachusetts Department of Public Health (MDPH);Bureau of Infectious Disease and Laboratory Sciences (BIDLS);Office of HIV/AIDS (OHA)</dc:creator>
  <cp:keywords>PreP, Pre-Exposure Prophylaxis, HIV PrEP, HIV prevention</cp:keywords>
  <cp:lastModifiedBy>Liisa Randall</cp:lastModifiedBy>
  <cp:revision>2</cp:revision>
  <cp:lastPrinted>2015-01-09T15:33:00Z</cp:lastPrinted>
  <dcterms:created xsi:type="dcterms:W3CDTF">2017-12-01T04:32:00Z</dcterms:created>
  <dcterms:modified xsi:type="dcterms:W3CDTF">2017-12-01T04:32:00Z</dcterms:modified>
</cp:coreProperties>
</file>