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5DFA4" w14:textId="77777777" w:rsidR="000537DA" w:rsidRDefault="000537DA" w:rsidP="00404683">
      <w:pPr>
        <w:framePr w:w="6926" w:hSpace="187" w:wrap="notBeside" w:vAnchor="page" w:hAnchor="page" w:x="2866" w:y="764"/>
        <w:jc w:val="center"/>
        <w:rPr>
          <w:rFonts w:ascii="Arial" w:hAnsi="Arial"/>
          <w:sz w:val="36"/>
        </w:rPr>
      </w:pPr>
      <w:r>
        <w:rPr>
          <w:rFonts w:ascii="Arial" w:hAnsi="Arial"/>
          <w:sz w:val="36"/>
        </w:rPr>
        <w:t>The Commonwealth of Massachusetts</w:t>
      </w:r>
    </w:p>
    <w:p w14:paraId="73317D9A" w14:textId="77777777" w:rsidR="000537DA" w:rsidRDefault="000537DA" w:rsidP="00404683">
      <w:pPr>
        <w:pStyle w:val="ExecOffice"/>
        <w:framePr w:w="6926" w:wrap="notBeside" w:vAnchor="page" w:x="2866" w:y="764"/>
      </w:pPr>
      <w:r>
        <w:t>Executive Office of Health and Human Services</w:t>
      </w:r>
    </w:p>
    <w:p w14:paraId="4CAC73C8" w14:textId="77777777" w:rsidR="000537DA" w:rsidRDefault="000537DA" w:rsidP="00404683">
      <w:pPr>
        <w:pStyle w:val="ExecOffice"/>
        <w:framePr w:w="6926" w:wrap="notBeside" w:vAnchor="page" w:x="2866" w:y="764"/>
      </w:pPr>
      <w:r>
        <w:t>Department of Public Health</w:t>
      </w:r>
    </w:p>
    <w:p w14:paraId="0EE29CCC" w14:textId="77777777" w:rsidR="00404683" w:rsidRDefault="00404683" w:rsidP="00404683">
      <w:pPr>
        <w:pStyle w:val="ExecOffice"/>
        <w:framePr w:w="6926" w:wrap="notBeside" w:vAnchor="page" w:x="2866" w:y="764"/>
      </w:pPr>
      <w:r>
        <w:t>Bureau of Infectious Disease and Laboratory Sciences</w:t>
      </w:r>
    </w:p>
    <w:p w14:paraId="26A5E91F" w14:textId="77777777" w:rsidR="006D06D9" w:rsidRDefault="00404683" w:rsidP="00404683">
      <w:pPr>
        <w:pStyle w:val="ExecOffice"/>
        <w:framePr w:w="6926" w:wrap="notBeside" w:vAnchor="page" w:x="2866" w:y="764"/>
      </w:pPr>
      <w:r>
        <w:t>305 South Street</w:t>
      </w:r>
      <w:r w:rsidR="000537DA">
        <w:t>, Boston, MA 021</w:t>
      </w:r>
      <w:r>
        <w:t>30</w:t>
      </w:r>
    </w:p>
    <w:p w14:paraId="45ED07C7" w14:textId="2329253A" w:rsidR="00BA4055" w:rsidRDefault="00DC4550" w:rsidP="00BA4055">
      <w:pPr>
        <w:framePr w:w="1927" w:hSpace="180" w:wrap="auto" w:vAnchor="text" w:hAnchor="page" w:x="940" w:y="-951"/>
        <w:rPr>
          <w:rFonts w:ascii="LinePrinter" w:hAnsi="LinePrinter"/>
        </w:rPr>
      </w:pPr>
      <w:r>
        <w:rPr>
          <w:rFonts w:ascii="LinePrinter" w:hAnsi="LinePrinter"/>
          <w:noProof/>
        </w:rPr>
        <w:drawing>
          <wp:inline distT="0" distB="0" distL="0" distR="0" wp14:anchorId="0A2170F8" wp14:editId="4C13802D">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1503C01" w14:textId="524FB011" w:rsidR="009908FF" w:rsidRDefault="00DC4550" w:rsidP="0072610D">
      <w:r>
        <w:rPr>
          <w:noProof/>
        </w:rPr>
        <mc:AlternateContent>
          <mc:Choice Requires="wps">
            <w:drawing>
              <wp:anchor distT="0" distB="0" distL="114300" distR="114300" simplePos="0" relativeHeight="251658752" behindDoc="1" locked="0" layoutInCell="1" allowOverlap="1" wp14:anchorId="37063003" wp14:editId="6BCA7DF9">
                <wp:simplePos x="0" y="0"/>
                <wp:positionH relativeFrom="column">
                  <wp:posOffset>1528445</wp:posOffset>
                </wp:positionH>
                <wp:positionV relativeFrom="paragraph">
                  <wp:posOffset>820420</wp:posOffset>
                </wp:positionV>
                <wp:extent cx="2886075" cy="1057275"/>
                <wp:effectExtent l="4445" t="127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47B79" w14:textId="77777777" w:rsidR="00F143A8" w:rsidRPr="00C36976" w:rsidRDefault="00F143A8" w:rsidP="00F143A8">
                            <w:pPr>
                              <w:pStyle w:val="ExecOffice"/>
                              <w:rPr>
                                <w:sz w:val="22"/>
                                <w:szCs w:val="22"/>
                              </w:rPr>
                            </w:pPr>
                            <w:r>
                              <w:rPr>
                                <w:sz w:val="22"/>
                                <w:szCs w:val="22"/>
                              </w:rPr>
                              <w:t>Division of STD Prevention</w:t>
                            </w:r>
                          </w:p>
                          <w:p w14:paraId="72E1AB18" w14:textId="77777777" w:rsidR="00F143A8" w:rsidRPr="00C36976" w:rsidRDefault="00F143A8" w:rsidP="00F143A8">
                            <w:pPr>
                              <w:pStyle w:val="ExecOffice"/>
                              <w:rPr>
                                <w:sz w:val="22"/>
                                <w:szCs w:val="22"/>
                              </w:rPr>
                            </w:pPr>
                            <w:r w:rsidRPr="00C36976">
                              <w:rPr>
                                <w:sz w:val="22"/>
                                <w:szCs w:val="22"/>
                              </w:rPr>
                              <w:t>Tel</w:t>
                            </w:r>
                            <w:proofErr w:type="gramStart"/>
                            <w:r w:rsidRPr="00C36976">
                              <w:rPr>
                                <w:sz w:val="22"/>
                                <w:szCs w:val="22"/>
                              </w:rPr>
                              <w:t>:  (</w:t>
                            </w:r>
                            <w:proofErr w:type="gramEnd"/>
                            <w:r w:rsidRPr="00C36976">
                              <w:rPr>
                                <w:sz w:val="22"/>
                                <w:szCs w:val="22"/>
                              </w:rPr>
                              <w:t>617) 983-6</w:t>
                            </w:r>
                            <w:r>
                              <w:rPr>
                                <w:sz w:val="22"/>
                                <w:szCs w:val="22"/>
                              </w:rPr>
                              <w:t>940</w:t>
                            </w:r>
                            <w:r w:rsidRPr="00C36976">
                              <w:rPr>
                                <w:sz w:val="22"/>
                                <w:szCs w:val="22"/>
                              </w:rPr>
                              <w:t xml:space="preserve"> </w:t>
                            </w:r>
                          </w:p>
                          <w:p w14:paraId="566DA543" w14:textId="0C1D03AC" w:rsidR="00F143A8" w:rsidRDefault="00F143A8" w:rsidP="00F143A8">
                            <w:pPr>
                              <w:pStyle w:val="ExecOffice"/>
                              <w:rPr>
                                <w:sz w:val="22"/>
                                <w:szCs w:val="22"/>
                              </w:rPr>
                            </w:pPr>
                            <w:r w:rsidRPr="00C36976">
                              <w:rPr>
                                <w:sz w:val="22"/>
                                <w:szCs w:val="22"/>
                              </w:rPr>
                              <w:t xml:space="preserve">Fax: (617) </w:t>
                            </w:r>
                            <w:r w:rsidR="008B3DF2">
                              <w:rPr>
                                <w:sz w:val="22"/>
                                <w:szCs w:val="22"/>
                              </w:rPr>
                              <w:t>887</w:t>
                            </w:r>
                            <w:r w:rsidRPr="00C36976">
                              <w:rPr>
                                <w:sz w:val="22"/>
                                <w:szCs w:val="22"/>
                              </w:rPr>
                              <w:t>-</w:t>
                            </w:r>
                            <w:r w:rsidR="00FA3FC0">
                              <w:rPr>
                                <w:sz w:val="22"/>
                                <w:szCs w:val="22"/>
                              </w:rPr>
                              <w:t>8790</w:t>
                            </w:r>
                          </w:p>
                          <w:p w14:paraId="4769EAC2" w14:textId="5E28362C" w:rsidR="00F143A8" w:rsidRDefault="00F143A8" w:rsidP="00F143A8">
                            <w:pPr>
                              <w:pStyle w:val="ExecOffice"/>
                              <w:rPr>
                                <w:rStyle w:val="Strong"/>
                                <w:b w:val="0"/>
                                <w:sz w:val="22"/>
                                <w:szCs w:val="22"/>
                              </w:rPr>
                            </w:pPr>
                            <w:r w:rsidRPr="00C36976">
                              <w:rPr>
                                <w:sz w:val="22"/>
                                <w:szCs w:val="22"/>
                              </w:rPr>
                              <w:t xml:space="preserve"> </w:t>
                            </w:r>
                            <w:hyperlink r:id="rId9" w:history="1">
                              <w:r w:rsidRPr="00947474">
                                <w:rPr>
                                  <w:rStyle w:val="Hyperlink"/>
                                  <w:sz w:val="22"/>
                                  <w:szCs w:val="22"/>
                                </w:rPr>
                                <w:t>www.mass.gov/dph/cdc/std</w:t>
                              </w:r>
                            </w:hyperlink>
                          </w:p>
                          <w:p w14:paraId="455FF223" w14:textId="77777777" w:rsidR="00F143A8" w:rsidRDefault="00F143A8" w:rsidP="00F143A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63003" id="_x0000_t202" coordsize="21600,21600" o:spt="202" path="m,l,21600r21600,l21600,xe">
                <v:stroke joinstyle="miter"/>
                <v:path gradientshapeok="t" o:connecttype="rect"/>
              </v:shapetype>
              <v:shape id="Text Box 7" o:spid="_x0000_s1026" type="#_x0000_t202" style="position:absolute;margin-left:120.35pt;margin-top:64.6pt;width:227.25pt;height:8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" stroked="f">
                <v:textbox>
                  <w:txbxContent>
                    <w:p w14:paraId="5D647B79" w14:textId="77777777" w:rsidR="00F143A8" w:rsidRPr="00C36976" w:rsidRDefault="00F143A8" w:rsidP="00F143A8">
                      <w:pPr>
                        <w:pStyle w:val="ExecOffice"/>
                        <w:rPr>
                          <w:sz w:val="22"/>
                          <w:szCs w:val="22"/>
                        </w:rPr>
                      </w:pPr>
                      <w:r>
                        <w:rPr>
                          <w:sz w:val="22"/>
                          <w:szCs w:val="22"/>
                        </w:rPr>
                        <w:t>Division of STD Prevention</w:t>
                      </w:r>
                    </w:p>
                    <w:p w14:paraId="72E1AB18" w14:textId="77777777" w:rsidR="00F143A8" w:rsidRPr="00C36976" w:rsidRDefault="00F143A8" w:rsidP="00F143A8">
                      <w:pPr>
                        <w:pStyle w:val="ExecOffice"/>
                        <w:rPr>
                          <w:sz w:val="22"/>
                          <w:szCs w:val="22"/>
                        </w:rPr>
                      </w:pPr>
                      <w:r w:rsidRPr="00C36976">
                        <w:rPr>
                          <w:sz w:val="22"/>
                          <w:szCs w:val="22"/>
                        </w:rPr>
                        <w:t>Tel</w:t>
                      </w:r>
                      <w:proofErr w:type="gramStart"/>
                      <w:r w:rsidRPr="00C36976">
                        <w:rPr>
                          <w:sz w:val="22"/>
                          <w:szCs w:val="22"/>
                        </w:rPr>
                        <w:t>:  (</w:t>
                      </w:r>
                      <w:proofErr w:type="gramEnd"/>
                      <w:r w:rsidRPr="00C36976">
                        <w:rPr>
                          <w:sz w:val="22"/>
                          <w:szCs w:val="22"/>
                        </w:rPr>
                        <w:t>617) 983-6</w:t>
                      </w:r>
                      <w:r>
                        <w:rPr>
                          <w:sz w:val="22"/>
                          <w:szCs w:val="22"/>
                        </w:rPr>
                        <w:t>940</w:t>
                      </w:r>
                      <w:r w:rsidRPr="00C36976">
                        <w:rPr>
                          <w:sz w:val="22"/>
                          <w:szCs w:val="22"/>
                        </w:rPr>
                        <w:t xml:space="preserve"> </w:t>
                      </w:r>
                    </w:p>
                    <w:p w14:paraId="566DA543" w14:textId="0C1D03AC" w:rsidR="00F143A8" w:rsidRDefault="00F143A8" w:rsidP="00F143A8">
                      <w:pPr>
                        <w:pStyle w:val="ExecOffice"/>
                        <w:rPr>
                          <w:sz w:val="22"/>
                          <w:szCs w:val="22"/>
                        </w:rPr>
                      </w:pPr>
                      <w:r w:rsidRPr="00C36976">
                        <w:rPr>
                          <w:sz w:val="22"/>
                          <w:szCs w:val="22"/>
                        </w:rPr>
                        <w:t xml:space="preserve">Fax: (617) </w:t>
                      </w:r>
                      <w:r w:rsidR="008B3DF2">
                        <w:rPr>
                          <w:sz w:val="22"/>
                          <w:szCs w:val="22"/>
                        </w:rPr>
                        <w:t>887</w:t>
                      </w:r>
                      <w:r w:rsidRPr="00C36976">
                        <w:rPr>
                          <w:sz w:val="22"/>
                          <w:szCs w:val="22"/>
                        </w:rPr>
                        <w:t>-</w:t>
                      </w:r>
                      <w:r w:rsidR="00FA3FC0">
                        <w:rPr>
                          <w:sz w:val="22"/>
                          <w:szCs w:val="22"/>
                        </w:rPr>
                        <w:t>8790</w:t>
                      </w:r>
                    </w:p>
                    <w:p w14:paraId="4769EAC2" w14:textId="5E28362C" w:rsidR="00F143A8" w:rsidRDefault="00F143A8" w:rsidP="00F143A8">
                      <w:pPr>
                        <w:pStyle w:val="ExecOffice"/>
                        <w:rPr>
                          <w:rStyle w:val="Strong"/>
                          <w:b w:val="0"/>
                          <w:sz w:val="22"/>
                          <w:szCs w:val="22"/>
                        </w:rPr>
                      </w:pPr>
                      <w:r w:rsidRPr="00C36976">
                        <w:rPr>
                          <w:sz w:val="22"/>
                          <w:szCs w:val="22"/>
                        </w:rPr>
                        <w:t xml:space="preserve"> </w:t>
                      </w:r>
                      <w:hyperlink r:id="rId10" w:history="1">
                        <w:r w:rsidRPr="00947474">
                          <w:rPr>
                            <w:rStyle w:val="Hyperlink"/>
                            <w:sz w:val="22"/>
                            <w:szCs w:val="22"/>
                          </w:rPr>
                          <w:t>www.mass.gov/dph/cdc/std</w:t>
                        </w:r>
                      </w:hyperlink>
                    </w:p>
                    <w:p w14:paraId="455FF223" w14:textId="77777777" w:rsidR="00F143A8" w:rsidRDefault="00F143A8" w:rsidP="00F143A8">
                      <w:pPr>
                        <w:jc w:val="cente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036CA482" wp14:editId="7B61AF30">
                <wp:simplePos x="0" y="0"/>
                <wp:positionH relativeFrom="column">
                  <wp:posOffset>5114925</wp:posOffset>
                </wp:positionH>
                <wp:positionV relativeFrom="paragraph">
                  <wp:posOffset>465455</wp:posOffset>
                </wp:positionV>
                <wp:extent cx="1814195" cy="149479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49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E8FE4" w14:textId="77777777" w:rsidR="00FC6B42" w:rsidRDefault="00FC6B42" w:rsidP="00FC6B42">
                            <w:pPr>
                              <w:pStyle w:val="Governor"/>
                              <w:spacing w:after="0"/>
                              <w:rPr>
                                <w:sz w:val="16"/>
                              </w:rPr>
                            </w:pPr>
                          </w:p>
                          <w:p w14:paraId="04332587" w14:textId="77777777" w:rsidR="00FC6B42" w:rsidRDefault="00FC6B42" w:rsidP="00FC6B42">
                            <w:pPr>
                              <w:pStyle w:val="Governor"/>
                            </w:pPr>
                          </w:p>
                          <w:p w14:paraId="39335DB9" w14:textId="77777777" w:rsidR="002D1C21" w:rsidRDefault="002D1C21" w:rsidP="00FC6B42">
                            <w:pPr>
                              <w:pStyle w:val="Governor"/>
                            </w:pPr>
                          </w:p>
                          <w:p w14:paraId="5F8AF5CC" w14:textId="77777777" w:rsidR="00E4104E" w:rsidRDefault="00E4104E" w:rsidP="00E4104E">
                            <w:pPr>
                              <w:pStyle w:val="Governor"/>
                              <w:spacing w:after="0"/>
                              <w:rPr>
                                <w:sz w:val="16"/>
                                <w:szCs w:val="16"/>
                              </w:rPr>
                            </w:pPr>
                            <w:r>
                              <w:rPr>
                                <w:sz w:val="16"/>
                                <w:szCs w:val="16"/>
                              </w:rPr>
                              <w:t>MARY A. BECKMAN</w:t>
                            </w:r>
                          </w:p>
                          <w:p w14:paraId="71047CFB" w14:textId="77777777" w:rsidR="00E4104E" w:rsidRPr="00E662E1" w:rsidRDefault="00E4104E" w:rsidP="00E4104E">
                            <w:pPr>
                              <w:pStyle w:val="Governor"/>
                              <w:rPr>
                                <w:sz w:val="16"/>
                                <w:szCs w:val="16"/>
                              </w:rPr>
                            </w:pPr>
                            <w:r>
                              <w:rPr>
                                <w:szCs w:val="14"/>
                              </w:rPr>
                              <w:t>Acting Secretary</w:t>
                            </w:r>
                          </w:p>
                          <w:p w14:paraId="543B9C46" w14:textId="77777777" w:rsidR="00E4104E" w:rsidRDefault="00E4104E" w:rsidP="00E4104E">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DE70346" w14:textId="77777777" w:rsidR="00E4104E" w:rsidRDefault="00E4104E" w:rsidP="00E4104E">
                            <w:pPr>
                              <w:jc w:val="center"/>
                              <w:rPr>
                                <w:rFonts w:ascii="Arial Rounded MT Bold" w:hAnsi="Arial Rounded MT Bold"/>
                                <w:sz w:val="14"/>
                                <w:szCs w:val="14"/>
                              </w:rPr>
                            </w:pPr>
                          </w:p>
                          <w:p w14:paraId="72753FBC" w14:textId="77777777" w:rsidR="00E4104E" w:rsidRPr="004813AC" w:rsidRDefault="00E4104E" w:rsidP="00E4104E">
                            <w:pPr>
                              <w:jc w:val="center"/>
                              <w:rPr>
                                <w:rFonts w:ascii="Arial" w:hAnsi="Arial" w:cs="Arial"/>
                                <w:b/>
                                <w:sz w:val="14"/>
                                <w:szCs w:val="14"/>
                              </w:rPr>
                            </w:pPr>
                            <w:r w:rsidRPr="004813AC">
                              <w:rPr>
                                <w:rFonts w:ascii="Arial" w:hAnsi="Arial" w:cs="Arial"/>
                                <w:b/>
                                <w:sz w:val="14"/>
                                <w:szCs w:val="14"/>
                              </w:rPr>
                              <w:t>Tel: 617-624-6000</w:t>
                            </w:r>
                          </w:p>
                          <w:p w14:paraId="171B0F0D" w14:textId="77777777" w:rsidR="00E4104E" w:rsidRPr="004813AC" w:rsidRDefault="00E4104E" w:rsidP="00E4104E">
                            <w:pPr>
                              <w:jc w:val="center"/>
                              <w:rPr>
                                <w:rFonts w:ascii="Arial" w:hAnsi="Arial" w:cs="Arial"/>
                                <w:b/>
                                <w:sz w:val="14"/>
                                <w:szCs w:val="14"/>
                                <w:lang w:val="fr-FR"/>
                              </w:rPr>
                            </w:pPr>
                            <w:r w:rsidRPr="004813AC">
                              <w:rPr>
                                <w:rFonts w:ascii="Arial" w:hAnsi="Arial" w:cs="Arial"/>
                                <w:b/>
                                <w:sz w:val="14"/>
                                <w:szCs w:val="14"/>
                                <w:lang w:val="fr-FR"/>
                              </w:rPr>
                              <w:t>www.mass.gov/dph</w:t>
                            </w:r>
                          </w:p>
                          <w:p w14:paraId="775341AC"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6CA482" id="Text Box 3" o:spid="_x0000_s1027" type="#_x0000_t202" style="position:absolute;margin-left:402.75pt;margin-top:36.65pt;width:142.85pt;height:117.7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" stroked="f">
                <v:textbox style="mso-fit-shape-to-text:t">
                  <w:txbxContent>
                    <w:p w14:paraId="7C8E8FE4" w14:textId="77777777" w:rsidR="00FC6B42" w:rsidRDefault="00FC6B42" w:rsidP="00FC6B42">
                      <w:pPr>
                        <w:pStyle w:val="Governor"/>
                        <w:spacing w:after="0"/>
                        <w:rPr>
                          <w:sz w:val="16"/>
                        </w:rPr>
                      </w:pPr>
                    </w:p>
                    <w:p w14:paraId="04332587" w14:textId="77777777" w:rsidR="00FC6B42" w:rsidRDefault="00FC6B42" w:rsidP="00FC6B42">
                      <w:pPr>
                        <w:pStyle w:val="Governor"/>
                      </w:pPr>
                    </w:p>
                    <w:p w14:paraId="39335DB9" w14:textId="77777777" w:rsidR="002D1C21" w:rsidRDefault="002D1C21" w:rsidP="00FC6B42">
                      <w:pPr>
                        <w:pStyle w:val="Governor"/>
                      </w:pPr>
                    </w:p>
                    <w:p w14:paraId="5F8AF5CC" w14:textId="77777777" w:rsidR="00E4104E" w:rsidRDefault="00E4104E" w:rsidP="00E4104E">
                      <w:pPr>
                        <w:pStyle w:val="Governor"/>
                        <w:spacing w:after="0"/>
                        <w:rPr>
                          <w:sz w:val="16"/>
                          <w:szCs w:val="16"/>
                        </w:rPr>
                      </w:pPr>
                      <w:r>
                        <w:rPr>
                          <w:sz w:val="16"/>
                          <w:szCs w:val="16"/>
                        </w:rPr>
                        <w:t>MARY A. BECKMAN</w:t>
                      </w:r>
                    </w:p>
                    <w:p w14:paraId="71047CFB" w14:textId="77777777" w:rsidR="00E4104E" w:rsidRPr="00E662E1" w:rsidRDefault="00E4104E" w:rsidP="00E4104E">
                      <w:pPr>
                        <w:pStyle w:val="Governor"/>
                        <w:rPr>
                          <w:sz w:val="16"/>
                          <w:szCs w:val="16"/>
                        </w:rPr>
                      </w:pPr>
                      <w:r>
                        <w:rPr>
                          <w:szCs w:val="14"/>
                        </w:rPr>
                        <w:t>Acting Secretary</w:t>
                      </w:r>
                    </w:p>
                    <w:p w14:paraId="543B9C46" w14:textId="77777777" w:rsidR="00E4104E" w:rsidRDefault="00E4104E" w:rsidP="00E4104E">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DE70346" w14:textId="77777777" w:rsidR="00E4104E" w:rsidRDefault="00E4104E" w:rsidP="00E4104E">
                      <w:pPr>
                        <w:jc w:val="center"/>
                        <w:rPr>
                          <w:rFonts w:ascii="Arial Rounded MT Bold" w:hAnsi="Arial Rounded MT Bold"/>
                          <w:sz w:val="14"/>
                          <w:szCs w:val="14"/>
                        </w:rPr>
                      </w:pPr>
                    </w:p>
                    <w:p w14:paraId="72753FBC" w14:textId="77777777" w:rsidR="00E4104E" w:rsidRPr="004813AC" w:rsidRDefault="00E4104E" w:rsidP="00E4104E">
                      <w:pPr>
                        <w:jc w:val="center"/>
                        <w:rPr>
                          <w:rFonts w:ascii="Arial" w:hAnsi="Arial" w:cs="Arial"/>
                          <w:b/>
                          <w:sz w:val="14"/>
                          <w:szCs w:val="14"/>
                        </w:rPr>
                      </w:pPr>
                      <w:r w:rsidRPr="004813AC">
                        <w:rPr>
                          <w:rFonts w:ascii="Arial" w:hAnsi="Arial" w:cs="Arial"/>
                          <w:b/>
                          <w:sz w:val="14"/>
                          <w:szCs w:val="14"/>
                        </w:rPr>
                        <w:t>Tel: 617-624-6000</w:t>
                      </w:r>
                    </w:p>
                    <w:p w14:paraId="171B0F0D" w14:textId="77777777" w:rsidR="00E4104E" w:rsidRPr="004813AC" w:rsidRDefault="00E4104E" w:rsidP="00E4104E">
                      <w:pPr>
                        <w:jc w:val="center"/>
                        <w:rPr>
                          <w:rFonts w:ascii="Arial" w:hAnsi="Arial" w:cs="Arial"/>
                          <w:b/>
                          <w:sz w:val="14"/>
                          <w:szCs w:val="14"/>
                          <w:lang w:val="fr-FR"/>
                        </w:rPr>
                      </w:pPr>
                      <w:r w:rsidRPr="004813AC">
                        <w:rPr>
                          <w:rFonts w:ascii="Arial" w:hAnsi="Arial" w:cs="Arial"/>
                          <w:b/>
                          <w:sz w:val="14"/>
                          <w:szCs w:val="14"/>
                          <w:lang w:val="fr-FR"/>
                        </w:rPr>
                        <w:t>www.mass.gov/dph</w:t>
                      </w:r>
                    </w:p>
                    <w:p w14:paraId="775341AC"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79EFB24A" wp14:editId="7CF19FF5">
                <wp:simplePos x="0" y="0"/>
                <wp:positionH relativeFrom="column">
                  <wp:posOffset>-704850</wp:posOffset>
                </wp:positionH>
                <wp:positionV relativeFrom="paragraph">
                  <wp:posOffset>828040</wp:posOffset>
                </wp:positionV>
                <wp:extent cx="1572895" cy="802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D0669" w14:textId="77777777" w:rsidR="00FC6B42" w:rsidRDefault="00FC6B42" w:rsidP="00FC6B42">
                            <w:pPr>
                              <w:pStyle w:val="Governor"/>
                              <w:spacing w:after="0"/>
                              <w:rPr>
                                <w:sz w:val="16"/>
                              </w:rPr>
                            </w:pPr>
                          </w:p>
                          <w:p w14:paraId="3A5BCA34" w14:textId="77777777" w:rsidR="00FC6B42" w:rsidRDefault="002D1C21" w:rsidP="00FC6B42">
                            <w:pPr>
                              <w:pStyle w:val="Governor"/>
                              <w:spacing w:after="0"/>
                              <w:rPr>
                                <w:sz w:val="16"/>
                              </w:rPr>
                            </w:pPr>
                            <w:r>
                              <w:rPr>
                                <w:sz w:val="16"/>
                              </w:rPr>
                              <w:t>MAURA T. HEALEY</w:t>
                            </w:r>
                          </w:p>
                          <w:p w14:paraId="6E69017B" w14:textId="77777777" w:rsidR="00FC6B42" w:rsidRDefault="00FC6B42" w:rsidP="00FC6B42">
                            <w:pPr>
                              <w:pStyle w:val="Governor"/>
                            </w:pPr>
                            <w:r>
                              <w:t>Governor</w:t>
                            </w:r>
                          </w:p>
                          <w:p w14:paraId="4D6ACEA8" w14:textId="43FC7039" w:rsidR="00FC6B42" w:rsidRDefault="002D1C21" w:rsidP="00FC6B42">
                            <w:pPr>
                              <w:pStyle w:val="Governor"/>
                              <w:spacing w:after="0"/>
                              <w:rPr>
                                <w:sz w:val="16"/>
                              </w:rPr>
                            </w:pPr>
                            <w:r>
                              <w:rPr>
                                <w:sz w:val="16"/>
                              </w:rPr>
                              <w:t>KIMBERLEY</w:t>
                            </w:r>
                            <w:r w:rsidR="00920BF9">
                              <w:rPr>
                                <w:sz w:val="16"/>
                              </w:rPr>
                              <w:t xml:space="preserve"> </w:t>
                            </w:r>
                            <w:r>
                              <w:rPr>
                                <w:sz w:val="16"/>
                              </w:rPr>
                              <w:t>DRISCOLL</w:t>
                            </w:r>
                          </w:p>
                          <w:p w14:paraId="1586F05B"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EFB24A" id="Text Box 2" o:spid="_x0000_s1028" type="#_x0000_t202" style="position:absolute;margin-left:-55.5pt;margin-top:65.2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UH9QEAANE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" stroked="f">
                <v:textbox style="mso-fit-shape-to-text:t">
                  <w:txbxContent>
                    <w:p w14:paraId="602D0669" w14:textId="77777777" w:rsidR="00FC6B42" w:rsidRDefault="00FC6B42" w:rsidP="00FC6B42">
                      <w:pPr>
                        <w:pStyle w:val="Governor"/>
                        <w:spacing w:after="0"/>
                        <w:rPr>
                          <w:sz w:val="16"/>
                        </w:rPr>
                      </w:pPr>
                    </w:p>
                    <w:p w14:paraId="3A5BCA34" w14:textId="77777777" w:rsidR="00FC6B42" w:rsidRDefault="002D1C21" w:rsidP="00FC6B42">
                      <w:pPr>
                        <w:pStyle w:val="Governor"/>
                        <w:spacing w:after="0"/>
                        <w:rPr>
                          <w:sz w:val="16"/>
                        </w:rPr>
                      </w:pPr>
                      <w:r>
                        <w:rPr>
                          <w:sz w:val="16"/>
                        </w:rPr>
                        <w:t>MAURA T. HEALEY</w:t>
                      </w:r>
                    </w:p>
                    <w:p w14:paraId="6E69017B" w14:textId="77777777" w:rsidR="00FC6B42" w:rsidRDefault="00FC6B42" w:rsidP="00FC6B42">
                      <w:pPr>
                        <w:pStyle w:val="Governor"/>
                      </w:pPr>
                      <w:r>
                        <w:t>Governor</w:t>
                      </w:r>
                    </w:p>
                    <w:p w14:paraId="4D6ACEA8" w14:textId="43FC7039" w:rsidR="00FC6B42" w:rsidRDefault="002D1C21" w:rsidP="00FC6B42">
                      <w:pPr>
                        <w:pStyle w:val="Governor"/>
                        <w:spacing w:after="0"/>
                        <w:rPr>
                          <w:sz w:val="16"/>
                        </w:rPr>
                      </w:pPr>
                      <w:r>
                        <w:rPr>
                          <w:sz w:val="16"/>
                        </w:rPr>
                        <w:t>KIMBERLEY</w:t>
                      </w:r>
                      <w:r w:rsidR="00920BF9">
                        <w:rPr>
                          <w:sz w:val="16"/>
                        </w:rPr>
                        <w:t xml:space="preserve"> </w:t>
                      </w:r>
                      <w:r>
                        <w:rPr>
                          <w:sz w:val="16"/>
                        </w:rPr>
                        <w:t>DRISCOLL</w:t>
                      </w:r>
                    </w:p>
                    <w:p w14:paraId="1586F05B" w14:textId="77777777" w:rsidR="00FC6B42" w:rsidRDefault="00FC6B42" w:rsidP="00FC6B42">
                      <w:pPr>
                        <w:pStyle w:val="Governor"/>
                      </w:pPr>
                      <w:r>
                        <w:t>Lieutenant Governor</w:t>
                      </w:r>
                    </w:p>
                  </w:txbxContent>
                </v:textbox>
              </v:shape>
            </w:pict>
          </mc:Fallback>
        </mc:AlternateContent>
      </w:r>
    </w:p>
    <w:p w14:paraId="6E1ABC9D" w14:textId="77777777" w:rsidR="00FC6B42" w:rsidRDefault="00FC6B42" w:rsidP="0072610D"/>
    <w:p w14:paraId="12C2D377" w14:textId="77777777" w:rsidR="00FC6B42" w:rsidRDefault="00FC6B42" w:rsidP="0072610D"/>
    <w:p w14:paraId="57373C98" w14:textId="77777777" w:rsidR="00033154" w:rsidRDefault="00033154" w:rsidP="0072610D"/>
    <w:p w14:paraId="7D1C6E2E" w14:textId="77777777" w:rsidR="00033154" w:rsidRDefault="00033154" w:rsidP="0072610D"/>
    <w:p w14:paraId="46BBC82E" w14:textId="77777777" w:rsidR="00033154" w:rsidRDefault="00033154" w:rsidP="0072610D"/>
    <w:p w14:paraId="2CFB7516" w14:textId="77777777" w:rsidR="00832E06" w:rsidRPr="006513BE" w:rsidRDefault="00832E06" w:rsidP="00832E06">
      <w:pPr>
        <w:framePr w:w="1927" w:hSpace="180" w:wrap="auto" w:vAnchor="text" w:hAnchor="page" w:x="701" w:y="-919"/>
        <w:ind w:firstLine="180"/>
      </w:pPr>
    </w:p>
    <w:p w14:paraId="177D695F" w14:textId="1B387C6A" w:rsidR="00832E06" w:rsidRPr="006513BE" w:rsidRDefault="00832E06" w:rsidP="002470A0">
      <w:pPr>
        <w:jc w:val="center"/>
        <w:rPr>
          <w:b/>
          <w:bCs/>
          <w:sz w:val="28"/>
          <w:szCs w:val="28"/>
        </w:rPr>
      </w:pPr>
      <w:r w:rsidRPr="4430292E">
        <w:rPr>
          <w:b/>
          <w:bCs/>
          <w:sz w:val="28"/>
          <w:szCs w:val="28"/>
        </w:rPr>
        <w:t>CLINICAL ALERT</w:t>
      </w:r>
    </w:p>
    <w:p w14:paraId="41402BB1" w14:textId="527A7723" w:rsidR="00832E06" w:rsidRDefault="00832E06" w:rsidP="00832E06">
      <w:pPr>
        <w:jc w:val="center"/>
        <w:rPr>
          <w:b/>
          <w:bCs/>
          <w:sz w:val="22"/>
          <w:szCs w:val="22"/>
        </w:rPr>
      </w:pPr>
      <w:r>
        <w:rPr>
          <w:b/>
          <w:bCs/>
          <w:sz w:val="22"/>
          <w:szCs w:val="22"/>
        </w:rPr>
        <w:t xml:space="preserve">January </w:t>
      </w:r>
      <w:r w:rsidR="00FF173A">
        <w:rPr>
          <w:b/>
          <w:bCs/>
          <w:sz w:val="22"/>
          <w:szCs w:val="22"/>
        </w:rPr>
        <w:t>1</w:t>
      </w:r>
      <w:r w:rsidR="004E6825">
        <w:rPr>
          <w:b/>
          <w:bCs/>
          <w:sz w:val="22"/>
          <w:szCs w:val="22"/>
        </w:rPr>
        <w:t>9</w:t>
      </w:r>
      <w:r>
        <w:rPr>
          <w:b/>
          <w:bCs/>
          <w:sz w:val="22"/>
          <w:szCs w:val="22"/>
        </w:rPr>
        <w:t>, 2023</w:t>
      </w:r>
    </w:p>
    <w:p w14:paraId="55D8F865" w14:textId="77777777" w:rsidR="00832E06" w:rsidRPr="006513BE" w:rsidRDefault="00832E06" w:rsidP="00832E06">
      <w:pPr>
        <w:jc w:val="center"/>
        <w:rPr>
          <w:b/>
          <w:bCs/>
          <w:sz w:val="22"/>
          <w:szCs w:val="22"/>
        </w:rPr>
      </w:pPr>
    </w:p>
    <w:p w14:paraId="7FBE2563" w14:textId="467FC54C" w:rsidR="00832E06" w:rsidRPr="006513BE" w:rsidRDefault="00832E06" w:rsidP="00832E06">
      <w:pPr>
        <w:jc w:val="center"/>
        <w:rPr>
          <w:b/>
          <w:bCs/>
          <w:sz w:val="22"/>
          <w:szCs w:val="22"/>
        </w:rPr>
      </w:pPr>
      <w:r w:rsidRPr="26C870D6">
        <w:rPr>
          <w:b/>
          <w:bCs/>
          <w:sz w:val="22"/>
          <w:szCs w:val="22"/>
        </w:rPr>
        <w:t>MULTI</w:t>
      </w:r>
      <w:r w:rsidRPr="006513BE">
        <w:rPr>
          <w:b/>
          <w:bCs/>
          <w:sz w:val="22"/>
          <w:szCs w:val="22"/>
        </w:rPr>
        <w:t xml:space="preserve">-DRUG </w:t>
      </w:r>
      <w:r>
        <w:rPr>
          <w:b/>
          <w:bCs/>
          <w:sz w:val="22"/>
          <w:szCs w:val="22"/>
        </w:rPr>
        <w:t>NON-SUSCEPTIBLE</w:t>
      </w:r>
      <w:r w:rsidRPr="006513BE">
        <w:rPr>
          <w:b/>
          <w:bCs/>
          <w:sz w:val="22"/>
          <w:szCs w:val="22"/>
        </w:rPr>
        <w:t xml:space="preserve"> GONORRHEA IN MASSACHUSETTS</w:t>
      </w:r>
    </w:p>
    <w:p w14:paraId="3CAD39FB" w14:textId="77777777" w:rsidR="00832E06" w:rsidRPr="006513BE" w:rsidRDefault="00832E06" w:rsidP="00832E06">
      <w:pPr>
        <w:rPr>
          <w:sz w:val="22"/>
          <w:szCs w:val="22"/>
        </w:rPr>
      </w:pPr>
    </w:p>
    <w:p w14:paraId="5C962521" w14:textId="77777777" w:rsidR="00832E06" w:rsidRDefault="00832E06" w:rsidP="008E7D7F">
      <w:pPr>
        <w:pStyle w:val="ListParagraph"/>
        <w:numPr>
          <w:ilvl w:val="0"/>
          <w:numId w:val="1"/>
        </w:numPr>
        <w:spacing w:after="120"/>
        <w:ind w:left="0" w:right="-360"/>
        <w:rPr>
          <w:sz w:val="22"/>
          <w:szCs w:val="22"/>
        </w:rPr>
      </w:pPr>
      <w:r w:rsidRPr="4430292E">
        <w:rPr>
          <w:sz w:val="22"/>
          <w:szCs w:val="22"/>
        </w:rPr>
        <w:t xml:space="preserve">A novel strain of multidrug-non-susceptible </w:t>
      </w:r>
      <w:r w:rsidRPr="4430292E">
        <w:rPr>
          <w:i/>
          <w:iCs/>
          <w:sz w:val="22"/>
          <w:szCs w:val="22"/>
        </w:rPr>
        <w:t>Neisseria gonorrhoeae</w:t>
      </w:r>
      <w:r w:rsidRPr="4430292E">
        <w:rPr>
          <w:sz w:val="22"/>
          <w:szCs w:val="22"/>
        </w:rPr>
        <w:t xml:space="preserve"> with reduced susceptibility to ceftriaxone, cefixime, and azithromycin, and resistance to ciprofloxacin, penicillin, and tetracycline, has been identified in a Massachusetts resident. Although ceftriaxone 500 mg IM was effective at clearing infection for this case, this is the first isolate identified in the United States to demonstrate resistance or </w:t>
      </w:r>
      <w:r w:rsidR="007A1271">
        <w:rPr>
          <w:sz w:val="22"/>
          <w:szCs w:val="22"/>
        </w:rPr>
        <w:t xml:space="preserve">reduced </w:t>
      </w:r>
      <w:r w:rsidRPr="4430292E">
        <w:rPr>
          <w:sz w:val="22"/>
          <w:szCs w:val="22"/>
        </w:rPr>
        <w:t xml:space="preserve">susceptibility to all drugs that are recommended for treatment. </w:t>
      </w:r>
    </w:p>
    <w:p w14:paraId="071B3FC1" w14:textId="77777777" w:rsidR="00832E06" w:rsidRDefault="00832E06" w:rsidP="008E7D7F">
      <w:pPr>
        <w:pStyle w:val="ListParagraph"/>
        <w:spacing w:after="120"/>
        <w:ind w:left="0" w:right="-360"/>
        <w:rPr>
          <w:sz w:val="22"/>
          <w:szCs w:val="22"/>
        </w:rPr>
      </w:pPr>
    </w:p>
    <w:p w14:paraId="3B697DA5" w14:textId="77777777" w:rsidR="00832E06" w:rsidRDefault="00832E06" w:rsidP="008E7D7F">
      <w:pPr>
        <w:pStyle w:val="ListParagraph"/>
        <w:numPr>
          <w:ilvl w:val="0"/>
          <w:numId w:val="1"/>
        </w:numPr>
        <w:spacing w:after="120"/>
        <w:ind w:left="0" w:right="-360"/>
        <w:rPr>
          <w:sz w:val="22"/>
          <w:szCs w:val="22"/>
        </w:rPr>
      </w:pPr>
      <w:r w:rsidRPr="4430292E">
        <w:rPr>
          <w:sz w:val="22"/>
          <w:szCs w:val="22"/>
        </w:rPr>
        <w:t>Enhanced surveillance has identified a second isolate that, based on its genome, likely has similarly reduced susceptibility to ceftriaxone and cefixime.</w:t>
      </w:r>
    </w:p>
    <w:p w14:paraId="5905F510" w14:textId="77777777" w:rsidR="00832E06" w:rsidRPr="00EE2674" w:rsidRDefault="00832E06" w:rsidP="008E7D7F">
      <w:pPr>
        <w:pStyle w:val="ListParagraph"/>
        <w:spacing w:after="120"/>
        <w:ind w:left="0" w:right="-360"/>
        <w:rPr>
          <w:sz w:val="22"/>
          <w:szCs w:val="22"/>
        </w:rPr>
      </w:pPr>
    </w:p>
    <w:p w14:paraId="549743A6" w14:textId="2D238155" w:rsidR="00832E06" w:rsidRPr="006513BE" w:rsidRDefault="00832E06" w:rsidP="008E7D7F">
      <w:pPr>
        <w:pStyle w:val="ListParagraph"/>
        <w:numPr>
          <w:ilvl w:val="0"/>
          <w:numId w:val="1"/>
        </w:numPr>
        <w:spacing w:after="240"/>
        <w:ind w:left="0" w:right="-360"/>
        <w:rPr>
          <w:sz w:val="22"/>
          <w:szCs w:val="22"/>
        </w:rPr>
      </w:pPr>
      <w:r w:rsidRPr="006513BE">
        <w:rPr>
          <w:sz w:val="22"/>
          <w:szCs w:val="22"/>
        </w:rPr>
        <w:t xml:space="preserve">Identification of this strain, </w:t>
      </w:r>
      <w:r>
        <w:rPr>
          <w:sz w:val="22"/>
          <w:szCs w:val="22"/>
        </w:rPr>
        <w:t>the same as what was recently reported in the United Kingdom</w:t>
      </w:r>
      <w:r w:rsidRPr="006513BE">
        <w:rPr>
          <w:rStyle w:val="EndnoteReference"/>
          <w:sz w:val="22"/>
          <w:szCs w:val="22"/>
        </w:rPr>
        <w:endnoteReference w:id="2"/>
      </w:r>
      <w:r>
        <w:rPr>
          <w:sz w:val="22"/>
          <w:szCs w:val="22"/>
        </w:rPr>
        <w:t xml:space="preserve"> and previously reported </w:t>
      </w:r>
      <w:r w:rsidRPr="006513BE">
        <w:rPr>
          <w:sz w:val="22"/>
          <w:szCs w:val="22"/>
        </w:rPr>
        <w:t>as circulating in Asia-Pacific countries</w:t>
      </w:r>
      <w:r>
        <w:rPr>
          <w:sz w:val="22"/>
          <w:szCs w:val="22"/>
        </w:rPr>
        <w:t>,</w:t>
      </w:r>
      <w:r w:rsidRPr="006513BE">
        <w:rPr>
          <w:sz w:val="22"/>
          <w:szCs w:val="22"/>
        </w:rPr>
        <w:t xml:space="preserve"> </w:t>
      </w:r>
      <w:r w:rsidR="00DC4550">
        <w:rPr>
          <w:sz w:val="22"/>
          <w:szCs w:val="22"/>
        </w:rPr>
        <w:t xml:space="preserve">is a warning that </w:t>
      </w:r>
      <w:r w:rsidR="00DC4550">
        <w:rPr>
          <w:i/>
          <w:iCs/>
          <w:sz w:val="22"/>
          <w:szCs w:val="22"/>
        </w:rPr>
        <w:t xml:space="preserve">N. gonorrhoeae </w:t>
      </w:r>
      <w:r w:rsidR="00DC4550">
        <w:rPr>
          <w:sz w:val="22"/>
          <w:szCs w:val="22"/>
        </w:rPr>
        <w:t>is</w:t>
      </w:r>
      <w:r w:rsidR="00DC4550" w:rsidRPr="00FF173A">
        <w:rPr>
          <w:sz w:val="22"/>
          <w:szCs w:val="22"/>
        </w:rPr>
        <w:t xml:space="preserve"> becoming less responsive to a limited arsenal of antibiotics.</w:t>
      </w:r>
    </w:p>
    <w:p w14:paraId="4A0B132B" w14:textId="77777777" w:rsidR="00832E06" w:rsidRPr="00545CEF" w:rsidRDefault="00832E06" w:rsidP="008E7D7F">
      <w:pPr>
        <w:ind w:right="-360"/>
        <w:rPr>
          <w:b/>
          <w:bCs/>
          <w:sz w:val="22"/>
          <w:szCs w:val="22"/>
          <w:u w:val="single"/>
        </w:rPr>
      </w:pPr>
      <w:r w:rsidRPr="00545CEF">
        <w:rPr>
          <w:b/>
          <w:bCs/>
          <w:sz w:val="22"/>
          <w:szCs w:val="22"/>
          <w:u w:val="single"/>
        </w:rPr>
        <w:t xml:space="preserve">MDPH recommends that clinicians take the following action: </w:t>
      </w:r>
    </w:p>
    <w:p w14:paraId="25EB26A0" w14:textId="77777777" w:rsidR="00832E06" w:rsidRPr="006513BE" w:rsidRDefault="00832E06" w:rsidP="008E7D7F">
      <w:pPr>
        <w:ind w:right="-360"/>
        <w:rPr>
          <w:sz w:val="22"/>
          <w:szCs w:val="22"/>
        </w:rPr>
      </w:pPr>
    </w:p>
    <w:p w14:paraId="49357EF9" w14:textId="77777777" w:rsidR="00832E06" w:rsidRPr="006513BE" w:rsidRDefault="00832E06" w:rsidP="008E7D7F">
      <w:pPr>
        <w:pStyle w:val="ListParagraph"/>
        <w:numPr>
          <w:ilvl w:val="0"/>
          <w:numId w:val="1"/>
        </w:numPr>
        <w:ind w:left="0" w:right="-360"/>
        <w:rPr>
          <w:sz w:val="22"/>
          <w:szCs w:val="22"/>
        </w:rPr>
      </w:pPr>
      <w:r w:rsidRPr="006513BE">
        <w:rPr>
          <w:sz w:val="22"/>
          <w:szCs w:val="22"/>
        </w:rPr>
        <w:t xml:space="preserve">Ensure compliance with recommended treatment of ceftriaxone 500 mg IM </w:t>
      </w:r>
      <w:r>
        <w:rPr>
          <w:sz w:val="22"/>
          <w:szCs w:val="22"/>
        </w:rPr>
        <w:t>as</w:t>
      </w:r>
      <w:r w:rsidRPr="006513BE">
        <w:rPr>
          <w:sz w:val="22"/>
          <w:szCs w:val="22"/>
        </w:rPr>
        <w:t xml:space="preserve"> a single dose for persons weighing &lt;150 kg,</w:t>
      </w:r>
      <w:r>
        <w:rPr>
          <w:sz w:val="22"/>
          <w:szCs w:val="22"/>
        </w:rPr>
        <w:t xml:space="preserve"> (</w:t>
      </w:r>
      <w:r w:rsidRPr="006513BE">
        <w:rPr>
          <w:sz w:val="22"/>
          <w:szCs w:val="22"/>
        </w:rPr>
        <w:t>1</w:t>
      </w:r>
      <w:r>
        <w:rPr>
          <w:sz w:val="22"/>
          <w:szCs w:val="22"/>
        </w:rPr>
        <w:t xml:space="preserve"> </w:t>
      </w:r>
      <w:r w:rsidRPr="006513BE">
        <w:rPr>
          <w:sz w:val="22"/>
          <w:szCs w:val="22"/>
        </w:rPr>
        <w:t>g</w:t>
      </w:r>
      <w:r>
        <w:rPr>
          <w:sz w:val="22"/>
          <w:szCs w:val="22"/>
        </w:rPr>
        <w:t>ram</w:t>
      </w:r>
      <w:r w:rsidRPr="006513BE">
        <w:rPr>
          <w:sz w:val="22"/>
          <w:szCs w:val="22"/>
        </w:rPr>
        <w:t xml:space="preserve"> IM for persons weighing ≥150 kg</w:t>
      </w:r>
      <w:r>
        <w:rPr>
          <w:sz w:val="22"/>
          <w:szCs w:val="22"/>
        </w:rPr>
        <w:t>)</w:t>
      </w:r>
      <w:r w:rsidRPr="006513BE">
        <w:rPr>
          <w:sz w:val="22"/>
          <w:szCs w:val="22"/>
        </w:rPr>
        <w:t xml:space="preserve">, per </w:t>
      </w:r>
      <w:r w:rsidR="008E7D7F">
        <w:rPr>
          <w:sz w:val="22"/>
          <w:szCs w:val="22"/>
        </w:rPr>
        <w:t xml:space="preserve">2020-21 </w:t>
      </w:r>
      <w:r w:rsidRPr="006513BE">
        <w:rPr>
          <w:sz w:val="22"/>
          <w:szCs w:val="22"/>
        </w:rPr>
        <w:t>CDC guidelines</w:t>
      </w:r>
      <w:bookmarkStart w:id="0" w:name="_Ref122508076"/>
      <w:r>
        <w:rPr>
          <w:sz w:val="22"/>
          <w:szCs w:val="22"/>
        </w:rPr>
        <w:t>.</w:t>
      </w:r>
      <w:bookmarkStart w:id="1" w:name="_Ref122511902"/>
      <w:r>
        <w:rPr>
          <w:rStyle w:val="EndnoteReference"/>
          <w:sz w:val="22"/>
          <w:szCs w:val="22"/>
        </w:rPr>
        <w:endnoteReference w:id="3"/>
      </w:r>
      <w:bookmarkEnd w:id="0"/>
      <w:bookmarkEnd w:id="1"/>
    </w:p>
    <w:p w14:paraId="2454EECD" w14:textId="77777777" w:rsidR="00832E06" w:rsidRPr="006513BE" w:rsidRDefault="00832E06" w:rsidP="008E7D7F">
      <w:pPr>
        <w:pStyle w:val="ListParagraph"/>
        <w:ind w:left="0" w:right="-360"/>
        <w:rPr>
          <w:sz w:val="22"/>
          <w:szCs w:val="22"/>
        </w:rPr>
      </w:pPr>
      <w:r>
        <w:rPr>
          <w:sz w:val="22"/>
          <w:szCs w:val="22"/>
        </w:rPr>
        <w:t xml:space="preserve"> </w:t>
      </w:r>
    </w:p>
    <w:p w14:paraId="6959E7DE" w14:textId="77777777" w:rsidR="00832E06" w:rsidRPr="006513BE" w:rsidRDefault="00832E06" w:rsidP="008E7D7F">
      <w:pPr>
        <w:pStyle w:val="ListParagraph"/>
        <w:numPr>
          <w:ilvl w:val="0"/>
          <w:numId w:val="1"/>
        </w:numPr>
        <w:ind w:left="0" w:right="-360"/>
        <w:rPr>
          <w:sz w:val="22"/>
          <w:szCs w:val="22"/>
        </w:rPr>
      </w:pPr>
      <w:r>
        <w:rPr>
          <w:sz w:val="22"/>
          <w:szCs w:val="22"/>
        </w:rPr>
        <w:t>Perform</w:t>
      </w:r>
      <w:r w:rsidRPr="39AEA429">
        <w:rPr>
          <w:sz w:val="22"/>
          <w:szCs w:val="22"/>
        </w:rPr>
        <w:t xml:space="preserve"> gonococcal culture from genital and extragenital sites for symptomatic patients, in addition to routine nucleic acid amplification testing (NAAT). Clinicians should consult with local clinical microbiology laboratories to determine how best to optimize gonococcal culture, for example by using non-nutritive swab transport systems (e.g</w:t>
      </w:r>
      <w:r w:rsidRPr="4F4F07D0">
        <w:rPr>
          <w:sz w:val="22"/>
          <w:szCs w:val="22"/>
        </w:rPr>
        <w:t>.,</w:t>
      </w:r>
      <w:r w:rsidRPr="39AEA429">
        <w:rPr>
          <w:sz w:val="22"/>
          <w:szCs w:val="22"/>
        </w:rPr>
        <w:t xml:space="preserve"> Amies agar gel). </w:t>
      </w:r>
    </w:p>
    <w:p w14:paraId="39210EBC" w14:textId="77777777" w:rsidR="00832E06" w:rsidRPr="006513BE" w:rsidRDefault="00832E06" w:rsidP="008E7D7F">
      <w:pPr>
        <w:ind w:right="-360"/>
        <w:rPr>
          <w:sz w:val="22"/>
          <w:szCs w:val="22"/>
        </w:rPr>
      </w:pPr>
    </w:p>
    <w:p w14:paraId="443F0907" w14:textId="33D43970" w:rsidR="00832E06" w:rsidRPr="006513BE" w:rsidRDefault="00832E06" w:rsidP="008E7D7F">
      <w:pPr>
        <w:pStyle w:val="ListParagraph"/>
        <w:numPr>
          <w:ilvl w:val="0"/>
          <w:numId w:val="1"/>
        </w:numPr>
        <w:ind w:left="0" w:right="-360"/>
        <w:rPr>
          <w:sz w:val="22"/>
          <w:szCs w:val="22"/>
        </w:rPr>
      </w:pPr>
      <w:r w:rsidRPr="006513BE">
        <w:rPr>
          <w:sz w:val="22"/>
          <w:szCs w:val="22"/>
        </w:rPr>
        <w:t>Obtain</w:t>
      </w:r>
      <w:r>
        <w:rPr>
          <w:sz w:val="22"/>
          <w:szCs w:val="22"/>
        </w:rPr>
        <w:t xml:space="preserve"> risk history, including</w:t>
      </w:r>
      <w:r w:rsidRPr="006513BE">
        <w:rPr>
          <w:sz w:val="22"/>
          <w:szCs w:val="22"/>
        </w:rPr>
        <w:t xml:space="preserve"> travel history</w:t>
      </w:r>
      <w:r w:rsidR="008E7D7F">
        <w:rPr>
          <w:sz w:val="22"/>
          <w:szCs w:val="22"/>
        </w:rPr>
        <w:t>,</w:t>
      </w:r>
      <w:r w:rsidRPr="006513BE">
        <w:rPr>
          <w:sz w:val="22"/>
          <w:szCs w:val="22"/>
        </w:rPr>
        <w:t xml:space="preserve"> for </w:t>
      </w:r>
      <w:r>
        <w:rPr>
          <w:sz w:val="22"/>
          <w:szCs w:val="22"/>
        </w:rPr>
        <w:t xml:space="preserve">all </w:t>
      </w:r>
      <w:r w:rsidRPr="006513BE">
        <w:rPr>
          <w:sz w:val="22"/>
          <w:szCs w:val="22"/>
        </w:rPr>
        <w:t>gonorrhea-positive cases</w:t>
      </w:r>
      <w:r>
        <w:rPr>
          <w:sz w:val="22"/>
          <w:szCs w:val="22"/>
        </w:rPr>
        <w:t>,</w:t>
      </w:r>
      <w:r w:rsidRPr="006513BE">
        <w:rPr>
          <w:sz w:val="22"/>
          <w:szCs w:val="22"/>
        </w:rPr>
        <w:t xml:space="preserve"> and perform test of cure using </w:t>
      </w:r>
      <w:r w:rsidR="002C3676">
        <w:rPr>
          <w:sz w:val="22"/>
          <w:szCs w:val="22"/>
        </w:rPr>
        <w:t xml:space="preserve">NAAT or </w:t>
      </w:r>
      <w:r w:rsidRPr="006513BE">
        <w:rPr>
          <w:sz w:val="22"/>
          <w:szCs w:val="22"/>
        </w:rPr>
        <w:t xml:space="preserve">culture, 14 days after initial treatment, </w:t>
      </w:r>
      <w:r w:rsidR="002C3676">
        <w:rPr>
          <w:sz w:val="22"/>
          <w:szCs w:val="22"/>
        </w:rPr>
        <w:t>at all previously positive mucosal sites</w:t>
      </w:r>
      <w:r>
        <w:rPr>
          <w:sz w:val="22"/>
          <w:szCs w:val="22"/>
        </w:rPr>
        <w:t>.</w:t>
      </w:r>
      <w:r w:rsidR="00A63EF0">
        <w:rPr>
          <w:sz w:val="22"/>
          <w:szCs w:val="22"/>
        </w:rPr>
        <w:t xml:space="preserve"> </w:t>
      </w:r>
      <w:r>
        <w:rPr>
          <w:sz w:val="22"/>
          <w:szCs w:val="22"/>
        </w:rPr>
        <w:t>Test of cure following treatment is already recommended for all patients with known or suspected pharyngeal infection.</w:t>
      </w:r>
      <w:r w:rsidRPr="00963F18">
        <w:rPr>
          <w:sz w:val="22"/>
          <w:szCs w:val="22"/>
        </w:rPr>
        <w:fldChar w:fldCharType="begin"/>
      </w:r>
      <w:r w:rsidRPr="00963F18">
        <w:rPr>
          <w:sz w:val="22"/>
          <w:szCs w:val="22"/>
        </w:rPr>
        <w:instrText xml:space="preserve"> NOTEREF _Ref122508076 \f \h </w:instrText>
      </w:r>
      <w:r>
        <w:rPr>
          <w:sz w:val="22"/>
          <w:szCs w:val="22"/>
        </w:rPr>
        <w:instrText xml:space="preserve"> \* MERGEFORMAT </w:instrText>
      </w:r>
      <w:r w:rsidRPr="00963F18">
        <w:rPr>
          <w:sz w:val="22"/>
          <w:szCs w:val="22"/>
        </w:rPr>
      </w:r>
      <w:r w:rsidRPr="00963F18">
        <w:rPr>
          <w:sz w:val="22"/>
          <w:szCs w:val="22"/>
        </w:rPr>
        <w:fldChar w:fldCharType="separate"/>
      </w:r>
      <w:r w:rsidR="007D1B5F" w:rsidRPr="007D1B5F">
        <w:rPr>
          <w:rStyle w:val="EndnoteReference"/>
          <w:sz w:val="22"/>
          <w:szCs w:val="22"/>
        </w:rPr>
        <w:t>2</w:t>
      </w:r>
      <w:r w:rsidRPr="00963F18">
        <w:rPr>
          <w:sz w:val="22"/>
          <w:szCs w:val="22"/>
        </w:rPr>
        <w:fldChar w:fldCharType="end"/>
      </w:r>
      <w:r w:rsidRPr="00963F18">
        <w:rPr>
          <w:sz w:val="22"/>
          <w:szCs w:val="22"/>
        </w:rPr>
        <w:t xml:space="preserve"> </w:t>
      </w:r>
    </w:p>
    <w:p w14:paraId="414A3D5D" w14:textId="77777777" w:rsidR="00832E06" w:rsidRPr="006513BE" w:rsidRDefault="00832E06" w:rsidP="008E7D7F">
      <w:pPr>
        <w:ind w:right="-360"/>
        <w:rPr>
          <w:sz w:val="22"/>
          <w:szCs w:val="22"/>
        </w:rPr>
      </w:pPr>
    </w:p>
    <w:p w14:paraId="5821013C" w14:textId="29BB42FE" w:rsidR="00832E06" w:rsidRPr="006513BE" w:rsidRDefault="00832E06" w:rsidP="008E7D7F">
      <w:pPr>
        <w:pStyle w:val="ListParagraph"/>
        <w:numPr>
          <w:ilvl w:val="0"/>
          <w:numId w:val="1"/>
        </w:numPr>
        <w:ind w:left="0" w:right="-360"/>
        <w:rPr>
          <w:sz w:val="22"/>
          <w:szCs w:val="22"/>
        </w:rPr>
      </w:pPr>
      <w:r w:rsidRPr="4430292E">
        <w:rPr>
          <w:sz w:val="22"/>
          <w:szCs w:val="22"/>
        </w:rPr>
        <w:t xml:space="preserve">Perform test of reinfection with NAAT 3 months after treatment for patients previously treated for gonorrhea. Scheduling the follow-up visit for test of reinfection at the time of treatment is encouraged. If retesting at 3 months is not possible, clinicians should retest whenever persons next seek medical care &lt;12 months after initial treatment. </w:t>
      </w:r>
    </w:p>
    <w:p w14:paraId="05393C95" w14:textId="77777777" w:rsidR="00832E06" w:rsidRPr="006513BE" w:rsidRDefault="00832E06" w:rsidP="00832E06">
      <w:pPr>
        <w:rPr>
          <w:sz w:val="22"/>
          <w:szCs w:val="22"/>
        </w:rPr>
      </w:pPr>
    </w:p>
    <w:p w14:paraId="7FD5D52D" w14:textId="77777777" w:rsidR="00832E06" w:rsidRDefault="00832E06" w:rsidP="008E7D7F">
      <w:pPr>
        <w:ind w:left="-360" w:right="-360"/>
        <w:rPr>
          <w:b/>
          <w:bCs/>
          <w:sz w:val="22"/>
          <w:szCs w:val="22"/>
        </w:rPr>
      </w:pPr>
      <w:r w:rsidRPr="006513BE">
        <w:rPr>
          <w:b/>
          <w:bCs/>
          <w:sz w:val="22"/>
          <w:szCs w:val="22"/>
        </w:rPr>
        <w:t xml:space="preserve">Background </w:t>
      </w:r>
    </w:p>
    <w:p w14:paraId="49601044" w14:textId="0DC6767B" w:rsidR="00832E06" w:rsidRPr="00D202C5" w:rsidRDefault="00832E06" w:rsidP="008E7D7F">
      <w:pPr>
        <w:ind w:left="-360" w:right="-360"/>
        <w:rPr>
          <w:b/>
          <w:bCs/>
          <w:sz w:val="22"/>
          <w:szCs w:val="22"/>
        </w:rPr>
      </w:pPr>
      <w:r w:rsidRPr="3C40905E">
        <w:rPr>
          <w:sz w:val="22"/>
          <w:szCs w:val="22"/>
        </w:rPr>
        <w:t xml:space="preserve">The case presented to primary care with urethritis, without known exposure to gonococcal infection or initial disclosure of risk factors. Acquisition likely occurred within Massachusetts, as history of recent travel was not reported, however, recent travel by sex partners could not be ruled out. The patient was successfully treated with </w:t>
      </w:r>
      <w:r w:rsidRPr="3C40905E">
        <w:rPr>
          <w:sz w:val="22"/>
          <w:szCs w:val="22"/>
        </w:rPr>
        <w:lastRenderedPageBreak/>
        <w:t xml:space="preserve">ceftriaxone 500 mg IM, the currently recommended treatment for gonorrhea, with documented </w:t>
      </w:r>
      <w:r w:rsidR="000C6D52" w:rsidRPr="3C40905E">
        <w:rPr>
          <w:sz w:val="22"/>
          <w:szCs w:val="22"/>
        </w:rPr>
        <w:t xml:space="preserve">subsequent </w:t>
      </w:r>
      <w:r w:rsidRPr="3C40905E">
        <w:rPr>
          <w:sz w:val="22"/>
          <w:szCs w:val="22"/>
        </w:rPr>
        <w:t xml:space="preserve">negative testing at urethral, pharyngeal, and rectal sites. The isolate displayed reduced </w:t>
      </w:r>
      <w:r w:rsidRPr="3C40905E">
        <w:rPr>
          <w:i/>
          <w:iCs/>
          <w:sz w:val="22"/>
          <w:szCs w:val="22"/>
        </w:rPr>
        <w:t>in vitro</w:t>
      </w:r>
      <w:r w:rsidRPr="3C40905E">
        <w:rPr>
          <w:sz w:val="22"/>
          <w:szCs w:val="22"/>
        </w:rPr>
        <w:t xml:space="preserve"> susceptibility to cephalosporins (ceftriaxone, cefixime, cefoxitin) and azithromycin; and resistance to ciprofloxacin, </w:t>
      </w:r>
      <w:proofErr w:type="gramStart"/>
      <w:r w:rsidRPr="3C40905E">
        <w:rPr>
          <w:sz w:val="22"/>
          <w:szCs w:val="22"/>
        </w:rPr>
        <w:t>penicillin</w:t>
      </w:r>
      <w:proofErr w:type="gramEnd"/>
      <w:r w:rsidRPr="3C40905E">
        <w:rPr>
          <w:sz w:val="22"/>
          <w:szCs w:val="22"/>
        </w:rPr>
        <w:t xml:space="preserve"> and tetracycline, via E-test and agar dilution methods. </w:t>
      </w:r>
      <w:r w:rsidR="00FD3FC3">
        <w:rPr>
          <w:sz w:val="22"/>
          <w:szCs w:val="22"/>
        </w:rPr>
        <w:t>The</w:t>
      </w:r>
      <w:r w:rsidRPr="0061503B">
        <w:rPr>
          <w:sz w:val="22"/>
          <w:szCs w:val="22"/>
        </w:rPr>
        <w:t xml:space="preserve"> isolate</w:t>
      </w:r>
      <w:r w:rsidRPr="3C40905E">
        <w:rPr>
          <w:sz w:val="22"/>
          <w:szCs w:val="22"/>
        </w:rPr>
        <w:t xml:space="preserve"> is of a </w:t>
      </w:r>
      <w:proofErr w:type="spellStart"/>
      <w:r w:rsidRPr="3C40905E">
        <w:rPr>
          <w:sz w:val="22"/>
          <w:szCs w:val="22"/>
        </w:rPr>
        <w:t>multilocus</w:t>
      </w:r>
      <w:proofErr w:type="spellEnd"/>
      <w:r w:rsidRPr="3C40905E">
        <w:rPr>
          <w:sz w:val="22"/>
          <w:szCs w:val="22"/>
        </w:rPr>
        <w:t xml:space="preserve"> sequence type, MLST 8123, which was originally identified in the Asia-Pacific region. </w:t>
      </w:r>
      <w:r w:rsidR="007C6CA8">
        <w:rPr>
          <w:sz w:val="22"/>
          <w:szCs w:val="22"/>
        </w:rPr>
        <w:t>S</w:t>
      </w:r>
      <w:r w:rsidRPr="3C40905E">
        <w:rPr>
          <w:sz w:val="22"/>
          <w:szCs w:val="22"/>
        </w:rPr>
        <w:t>equencing has confirmed the presence of a mosaic penA60 allele conferring reduced ceftriaxone susceptibility. Eight cases of the same sequence type, also with reduced ceftriaxone susceptibility, have been identified in the United Kingdom between December 2021 and June 2022. All individuals in the U.K. were successfully treated with ceftriaxone.</w:t>
      </w:r>
      <w:r>
        <w:t xml:space="preserve"> </w:t>
      </w:r>
      <w:r w:rsidRPr="3C40905E">
        <w:rPr>
          <w:sz w:val="22"/>
          <w:szCs w:val="22"/>
        </w:rPr>
        <w:t xml:space="preserve">However, emergence of this strain indicates </w:t>
      </w:r>
      <w:r w:rsidRPr="3C40905E">
        <w:rPr>
          <w:i/>
          <w:iCs/>
          <w:sz w:val="22"/>
          <w:szCs w:val="22"/>
        </w:rPr>
        <w:t xml:space="preserve">N. </w:t>
      </w:r>
      <w:proofErr w:type="spellStart"/>
      <w:r w:rsidRPr="3C40905E">
        <w:rPr>
          <w:i/>
          <w:iCs/>
          <w:sz w:val="22"/>
          <w:szCs w:val="22"/>
        </w:rPr>
        <w:t>gonorrhoeae</w:t>
      </w:r>
      <w:r w:rsidRPr="3C40905E">
        <w:rPr>
          <w:sz w:val="22"/>
          <w:szCs w:val="22"/>
        </w:rPr>
        <w:t>’s</w:t>
      </w:r>
      <w:proofErr w:type="spellEnd"/>
      <w:r w:rsidRPr="3C40905E">
        <w:rPr>
          <w:sz w:val="22"/>
          <w:szCs w:val="22"/>
        </w:rPr>
        <w:t xml:space="preserve"> continued evolution and ability to develop resistance to antimicrobial treatment.</w:t>
      </w:r>
    </w:p>
    <w:p w14:paraId="055CD05B" w14:textId="77777777" w:rsidR="00832E06" w:rsidRDefault="00832E06" w:rsidP="008E7D7F">
      <w:pPr>
        <w:ind w:left="-360" w:right="-360"/>
        <w:rPr>
          <w:sz w:val="22"/>
          <w:szCs w:val="22"/>
        </w:rPr>
      </w:pPr>
    </w:p>
    <w:p w14:paraId="54B1E9C1" w14:textId="11BC0302" w:rsidR="00832E06" w:rsidRPr="006513BE" w:rsidRDefault="00832E06" w:rsidP="008E7D7F">
      <w:pPr>
        <w:ind w:left="-360" w:right="-360"/>
        <w:rPr>
          <w:sz w:val="22"/>
          <w:szCs w:val="22"/>
        </w:rPr>
      </w:pPr>
      <w:r w:rsidRPr="006513BE">
        <w:rPr>
          <w:sz w:val="22"/>
          <w:szCs w:val="22"/>
        </w:rPr>
        <w:t>Gonorrhea is the second</w:t>
      </w:r>
      <w:r>
        <w:rPr>
          <w:sz w:val="22"/>
          <w:szCs w:val="22"/>
        </w:rPr>
        <w:t>-most</w:t>
      </w:r>
      <w:r w:rsidR="4AB9C5EA" w:rsidRPr="4E25B629">
        <w:rPr>
          <w:sz w:val="22"/>
          <w:szCs w:val="22"/>
        </w:rPr>
        <w:t>-</w:t>
      </w:r>
      <w:r w:rsidRPr="006513BE">
        <w:rPr>
          <w:sz w:val="22"/>
          <w:szCs w:val="22"/>
        </w:rPr>
        <w:t>reported sexually transmitted infection (STI) in the United States. In Massachusetts, lab</w:t>
      </w:r>
      <w:r>
        <w:rPr>
          <w:sz w:val="22"/>
          <w:szCs w:val="22"/>
        </w:rPr>
        <w:t>oratory</w:t>
      </w:r>
      <w:r w:rsidRPr="006513BE">
        <w:rPr>
          <w:sz w:val="22"/>
          <w:szCs w:val="22"/>
        </w:rPr>
        <w:t xml:space="preserve">-confirmed cases more than quadrupled since a nadir of 1,976 in 2009, to 8,133 in 2021. With </w:t>
      </w:r>
      <w:r>
        <w:rPr>
          <w:sz w:val="22"/>
          <w:szCs w:val="22"/>
        </w:rPr>
        <w:t>rising</w:t>
      </w:r>
      <w:r w:rsidRPr="006513BE">
        <w:rPr>
          <w:sz w:val="22"/>
          <w:szCs w:val="22"/>
        </w:rPr>
        <w:t xml:space="preserve"> case number</w:t>
      </w:r>
      <w:r>
        <w:rPr>
          <w:sz w:val="22"/>
          <w:szCs w:val="22"/>
        </w:rPr>
        <w:t>s</w:t>
      </w:r>
      <w:r w:rsidRPr="006513BE">
        <w:rPr>
          <w:sz w:val="22"/>
          <w:szCs w:val="22"/>
        </w:rPr>
        <w:t xml:space="preserve">, </w:t>
      </w:r>
      <w:r>
        <w:rPr>
          <w:sz w:val="22"/>
          <w:szCs w:val="22"/>
        </w:rPr>
        <w:t xml:space="preserve">proportional increases have been observed in </w:t>
      </w:r>
      <w:r w:rsidRPr="006513BE">
        <w:rPr>
          <w:sz w:val="22"/>
          <w:szCs w:val="22"/>
        </w:rPr>
        <w:t xml:space="preserve">reports of uncomplicated disease ranging from asymptomatic carriage to urethritis, cervicitis, pharyngitis, and proctitis; </w:t>
      </w:r>
      <w:r>
        <w:rPr>
          <w:sz w:val="22"/>
          <w:szCs w:val="22"/>
        </w:rPr>
        <w:t xml:space="preserve">reports of </w:t>
      </w:r>
      <w:r w:rsidRPr="006513BE">
        <w:rPr>
          <w:sz w:val="22"/>
          <w:szCs w:val="22"/>
        </w:rPr>
        <w:t xml:space="preserve">complicated locally invasive disease such as penile abscess, pharyngeal abscess, epididymitis, pelvic inflammatory disease, and gonococcal conjunctivitis including ophthalmia neonatorum; and disseminated gonococcal infection including endocarditis and meningitis. </w:t>
      </w:r>
    </w:p>
    <w:p w14:paraId="486181E1" w14:textId="77777777" w:rsidR="00832E06" w:rsidRDefault="00832E06" w:rsidP="008E7D7F">
      <w:pPr>
        <w:ind w:left="-360" w:right="-360"/>
        <w:rPr>
          <w:b/>
          <w:bCs/>
          <w:sz w:val="22"/>
          <w:szCs w:val="22"/>
        </w:rPr>
      </w:pPr>
    </w:p>
    <w:p w14:paraId="5FC07CBD" w14:textId="77777777" w:rsidR="00832E06" w:rsidRPr="00AA7770" w:rsidRDefault="00832E06" w:rsidP="008E7D7F">
      <w:pPr>
        <w:ind w:left="-360" w:right="-360"/>
        <w:rPr>
          <w:b/>
          <w:bCs/>
          <w:sz w:val="22"/>
          <w:szCs w:val="22"/>
        </w:rPr>
      </w:pPr>
      <w:r w:rsidRPr="00AA7770">
        <w:rPr>
          <w:b/>
          <w:bCs/>
          <w:sz w:val="22"/>
          <w:szCs w:val="22"/>
        </w:rPr>
        <w:t>Diagnosis</w:t>
      </w:r>
    </w:p>
    <w:p w14:paraId="767E3CFE" w14:textId="5899A9E9" w:rsidR="00832E06" w:rsidRPr="00670204" w:rsidRDefault="00832E06" w:rsidP="008E7D7F">
      <w:pPr>
        <w:ind w:left="-360" w:right="-360"/>
        <w:textAlignment w:val="baseline"/>
        <w:rPr>
          <w:sz w:val="22"/>
          <w:szCs w:val="22"/>
        </w:rPr>
      </w:pPr>
      <w:r w:rsidRPr="00670204">
        <w:rPr>
          <w:sz w:val="22"/>
          <w:szCs w:val="22"/>
        </w:rPr>
        <w:t>The CDC and U.S. Preventive Services Task Force recommend routine gonorrhea screening for sexually active women ≤24 years and women 25 years or older who are at increased risk.</w:t>
      </w:r>
      <w:r w:rsidRPr="00D30321">
        <w:rPr>
          <w:sz w:val="22"/>
          <w:szCs w:val="22"/>
        </w:rPr>
        <w:fldChar w:fldCharType="begin"/>
      </w:r>
      <w:r w:rsidRPr="00D30321">
        <w:rPr>
          <w:sz w:val="22"/>
          <w:szCs w:val="22"/>
        </w:rPr>
        <w:instrText xml:space="preserve"> NOTEREF _Ref122511902 \f \h </w:instrText>
      </w:r>
      <w:r>
        <w:rPr>
          <w:sz w:val="22"/>
          <w:szCs w:val="22"/>
        </w:rPr>
        <w:instrText xml:space="preserve"> \* MERGEFORMAT </w:instrText>
      </w:r>
      <w:r w:rsidRPr="00D30321">
        <w:rPr>
          <w:sz w:val="22"/>
          <w:szCs w:val="22"/>
        </w:rPr>
      </w:r>
      <w:r w:rsidRPr="00D30321">
        <w:rPr>
          <w:sz w:val="22"/>
          <w:szCs w:val="22"/>
        </w:rPr>
        <w:fldChar w:fldCharType="separate"/>
      </w:r>
      <w:r w:rsidR="007D1B5F" w:rsidRPr="007D1B5F">
        <w:rPr>
          <w:rStyle w:val="EndnoteReference"/>
          <w:sz w:val="22"/>
          <w:szCs w:val="22"/>
        </w:rPr>
        <w:t>2</w:t>
      </w:r>
      <w:r w:rsidRPr="00D30321">
        <w:rPr>
          <w:sz w:val="22"/>
          <w:szCs w:val="22"/>
        </w:rPr>
        <w:fldChar w:fldCharType="end"/>
      </w:r>
      <w:r w:rsidRPr="00CE58AD">
        <w:rPr>
          <w:sz w:val="22"/>
          <w:szCs w:val="22"/>
          <w:vertAlign w:val="superscript"/>
        </w:rPr>
        <w:t>,</w:t>
      </w:r>
      <w:r w:rsidRPr="00D30321">
        <w:rPr>
          <w:rStyle w:val="EndnoteReference"/>
          <w:sz w:val="22"/>
          <w:szCs w:val="22"/>
        </w:rPr>
        <w:endnoteReference w:id="4"/>
      </w:r>
      <w:r w:rsidRPr="00670204">
        <w:rPr>
          <w:sz w:val="22"/>
          <w:szCs w:val="22"/>
        </w:rPr>
        <w:t xml:space="preserve"> CDC further recommends screening sexually active men who have sex with men, at least annually but up to every 3 months if at increased risk</w:t>
      </w:r>
      <w:r>
        <w:rPr>
          <w:sz w:val="22"/>
          <w:szCs w:val="22"/>
        </w:rPr>
        <w:t>. S</w:t>
      </w:r>
      <w:r w:rsidRPr="00670204">
        <w:rPr>
          <w:sz w:val="22"/>
          <w:szCs w:val="22"/>
        </w:rPr>
        <w:t>creening recommendations should be adapted based on anatomy</w:t>
      </w:r>
      <w:r>
        <w:rPr>
          <w:sz w:val="22"/>
          <w:szCs w:val="22"/>
        </w:rPr>
        <w:t xml:space="preserve"> and reported sites of sexual </w:t>
      </w:r>
      <w:r w:rsidR="00D46139">
        <w:rPr>
          <w:sz w:val="22"/>
          <w:szCs w:val="22"/>
        </w:rPr>
        <w:t>exposure</w:t>
      </w:r>
      <w:r>
        <w:rPr>
          <w:sz w:val="22"/>
          <w:szCs w:val="22"/>
        </w:rPr>
        <w:t xml:space="preserve">. </w:t>
      </w:r>
    </w:p>
    <w:p w14:paraId="63F6D069" w14:textId="77777777" w:rsidR="00832E06" w:rsidRPr="00670204" w:rsidRDefault="00832E06" w:rsidP="008E7D7F">
      <w:pPr>
        <w:ind w:left="-360" w:right="-360"/>
        <w:textAlignment w:val="baseline"/>
        <w:rPr>
          <w:sz w:val="22"/>
          <w:szCs w:val="22"/>
        </w:rPr>
      </w:pPr>
      <w:r w:rsidRPr="00670204">
        <w:rPr>
          <w:sz w:val="22"/>
          <w:szCs w:val="22"/>
        </w:rPr>
        <w:t> </w:t>
      </w:r>
    </w:p>
    <w:p w14:paraId="0EA63AF8" w14:textId="50C8F756" w:rsidR="00832E06" w:rsidRPr="00670204" w:rsidRDefault="655A6660" w:rsidP="008E7D7F">
      <w:pPr>
        <w:ind w:left="-360" w:right="-360"/>
        <w:textAlignment w:val="baseline"/>
        <w:rPr>
          <w:sz w:val="22"/>
          <w:szCs w:val="22"/>
        </w:rPr>
      </w:pPr>
      <w:r w:rsidRPr="3C40905E">
        <w:rPr>
          <w:sz w:val="22"/>
          <w:szCs w:val="22"/>
        </w:rPr>
        <w:t xml:space="preserve">NAAT and/or culture are available for detecting urogenital (urine, urethral, vaginal, cervical) and extragenital (rectal, oropharyngeal, conjunctival) infection with </w:t>
      </w:r>
      <w:r w:rsidRPr="3C40905E">
        <w:rPr>
          <w:i/>
          <w:iCs/>
          <w:sz w:val="22"/>
          <w:szCs w:val="22"/>
        </w:rPr>
        <w:t>N. gonorrhoeae</w:t>
      </w:r>
      <w:r w:rsidRPr="3C40905E">
        <w:rPr>
          <w:sz w:val="22"/>
          <w:szCs w:val="22"/>
        </w:rPr>
        <w:t xml:space="preserve">. NAAT sensitivity and specificity for detecting </w:t>
      </w:r>
      <w:r w:rsidRPr="3C40905E">
        <w:rPr>
          <w:i/>
          <w:iCs/>
          <w:sz w:val="22"/>
          <w:szCs w:val="22"/>
        </w:rPr>
        <w:t>N. gonorrhoeae</w:t>
      </w:r>
      <w:r w:rsidRPr="3C40905E">
        <w:rPr>
          <w:sz w:val="22"/>
          <w:szCs w:val="22"/>
        </w:rPr>
        <w:t xml:space="preserve"> from urogenital and extragenital anatomic sites are superior to culture but vary by NAAT type</w:t>
      </w:r>
      <w:r w:rsidR="751BC4BD" w:rsidRPr="3C40905E">
        <w:rPr>
          <w:sz w:val="22"/>
          <w:szCs w:val="22"/>
        </w:rPr>
        <w:t>.</w:t>
      </w:r>
      <w:r w:rsidR="7F15B19B" w:rsidRPr="3C40905E">
        <w:rPr>
          <w:sz w:val="22"/>
          <w:szCs w:val="22"/>
        </w:rPr>
        <w:t xml:space="preserve"> </w:t>
      </w:r>
      <w:r w:rsidR="7CD71FBE" w:rsidRPr="3C40905E">
        <w:rPr>
          <w:sz w:val="22"/>
          <w:szCs w:val="22"/>
        </w:rPr>
        <w:t>H</w:t>
      </w:r>
      <w:r w:rsidRPr="3C40905E">
        <w:rPr>
          <w:sz w:val="22"/>
          <w:szCs w:val="22"/>
        </w:rPr>
        <w:t xml:space="preserve">owever, NAAT is not </w:t>
      </w:r>
      <w:r w:rsidR="00F04A7A">
        <w:rPr>
          <w:sz w:val="22"/>
          <w:szCs w:val="22"/>
        </w:rPr>
        <w:t>approved</w:t>
      </w:r>
      <w:r w:rsidR="00F04A7A" w:rsidRPr="3C40905E">
        <w:rPr>
          <w:sz w:val="22"/>
          <w:szCs w:val="22"/>
        </w:rPr>
        <w:t xml:space="preserve"> </w:t>
      </w:r>
      <w:r w:rsidRPr="3C40905E">
        <w:rPr>
          <w:sz w:val="22"/>
          <w:szCs w:val="22"/>
        </w:rPr>
        <w:t xml:space="preserve">for </w:t>
      </w:r>
      <w:r w:rsidR="486D520A" w:rsidRPr="3C40905E">
        <w:rPr>
          <w:sz w:val="22"/>
          <w:szCs w:val="22"/>
        </w:rPr>
        <w:t xml:space="preserve">sequencing or </w:t>
      </w:r>
      <w:r w:rsidRPr="3C40905E">
        <w:rPr>
          <w:sz w:val="22"/>
          <w:szCs w:val="22"/>
        </w:rPr>
        <w:t>antimicrobial susceptibility testing</w:t>
      </w:r>
      <w:r w:rsidR="00F42C26">
        <w:rPr>
          <w:sz w:val="22"/>
          <w:szCs w:val="22"/>
        </w:rPr>
        <w:t xml:space="preserve"> for clinical purposes</w:t>
      </w:r>
      <w:r w:rsidRPr="3C40905E">
        <w:rPr>
          <w:sz w:val="22"/>
          <w:szCs w:val="22"/>
        </w:rPr>
        <w:t xml:space="preserve">. Because </w:t>
      </w:r>
      <w:r w:rsidRPr="3C40905E">
        <w:rPr>
          <w:i/>
          <w:iCs/>
          <w:sz w:val="22"/>
          <w:szCs w:val="22"/>
        </w:rPr>
        <w:t>N. gonorrhoeae</w:t>
      </w:r>
      <w:r w:rsidRPr="3C40905E">
        <w:rPr>
          <w:sz w:val="22"/>
          <w:szCs w:val="22"/>
        </w:rPr>
        <w:t xml:space="preserve"> has demanding laboratory growth requirements, optimal culture recovery rates are achieved when swab specimens are inoculated directly and when growth medium is promptly incubated in a carbon dioxide (CO</w:t>
      </w:r>
      <w:r w:rsidRPr="3C40905E">
        <w:rPr>
          <w:sz w:val="22"/>
          <w:szCs w:val="22"/>
          <w:vertAlign w:val="subscript"/>
        </w:rPr>
        <w:t>2</w:t>
      </w:r>
      <w:r w:rsidRPr="3C40905E">
        <w:rPr>
          <w:sz w:val="22"/>
          <w:szCs w:val="22"/>
        </w:rPr>
        <w:t>)-enriched environment. Non-nutritive swab transport systems (e.g., Amies agar gel) that may maintain gonococcal viability for &lt;24 hours in ambient temperatures, are available for sample transport to clinical microbiology laboratories. Please consult with your clinical microbiology laboratory to determine how best to optimize gonococcal culture.</w:t>
      </w:r>
    </w:p>
    <w:p w14:paraId="1A30E203" w14:textId="77777777" w:rsidR="00832E06" w:rsidRPr="008146E1" w:rsidRDefault="00832E06" w:rsidP="008E7D7F">
      <w:pPr>
        <w:ind w:left="-360" w:right="-360"/>
        <w:textAlignment w:val="baseline"/>
        <w:rPr>
          <w:sz w:val="22"/>
          <w:szCs w:val="22"/>
        </w:rPr>
      </w:pPr>
      <w:r w:rsidRPr="00670204">
        <w:rPr>
          <w:sz w:val="22"/>
          <w:szCs w:val="22"/>
        </w:rPr>
        <w:t> </w:t>
      </w:r>
    </w:p>
    <w:p w14:paraId="605B3D1E" w14:textId="77777777" w:rsidR="00832E06" w:rsidRPr="00670204" w:rsidRDefault="00832E06" w:rsidP="008E7D7F">
      <w:pPr>
        <w:ind w:left="-360" w:right="-360"/>
        <w:textAlignment w:val="baseline"/>
        <w:rPr>
          <w:b/>
          <w:bCs/>
          <w:sz w:val="22"/>
          <w:szCs w:val="22"/>
        </w:rPr>
      </w:pPr>
      <w:r w:rsidRPr="00670204">
        <w:rPr>
          <w:b/>
          <w:bCs/>
          <w:sz w:val="22"/>
          <w:szCs w:val="22"/>
        </w:rPr>
        <w:t>Treatment </w:t>
      </w:r>
    </w:p>
    <w:p w14:paraId="2744924C" w14:textId="324CE492" w:rsidR="00832E06" w:rsidRPr="00670204" w:rsidRDefault="00832E06" w:rsidP="008E7D7F">
      <w:pPr>
        <w:ind w:left="-360" w:right="-360"/>
        <w:textAlignment w:val="baseline"/>
        <w:rPr>
          <w:sz w:val="22"/>
          <w:szCs w:val="22"/>
        </w:rPr>
      </w:pPr>
      <w:r w:rsidRPr="00670204">
        <w:rPr>
          <w:sz w:val="22"/>
          <w:szCs w:val="22"/>
        </w:rPr>
        <w:t>In the United States, the regimens listed below are recommended for treatment of gonococcal infection. For alternative regimens and recommendations for treatment of additional clinical syndromes associated with gonococcal infection (e.g.</w:t>
      </w:r>
      <w:r w:rsidR="1435F040" w:rsidRPr="00670204">
        <w:rPr>
          <w:sz w:val="22"/>
          <w:szCs w:val="22"/>
        </w:rPr>
        <w:t>,</w:t>
      </w:r>
      <w:r w:rsidRPr="00670204">
        <w:rPr>
          <w:sz w:val="22"/>
          <w:szCs w:val="22"/>
        </w:rPr>
        <w:t xml:space="preserve"> pelvic inflammatory disease, epididymitis, and proctitis), please refer to CDC STI Guidelines</w:t>
      </w:r>
      <w:r>
        <w:rPr>
          <w:sz w:val="22"/>
          <w:szCs w:val="22"/>
        </w:rPr>
        <w:t>.</w:t>
      </w:r>
      <w:r w:rsidRPr="008A3571">
        <w:rPr>
          <w:sz w:val="22"/>
          <w:szCs w:val="22"/>
        </w:rPr>
        <w:fldChar w:fldCharType="begin"/>
      </w:r>
      <w:r w:rsidRPr="008A3571">
        <w:rPr>
          <w:sz w:val="22"/>
          <w:szCs w:val="22"/>
        </w:rPr>
        <w:instrText xml:space="preserve"> NOTEREF _Ref122511902 \f \h </w:instrText>
      </w:r>
      <w:r>
        <w:rPr>
          <w:sz w:val="22"/>
          <w:szCs w:val="22"/>
        </w:rPr>
        <w:instrText xml:space="preserve"> \* MERGEFORMAT </w:instrText>
      </w:r>
      <w:r w:rsidRPr="008A3571">
        <w:rPr>
          <w:sz w:val="22"/>
          <w:szCs w:val="22"/>
        </w:rPr>
      </w:r>
      <w:r w:rsidRPr="008A3571">
        <w:rPr>
          <w:sz w:val="22"/>
          <w:szCs w:val="22"/>
        </w:rPr>
        <w:fldChar w:fldCharType="separate"/>
      </w:r>
      <w:r w:rsidR="007D1B5F" w:rsidRPr="007D1B5F">
        <w:rPr>
          <w:rStyle w:val="EndnoteReference"/>
          <w:sz w:val="22"/>
          <w:szCs w:val="22"/>
        </w:rPr>
        <w:t>2</w:t>
      </w:r>
      <w:r w:rsidRPr="008A3571">
        <w:rPr>
          <w:sz w:val="22"/>
          <w:szCs w:val="22"/>
        </w:rPr>
        <w:fldChar w:fldCharType="end"/>
      </w:r>
      <w:r w:rsidRPr="008A3571">
        <w:rPr>
          <w:sz w:val="22"/>
          <w:szCs w:val="22"/>
        </w:rPr>
        <w:t xml:space="preserve"> </w:t>
      </w:r>
      <w:r w:rsidRPr="00670204">
        <w:rPr>
          <w:sz w:val="22"/>
          <w:szCs w:val="22"/>
        </w:rPr>
        <w:t>For recommendations for treatment of gonococcal infections among neonates, infants and children, please refer to CDC STI Guidelines, and the American Academy of Pediatrics Red Book</w:t>
      </w:r>
      <w:r>
        <w:rPr>
          <w:rStyle w:val="EndnoteReference"/>
          <w:sz w:val="22"/>
          <w:szCs w:val="22"/>
        </w:rPr>
        <w:endnoteReference w:id="5"/>
      </w:r>
      <w:r w:rsidRPr="00670204">
        <w:rPr>
          <w:sz w:val="22"/>
          <w:szCs w:val="22"/>
        </w:rPr>
        <w:t>. </w:t>
      </w:r>
    </w:p>
    <w:p w14:paraId="0CAD44C1" w14:textId="77777777" w:rsidR="00832E06" w:rsidRPr="00670204" w:rsidRDefault="00832E06" w:rsidP="008E7D7F">
      <w:pPr>
        <w:ind w:left="-360" w:right="-360"/>
        <w:textAlignment w:val="baseline"/>
        <w:rPr>
          <w:sz w:val="20"/>
        </w:rPr>
      </w:pPr>
      <w:r w:rsidRPr="00670204">
        <w:rPr>
          <w:sz w:val="20"/>
        </w:rPr>
        <w:t> </w:t>
      </w:r>
    </w:p>
    <w:tbl>
      <w:tblPr>
        <w:tblW w:w="9787" w:type="dxa"/>
        <w:tblInd w:w="-25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787"/>
      </w:tblGrid>
      <w:tr w:rsidR="00832E06" w:rsidRPr="00670204" w14:paraId="4387A91A" w14:textId="77777777" w:rsidTr="000C6D52">
        <w:trPr>
          <w:trHeight w:val="450"/>
        </w:trPr>
        <w:tc>
          <w:tcPr>
            <w:tcW w:w="9787" w:type="dxa"/>
            <w:shd w:val="clear" w:color="auto" w:fill="auto"/>
            <w:hideMark/>
          </w:tcPr>
          <w:p w14:paraId="6E335D1A" w14:textId="77777777" w:rsidR="00832E06" w:rsidRPr="00C73916" w:rsidRDefault="00832E06" w:rsidP="00C73916">
            <w:pPr>
              <w:shd w:val="clear" w:color="auto" w:fill="005EAA"/>
              <w:ind w:left="150" w:right="135"/>
              <w:jc w:val="both"/>
              <w:textAlignment w:val="baseline"/>
              <w:rPr>
                <w:sz w:val="22"/>
                <w:szCs w:val="22"/>
              </w:rPr>
            </w:pPr>
            <w:r w:rsidRPr="00C73916">
              <w:rPr>
                <w:color w:val="FFFFFF"/>
                <w:sz w:val="18"/>
                <w:szCs w:val="18"/>
              </w:rPr>
              <w:t>Recommended Regimen for Uncomplicated Gonococcal Infection of the Cervix, Urethra, Pharynx, or Rectum Among Adults and Adolescents* </w:t>
            </w:r>
          </w:p>
        </w:tc>
      </w:tr>
      <w:tr w:rsidR="00832E06" w:rsidRPr="00670204" w14:paraId="32CF7F2C" w14:textId="77777777" w:rsidTr="000C6D52">
        <w:trPr>
          <w:trHeight w:val="210"/>
        </w:trPr>
        <w:tc>
          <w:tcPr>
            <w:tcW w:w="9787" w:type="dxa"/>
            <w:shd w:val="clear" w:color="auto" w:fill="auto"/>
            <w:hideMark/>
          </w:tcPr>
          <w:p w14:paraId="466F319F" w14:textId="77777777" w:rsidR="00832E06" w:rsidRPr="00C73916" w:rsidRDefault="00832E06" w:rsidP="00C73916">
            <w:pPr>
              <w:shd w:val="clear" w:color="auto" w:fill="FFFFFF"/>
              <w:ind w:left="150" w:right="135"/>
              <w:jc w:val="both"/>
              <w:textAlignment w:val="baseline"/>
              <w:rPr>
                <w:sz w:val="22"/>
                <w:szCs w:val="24"/>
              </w:rPr>
            </w:pPr>
            <w:r w:rsidRPr="00C73916">
              <w:rPr>
                <w:b/>
                <w:bCs/>
                <w:color w:val="000000"/>
                <w:sz w:val="18"/>
                <w:szCs w:val="18"/>
              </w:rPr>
              <w:t>Ceftriaxone</w:t>
            </w:r>
            <w:r w:rsidRPr="00C73916">
              <w:rPr>
                <w:color w:val="000000"/>
                <w:sz w:val="18"/>
                <w:szCs w:val="18"/>
              </w:rPr>
              <w:t> 500 mg** IM in a single dose for persons weighing &lt;150 kg </w:t>
            </w:r>
          </w:p>
        </w:tc>
      </w:tr>
      <w:tr w:rsidR="00832E06" w:rsidRPr="00670204" w14:paraId="29ECBD1F" w14:textId="77777777" w:rsidTr="000C6D52">
        <w:trPr>
          <w:trHeight w:val="225"/>
        </w:trPr>
        <w:tc>
          <w:tcPr>
            <w:tcW w:w="9787" w:type="dxa"/>
            <w:shd w:val="clear" w:color="auto" w:fill="auto"/>
            <w:hideMark/>
          </w:tcPr>
          <w:p w14:paraId="5D4E8FBA" w14:textId="77777777" w:rsidR="00832E06" w:rsidRPr="00C73916" w:rsidRDefault="00832E06" w:rsidP="00C73916">
            <w:pPr>
              <w:shd w:val="clear" w:color="auto" w:fill="005EAA"/>
              <w:ind w:left="150" w:right="135"/>
              <w:jc w:val="both"/>
              <w:textAlignment w:val="baseline"/>
              <w:rPr>
                <w:sz w:val="22"/>
                <w:szCs w:val="24"/>
              </w:rPr>
            </w:pPr>
            <w:r w:rsidRPr="00C73916">
              <w:rPr>
                <w:color w:val="FFFFFF"/>
                <w:sz w:val="18"/>
                <w:szCs w:val="18"/>
              </w:rPr>
              <w:t>Recommended Regimen for Gonococcal Conjunctivitis Among Adolescents and Adults </w:t>
            </w:r>
          </w:p>
        </w:tc>
      </w:tr>
      <w:tr w:rsidR="00832E06" w:rsidRPr="00670204" w14:paraId="74837EDD" w14:textId="77777777" w:rsidTr="000C6D52">
        <w:trPr>
          <w:trHeight w:val="420"/>
        </w:trPr>
        <w:tc>
          <w:tcPr>
            <w:tcW w:w="9787" w:type="dxa"/>
            <w:shd w:val="clear" w:color="auto" w:fill="auto"/>
            <w:hideMark/>
          </w:tcPr>
          <w:p w14:paraId="7A200CF9" w14:textId="77777777" w:rsidR="00832E06" w:rsidRPr="00C73916" w:rsidRDefault="00832E06" w:rsidP="00C73916">
            <w:pPr>
              <w:shd w:val="clear" w:color="auto" w:fill="FFFFFF"/>
              <w:ind w:left="150" w:right="135"/>
              <w:jc w:val="both"/>
              <w:textAlignment w:val="baseline"/>
              <w:rPr>
                <w:sz w:val="22"/>
                <w:szCs w:val="24"/>
              </w:rPr>
            </w:pPr>
            <w:r w:rsidRPr="00C73916">
              <w:rPr>
                <w:b/>
                <w:bCs/>
                <w:color w:val="000000"/>
                <w:sz w:val="18"/>
                <w:szCs w:val="18"/>
              </w:rPr>
              <w:t>Ceftriaxone</w:t>
            </w:r>
            <w:r w:rsidRPr="00C73916">
              <w:rPr>
                <w:color w:val="000000"/>
                <w:sz w:val="18"/>
                <w:szCs w:val="18"/>
              </w:rPr>
              <w:t> 1 g IM in a single dose </w:t>
            </w:r>
          </w:p>
          <w:p w14:paraId="3A9EADEF" w14:textId="77777777" w:rsidR="00832E06" w:rsidRPr="00C73916" w:rsidRDefault="00832E06" w:rsidP="00C73916">
            <w:pPr>
              <w:shd w:val="clear" w:color="auto" w:fill="FFFFFF"/>
              <w:ind w:left="150" w:right="135"/>
              <w:jc w:val="both"/>
              <w:textAlignment w:val="baseline"/>
              <w:rPr>
                <w:sz w:val="22"/>
                <w:szCs w:val="24"/>
              </w:rPr>
            </w:pPr>
            <w:r w:rsidRPr="00C73916">
              <w:rPr>
                <w:color w:val="000000"/>
                <w:sz w:val="18"/>
                <w:szCs w:val="18"/>
              </w:rPr>
              <w:t>Providers should consider one-time lavage of the infected eye with saline solution </w:t>
            </w:r>
          </w:p>
        </w:tc>
      </w:tr>
      <w:tr w:rsidR="00832E06" w:rsidRPr="00670204" w14:paraId="6586F67F" w14:textId="77777777" w:rsidTr="000C6D52">
        <w:trPr>
          <w:trHeight w:val="225"/>
        </w:trPr>
        <w:tc>
          <w:tcPr>
            <w:tcW w:w="9787" w:type="dxa"/>
            <w:shd w:val="clear" w:color="auto" w:fill="auto"/>
            <w:hideMark/>
          </w:tcPr>
          <w:p w14:paraId="73A6EAB4" w14:textId="77777777" w:rsidR="00832E06" w:rsidRPr="00C73916" w:rsidRDefault="00832E06" w:rsidP="00C73916">
            <w:pPr>
              <w:shd w:val="clear" w:color="auto" w:fill="005EAA"/>
              <w:ind w:left="150" w:right="135"/>
              <w:jc w:val="both"/>
              <w:textAlignment w:val="baseline"/>
              <w:rPr>
                <w:sz w:val="22"/>
                <w:szCs w:val="24"/>
              </w:rPr>
            </w:pPr>
            <w:r w:rsidRPr="00C73916">
              <w:rPr>
                <w:color w:val="FFFFFF"/>
                <w:sz w:val="18"/>
                <w:szCs w:val="18"/>
              </w:rPr>
              <w:t>Recommended Regimen for Gonococcal-Related Arthritis and Arthritis-Dermatitis Syndrome </w:t>
            </w:r>
          </w:p>
        </w:tc>
      </w:tr>
      <w:tr w:rsidR="00832E06" w:rsidRPr="00670204" w14:paraId="18460E87" w14:textId="77777777" w:rsidTr="000C6D52">
        <w:trPr>
          <w:trHeight w:val="210"/>
        </w:trPr>
        <w:tc>
          <w:tcPr>
            <w:tcW w:w="9787" w:type="dxa"/>
            <w:shd w:val="clear" w:color="auto" w:fill="auto"/>
            <w:hideMark/>
          </w:tcPr>
          <w:p w14:paraId="05AB50C3" w14:textId="77777777" w:rsidR="00832E06" w:rsidRPr="00C73916" w:rsidRDefault="00832E06" w:rsidP="00C73916">
            <w:pPr>
              <w:shd w:val="clear" w:color="auto" w:fill="FFFFFF"/>
              <w:ind w:left="150" w:right="135"/>
              <w:jc w:val="both"/>
              <w:textAlignment w:val="baseline"/>
              <w:rPr>
                <w:sz w:val="22"/>
                <w:szCs w:val="24"/>
              </w:rPr>
            </w:pPr>
            <w:r w:rsidRPr="00C73916">
              <w:rPr>
                <w:b/>
                <w:bCs/>
                <w:color w:val="000000"/>
                <w:sz w:val="18"/>
                <w:szCs w:val="18"/>
              </w:rPr>
              <w:t>Ceftriaxone</w:t>
            </w:r>
            <w:r w:rsidRPr="00C73916">
              <w:rPr>
                <w:color w:val="000000"/>
                <w:sz w:val="18"/>
                <w:szCs w:val="18"/>
              </w:rPr>
              <w:t> 1 g IM or IV every 24 hours*** </w:t>
            </w:r>
          </w:p>
        </w:tc>
      </w:tr>
      <w:tr w:rsidR="00832E06" w:rsidRPr="00670204" w14:paraId="1254F8E8" w14:textId="77777777" w:rsidTr="000C6D52">
        <w:trPr>
          <w:trHeight w:val="225"/>
        </w:trPr>
        <w:tc>
          <w:tcPr>
            <w:tcW w:w="9787" w:type="dxa"/>
            <w:shd w:val="clear" w:color="auto" w:fill="auto"/>
            <w:hideMark/>
          </w:tcPr>
          <w:p w14:paraId="52A801AC" w14:textId="77777777" w:rsidR="00832E06" w:rsidRPr="00C73916" w:rsidRDefault="00832E06" w:rsidP="00C73916">
            <w:pPr>
              <w:shd w:val="clear" w:color="auto" w:fill="005EAA"/>
              <w:ind w:left="150" w:right="135"/>
              <w:jc w:val="both"/>
              <w:textAlignment w:val="baseline"/>
              <w:rPr>
                <w:sz w:val="22"/>
                <w:szCs w:val="24"/>
              </w:rPr>
            </w:pPr>
            <w:r w:rsidRPr="00C73916">
              <w:rPr>
                <w:color w:val="FFFFFF"/>
                <w:sz w:val="18"/>
                <w:szCs w:val="18"/>
              </w:rPr>
              <w:t>Recommended Regimen for Gonococcal Meningitis and Endocarditis </w:t>
            </w:r>
          </w:p>
        </w:tc>
      </w:tr>
      <w:tr w:rsidR="00832E06" w:rsidRPr="00670204" w14:paraId="2F48527E" w14:textId="77777777" w:rsidTr="000C6D52">
        <w:trPr>
          <w:trHeight w:val="210"/>
        </w:trPr>
        <w:tc>
          <w:tcPr>
            <w:tcW w:w="9787" w:type="dxa"/>
            <w:shd w:val="clear" w:color="auto" w:fill="auto"/>
            <w:hideMark/>
          </w:tcPr>
          <w:p w14:paraId="60DD9274" w14:textId="77777777" w:rsidR="00832E06" w:rsidRPr="00C73916" w:rsidRDefault="00832E06" w:rsidP="00C73916">
            <w:pPr>
              <w:shd w:val="clear" w:color="auto" w:fill="FFFFFF"/>
              <w:ind w:left="150" w:right="135"/>
              <w:jc w:val="both"/>
              <w:textAlignment w:val="baseline"/>
              <w:rPr>
                <w:sz w:val="22"/>
                <w:szCs w:val="24"/>
              </w:rPr>
            </w:pPr>
            <w:r w:rsidRPr="00C73916">
              <w:rPr>
                <w:b/>
                <w:bCs/>
                <w:color w:val="000000"/>
                <w:sz w:val="18"/>
                <w:szCs w:val="18"/>
              </w:rPr>
              <w:t>Ceftriaxone</w:t>
            </w:r>
            <w:r w:rsidRPr="00C73916">
              <w:rPr>
                <w:color w:val="000000"/>
                <w:sz w:val="18"/>
                <w:szCs w:val="18"/>
              </w:rPr>
              <w:t> 1–2 g IV every 12-24 hours </w:t>
            </w:r>
          </w:p>
        </w:tc>
      </w:tr>
    </w:tbl>
    <w:p w14:paraId="04918A43" w14:textId="77777777" w:rsidR="00832E06" w:rsidRPr="00670204" w:rsidRDefault="00832E06" w:rsidP="00835DE6">
      <w:pPr>
        <w:ind w:left="-90" w:right="90"/>
        <w:textAlignment w:val="baseline"/>
        <w:rPr>
          <w:sz w:val="20"/>
        </w:rPr>
      </w:pPr>
      <w:r w:rsidRPr="00670204">
        <w:rPr>
          <w:sz w:val="18"/>
          <w:szCs w:val="18"/>
        </w:rPr>
        <w:t>*If chlamydia infection has not been excluded, clinicians should treat for chlamydia with doxycycline 100 mg PO bid for 7 days. </w:t>
      </w:r>
    </w:p>
    <w:p w14:paraId="5E71E1B0" w14:textId="77777777" w:rsidR="00832E06" w:rsidRDefault="00832E06" w:rsidP="00835DE6">
      <w:pPr>
        <w:shd w:val="clear" w:color="auto" w:fill="FFFFFF"/>
        <w:ind w:left="-90" w:right="90"/>
        <w:textAlignment w:val="baseline"/>
        <w:rPr>
          <w:color w:val="000000"/>
          <w:sz w:val="18"/>
          <w:szCs w:val="18"/>
        </w:rPr>
      </w:pPr>
      <w:r w:rsidRPr="00670204">
        <w:rPr>
          <w:color w:val="000000"/>
          <w:sz w:val="18"/>
          <w:szCs w:val="18"/>
        </w:rPr>
        <w:t>**For persons weighing ≥150 kg, 1 g ceftriaxone should be administered.</w:t>
      </w:r>
    </w:p>
    <w:p w14:paraId="51EC035D" w14:textId="77777777" w:rsidR="00832E06" w:rsidRDefault="00832E06" w:rsidP="00835DE6">
      <w:pPr>
        <w:shd w:val="clear" w:color="auto" w:fill="FFFFFF"/>
        <w:ind w:left="-90" w:right="90"/>
        <w:textAlignment w:val="baseline"/>
        <w:rPr>
          <w:color w:val="000000"/>
          <w:sz w:val="18"/>
          <w:szCs w:val="18"/>
        </w:rPr>
      </w:pPr>
      <w:r>
        <w:rPr>
          <w:color w:val="000000"/>
          <w:sz w:val="18"/>
          <w:szCs w:val="18"/>
        </w:rPr>
        <w:lastRenderedPageBreak/>
        <w:t>***</w:t>
      </w:r>
      <w:r w:rsidRPr="002C4CA2">
        <w:rPr>
          <w:color w:val="000000"/>
          <w:sz w:val="18"/>
          <w:szCs w:val="18"/>
        </w:rPr>
        <w:t xml:space="preserve">When treating for arthritis-dermatitis syndrome, switch to an oral agent </w:t>
      </w:r>
      <w:r>
        <w:rPr>
          <w:color w:val="000000"/>
          <w:sz w:val="18"/>
          <w:szCs w:val="18"/>
        </w:rPr>
        <w:t xml:space="preserve">can be </w:t>
      </w:r>
      <w:r w:rsidRPr="002C4CA2">
        <w:rPr>
          <w:color w:val="000000"/>
          <w:sz w:val="18"/>
          <w:szCs w:val="18"/>
        </w:rPr>
        <w:t>guided by antimicrobial susceptibility testing 24–48 hours after substantial clinical improvement, for a total treatment course of at least 7 days.</w:t>
      </w:r>
    </w:p>
    <w:p w14:paraId="6649EC3C" w14:textId="77777777" w:rsidR="00832E06" w:rsidRDefault="00832E06" w:rsidP="00832E06">
      <w:pPr>
        <w:shd w:val="clear" w:color="auto" w:fill="FFFFFF"/>
        <w:ind w:left="360" w:right="135"/>
        <w:textAlignment w:val="baseline"/>
        <w:rPr>
          <w:b/>
          <w:bCs/>
          <w:sz w:val="22"/>
          <w:szCs w:val="22"/>
        </w:rPr>
      </w:pPr>
    </w:p>
    <w:p w14:paraId="3CF8B7C0" w14:textId="77777777" w:rsidR="00832E06" w:rsidRPr="00670204" w:rsidRDefault="00832E06" w:rsidP="000C6D52">
      <w:pPr>
        <w:ind w:left="-360" w:right="-360"/>
        <w:textAlignment w:val="baseline"/>
        <w:rPr>
          <w:sz w:val="22"/>
          <w:szCs w:val="22"/>
        </w:rPr>
      </w:pPr>
      <w:r w:rsidRPr="00670204">
        <w:rPr>
          <w:b/>
          <w:bCs/>
          <w:sz w:val="22"/>
          <w:szCs w:val="22"/>
        </w:rPr>
        <w:t>Patient Counseling and Information for Partners</w:t>
      </w:r>
      <w:r w:rsidRPr="00670204">
        <w:rPr>
          <w:sz w:val="22"/>
          <w:szCs w:val="22"/>
        </w:rPr>
        <w:t> </w:t>
      </w:r>
    </w:p>
    <w:p w14:paraId="2CAE278E" w14:textId="243CC600" w:rsidR="00832E06" w:rsidRPr="00670204" w:rsidRDefault="00832E06" w:rsidP="000C6D52">
      <w:pPr>
        <w:ind w:left="-360" w:right="-360"/>
        <w:textAlignment w:val="baseline"/>
        <w:rPr>
          <w:sz w:val="22"/>
          <w:szCs w:val="22"/>
        </w:rPr>
      </w:pPr>
      <w:r w:rsidRPr="1D8B13C7">
        <w:rPr>
          <w:sz w:val="22"/>
          <w:szCs w:val="22"/>
        </w:rPr>
        <w:t xml:space="preserve">Recent sex partners (i.e., persons having sexual </w:t>
      </w:r>
      <w:r w:rsidR="00CD7407" w:rsidRPr="1D8B13C7">
        <w:rPr>
          <w:sz w:val="22"/>
          <w:szCs w:val="22"/>
        </w:rPr>
        <w:t xml:space="preserve">exposure </w:t>
      </w:r>
      <w:r w:rsidR="004640BC" w:rsidRPr="1D8B13C7">
        <w:rPr>
          <w:sz w:val="22"/>
          <w:szCs w:val="22"/>
        </w:rPr>
        <w:t xml:space="preserve">to </w:t>
      </w:r>
      <w:r w:rsidR="48154886" w:rsidRPr="1D8B13C7">
        <w:rPr>
          <w:sz w:val="22"/>
          <w:szCs w:val="22"/>
        </w:rPr>
        <w:t xml:space="preserve">an </w:t>
      </w:r>
      <w:r w:rsidRPr="1D8B13C7">
        <w:rPr>
          <w:sz w:val="22"/>
          <w:szCs w:val="22"/>
        </w:rPr>
        <w:t>infected patient &lt;60 days preceding onset of symptoms or gonorrhea diagnosis) should be referred for evaluation and testing</w:t>
      </w:r>
      <w:r w:rsidR="002C3676" w:rsidRPr="1D8B13C7">
        <w:rPr>
          <w:sz w:val="22"/>
          <w:szCs w:val="22"/>
        </w:rPr>
        <w:t xml:space="preserve"> at all exposed mucosal sites</w:t>
      </w:r>
      <w:r w:rsidRPr="1D8B13C7">
        <w:rPr>
          <w:sz w:val="22"/>
          <w:szCs w:val="22"/>
        </w:rPr>
        <w:t>, and presumptive treatment</w:t>
      </w:r>
      <w:r w:rsidR="001578DF" w:rsidRPr="1D8B13C7">
        <w:rPr>
          <w:sz w:val="22"/>
          <w:szCs w:val="22"/>
        </w:rPr>
        <w:t xml:space="preserve"> if symptomatic</w:t>
      </w:r>
      <w:r w:rsidRPr="1D8B13C7">
        <w:rPr>
          <w:sz w:val="22"/>
          <w:szCs w:val="22"/>
        </w:rPr>
        <w:t xml:space="preserve">. If the patient’s last potential sexual exposure was &gt;60 days before onset of symptoms or diagnosis, the most recent sex partner should be </w:t>
      </w:r>
      <w:r w:rsidR="002C3676" w:rsidRPr="1D8B13C7">
        <w:rPr>
          <w:sz w:val="22"/>
          <w:szCs w:val="22"/>
        </w:rPr>
        <w:t xml:space="preserve">tested and </w:t>
      </w:r>
      <w:r w:rsidRPr="1D8B13C7">
        <w:rPr>
          <w:sz w:val="22"/>
          <w:szCs w:val="22"/>
        </w:rPr>
        <w:t>treated</w:t>
      </w:r>
      <w:r w:rsidR="002C3676" w:rsidRPr="1D8B13C7">
        <w:rPr>
          <w:sz w:val="22"/>
          <w:szCs w:val="22"/>
        </w:rPr>
        <w:t xml:space="preserve"> if symptomatic</w:t>
      </w:r>
      <w:r w:rsidRPr="1D8B13C7">
        <w:rPr>
          <w:sz w:val="22"/>
          <w:szCs w:val="22"/>
        </w:rPr>
        <w:t>. To avoid reinfection, sex partners should be instructed to abstain from</w:t>
      </w:r>
      <w:r w:rsidR="00A77A70" w:rsidRPr="1D8B13C7">
        <w:rPr>
          <w:sz w:val="22"/>
          <w:szCs w:val="22"/>
        </w:rPr>
        <w:t xml:space="preserve"> </w:t>
      </w:r>
      <w:r w:rsidRPr="1D8B13C7">
        <w:rPr>
          <w:sz w:val="22"/>
          <w:szCs w:val="22"/>
        </w:rPr>
        <w:t>sexual intercourse for 7 days after they and their sex partners have completed treatment and after resolution of symptoms.</w:t>
      </w:r>
    </w:p>
    <w:p w14:paraId="30302E28" w14:textId="77777777" w:rsidR="00832E06" w:rsidRDefault="00832E06" w:rsidP="000C6D52">
      <w:pPr>
        <w:ind w:left="-360" w:right="-360"/>
        <w:rPr>
          <w:b/>
          <w:bCs/>
          <w:sz w:val="22"/>
          <w:szCs w:val="22"/>
        </w:rPr>
      </w:pPr>
    </w:p>
    <w:p w14:paraId="43677784" w14:textId="0DA83CB8" w:rsidR="00832E06" w:rsidRPr="008146E1" w:rsidRDefault="00832E06" w:rsidP="000C6D52">
      <w:pPr>
        <w:ind w:left="-360" w:right="-360"/>
        <w:textAlignment w:val="baseline"/>
        <w:rPr>
          <w:b/>
          <w:bCs/>
          <w:sz w:val="22"/>
          <w:szCs w:val="22"/>
        </w:rPr>
      </w:pPr>
      <w:r w:rsidRPr="008146E1">
        <w:rPr>
          <w:b/>
          <w:bCs/>
          <w:sz w:val="22"/>
          <w:szCs w:val="22"/>
        </w:rPr>
        <w:t>Reporting</w:t>
      </w:r>
    </w:p>
    <w:p w14:paraId="7360EBA0" w14:textId="177D9510" w:rsidR="00832E06" w:rsidRDefault="25A446DA" w:rsidP="000C6D52">
      <w:pPr>
        <w:ind w:left="-360" w:right="-360"/>
        <w:textAlignment w:val="baseline"/>
        <w:rPr>
          <w:sz w:val="22"/>
          <w:szCs w:val="22"/>
        </w:rPr>
      </w:pPr>
      <w:r w:rsidRPr="008146E1">
        <w:rPr>
          <w:sz w:val="22"/>
          <w:szCs w:val="22"/>
        </w:rPr>
        <w:t>Health care providers</w:t>
      </w:r>
      <w:r w:rsidR="003E5DDF">
        <w:rPr>
          <w:sz w:val="22"/>
          <w:szCs w:val="22"/>
        </w:rPr>
        <w:t>,</w:t>
      </w:r>
      <w:r w:rsidR="00B44EFA">
        <w:rPr>
          <w:sz w:val="22"/>
          <w:szCs w:val="22"/>
        </w:rPr>
        <w:t xml:space="preserve"> </w:t>
      </w:r>
      <w:r w:rsidR="00832E06" w:rsidRPr="008146E1">
        <w:rPr>
          <w:sz w:val="22"/>
          <w:szCs w:val="22"/>
        </w:rPr>
        <w:t>laboratories</w:t>
      </w:r>
      <w:r w:rsidR="324357F1" w:rsidRPr="008146E1">
        <w:rPr>
          <w:sz w:val="22"/>
          <w:szCs w:val="22"/>
        </w:rPr>
        <w:t>, and others as required by regulation,</w:t>
      </w:r>
      <w:r w:rsidR="00832E06" w:rsidRPr="008146E1">
        <w:rPr>
          <w:sz w:val="22"/>
          <w:szCs w:val="22"/>
        </w:rPr>
        <w:t xml:space="preserve"> </w:t>
      </w:r>
      <w:r w:rsidR="023B7252" w:rsidRPr="008146E1">
        <w:rPr>
          <w:sz w:val="22"/>
          <w:szCs w:val="22"/>
        </w:rPr>
        <w:t>must</w:t>
      </w:r>
      <w:r w:rsidR="00832E06" w:rsidRPr="008146E1">
        <w:rPr>
          <w:sz w:val="22"/>
          <w:szCs w:val="22"/>
        </w:rPr>
        <w:t xml:space="preserve"> report all gonorrhea cases to the MDPH within 24 hours</w:t>
      </w:r>
      <w:r w:rsidR="697C70C1" w:rsidRPr="008146E1">
        <w:rPr>
          <w:sz w:val="22"/>
          <w:szCs w:val="22"/>
        </w:rPr>
        <w:t>. Laboratories must</w:t>
      </w:r>
      <w:r w:rsidR="00832E06" w:rsidRPr="008146E1">
        <w:rPr>
          <w:sz w:val="22"/>
          <w:szCs w:val="22"/>
        </w:rPr>
        <w:t xml:space="preserve"> send </w:t>
      </w:r>
      <w:r w:rsidR="00832E06" w:rsidRPr="74B3AA7D">
        <w:rPr>
          <w:i/>
          <w:iCs/>
          <w:sz w:val="22"/>
          <w:szCs w:val="22"/>
        </w:rPr>
        <w:t>N. gonorrhoeae</w:t>
      </w:r>
      <w:r w:rsidR="00832E06" w:rsidRPr="008146E1">
        <w:rPr>
          <w:sz w:val="22"/>
          <w:szCs w:val="22"/>
        </w:rPr>
        <w:t xml:space="preserve"> isolates to the State Public Health Laboratory for </w:t>
      </w:r>
      <w:r w:rsidR="395AC97C" w:rsidRPr="008146E1">
        <w:rPr>
          <w:sz w:val="22"/>
          <w:szCs w:val="22"/>
        </w:rPr>
        <w:t>further examination</w:t>
      </w:r>
      <w:r w:rsidR="00832E06">
        <w:rPr>
          <w:sz w:val="22"/>
          <w:szCs w:val="22"/>
        </w:rPr>
        <w:t>.</w:t>
      </w:r>
      <w:r w:rsidR="00832E06">
        <w:rPr>
          <w:rStyle w:val="EndnoteReference"/>
          <w:sz w:val="22"/>
          <w:szCs w:val="22"/>
        </w:rPr>
        <w:endnoteReference w:id="6"/>
      </w:r>
    </w:p>
    <w:p w14:paraId="58D11284" w14:textId="77777777" w:rsidR="00A92C37" w:rsidRDefault="00A92C37" w:rsidP="000C6D52">
      <w:pPr>
        <w:ind w:left="-360" w:right="-360"/>
        <w:textAlignment w:val="baseline"/>
        <w:rPr>
          <w:sz w:val="22"/>
          <w:szCs w:val="22"/>
        </w:rPr>
      </w:pPr>
    </w:p>
    <w:p w14:paraId="43013295" w14:textId="1347D526" w:rsidR="00A92C37" w:rsidRPr="008146E1" w:rsidRDefault="00A92C37" w:rsidP="000C6D52">
      <w:pPr>
        <w:ind w:left="-360" w:right="-360"/>
        <w:textAlignment w:val="baseline"/>
        <w:rPr>
          <w:sz w:val="22"/>
          <w:szCs w:val="22"/>
        </w:rPr>
      </w:pPr>
      <w:r w:rsidRPr="007259B2">
        <w:rPr>
          <w:sz w:val="22"/>
          <w:szCs w:val="22"/>
        </w:rPr>
        <w:t xml:space="preserve">MDPH Case Report Forms are required for all gonorrhea cases and provide details on clinical characteristics and treatment. These details are not automatically </w:t>
      </w:r>
      <w:proofErr w:type="gramStart"/>
      <w:r w:rsidRPr="007259B2">
        <w:rPr>
          <w:sz w:val="22"/>
          <w:szCs w:val="22"/>
        </w:rPr>
        <w:t>reported, unless</w:t>
      </w:r>
      <w:proofErr w:type="gramEnd"/>
      <w:r w:rsidRPr="007259B2">
        <w:rPr>
          <w:sz w:val="22"/>
          <w:szCs w:val="22"/>
        </w:rPr>
        <w:t xml:space="preserve"> your clinical </w:t>
      </w:r>
      <w:r w:rsidRPr="001B586B">
        <w:rPr>
          <w:sz w:val="22"/>
          <w:szCs w:val="22"/>
        </w:rPr>
        <w:t xml:space="preserve">organization participates in </w:t>
      </w:r>
      <w:r w:rsidRPr="001B586B">
        <w:rPr>
          <w:b/>
          <w:bCs/>
          <w:sz w:val="22"/>
          <w:szCs w:val="22"/>
        </w:rPr>
        <w:t>E</w:t>
      </w:r>
      <w:r w:rsidRPr="001B586B">
        <w:rPr>
          <w:sz w:val="22"/>
          <w:szCs w:val="22"/>
        </w:rPr>
        <w:t xml:space="preserve">lectronic Medical Record </w:t>
      </w:r>
      <w:r w:rsidRPr="001B586B">
        <w:rPr>
          <w:b/>
          <w:bCs/>
          <w:sz w:val="22"/>
          <w:szCs w:val="22"/>
        </w:rPr>
        <w:t>S</w:t>
      </w:r>
      <w:r w:rsidRPr="001B586B">
        <w:rPr>
          <w:sz w:val="22"/>
          <w:szCs w:val="22"/>
        </w:rPr>
        <w:t xml:space="preserve">upport for </w:t>
      </w:r>
      <w:r w:rsidRPr="001B586B">
        <w:rPr>
          <w:b/>
          <w:bCs/>
          <w:sz w:val="22"/>
          <w:szCs w:val="22"/>
        </w:rPr>
        <w:t>P</w:t>
      </w:r>
      <w:r w:rsidRPr="001B586B">
        <w:rPr>
          <w:sz w:val="22"/>
          <w:szCs w:val="22"/>
        </w:rPr>
        <w:t>ublic Health (ESP) for gonorrhea case reporting.</w:t>
      </w:r>
      <w:r w:rsidRPr="009B6B51">
        <w:rPr>
          <w:sz w:val="22"/>
          <w:szCs w:val="22"/>
        </w:rPr>
        <w:t xml:space="preserve"> </w:t>
      </w:r>
      <w:r>
        <w:rPr>
          <w:sz w:val="22"/>
          <w:szCs w:val="22"/>
        </w:rPr>
        <w:t>Health care p</w:t>
      </w:r>
      <w:r w:rsidRPr="009B6B51">
        <w:rPr>
          <w:sz w:val="22"/>
          <w:szCs w:val="22"/>
        </w:rPr>
        <w:t xml:space="preserve">roviders </w:t>
      </w:r>
      <w:r>
        <w:rPr>
          <w:sz w:val="22"/>
          <w:szCs w:val="22"/>
        </w:rPr>
        <w:t>should</w:t>
      </w:r>
      <w:r w:rsidRPr="009B6B51">
        <w:rPr>
          <w:sz w:val="22"/>
          <w:szCs w:val="22"/>
        </w:rPr>
        <w:t xml:space="preserve"> report </w:t>
      </w:r>
      <w:r>
        <w:rPr>
          <w:sz w:val="22"/>
          <w:szCs w:val="22"/>
        </w:rPr>
        <w:t xml:space="preserve">gonorrhea </w:t>
      </w:r>
      <w:r w:rsidRPr="007259B2">
        <w:rPr>
          <w:sz w:val="22"/>
          <w:szCs w:val="22"/>
        </w:rPr>
        <w:t xml:space="preserve">information via the following form: </w:t>
      </w:r>
      <w:hyperlink r:id="rId11" w:history="1">
        <w:r w:rsidRPr="007259B2">
          <w:rPr>
            <w:rStyle w:val="Hyperlink"/>
            <w:sz w:val="22"/>
            <w:szCs w:val="22"/>
          </w:rPr>
          <w:t>https://madss.casetivity.com/process-definition/gonorrhea-brf/start-form</w:t>
        </w:r>
      </w:hyperlink>
      <w:r w:rsidR="002B1692">
        <w:rPr>
          <w:sz w:val="22"/>
          <w:szCs w:val="22"/>
        </w:rPr>
        <w:t>.</w:t>
      </w:r>
    </w:p>
    <w:p w14:paraId="683C4FCF" w14:textId="77777777" w:rsidR="00832E06" w:rsidRDefault="00832E06" w:rsidP="000C6D52">
      <w:pPr>
        <w:ind w:left="-360" w:right="-360"/>
        <w:textAlignment w:val="baseline"/>
        <w:rPr>
          <w:b/>
          <w:bCs/>
          <w:sz w:val="22"/>
          <w:szCs w:val="22"/>
        </w:rPr>
      </w:pPr>
    </w:p>
    <w:p w14:paraId="6CCEAD9C" w14:textId="77777777" w:rsidR="00832E06" w:rsidRPr="00670204" w:rsidRDefault="00832E06" w:rsidP="000C6D52">
      <w:pPr>
        <w:ind w:left="-360" w:right="-360"/>
        <w:textAlignment w:val="baseline"/>
        <w:rPr>
          <w:sz w:val="22"/>
          <w:szCs w:val="22"/>
        </w:rPr>
      </w:pPr>
      <w:r w:rsidRPr="00670204">
        <w:rPr>
          <w:b/>
          <w:bCs/>
          <w:sz w:val="22"/>
          <w:szCs w:val="22"/>
        </w:rPr>
        <w:t xml:space="preserve">Please continue to contact the MDPH Division of STD Prevention </w:t>
      </w:r>
      <w:r w:rsidRPr="007A678C">
        <w:rPr>
          <w:b/>
          <w:bCs/>
          <w:sz w:val="22"/>
          <w:szCs w:val="22"/>
        </w:rPr>
        <w:t xml:space="preserve">and HIV Surveillance </w:t>
      </w:r>
      <w:r w:rsidRPr="00670204">
        <w:rPr>
          <w:b/>
          <w:bCs/>
          <w:sz w:val="22"/>
          <w:szCs w:val="22"/>
        </w:rPr>
        <w:t>for:</w:t>
      </w:r>
    </w:p>
    <w:p w14:paraId="4FE72BB6" w14:textId="77777777" w:rsidR="00832E06" w:rsidRPr="00670204" w:rsidRDefault="00832E06" w:rsidP="000C6D52">
      <w:pPr>
        <w:ind w:left="-360" w:right="-360"/>
        <w:textAlignment w:val="baseline"/>
        <w:rPr>
          <w:sz w:val="22"/>
          <w:szCs w:val="22"/>
        </w:rPr>
      </w:pPr>
    </w:p>
    <w:p w14:paraId="7284D0A3" w14:textId="6DF82079" w:rsidR="00832E06" w:rsidRPr="007A678C" w:rsidRDefault="00832E06" w:rsidP="000C6D52">
      <w:pPr>
        <w:pStyle w:val="ListParagraph"/>
        <w:numPr>
          <w:ilvl w:val="0"/>
          <w:numId w:val="2"/>
        </w:numPr>
        <w:ind w:left="0" w:right="-360"/>
        <w:textAlignment w:val="baseline"/>
        <w:rPr>
          <w:sz w:val="22"/>
          <w:szCs w:val="22"/>
        </w:rPr>
      </w:pPr>
      <w:r w:rsidRPr="007A678C">
        <w:rPr>
          <w:b/>
          <w:bCs/>
          <w:sz w:val="22"/>
          <w:szCs w:val="22"/>
        </w:rPr>
        <w:t>Clinical consultation on complex cases</w:t>
      </w:r>
      <w:r w:rsidRPr="007A678C">
        <w:rPr>
          <w:sz w:val="22"/>
          <w:szCs w:val="22"/>
        </w:rPr>
        <w:t xml:space="preserve">, available through the MDPH Division of STD Prevention clinical team (Public Health Nurse, Kaitlin Nichols, RN and Medical Director, Katherine Hsu, MD, MPH) or the STD Clinical Consultation </w:t>
      </w:r>
      <w:r w:rsidRPr="00960EEA">
        <w:rPr>
          <w:sz w:val="22"/>
          <w:szCs w:val="22"/>
        </w:rPr>
        <w:t>Networ</w:t>
      </w:r>
      <w:r w:rsidRPr="00EE2674">
        <w:rPr>
          <w:sz w:val="22"/>
          <w:szCs w:val="22"/>
        </w:rPr>
        <w:t>k.</w:t>
      </w:r>
      <w:r>
        <w:rPr>
          <w:rStyle w:val="EndnoteReference"/>
          <w:sz w:val="22"/>
          <w:szCs w:val="22"/>
        </w:rPr>
        <w:endnoteReference w:id="7"/>
      </w:r>
      <w:r w:rsidRPr="00EE2674">
        <w:rPr>
          <w:sz w:val="22"/>
          <w:szCs w:val="22"/>
        </w:rPr>
        <w:t xml:space="preserve"> </w:t>
      </w:r>
      <w:r w:rsidRPr="00960EEA">
        <w:rPr>
          <w:sz w:val="22"/>
          <w:szCs w:val="22"/>
        </w:rPr>
        <w:t>CDC treatment and partner management guidelines are available as an app for Apple and Android devices a</w:t>
      </w:r>
      <w:r w:rsidRPr="007A678C">
        <w:rPr>
          <w:sz w:val="22"/>
          <w:szCs w:val="22"/>
        </w:rPr>
        <w:t xml:space="preserve">t: </w:t>
      </w:r>
      <w:hyperlink r:id="rId12" w:anchor="MobileApp" w:tgtFrame="_blank" w:history="1">
        <w:r w:rsidRPr="007A678C">
          <w:rPr>
            <w:color w:val="0000FF"/>
            <w:sz w:val="22"/>
            <w:szCs w:val="22"/>
            <w:u w:val="single"/>
          </w:rPr>
          <w:t>https://www.cdc.gov/std/treatment-guidelines/provider-resources.htm#MobileApp</w:t>
        </w:r>
      </w:hyperlink>
      <w:r w:rsidRPr="007A678C">
        <w:rPr>
          <w:sz w:val="22"/>
          <w:szCs w:val="22"/>
        </w:rPr>
        <w:t>. </w:t>
      </w:r>
    </w:p>
    <w:p w14:paraId="6C44F027" w14:textId="6302BB44" w:rsidR="00832E06" w:rsidRPr="007A678C" w:rsidRDefault="00832E06" w:rsidP="000C6D52">
      <w:pPr>
        <w:pStyle w:val="ListParagraph"/>
        <w:numPr>
          <w:ilvl w:val="0"/>
          <w:numId w:val="2"/>
        </w:numPr>
        <w:ind w:left="0" w:right="-360"/>
        <w:textAlignment w:val="baseline"/>
        <w:rPr>
          <w:sz w:val="22"/>
          <w:szCs w:val="22"/>
        </w:rPr>
      </w:pPr>
      <w:r w:rsidRPr="007A678C">
        <w:rPr>
          <w:b/>
          <w:bCs/>
          <w:sz w:val="22"/>
          <w:szCs w:val="22"/>
        </w:rPr>
        <w:t>Partner services</w:t>
      </w:r>
      <w:r w:rsidRPr="007A678C">
        <w:rPr>
          <w:sz w:val="22"/>
          <w:szCs w:val="22"/>
        </w:rPr>
        <w:t xml:space="preserve"> – contact tracing and notification are automatically performed for new HIV infection, infectious syphilis cases, and cases of ceftriaxone-</w:t>
      </w:r>
      <w:r w:rsidR="00264585">
        <w:rPr>
          <w:sz w:val="22"/>
          <w:szCs w:val="22"/>
        </w:rPr>
        <w:t>non-susceptible</w:t>
      </w:r>
      <w:r w:rsidRPr="007A678C">
        <w:rPr>
          <w:sz w:val="22"/>
          <w:szCs w:val="22"/>
        </w:rPr>
        <w:t xml:space="preserve"> </w:t>
      </w:r>
      <w:r w:rsidR="00264585">
        <w:rPr>
          <w:sz w:val="22"/>
          <w:szCs w:val="22"/>
        </w:rPr>
        <w:t>gonorrhea</w:t>
      </w:r>
      <w:r w:rsidRPr="007A678C">
        <w:rPr>
          <w:sz w:val="22"/>
          <w:szCs w:val="22"/>
        </w:rPr>
        <w:t xml:space="preserve">. </w:t>
      </w:r>
      <w:r w:rsidR="00425F07">
        <w:rPr>
          <w:sz w:val="22"/>
          <w:szCs w:val="22"/>
        </w:rPr>
        <w:t>For more information, p</w:t>
      </w:r>
      <w:r w:rsidRPr="007A678C">
        <w:rPr>
          <w:sz w:val="22"/>
          <w:szCs w:val="22"/>
        </w:rPr>
        <w:t xml:space="preserve">lease call the MDPH Reporting and Partner Services Line at 617-983-6999 </w:t>
      </w:r>
      <w:r w:rsidR="00425F07">
        <w:rPr>
          <w:sz w:val="22"/>
          <w:szCs w:val="22"/>
        </w:rPr>
        <w:t xml:space="preserve">or review resources at </w:t>
      </w:r>
      <w:hyperlink r:id="rId13" w:history="1">
        <w:r w:rsidR="00425F07" w:rsidRPr="007C34A2">
          <w:rPr>
            <w:rStyle w:val="Hyperlink"/>
            <w:sz w:val="22"/>
            <w:szCs w:val="22"/>
          </w:rPr>
          <w:t>https://www.mass.gov/service-details/partner-services-program-information-for-healthcare-providers</w:t>
        </w:r>
      </w:hyperlink>
      <w:r w:rsidR="00425F07">
        <w:rPr>
          <w:sz w:val="22"/>
          <w:szCs w:val="22"/>
        </w:rPr>
        <w:t xml:space="preserve">. </w:t>
      </w:r>
    </w:p>
    <w:p w14:paraId="32430E0E" w14:textId="77777777" w:rsidR="00832E06" w:rsidRPr="009B6B51" w:rsidRDefault="00832E06" w:rsidP="009B6B51">
      <w:pPr>
        <w:ind w:left="-360" w:right="-360"/>
        <w:rPr>
          <w:sz w:val="22"/>
          <w:szCs w:val="22"/>
        </w:rPr>
      </w:pPr>
    </w:p>
    <w:p w14:paraId="3722398A" w14:textId="77777777" w:rsidR="00033154" w:rsidRPr="009908FF" w:rsidRDefault="00033154" w:rsidP="000C6D52">
      <w:pPr>
        <w:ind w:left="-360" w:right="-360"/>
      </w:pPr>
    </w:p>
    <w:sectPr w:rsidR="00033154" w:rsidRPr="009908FF" w:rsidSect="008E7D7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54B3F" w14:textId="77777777" w:rsidR="00F94AB5" w:rsidRDefault="00F94AB5" w:rsidP="00832E06">
      <w:r>
        <w:separator/>
      </w:r>
    </w:p>
  </w:endnote>
  <w:endnote w:type="continuationSeparator" w:id="0">
    <w:p w14:paraId="1F7E6BC9" w14:textId="77777777" w:rsidR="00F94AB5" w:rsidRDefault="00F94AB5" w:rsidP="00832E06">
      <w:r>
        <w:continuationSeparator/>
      </w:r>
    </w:p>
  </w:endnote>
  <w:endnote w:type="continuationNotice" w:id="1">
    <w:p w14:paraId="3BC1884A" w14:textId="77777777" w:rsidR="00F94AB5" w:rsidRDefault="00F94AB5"/>
  </w:endnote>
  <w:endnote w:id="2">
    <w:p w14:paraId="0FAB406E" w14:textId="74DD6EFF" w:rsidR="00832E06" w:rsidRPr="001334DD" w:rsidRDefault="00832E06" w:rsidP="000C6D52">
      <w:pPr>
        <w:pStyle w:val="EndnoteText"/>
        <w:ind w:left="-360"/>
        <w:rPr>
          <w:sz w:val="18"/>
          <w:szCs w:val="18"/>
        </w:rPr>
      </w:pPr>
      <w:r w:rsidRPr="001334DD">
        <w:rPr>
          <w:rStyle w:val="EndnoteReference"/>
          <w:sz w:val="18"/>
          <w:szCs w:val="18"/>
        </w:rPr>
        <w:endnoteRef/>
      </w:r>
      <w:r w:rsidRPr="001334DD">
        <w:rPr>
          <w:sz w:val="18"/>
          <w:szCs w:val="18"/>
        </w:rPr>
        <w:t xml:space="preserve"> Day M, Pitt R, Mody N, </w:t>
      </w:r>
      <w:r w:rsidRPr="001334DD">
        <w:rPr>
          <w:i/>
          <w:iCs/>
          <w:sz w:val="18"/>
          <w:szCs w:val="18"/>
        </w:rPr>
        <w:t>et al.</w:t>
      </w:r>
      <w:r w:rsidRPr="001334DD">
        <w:rPr>
          <w:sz w:val="18"/>
          <w:szCs w:val="18"/>
        </w:rPr>
        <w:t xml:space="preserve"> Detection of 10 cases of ceftriaxone-resistant </w:t>
      </w:r>
      <w:r w:rsidRPr="001334DD">
        <w:rPr>
          <w:i/>
          <w:iCs/>
          <w:sz w:val="18"/>
          <w:szCs w:val="18"/>
        </w:rPr>
        <w:t>Neisseria gonorrhoeae i</w:t>
      </w:r>
      <w:r w:rsidRPr="001334DD">
        <w:rPr>
          <w:sz w:val="18"/>
          <w:szCs w:val="18"/>
        </w:rPr>
        <w:t xml:space="preserve">n the United Kingdom, December 2021 to June 2022. </w:t>
      </w:r>
      <w:r w:rsidRPr="001334DD">
        <w:rPr>
          <w:i/>
          <w:iCs/>
          <w:sz w:val="18"/>
          <w:szCs w:val="18"/>
        </w:rPr>
        <w:t>Euro Surveill</w:t>
      </w:r>
      <w:r w:rsidRPr="001334DD">
        <w:rPr>
          <w:sz w:val="18"/>
          <w:szCs w:val="18"/>
        </w:rPr>
        <w:t xml:space="preserve">. 2022 Nov;27(46):2200803. </w:t>
      </w:r>
      <w:hyperlink r:id="rId1" w:history="1">
        <w:r w:rsidRPr="001334DD">
          <w:rPr>
            <w:rStyle w:val="Hyperlink"/>
            <w:sz w:val="18"/>
            <w:szCs w:val="18"/>
          </w:rPr>
          <w:t>https://doi.org/10.2807/1560-7917.ES.2022.27.46.2200803</w:t>
        </w:r>
      </w:hyperlink>
      <w:r w:rsidRPr="001334DD">
        <w:rPr>
          <w:sz w:val="18"/>
          <w:szCs w:val="18"/>
        </w:rPr>
        <w:t xml:space="preserve"> </w:t>
      </w:r>
    </w:p>
  </w:endnote>
  <w:endnote w:id="3">
    <w:p w14:paraId="37D36E04" w14:textId="383F70F6" w:rsidR="00832E06" w:rsidRPr="001334DD" w:rsidRDefault="00832E06" w:rsidP="000C6D52">
      <w:pPr>
        <w:pStyle w:val="EndnoteText"/>
        <w:ind w:left="-360"/>
        <w:rPr>
          <w:sz w:val="18"/>
          <w:szCs w:val="18"/>
        </w:rPr>
      </w:pPr>
      <w:r w:rsidRPr="001334DD">
        <w:rPr>
          <w:rStyle w:val="EndnoteReference"/>
          <w:sz w:val="18"/>
          <w:szCs w:val="18"/>
        </w:rPr>
        <w:endnoteRef/>
      </w:r>
      <w:r w:rsidRPr="001334DD">
        <w:rPr>
          <w:sz w:val="18"/>
          <w:szCs w:val="18"/>
        </w:rPr>
        <w:t xml:space="preserve"> CDC STI Treatment Guidelines, 2021. </w:t>
      </w:r>
      <w:hyperlink r:id="rId2" w:history="1">
        <w:r w:rsidRPr="001334DD">
          <w:rPr>
            <w:rStyle w:val="Hyperlink"/>
            <w:sz w:val="18"/>
            <w:szCs w:val="18"/>
          </w:rPr>
          <w:t>https://www.cdc.gov/std/treatment-guidelines/toc.htm</w:t>
        </w:r>
      </w:hyperlink>
      <w:r w:rsidRPr="001334DD">
        <w:rPr>
          <w:sz w:val="18"/>
          <w:szCs w:val="18"/>
        </w:rPr>
        <w:t xml:space="preserve"> </w:t>
      </w:r>
    </w:p>
  </w:endnote>
  <w:endnote w:id="4">
    <w:p w14:paraId="453066D2" w14:textId="78B0F8A3" w:rsidR="00832E06" w:rsidRPr="001334DD" w:rsidRDefault="00832E06" w:rsidP="000C6D52">
      <w:pPr>
        <w:pStyle w:val="EndnoteText"/>
        <w:ind w:left="-360"/>
        <w:rPr>
          <w:sz w:val="18"/>
          <w:szCs w:val="18"/>
        </w:rPr>
      </w:pPr>
      <w:r w:rsidRPr="001334DD">
        <w:rPr>
          <w:rStyle w:val="EndnoteReference"/>
          <w:sz w:val="18"/>
          <w:szCs w:val="18"/>
        </w:rPr>
        <w:endnoteRef/>
      </w:r>
      <w:r w:rsidRPr="001334DD">
        <w:rPr>
          <w:sz w:val="18"/>
          <w:szCs w:val="18"/>
        </w:rPr>
        <w:t xml:space="preserve"> USPSTF Final Recommendation Statement: Chlamydia and Gonorrhea: Screening. </w:t>
      </w:r>
      <w:hyperlink r:id="rId3" w:history="1">
        <w:r w:rsidRPr="001334DD">
          <w:rPr>
            <w:rStyle w:val="Hyperlink"/>
            <w:sz w:val="18"/>
            <w:szCs w:val="18"/>
          </w:rPr>
          <w:t>https://www.uspreventiveservicestaskforce.org/uspstf/recommendation/chlamydia-and-gonorrhea-screening</w:t>
        </w:r>
      </w:hyperlink>
      <w:r w:rsidRPr="001334DD">
        <w:rPr>
          <w:sz w:val="18"/>
          <w:szCs w:val="18"/>
        </w:rPr>
        <w:t xml:space="preserve"> </w:t>
      </w:r>
    </w:p>
  </w:endnote>
  <w:endnote w:id="5">
    <w:p w14:paraId="6CE5582F" w14:textId="77777777" w:rsidR="00832E06" w:rsidRPr="001334DD" w:rsidRDefault="00832E06" w:rsidP="000C6D52">
      <w:pPr>
        <w:pStyle w:val="EndnoteText"/>
        <w:ind w:left="-360"/>
        <w:rPr>
          <w:sz w:val="18"/>
          <w:szCs w:val="18"/>
        </w:rPr>
      </w:pPr>
      <w:r w:rsidRPr="001334DD">
        <w:rPr>
          <w:rStyle w:val="EndnoteReference"/>
          <w:sz w:val="18"/>
          <w:szCs w:val="18"/>
        </w:rPr>
        <w:endnoteRef/>
      </w:r>
      <w:r w:rsidRPr="001334DD">
        <w:rPr>
          <w:sz w:val="18"/>
          <w:szCs w:val="18"/>
        </w:rPr>
        <w:t xml:space="preserve"> Gonococcal Infections. In: Kimberlin DW, Barnett ED, Lynfield R, Sawyer MH, eds. </w:t>
      </w:r>
      <w:r w:rsidRPr="001334DD">
        <w:rPr>
          <w:i/>
          <w:iCs/>
          <w:sz w:val="18"/>
          <w:szCs w:val="18"/>
        </w:rPr>
        <w:t>Red Book: 2021 Report of the Committee on Infectious Diseases.</w:t>
      </w:r>
      <w:r w:rsidRPr="001334DD">
        <w:rPr>
          <w:sz w:val="18"/>
          <w:szCs w:val="18"/>
        </w:rPr>
        <w:t xml:space="preserve"> Itasca. IL: American Academy of Pediatrics: 2021, pages 338 – 44.</w:t>
      </w:r>
    </w:p>
  </w:endnote>
  <w:endnote w:id="6">
    <w:p w14:paraId="3574F15F" w14:textId="4EF71A18" w:rsidR="00832E06" w:rsidRPr="001334DD" w:rsidRDefault="00832E06" w:rsidP="000C6D52">
      <w:pPr>
        <w:pStyle w:val="EndnoteText"/>
        <w:ind w:left="-360"/>
        <w:rPr>
          <w:sz w:val="18"/>
          <w:szCs w:val="18"/>
        </w:rPr>
      </w:pPr>
      <w:r w:rsidRPr="001334DD">
        <w:rPr>
          <w:rStyle w:val="EndnoteReference"/>
          <w:sz w:val="18"/>
          <w:szCs w:val="18"/>
        </w:rPr>
        <w:endnoteRef/>
      </w:r>
      <w:r w:rsidRPr="001334DD">
        <w:rPr>
          <w:sz w:val="18"/>
          <w:szCs w:val="18"/>
        </w:rPr>
        <w:t xml:space="preserve"> Massachusetts: 105 CMR 300.00: Reportable diseases, surveillance, and isolation and quarantine requirements </w:t>
      </w:r>
      <w:hyperlink r:id="rId4" w:history="1">
        <w:r w:rsidRPr="001334DD">
          <w:rPr>
            <w:rStyle w:val="Hyperlink"/>
            <w:sz w:val="18"/>
            <w:szCs w:val="18"/>
          </w:rPr>
          <w:t>https://www.mass.gov/regulations/105-CMR-30000-reportable-diseases-surveillance-and-isolation-and-quarantine-requirements</w:t>
        </w:r>
      </w:hyperlink>
      <w:r w:rsidRPr="001334DD">
        <w:rPr>
          <w:sz w:val="18"/>
          <w:szCs w:val="18"/>
        </w:rPr>
        <w:t xml:space="preserve"> </w:t>
      </w:r>
    </w:p>
  </w:endnote>
  <w:endnote w:id="7">
    <w:p w14:paraId="625C8B5F" w14:textId="3D8C6B24" w:rsidR="00832E06" w:rsidRPr="001334DD" w:rsidRDefault="00832E06" w:rsidP="000C6D52">
      <w:pPr>
        <w:pStyle w:val="EndnoteText"/>
        <w:ind w:left="-360"/>
        <w:rPr>
          <w:sz w:val="18"/>
          <w:szCs w:val="18"/>
        </w:rPr>
      </w:pPr>
      <w:r w:rsidRPr="001334DD">
        <w:rPr>
          <w:rStyle w:val="EndnoteReference"/>
          <w:sz w:val="18"/>
          <w:szCs w:val="18"/>
        </w:rPr>
        <w:endnoteRef/>
      </w:r>
      <w:r w:rsidRPr="001334DD">
        <w:rPr>
          <w:sz w:val="18"/>
          <w:szCs w:val="18"/>
        </w:rPr>
        <w:t xml:space="preserve"> National Network of STD Clinical Prevention Training Centers</w:t>
      </w:r>
      <w:r w:rsidR="000C6D52" w:rsidRPr="001334DD">
        <w:rPr>
          <w:sz w:val="18"/>
          <w:szCs w:val="18"/>
        </w:rPr>
        <w:t>:</w:t>
      </w:r>
      <w:r w:rsidRPr="001334DD">
        <w:rPr>
          <w:sz w:val="18"/>
          <w:szCs w:val="18"/>
        </w:rPr>
        <w:t xml:space="preserve"> STD Clinical Consultation Network. </w:t>
      </w:r>
      <w:hyperlink r:id="rId5" w:history="1">
        <w:r w:rsidRPr="001334DD">
          <w:rPr>
            <w:rStyle w:val="Hyperlink"/>
            <w:sz w:val="18"/>
            <w:szCs w:val="18"/>
          </w:rPr>
          <w:t>www.stdccn.org</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92CA" w14:textId="77777777" w:rsidR="000D6BD3" w:rsidRDefault="000D6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1E6D" w14:textId="77777777" w:rsidR="00F257C8" w:rsidRDefault="00F257C8" w:rsidP="00F257C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59F4" w14:textId="77777777" w:rsidR="000D6BD3" w:rsidRDefault="000D6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44E53" w14:textId="77777777" w:rsidR="00F94AB5" w:rsidRDefault="00F94AB5" w:rsidP="00832E06">
      <w:r>
        <w:separator/>
      </w:r>
    </w:p>
  </w:footnote>
  <w:footnote w:type="continuationSeparator" w:id="0">
    <w:p w14:paraId="4B118C0F" w14:textId="77777777" w:rsidR="00F94AB5" w:rsidRDefault="00F94AB5" w:rsidP="00832E06">
      <w:r>
        <w:continuationSeparator/>
      </w:r>
    </w:p>
  </w:footnote>
  <w:footnote w:type="continuationNotice" w:id="1">
    <w:p w14:paraId="05D77049" w14:textId="77777777" w:rsidR="00F94AB5" w:rsidRDefault="00F94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59C7" w14:textId="77777777" w:rsidR="000D6BD3" w:rsidRDefault="000D6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D913" w14:textId="32F42A8B" w:rsidR="000D6BD3" w:rsidRDefault="000D6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D4B0" w14:textId="77777777" w:rsidR="000D6BD3" w:rsidRDefault="000D6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13ED6"/>
    <w:multiLevelType w:val="hybridMultilevel"/>
    <w:tmpl w:val="BC28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B033C"/>
    <w:multiLevelType w:val="hybridMultilevel"/>
    <w:tmpl w:val="D658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17E4A"/>
    <w:rsid w:val="00033154"/>
    <w:rsid w:val="00042048"/>
    <w:rsid w:val="00044575"/>
    <w:rsid w:val="000537DA"/>
    <w:rsid w:val="00066788"/>
    <w:rsid w:val="000A1DE1"/>
    <w:rsid w:val="000A77B8"/>
    <w:rsid w:val="000B52BA"/>
    <w:rsid w:val="000B62C8"/>
    <w:rsid w:val="000C6D52"/>
    <w:rsid w:val="000D24DC"/>
    <w:rsid w:val="000D6BD3"/>
    <w:rsid w:val="000E00FE"/>
    <w:rsid w:val="000F09BF"/>
    <w:rsid w:val="000F315B"/>
    <w:rsid w:val="001049AE"/>
    <w:rsid w:val="0011169A"/>
    <w:rsid w:val="00124754"/>
    <w:rsid w:val="001334DD"/>
    <w:rsid w:val="00150CEB"/>
    <w:rsid w:val="0015268B"/>
    <w:rsid w:val="001578DF"/>
    <w:rsid w:val="0016218D"/>
    <w:rsid w:val="00166086"/>
    <w:rsid w:val="00177C77"/>
    <w:rsid w:val="00194EB5"/>
    <w:rsid w:val="001A0A5E"/>
    <w:rsid w:val="001B586B"/>
    <w:rsid w:val="001C6D4E"/>
    <w:rsid w:val="001D6C98"/>
    <w:rsid w:val="002470A0"/>
    <w:rsid w:val="002530B4"/>
    <w:rsid w:val="00260565"/>
    <w:rsid w:val="00260D54"/>
    <w:rsid w:val="00264585"/>
    <w:rsid w:val="00265A85"/>
    <w:rsid w:val="00276957"/>
    <w:rsid w:val="00276DCC"/>
    <w:rsid w:val="002A132F"/>
    <w:rsid w:val="002A46B8"/>
    <w:rsid w:val="002B1692"/>
    <w:rsid w:val="002B16A9"/>
    <w:rsid w:val="002C3676"/>
    <w:rsid w:val="002D1C21"/>
    <w:rsid w:val="00330719"/>
    <w:rsid w:val="00343E2E"/>
    <w:rsid w:val="00360E5D"/>
    <w:rsid w:val="0036198C"/>
    <w:rsid w:val="00365F99"/>
    <w:rsid w:val="0037311A"/>
    <w:rsid w:val="00375EAD"/>
    <w:rsid w:val="00376974"/>
    <w:rsid w:val="00385812"/>
    <w:rsid w:val="00385D44"/>
    <w:rsid w:val="00390797"/>
    <w:rsid w:val="00392D0B"/>
    <w:rsid w:val="003A6167"/>
    <w:rsid w:val="003A7AFC"/>
    <w:rsid w:val="003B746F"/>
    <w:rsid w:val="003C60EF"/>
    <w:rsid w:val="003E5DDF"/>
    <w:rsid w:val="00404683"/>
    <w:rsid w:val="00416694"/>
    <w:rsid w:val="004179B1"/>
    <w:rsid w:val="00425F07"/>
    <w:rsid w:val="00433C92"/>
    <w:rsid w:val="004640BC"/>
    <w:rsid w:val="004813AC"/>
    <w:rsid w:val="004B37A0"/>
    <w:rsid w:val="004B7F85"/>
    <w:rsid w:val="004D0351"/>
    <w:rsid w:val="004D6B39"/>
    <w:rsid w:val="004E6825"/>
    <w:rsid w:val="004F3FCC"/>
    <w:rsid w:val="005003D8"/>
    <w:rsid w:val="005448AA"/>
    <w:rsid w:val="00545A64"/>
    <w:rsid w:val="005722D7"/>
    <w:rsid w:val="00572492"/>
    <w:rsid w:val="005765A8"/>
    <w:rsid w:val="005811D8"/>
    <w:rsid w:val="005A2755"/>
    <w:rsid w:val="005C54C3"/>
    <w:rsid w:val="005C79EF"/>
    <w:rsid w:val="005D1D33"/>
    <w:rsid w:val="005D227D"/>
    <w:rsid w:val="00602E55"/>
    <w:rsid w:val="00606881"/>
    <w:rsid w:val="0061503B"/>
    <w:rsid w:val="00617F03"/>
    <w:rsid w:val="00645841"/>
    <w:rsid w:val="00676EBC"/>
    <w:rsid w:val="006C1F77"/>
    <w:rsid w:val="006D06D9"/>
    <w:rsid w:val="006D2221"/>
    <w:rsid w:val="006D77A6"/>
    <w:rsid w:val="00702109"/>
    <w:rsid w:val="007259B2"/>
    <w:rsid w:val="0072610D"/>
    <w:rsid w:val="00741C09"/>
    <w:rsid w:val="00754516"/>
    <w:rsid w:val="00756F0B"/>
    <w:rsid w:val="007A1271"/>
    <w:rsid w:val="007A7EBB"/>
    <w:rsid w:val="007B3F4B"/>
    <w:rsid w:val="007B7347"/>
    <w:rsid w:val="007C6CA8"/>
    <w:rsid w:val="007C7BAE"/>
    <w:rsid w:val="007D10F3"/>
    <w:rsid w:val="007D1B5F"/>
    <w:rsid w:val="007D5DDD"/>
    <w:rsid w:val="007E2221"/>
    <w:rsid w:val="00832E06"/>
    <w:rsid w:val="00835DD4"/>
    <w:rsid w:val="00835DE6"/>
    <w:rsid w:val="00843EF3"/>
    <w:rsid w:val="008757DC"/>
    <w:rsid w:val="008778E4"/>
    <w:rsid w:val="008A48EB"/>
    <w:rsid w:val="008B0FFC"/>
    <w:rsid w:val="008B3DF2"/>
    <w:rsid w:val="008E7D7F"/>
    <w:rsid w:val="00920BF9"/>
    <w:rsid w:val="009908FF"/>
    <w:rsid w:val="00993DDA"/>
    <w:rsid w:val="00995505"/>
    <w:rsid w:val="009A0272"/>
    <w:rsid w:val="009A4F95"/>
    <w:rsid w:val="009A58DB"/>
    <w:rsid w:val="009B6B51"/>
    <w:rsid w:val="009C4943"/>
    <w:rsid w:val="009D5C13"/>
    <w:rsid w:val="009F74D8"/>
    <w:rsid w:val="00A13226"/>
    <w:rsid w:val="00A473F4"/>
    <w:rsid w:val="00A5108D"/>
    <w:rsid w:val="00A53B7A"/>
    <w:rsid w:val="00A63EF0"/>
    <w:rsid w:val="00A65101"/>
    <w:rsid w:val="00A77A70"/>
    <w:rsid w:val="00A92C37"/>
    <w:rsid w:val="00AB4AA6"/>
    <w:rsid w:val="00AB64CF"/>
    <w:rsid w:val="00B1320C"/>
    <w:rsid w:val="00B403BF"/>
    <w:rsid w:val="00B44EFA"/>
    <w:rsid w:val="00B52B52"/>
    <w:rsid w:val="00B5530A"/>
    <w:rsid w:val="00B608D9"/>
    <w:rsid w:val="00B765F1"/>
    <w:rsid w:val="00B80B79"/>
    <w:rsid w:val="00BA096F"/>
    <w:rsid w:val="00BA4055"/>
    <w:rsid w:val="00BA46C9"/>
    <w:rsid w:val="00BA7FB6"/>
    <w:rsid w:val="00BD1DC8"/>
    <w:rsid w:val="00BD3A76"/>
    <w:rsid w:val="00BF581E"/>
    <w:rsid w:val="00C06D54"/>
    <w:rsid w:val="00C15B6B"/>
    <w:rsid w:val="00C172A3"/>
    <w:rsid w:val="00C20BFE"/>
    <w:rsid w:val="00C46CCA"/>
    <w:rsid w:val="00C522CB"/>
    <w:rsid w:val="00C52FC8"/>
    <w:rsid w:val="00C73916"/>
    <w:rsid w:val="00C75A0E"/>
    <w:rsid w:val="00C83089"/>
    <w:rsid w:val="00C976A9"/>
    <w:rsid w:val="00CA1A77"/>
    <w:rsid w:val="00CA6F3B"/>
    <w:rsid w:val="00CA7226"/>
    <w:rsid w:val="00CB0254"/>
    <w:rsid w:val="00CB644F"/>
    <w:rsid w:val="00CC1778"/>
    <w:rsid w:val="00CD7407"/>
    <w:rsid w:val="00CE13D8"/>
    <w:rsid w:val="00CE575B"/>
    <w:rsid w:val="00CF231F"/>
    <w:rsid w:val="00CF3DE8"/>
    <w:rsid w:val="00D00EB6"/>
    <w:rsid w:val="00D0493F"/>
    <w:rsid w:val="00D141C0"/>
    <w:rsid w:val="00D2508F"/>
    <w:rsid w:val="00D46139"/>
    <w:rsid w:val="00D54D51"/>
    <w:rsid w:val="00D56F91"/>
    <w:rsid w:val="00D7672B"/>
    <w:rsid w:val="00D8671C"/>
    <w:rsid w:val="00DA57C3"/>
    <w:rsid w:val="00DC3855"/>
    <w:rsid w:val="00DC3DB7"/>
    <w:rsid w:val="00DC4550"/>
    <w:rsid w:val="00DD2AE8"/>
    <w:rsid w:val="00DE4E26"/>
    <w:rsid w:val="00DE7B05"/>
    <w:rsid w:val="00E03FB3"/>
    <w:rsid w:val="00E13465"/>
    <w:rsid w:val="00E1375E"/>
    <w:rsid w:val="00E15E11"/>
    <w:rsid w:val="00E242A8"/>
    <w:rsid w:val="00E274B8"/>
    <w:rsid w:val="00E4104E"/>
    <w:rsid w:val="00E476DF"/>
    <w:rsid w:val="00E51824"/>
    <w:rsid w:val="00E72707"/>
    <w:rsid w:val="00E72BBA"/>
    <w:rsid w:val="00E91EA1"/>
    <w:rsid w:val="00EA3709"/>
    <w:rsid w:val="00EE0DAA"/>
    <w:rsid w:val="00EF57CF"/>
    <w:rsid w:val="00F04A7A"/>
    <w:rsid w:val="00F0586E"/>
    <w:rsid w:val="00F143A8"/>
    <w:rsid w:val="00F14A3C"/>
    <w:rsid w:val="00F257C8"/>
    <w:rsid w:val="00F3283A"/>
    <w:rsid w:val="00F42C26"/>
    <w:rsid w:val="00F43932"/>
    <w:rsid w:val="00F5475D"/>
    <w:rsid w:val="00F556A7"/>
    <w:rsid w:val="00F74DCE"/>
    <w:rsid w:val="00F824D1"/>
    <w:rsid w:val="00F8414D"/>
    <w:rsid w:val="00F94AB5"/>
    <w:rsid w:val="00FA3FC0"/>
    <w:rsid w:val="00FA7CF1"/>
    <w:rsid w:val="00FC23ED"/>
    <w:rsid w:val="00FC600F"/>
    <w:rsid w:val="00FC6B42"/>
    <w:rsid w:val="00FD3FC3"/>
    <w:rsid w:val="00FE28E5"/>
    <w:rsid w:val="00FE3CD3"/>
    <w:rsid w:val="00FF173A"/>
    <w:rsid w:val="023B7252"/>
    <w:rsid w:val="05A4CD85"/>
    <w:rsid w:val="0E3968A1"/>
    <w:rsid w:val="0E663352"/>
    <w:rsid w:val="118FF33C"/>
    <w:rsid w:val="1435F040"/>
    <w:rsid w:val="14A8CBD5"/>
    <w:rsid w:val="15813BE5"/>
    <w:rsid w:val="196CB413"/>
    <w:rsid w:val="1D8B13C7"/>
    <w:rsid w:val="1EC1E9D3"/>
    <w:rsid w:val="1F1D4248"/>
    <w:rsid w:val="233FBC58"/>
    <w:rsid w:val="25A446DA"/>
    <w:rsid w:val="25D80680"/>
    <w:rsid w:val="2604D131"/>
    <w:rsid w:val="285A33EF"/>
    <w:rsid w:val="2AFDB7F2"/>
    <w:rsid w:val="324357F1"/>
    <w:rsid w:val="35270032"/>
    <w:rsid w:val="3598F4A3"/>
    <w:rsid w:val="38174C25"/>
    <w:rsid w:val="39497A42"/>
    <w:rsid w:val="395AC97C"/>
    <w:rsid w:val="3A02F558"/>
    <w:rsid w:val="3C40905E"/>
    <w:rsid w:val="3FEC123C"/>
    <w:rsid w:val="426F584F"/>
    <w:rsid w:val="43DFBEC5"/>
    <w:rsid w:val="4538EA84"/>
    <w:rsid w:val="48154886"/>
    <w:rsid w:val="486D520A"/>
    <w:rsid w:val="4AB9C5EA"/>
    <w:rsid w:val="4C48F993"/>
    <w:rsid w:val="4E25B629"/>
    <w:rsid w:val="51FB8E3B"/>
    <w:rsid w:val="568CF234"/>
    <w:rsid w:val="56E43644"/>
    <w:rsid w:val="5EF5316C"/>
    <w:rsid w:val="60669694"/>
    <w:rsid w:val="61E6A229"/>
    <w:rsid w:val="6252B77D"/>
    <w:rsid w:val="633E2843"/>
    <w:rsid w:val="655A6660"/>
    <w:rsid w:val="66F1D60B"/>
    <w:rsid w:val="674B9E3E"/>
    <w:rsid w:val="697C70C1"/>
    <w:rsid w:val="6B141D4A"/>
    <w:rsid w:val="6F9B0F9A"/>
    <w:rsid w:val="74B3AA7D"/>
    <w:rsid w:val="751BC4BD"/>
    <w:rsid w:val="7597608E"/>
    <w:rsid w:val="774D91B5"/>
    <w:rsid w:val="785C7567"/>
    <w:rsid w:val="7CD71FBE"/>
    <w:rsid w:val="7CE367B7"/>
    <w:rsid w:val="7EAAF17A"/>
    <w:rsid w:val="7EBD3E9B"/>
    <w:rsid w:val="7F15B1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9F5A5"/>
  <w15:chartTrackingRefBased/>
  <w15:docId w15:val="{FB68E09A-3E6F-482F-8B4A-5358982D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832E06"/>
    <w:pPr>
      <w:ind w:left="720"/>
      <w:contextualSpacing/>
    </w:pPr>
  </w:style>
  <w:style w:type="paragraph" w:styleId="EndnoteText">
    <w:name w:val="endnote text"/>
    <w:basedOn w:val="Normal"/>
    <w:link w:val="EndnoteTextChar"/>
    <w:uiPriority w:val="99"/>
    <w:unhideWhenUsed/>
    <w:rsid w:val="00832E06"/>
    <w:rPr>
      <w:sz w:val="20"/>
    </w:rPr>
  </w:style>
  <w:style w:type="character" w:customStyle="1" w:styleId="EndnoteTextChar">
    <w:name w:val="Endnote Text Char"/>
    <w:basedOn w:val="DefaultParagraphFont"/>
    <w:link w:val="EndnoteText"/>
    <w:uiPriority w:val="99"/>
    <w:rsid w:val="00832E06"/>
  </w:style>
  <w:style w:type="character" w:styleId="EndnoteReference">
    <w:name w:val="endnote reference"/>
    <w:uiPriority w:val="99"/>
    <w:unhideWhenUsed/>
    <w:rsid w:val="00832E06"/>
    <w:rPr>
      <w:vertAlign w:val="superscript"/>
    </w:rPr>
  </w:style>
  <w:style w:type="character" w:styleId="CommentReference">
    <w:name w:val="annotation reference"/>
    <w:uiPriority w:val="99"/>
    <w:unhideWhenUsed/>
    <w:rsid w:val="00832E06"/>
    <w:rPr>
      <w:sz w:val="16"/>
      <w:szCs w:val="16"/>
    </w:rPr>
  </w:style>
  <w:style w:type="paragraph" w:styleId="CommentText">
    <w:name w:val="annotation text"/>
    <w:basedOn w:val="Normal"/>
    <w:link w:val="CommentTextChar"/>
    <w:uiPriority w:val="99"/>
    <w:unhideWhenUsed/>
    <w:rsid w:val="00832E06"/>
    <w:rPr>
      <w:sz w:val="20"/>
    </w:rPr>
  </w:style>
  <w:style w:type="character" w:customStyle="1" w:styleId="CommentTextChar">
    <w:name w:val="Comment Text Char"/>
    <w:basedOn w:val="DefaultParagraphFont"/>
    <w:link w:val="CommentText"/>
    <w:uiPriority w:val="99"/>
    <w:rsid w:val="00832E06"/>
  </w:style>
  <w:style w:type="table" w:styleId="TableGridLight">
    <w:name w:val="Grid Table Light"/>
    <w:basedOn w:val="TableNormal"/>
    <w:uiPriority w:val="40"/>
    <w:rsid w:val="00832E06"/>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qFormat/>
    <w:rsid w:val="00F143A8"/>
    <w:rPr>
      <w:b/>
      <w:bCs/>
    </w:rPr>
  </w:style>
  <w:style w:type="paragraph" w:styleId="CommentSubject">
    <w:name w:val="annotation subject"/>
    <w:basedOn w:val="CommentText"/>
    <w:next w:val="CommentText"/>
    <w:link w:val="CommentSubjectChar"/>
    <w:rsid w:val="00F257C8"/>
    <w:rPr>
      <w:b/>
      <w:bCs/>
    </w:rPr>
  </w:style>
  <w:style w:type="character" w:customStyle="1" w:styleId="CommentSubjectChar">
    <w:name w:val="Comment Subject Char"/>
    <w:link w:val="CommentSubject"/>
    <w:rsid w:val="00F257C8"/>
    <w:rPr>
      <w:b/>
      <w:bCs/>
    </w:rPr>
  </w:style>
  <w:style w:type="paragraph" w:styleId="Header">
    <w:name w:val="header"/>
    <w:basedOn w:val="Normal"/>
    <w:link w:val="HeaderChar"/>
    <w:rsid w:val="00F257C8"/>
    <w:pPr>
      <w:tabs>
        <w:tab w:val="center" w:pos="4680"/>
        <w:tab w:val="right" w:pos="9360"/>
      </w:tabs>
    </w:pPr>
  </w:style>
  <w:style w:type="character" w:customStyle="1" w:styleId="HeaderChar">
    <w:name w:val="Header Char"/>
    <w:link w:val="Header"/>
    <w:rsid w:val="00F257C8"/>
    <w:rPr>
      <w:sz w:val="24"/>
    </w:rPr>
  </w:style>
  <w:style w:type="paragraph" w:styleId="Footer">
    <w:name w:val="footer"/>
    <w:basedOn w:val="Normal"/>
    <w:link w:val="FooterChar"/>
    <w:uiPriority w:val="99"/>
    <w:rsid w:val="00F257C8"/>
    <w:pPr>
      <w:tabs>
        <w:tab w:val="center" w:pos="4680"/>
        <w:tab w:val="right" w:pos="9360"/>
      </w:tabs>
    </w:pPr>
  </w:style>
  <w:style w:type="character" w:customStyle="1" w:styleId="FooterChar">
    <w:name w:val="Footer Char"/>
    <w:link w:val="Footer"/>
    <w:uiPriority w:val="99"/>
    <w:rsid w:val="00F257C8"/>
    <w:rPr>
      <w:sz w:val="24"/>
    </w:rPr>
  </w:style>
  <w:style w:type="character" w:styleId="UnresolvedMention">
    <w:name w:val="Unresolved Mention"/>
    <w:uiPriority w:val="99"/>
    <w:semiHidden/>
    <w:unhideWhenUsed/>
    <w:rsid w:val="00425F07"/>
    <w:rPr>
      <w:color w:val="605E5C"/>
      <w:shd w:val="clear" w:color="auto" w:fill="E1DFDD"/>
    </w:rPr>
  </w:style>
  <w:style w:type="paragraph" w:styleId="Revision">
    <w:name w:val="Revision"/>
    <w:hidden/>
    <w:uiPriority w:val="99"/>
    <w:semiHidden/>
    <w:rsid w:val="001578DF"/>
    <w:rPr>
      <w:sz w:val="24"/>
    </w:rPr>
  </w:style>
  <w:style w:type="character" w:styleId="FollowedHyperlink">
    <w:name w:val="FollowedHyperlink"/>
    <w:rsid w:val="00A77A7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service-details/partner-services-program-information-for-healthcare-provide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c.gov/std/treatment-guidelines/provider-resources.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dss.casetivity.com/process-definition/gonorrhea-brf/start-for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ss.gov/dph/cdc/st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ss.gov/dph/cdc/std" TargetMode="Externa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www.uspreventiveservicestaskforce.org/uspstf/recommendation/chlamydia-and-gonorrhea-screening" TargetMode="External"/><Relationship Id="rId2" Type="http://schemas.openxmlformats.org/officeDocument/2006/relationships/hyperlink" Target="https://www.cdc.gov/std/treatment-guidelines/toc.htm" TargetMode="External"/><Relationship Id="rId1" Type="http://schemas.openxmlformats.org/officeDocument/2006/relationships/hyperlink" Target="https://doi.org/10.2807/1560-7917.ES.2022.27.46.2200803" TargetMode="External"/><Relationship Id="rId5" Type="http://schemas.openxmlformats.org/officeDocument/2006/relationships/hyperlink" Target="http://www.stdccn.org" TargetMode="External"/><Relationship Id="rId4" Type="http://schemas.openxmlformats.org/officeDocument/2006/relationships/hyperlink" Target="https://www.mass.gov/regulations/105-CMR-30000-reportable-diseases-surveillance-and-isolation-and-quarantine-requir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02FDD-4CD6-474F-8167-3E0AF484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3</Pages>
  <Words>1548</Words>
  <Characters>8826</Characters>
  <Application>Microsoft Office Word</Application>
  <DocSecurity>0</DocSecurity>
  <Lines>73</Lines>
  <Paragraphs>20</Paragraphs>
  <ScaleCrop>false</ScaleCrop>
  <Company>Commonwealth of Massachusetts</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Roosevelt, Kathleen (DPH)</cp:lastModifiedBy>
  <cp:revision>2</cp:revision>
  <cp:lastPrinted>2015-01-29T17:50:00Z</cp:lastPrinted>
  <dcterms:created xsi:type="dcterms:W3CDTF">2023-01-18T19:17:00Z</dcterms:created>
  <dcterms:modified xsi:type="dcterms:W3CDTF">2023-01-18T19:17:00Z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2023-01-17T14:10:00Z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1b4ac9d7-dd45-4a8b-89d2-4cc07476c23e</vt:lpwstr>
  </property>
  <property fmtid="{D5CDD505-2E9C-101B-9397-08002B2CF9AE}" pid="8" name="MSIP_Label_8af03ff0-41c5-4c41-b55e-fabb8fae94be_ContentBits">
    <vt:lpwstr>0</vt:lpwstr>
  </property>
</Properties>
</file>