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9A1D" w14:textId="77777777" w:rsidR="00B47152" w:rsidRDefault="00B47152" w:rsidP="000F315B">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w:t>
          </w:r>
          <w:smartTag w:uri="urn:schemas-microsoft-com:office:smarttags" w:element="PersonName">
            <w:r>
              <w:rPr>
                <w:rFonts w:ascii="Arial" w:hAnsi="Arial"/>
                <w:sz w:val="36"/>
              </w:rPr>
              <w:t>m</w:t>
            </w:r>
            <w:smartTag w:uri="urn:schemas-microsoft-com:office:smarttags" w:element="PersonName"/>
            <w:r>
              <w:rPr>
                <w:rFonts w:ascii="Arial" w:hAnsi="Arial"/>
                <w:sz w:val="36"/>
              </w:rPr>
              <w:t>m</w:t>
            </w:r>
          </w:smartTag>
          <w:r>
            <w:rPr>
              <w:rFonts w:ascii="Arial" w:hAnsi="Arial"/>
              <w:sz w:val="36"/>
            </w:rPr>
            <w:t>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0FC0450C" w14:textId="77777777"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14:paraId="5E259029" w14:textId="77777777"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14:paraId="62185494" w14:textId="77777777" w:rsidR="00B47152" w:rsidRDefault="00B47152" w:rsidP="00385FC7">
      <w:pPr>
        <w:pStyle w:val="ExecOffice"/>
        <w:framePr w:w="7556" w:wrap="notBeside" w:vAnchor="page" w:x="2526" w:y="1261"/>
      </w:pPr>
      <w:r w:rsidRPr="009A50F8">
        <w:t>Bureau of Infectious Disease and Laboratory Sciences</w:t>
      </w:r>
    </w:p>
    <w:p w14:paraId="5A7189E1" w14:textId="77777777" w:rsidR="00B47152" w:rsidRDefault="00B47152" w:rsidP="00385FC7">
      <w:pPr>
        <w:pStyle w:val="ExecOffice"/>
        <w:framePr w:w="7556" w:wrap="notBeside" w:vAnchor="page" w:x="2526" w:y="1261"/>
      </w:pPr>
      <w:r>
        <w:t>305 South Street, Jamaica Plain, MA 02130</w:t>
      </w:r>
    </w:p>
    <w:p w14:paraId="50C36DF4" w14:textId="77777777" w:rsidR="00B47152" w:rsidRDefault="00E06E0B"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14:anchorId="09036B56" wp14:editId="63396F6C">
                <wp:simplePos x="0" y="0"/>
                <wp:positionH relativeFrom="column">
                  <wp:posOffset>4111625</wp:posOffset>
                </wp:positionH>
                <wp:positionV relativeFrom="paragraph">
                  <wp:posOffset>130175</wp:posOffset>
                </wp:positionV>
                <wp:extent cx="1814195" cy="11334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E274E" w14:textId="77777777" w:rsidR="00B47152" w:rsidRDefault="00B47152" w:rsidP="00D44DFC">
                            <w:pPr>
                              <w:pStyle w:val="Governor"/>
                              <w:spacing w:after="0"/>
                              <w:rPr>
                                <w:sz w:val="16"/>
                              </w:rPr>
                            </w:pPr>
                          </w:p>
                          <w:p w14:paraId="0A66BA0D"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21FC289E" w14:textId="77777777" w:rsidR="00B47152" w:rsidRPr="009A50F8" w:rsidRDefault="00B47152" w:rsidP="00D44DFC">
                            <w:pPr>
                              <w:pStyle w:val="Governor"/>
                              <w:rPr>
                                <w:rFonts w:ascii="Arial" w:hAnsi="Arial" w:cs="Arial"/>
                                <w:b/>
                              </w:rPr>
                            </w:pPr>
                            <w:r w:rsidRPr="009A50F8">
                              <w:rPr>
                                <w:rFonts w:ascii="Arial" w:hAnsi="Arial" w:cs="Arial"/>
                                <w:b/>
                              </w:rPr>
                              <w:t>Secretary</w:t>
                            </w:r>
                          </w:p>
                          <w:p w14:paraId="3AC903B1" w14:textId="6ADE04B8" w:rsidR="00842654" w:rsidRDefault="00842654" w:rsidP="008426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0E314AAA" w14:textId="77777777" w:rsidR="00B47152" w:rsidRDefault="00B47152" w:rsidP="00D44DFC">
                            <w:pPr>
                              <w:jc w:val="center"/>
                              <w:rPr>
                                <w:rFonts w:ascii="Arial Rounded MT Bold" w:hAnsi="Arial Rounded MT Bold"/>
                                <w:sz w:val="14"/>
                                <w:szCs w:val="14"/>
                              </w:rPr>
                            </w:pPr>
                          </w:p>
                          <w:p w14:paraId="140A026C"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14:paraId="5F0BB895"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14:paraId="5FB513AE" w14:textId="77777777"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036B56"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" stroked="f">
                <v:textbox style="mso-fit-shape-to-text:t">
                  <w:txbxContent>
                    <w:p w14:paraId="4BEE274E" w14:textId="77777777" w:rsidR="00B47152" w:rsidRDefault="00B47152" w:rsidP="00D44DFC">
                      <w:pPr>
                        <w:pStyle w:val="Governor"/>
                        <w:spacing w:after="0"/>
                        <w:rPr>
                          <w:sz w:val="16"/>
                        </w:rPr>
                      </w:pPr>
                    </w:p>
                    <w:p w14:paraId="0A66BA0D"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21FC289E" w14:textId="77777777" w:rsidR="00B47152" w:rsidRPr="009A50F8" w:rsidRDefault="00B47152" w:rsidP="00D44DFC">
                      <w:pPr>
                        <w:pStyle w:val="Governor"/>
                        <w:rPr>
                          <w:rFonts w:ascii="Arial" w:hAnsi="Arial" w:cs="Arial"/>
                          <w:b/>
                        </w:rPr>
                      </w:pPr>
                      <w:r w:rsidRPr="009A50F8">
                        <w:rPr>
                          <w:rFonts w:ascii="Arial" w:hAnsi="Arial" w:cs="Arial"/>
                          <w:b/>
                        </w:rPr>
                        <w:t>Secretary</w:t>
                      </w:r>
                    </w:p>
                    <w:p w14:paraId="3AC903B1" w14:textId="6ADE04B8" w:rsidR="00842654" w:rsidRDefault="00842654" w:rsidP="008426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0E314AAA" w14:textId="77777777" w:rsidR="00B47152" w:rsidRDefault="00B47152" w:rsidP="00D44DFC">
                      <w:pPr>
                        <w:jc w:val="center"/>
                        <w:rPr>
                          <w:rFonts w:ascii="Arial Rounded MT Bold" w:hAnsi="Arial Rounded MT Bold"/>
                          <w:sz w:val="14"/>
                          <w:szCs w:val="14"/>
                        </w:rPr>
                      </w:pPr>
                    </w:p>
                    <w:p w14:paraId="140A026C"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14:paraId="5F0BB895"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14:paraId="5FB513AE" w14:textId="77777777" w:rsidR="00B47152" w:rsidRPr="00FC6B42" w:rsidRDefault="00B47152" w:rsidP="00D44DFC">
                      <w:pPr>
                        <w:jc w:val="center"/>
                        <w:rPr>
                          <w:rFonts w:ascii="Arial Rounded MT Bold" w:hAnsi="Arial Rounded MT Bold"/>
                          <w:sz w:val="14"/>
                          <w:szCs w:val="14"/>
                        </w:rPr>
                      </w:pPr>
                    </w:p>
                  </w:txbxContent>
                </v:textbox>
              </v:shape>
            </w:pict>
          </mc:Fallback>
        </mc:AlternateContent>
      </w:r>
    </w:p>
    <w:p w14:paraId="745E1516" w14:textId="77777777" w:rsidR="00B47152" w:rsidRDefault="00E06E0B"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2D747061" wp14:editId="67081386">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585BD8F6" w14:textId="77777777" w:rsidR="00B47152" w:rsidRDefault="00E06E0B" w:rsidP="0072610D">
      <w:r>
        <w:rPr>
          <w:noProof/>
        </w:rPr>
        <mc:AlternateContent>
          <mc:Choice Requires="wps">
            <w:drawing>
              <wp:anchor distT="0" distB="0" distL="114300" distR="114300" simplePos="0" relativeHeight="251657216" behindDoc="0" locked="0" layoutInCell="1" allowOverlap="1" wp14:anchorId="3BE1F729" wp14:editId="66D3C6EB">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C0696" w14:textId="77777777" w:rsidR="00B47152" w:rsidRDefault="00B47152" w:rsidP="00D44DFC">
                            <w:pPr>
                              <w:pStyle w:val="Governor"/>
                              <w:spacing w:after="0"/>
                              <w:rPr>
                                <w:sz w:val="16"/>
                              </w:rPr>
                            </w:pPr>
                          </w:p>
                          <w:p w14:paraId="08556E8E"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507EEAB1" w14:textId="77777777" w:rsidR="00B47152" w:rsidRPr="009A50F8" w:rsidRDefault="00B47152" w:rsidP="00D44DFC">
                            <w:pPr>
                              <w:pStyle w:val="Governor"/>
                              <w:rPr>
                                <w:rFonts w:ascii="Arial" w:hAnsi="Arial" w:cs="Arial"/>
                                <w:b/>
                              </w:rPr>
                            </w:pPr>
                            <w:r w:rsidRPr="009A50F8">
                              <w:rPr>
                                <w:rFonts w:ascii="Arial" w:hAnsi="Arial" w:cs="Arial"/>
                                <w:b/>
                              </w:rPr>
                              <w:t>Governor</w:t>
                            </w:r>
                          </w:p>
                          <w:p w14:paraId="2FFE6F7A"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4F0779BB"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E1F729" id="_x0000_s1027"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" stroked="f">
                <v:textbox style="mso-fit-shape-to-text:t">
                  <w:txbxContent>
                    <w:p w14:paraId="40BC0696" w14:textId="77777777" w:rsidR="00B47152" w:rsidRDefault="00B47152" w:rsidP="00D44DFC">
                      <w:pPr>
                        <w:pStyle w:val="Governor"/>
                        <w:spacing w:after="0"/>
                        <w:rPr>
                          <w:sz w:val="16"/>
                        </w:rPr>
                      </w:pPr>
                    </w:p>
                    <w:p w14:paraId="08556E8E"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507EEAB1" w14:textId="77777777" w:rsidR="00B47152" w:rsidRPr="009A50F8" w:rsidRDefault="00B47152" w:rsidP="00D44DFC">
                      <w:pPr>
                        <w:pStyle w:val="Governor"/>
                        <w:rPr>
                          <w:rFonts w:ascii="Arial" w:hAnsi="Arial" w:cs="Arial"/>
                          <w:b/>
                        </w:rPr>
                      </w:pPr>
                      <w:r w:rsidRPr="009A50F8">
                        <w:rPr>
                          <w:rFonts w:ascii="Arial" w:hAnsi="Arial" w:cs="Arial"/>
                          <w:b/>
                        </w:rPr>
                        <w:t>Governor</w:t>
                      </w:r>
                    </w:p>
                    <w:p w14:paraId="2FFE6F7A"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4F0779BB"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14:paraId="569F4BD4" w14:textId="77777777" w:rsidR="00B47152" w:rsidRPr="00EE433A" w:rsidRDefault="00B47152" w:rsidP="0072610D">
      <w:pPr>
        <w:rPr>
          <w:sz w:val="22"/>
          <w:szCs w:val="22"/>
        </w:rPr>
      </w:pPr>
    </w:p>
    <w:p w14:paraId="382CE486" w14:textId="77777777" w:rsidR="00B47152" w:rsidRDefault="00B47152" w:rsidP="0072610D">
      <w:pPr>
        <w:rPr>
          <w:sz w:val="22"/>
          <w:szCs w:val="22"/>
        </w:rPr>
      </w:pPr>
    </w:p>
    <w:p w14:paraId="2D47C0B9" w14:textId="77777777" w:rsidR="00B47152" w:rsidRDefault="00B47152" w:rsidP="0072610D">
      <w:pPr>
        <w:rPr>
          <w:sz w:val="22"/>
          <w:szCs w:val="22"/>
        </w:rPr>
      </w:pPr>
    </w:p>
    <w:p w14:paraId="34B93D18" w14:textId="77777777" w:rsidR="00B47152" w:rsidRDefault="00B47152" w:rsidP="0072610D">
      <w:pPr>
        <w:rPr>
          <w:sz w:val="22"/>
          <w:szCs w:val="22"/>
        </w:rPr>
      </w:pPr>
    </w:p>
    <w:p w14:paraId="72F6CEB1" w14:textId="20836CCB" w:rsidR="0092320E" w:rsidRPr="0092320E" w:rsidRDefault="0092320E" w:rsidP="00F87093">
      <w:pP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p>
    <w:p w14:paraId="01645191" w14:textId="77777777" w:rsidR="0092320E" w:rsidRPr="0092320E" w:rsidRDefault="0092320E" w:rsidP="0092320E">
      <w:pP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p>
    <w:p w14:paraId="0099E57F" w14:textId="6A9BEF79" w:rsidR="0092320E" w:rsidRDefault="0092320E" w:rsidP="0092320E">
      <w:pP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sidRPr="0092320E">
        <w:rPr>
          <w:rFonts w:asciiTheme="minorHAnsi" w:eastAsia="Arial Unicode MS" w:hAnsiTheme="minorHAnsi" w:cstheme="minorHAnsi"/>
          <w:b/>
          <w:bCs/>
          <w:color w:val="000000"/>
          <w:sz w:val="22"/>
          <w:szCs w:val="22"/>
          <w:u w:color="000000"/>
          <w:lang w:val="da-DK"/>
          <w14:textOutline w14:w="12700" w14:cap="flat" w14:cmpd="sng" w14:algn="ctr">
            <w14:noFill/>
            <w14:prstDash w14:val="solid"/>
            <w14:miter w14:lim="100000"/>
          </w14:textOutline>
        </w:rPr>
        <w:t>TO:</w:t>
      </w:r>
      <w:r w:rsidR="00552E2F">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sidR="00552E2F">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Massachusetts Healthcare Providers</w:t>
      </w:r>
      <w:r w:rsidR="004B3733"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Hospitals</w:t>
      </w:r>
      <w:r w:rsidR="00552E2F">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 and EMS</w:t>
      </w:r>
    </w:p>
    <w:p w14:paraId="7B3EEE30" w14:textId="24AC20D5" w:rsidR="00552E2F" w:rsidRPr="0092320E" w:rsidRDefault="00552E2F" w:rsidP="0092320E">
      <w:pPr>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pPr>
      <w: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t>Local Boards of Health</w:t>
      </w:r>
    </w:p>
    <w:p w14:paraId="2B05E6FF" w14:textId="77777777" w:rsidR="0092320E" w:rsidRPr="0092320E" w:rsidRDefault="0092320E" w:rsidP="0092320E">
      <w:pPr>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pPr>
    </w:p>
    <w:p w14:paraId="1C7B89E8" w14:textId="70136267" w:rsidR="0092320E" w:rsidRPr="0092320E" w:rsidRDefault="0092320E" w:rsidP="0092320E">
      <w:pP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sidRPr="0092320E">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t>FROM:</w:t>
      </w: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          </w:t>
      </w:r>
      <w:r w:rsidR="00552E2F">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Catherine M. Brown, DVM, MSc, MPH, State Epidemiologist</w:t>
      </w:r>
    </w:p>
    <w:p w14:paraId="6FBB9B2B" w14:textId="77777777" w:rsidR="00552E2F" w:rsidRDefault="0092320E" w:rsidP="00552E2F">
      <w:pPr>
        <w:ind w:left="1440"/>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Larry Madoff, MD, Medical Director, </w:t>
      </w:r>
      <w:r w:rsidR="00264C45"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Bureau of Infectious Disease and Laboratory </w:t>
      </w:r>
      <w:r w:rsidR="00552E2F">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  </w:t>
      </w:r>
    </w:p>
    <w:p w14:paraId="4A665C7D" w14:textId="1DD3A3AA" w:rsidR="0092320E" w:rsidRPr="00873C53" w:rsidRDefault="00552E2F" w:rsidP="00552E2F">
      <w:pPr>
        <w:ind w:left="1440"/>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       </w:t>
      </w:r>
      <w:r w:rsidR="00264C45"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Sciences</w:t>
      </w:r>
    </w:p>
    <w:p w14:paraId="533698BE" w14:textId="672ED5BC" w:rsidR="000505F1" w:rsidRPr="0092320E" w:rsidRDefault="000505F1" w:rsidP="0092320E">
      <w:pP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t>Sandra Smole, PhD</w:t>
      </w:r>
      <w:r w:rsidR="00264C45"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 </w:t>
      </w:r>
      <w:r w:rsidR="006E5861">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HCLD(ABB), </w:t>
      </w:r>
      <w:r w:rsidR="00264C45"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Director, State Public Health Laboratory</w:t>
      </w:r>
    </w:p>
    <w:p w14:paraId="53F70961" w14:textId="77777777" w:rsidR="0092320E" w:rsidRPr="0092320E" w:rsidRDefault="0092320E" w:rsidP="0092320E">
      <w:pP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p>
    <w:p w14:paraId="472FA7DA" w14:textId="216A79C0" w:rsidR="0092320E" w:rsidRPr="0092320E" w:rsidRDefault="0092320E" w:rsidP="0092320E">
      <w:pPr>
        <w:tabs>
          <w:tab w:val="left" w:pos="1440"/>
        </w:tabs>
        <w:ind w:left="1440" w:hanging="1440"/>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sidRPr="0092320E">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t>SUBJECT:</w:t>
      </w: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   </w:t>
      </w: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sidR="005B605A"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Clinical and Laboratory Testing Guidance </w:t>
      </w:r>
      <w:r w:rsidR="00873C53"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for Monkeypox</w:t>
      </w:r>
    </w:p>
    <w:p w14:paraId="0A473954" w14:textId="77777777" w:rsidR="0092320E" w:rsidRPr="0092320E" w:rsidRDefault="0092320E" w:rsidP="0092320E">
      <w:pPr>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pPr>
    </w:p>
    <w:p w14:paraId="7B676667" w14:textId="08ED7B5A" w:rsidR="00CF4793" w:rsidRDefault="0092320E" w:rsidP="00CB69A6">
      <w:pP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sidRPr="0092320E">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t>DATE:</w:t>
      </w:r>
      <w:r w:rsidRPr="0092320E">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tab/>
      </w:r>
      <w:r w:rsidR="00552E2F">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tab/>
      </w:r>
      <w:r w:rsidR="00BF0DFC">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July </w:t>
      </w:r>
      <w:r w:rsidR="00187E9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26</w:t>
      </w:r>
      <w:r w:rsidR="00BF0DFC">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2022</w:t>
      </w:r>
    </w:p>
    <w:p w14:paraId="502FE5F2" w14:textId="77777777" w:rsidR="00CB69A6" w:rsidRDefault="00CB69A6" w:rsidP="00CF4793">
      <w:pPr>
        <w:spacing w:after="160" w:line="259" w:lineRule="auto"/>
        <w:rPr>
          <w:rFonts w:ascii="Calibri" w:eastAsia="Calibri" w:hAnsi="Calibri"/>
          <w:b/>
          <w:bCs/>
          <w:sz w:val="22"/>
          <w:szCs w:val="22"/>
          <w:u w:val="single"/>
        </w:rPr>
      </w:pPr>
    </w:p>
    <w:p w14:paraId="270616E9" w14:textId="6B91B73F" w:rsidR="00CF4793" w:rsidRPr="00CF4793" w:rsidRDefault="00CF4793" w:rsidP="00CF4793">
      <w:pPr>
        <w:spacing w:after="160" w:line="259" w:lineRule="auto"/>
        <w:rPr>
          <w:rFonts w:ascii="Calibri" w:eastAsia="Calibri" w:hAnsi="Calibri"/>
          <w:b/>
          <w:bCs/>
          <w:sz w:val="22"/>
          <w:szCs w:val="22"/>
          <w:u w:val="single"/>
        </w:rPr>
      </w:pPr>
      <w:r w:rsidRPr="00CF4793">
        <w:rPr>
          <w:rFonts w:ascii="Calibri" w:eastAsia="Calibri" w:hAnsi="Calibri"/>
          <w:b/>
          <w:bCs/>
          <w:sz w:val="22"/>
          <w:szCs w:val="22"/>
          <w:u w:val="single"/>
        </w:rPr>
        <w:t>BACKGROUND:</w:t>
      </w:r>
    </w:p>
    <w:p w14:paraId="2FA9BD51" w14:textId="1285FD62" w:rsidR="00CF4793" w:rsidRPr="00E369A5" w:rsidRDefault="00BF0DFC" w:rsidP="00CF4793">
      <w:pPr>
        <w:spacing w:after="160" w:line="259" w:lineRule="auto"/>
        <w:rPr>
          <w:rFonts w:ascii="Calibri" w:eastAsia="Calibri" w:hAnsi="Calibri"/>
          <w:b/>
          <w:bCs/>
          <w:sz w:val="22"/>
          <w:szCs w:val="22"/>
        </w:rPr>
      </w:pPr>
      <w:r>
        <w:rPr>
          <w:rFonts w:ascii="Calibri" w:eastAsia="Calibri" w:hAnsi="Calibri"/>
          <w:sz w:val="22"/>
          <w:szCs w:val="22"/>
        </w:rPr>
        <w:t>Since</w:t>
      </w:r>
      <w:r w:rsidRPr="00CF4793">
        <w:rPr>
          <w:rFonts w:ascii="Calibri" w:eastAsia="Calibri" w:hAnsi="Calibri"/>
          <w:sz w:val="22"/>
          <w:szCs w:val="22"/>
        </w:rPr>
        <w:t xml:space="preserve"> </w:t>
      </w:r>
      <w:r w:rsidR="00CF4793" w:rsidRPr="00CF4793">
        <w:rPr>
          <w:rFonts w:ascii="Calibri" w:eastAsia="Calibri" w:hAnsi="Calibri"/>
          <w:sz w:val="22"/>
          <w:szCs w:val="22"/>
        </w:rPr>
        <w:t xml:space="preserve">May 18, </w:t>
      </w:r>
      <w:r>
        <w:rPr>
          <w:rFonts w:ascii="Calibri" w:eastAsia="Calibri" w:hAnsi="Calibri"/>
          <w:sz w:val="22"/>
          <w:szCs w:val="22"/>
        </w:rPr>
        <w:t xml:space="preserve">when </w:t>
      </w:r>
      <w:r w:rsidR="00CF4793" w:rsidRPr="00CF4793">
        <w:rPr>
          <w:rFonts w:ascii="Calibri" w:eastAsia="Calibri" w:hAnsi="Calibri"/>
          <w:sz w:val="22"/>
          <w:szCs w:val="22"/>
        </w:rPr>
        <w:t xml:space="preserve">the Massachusetts Department of Public Health (MDPH) reported </w:t>
      </w:r>
      <w:r>
        <w:rPr>
          <w:rFonts w:ascii="Calibri" w:eastAsia="Calibri" w:hAnsi="Calibri"/>
          <w:sz w:val="22"/>
          <w:szCs w:val="22"/>
        </w:rPr>
        <w:t>the first case of monkeypox virus infection in a</w:t>
      </w:r>
      <w:r w:rsidR="00CF4793" w:rsidRPr="00CF4793">
        <w:rPr>
          <w:rFonts w:ascii="Calibri" w:eastAsia="Calibri" w:hAnsi="Calibri"/>
          <w:sz w:val="22"/>
          <w:szCs w:val="22"/>
        </w:rPr>
        <w:t xml:space="preserve"> Massachusetts resident</w:t>
      </w:r>
      <w:r>
        <w:rPr>
          <w:rFonts w:ascii="Calibri" w:eastAsia="Calibri" w:hAnsi="Calibri"/>
          <w:sz w:val="22"/>
          <w:szCs w:val="22"/>
        </w:rPr>
        <w:t>, there have been over 1</w:t>
      </w:r>
      <w:r w:rsidR="00E9713F">
        <w:rPr>
          <w:rFonts w:ascii="Calibri" w:eastAsia="Calibri" w:hAnsi="Calibri"/>
          <w:sz w:val="22"/>
          <w:szCs w:val="22"/>
        </w:rPr>
        <w:t>6</w:t>
      </w:r>
      <w:r>
        <w:rPr>
          <w:rFonts w:ascii="Calibri" w:eastAsia="Calibri" w:hAnsi="Calibri"/>
          <w:sz w:val="22"/>
          <w:szCs w:val="22"/>
        </w:rPr>
        <w:t xml:space="preserve">,000 cases identified globally, </w:t>
      </w:r>
      <w:r w:rsidR="004410A0">
        <w:rPr>
          <w:rFonts w:ascii="Calibri" w:eastAsia="Calibri" w:hAnsi="Calibri"/>
          <w:sz w:val="22"/>
          <w:szCs w:val="22"/>
        </w:rPr>
        <w:t>almost 3,</w:t>
      </w:r>
      <w:r w:rsidR="001D02EA">
        <w:rPr>
          <w:rFonts w:ascii="Calibri" w:eastAsia="Calibri" w:hAnsi="Calibri"/>
          <w:sz w:val="22"/>
          <w:szCs w:val="22"/>
        </w:rPr>
        <w:t>5</w:t>
      </w:r>
      <w:r w:rsidR="004410A0">
        <w:rPr>
          <w:rFonts w:ascii="Calibri" w:eastAsia="Calibri" w:hAnsi="Calibri"/>
          <w:sz w:val="22"/>
          <w:szCs w:val="22"/>
        </w:rPr>
        <w:t>00</w:t>
      </w:r>
      <w:r>
        <w:rPr>
          <w:rFonts w:ascii="Calibri" w:eastAsia="Calibri" w:hAnsi="Calibri"/>
          <w:sz w:val="22"/>
          <w:szCs w:val="22"/>
        </w:rPr>
        <w:t xml:space="preserve"> in the United States and </w:t>
      </w:r>
      <w:r w:rsidR="00FF78AF">
        <w:rPr>
          <w:rFonts w:ascii="Calibri" w:eastAsia="Calibri" w:hAnsi="Calibri"/>
          <w:sz w:val="22"/>
          <w:szCs w:val="22"/>
        </w:rPr>
        <w:t>over</w:t>
      </w:r>
      <w:r>
        <w:rPr>
          <w:rFonts w:ascii="Calibri" w:eastAsia="Calibri" w:hAnsi="Calibri"/>
          <w:sz w:val="22"/>
          <w:szCs w:val="22"/>
        </w:rPr>
        <w:t xml:space="preserve"> </w:t>
      </w:r>
      <w:r w:rsidR="00E9713F">
        <w:rPr>
          <w:rFonts w:ascii="Calibri" w:eastAsia="Calibri" w:hAnsi="Calibri"/>
          <w:sz w:val="22"/>
          <w:szCs w:val="22"/>
        </w:rPr>
        <w:t>9</w:t>
      </w:r>
      <w:r>
        <w:rPr>
          <w:rFonts w:ascii="Calibri" w:eastAsia="Calibri" w:hAnsi="Calibri"/>
          <w:sz w:val="22"/>
          <w:szCs w:val="22"/>
        </w:rPr>
        <w:t>0 cases in Massachusetts.</w:t>
      </w:r>
      <w:r w:rsidR="00CF4793" w:rsidRPr="00CF4793">
        <w:rPr>
          <w:rFonts w:ascii="Calibri" w:eastAsia="Calibri" w:hAnsi="Calibri"/>
          <w:sz w:val="22"/>
          <w:szCs w:val="22"/>
        </w:rPr>
        <w:t xml:space="preserve"> </w:t>
      </w:r>
      <w:r w:rsidR="003F76EB" w:rsidRPr="00E369A5">
        <w:rPr>
          <w:rFonts w:ascii="Calibri" w:eastAsia="Calibri" w:hAnsi="Calibri"/>
          <w:b/>
          <w:bCs/>
          <w:sz w:val="22"/>
          <w:szCs w:val="22"/>
        </w:rPr>
        <w:t xml:space="preserve">Although the majority of cases have been identified in gay, bisexual or other men who have sex with men (MSM), </w:t>
      </w:r>
      <w:r w:rsidR="006715E8">
        <w:rPr>
          <w:rFonts w:ascii="Calibri" w:eastAsia="Calibri" w:hAnsi="Calibri"/>
          <w:b/>
          <w:bCs/>
          <w:sz w:val="22"/>
          <w:szCs w:val="22"/>
        </w:rPr>
        <w:t xml:space="preserve">other states are beginning to identify </w:t>
      </w:r>
      <w:r w:rsidR="003F76EB" w:rsidRPr="00E369A5">
        <w:rPr>
          <w:rFonts w:ascii="Calibri" w:eastAsia="Calibri" w:hAnsi="Calibri"/>
          <w:b/>
          <w:bCs/>
          <w:sz w:val="22"/>
          <w:szCs w:val="22"/>
        </w:rPr>
        <w:t>cases</w:t>
      </w:r>
      <w:r w:rsidR="00187E9E">
        <w:rPr>
          <w:rFonts w:ascii="Calibri" w:eastAsia="Calibri" w:hAnsi="Calibri"/>
          <w:b/>
          <w:bCs/>
          <w:sz w:val="22"/>
          <w:szCs w:val="22"/>
        </w:rPr>
        <w:t xml:space="preserve"> occur</w:t>
      </w:r>
      <w:r w:rsidR="006715E8">
        <w:rPr>
          <w:rFonts w:ascii="Calibri" w:eastAsia="Calibri" w:hAnsi="Calibri"/>
          <w:b/>
          <w:bCs/>
          <w:sz w:val="22"/>
          <w:szCs w:val="22"/>
        </w:rPr>
        <w:t>ring</w:t>
      </w:r>
      <w:r w:rsidR="003F76EB" w:rsidRPr="00E369A5">
        <w:rPr>
          <w:rFonts w:ascii="Calibri" w:eastAsia="Calibri" w:hAnsi="Calibri"/>
          <w:b/>
          <w:bCs/>
          <w:sz w:val="22"/>
          <w:szCs w:val="22"/>
        </w:rPr>
        <w:t xml:space="preserve"> in individuals outside of that social network.</w:t>
      </w:r>
    </w:p>
    <w:p w14:paraId="1DD089A5" w14:textId="77777777" w:rsidR="00CF4793" w:rsidRPr="00CF4793" w:rsidRDefault="00CF4793" w:rsidP="00CF4793">
      <w:pPr>
        <w:spacing w:after="160" w:line="259" w:lineRule="auto"/>
        <w:rPr>
          <w:rFonts w:ascii="Calibri" w:eastAsia="Calibri" w:hAnsi="Calibri"/>
          <w:b/>
          <w:bCs/>
          <w:sz w:val="22"/>
          <w:szCs w:val="22"/>
          <w:u w:val="single"/>
        </w:rPr>
      </w:pPr>
      <w:r w:rsidRPr="00CF4793">
        <w:rPr>
          <w:rFonts w:ascii="Calibri" w:eastAsia="Calibri" w:hAnsi="Calibri"/>
          <w:b/>
          <w:bCs/>
          <w:sz w:val="22"/>
          <w:szCs w:val="22"/>
          <w:u w:val="single"/>
        </w:rPr>
        <w:t>ABOUT MONKEYPOX:</w:t>
      </w:r>
    </w:p>
    <w:p w14:paraId="7189D78F" w14:textId="71A41B0F" w:rsidR="00502777" w:rsidRDefault="00502777" w:rsidP="009F3734">
      <w:pPr>
        <w:spacing w:after="160" w:line="259" w:lineRule="auto"/>
        <w:rPr>
          <w:rFonts w:ascii="Calibri" w:eastAsia="Calibri" w:hAnsi="Calibri"/>
          <w:sz w:val="22"/>
          <w:szCs w:val="22"/>
        </w:rPr>
      </w:pPr>
      <w:r>
        <w:rPr>
          <w:rFonts w:ascii="Calibri" w:eastAsia="Calibri" w:hAnsi="Calibri"/>
          <w:sz w:val="22"/>
          <w:szCs w:val="22"/>
        </w:rPr>
        <w:t>M</w:t>
      </w:r>
      <w:r w:rsidR="00CF4793" w:rsidRPr="00CF4793">
        <w:rPr>
          <w:rFonts w:ascii="Calibri" w:eastAsia="Calibri" w:hAnsi="Calibri"/>
          <w:sz w:val="22"/>
          <w:szCs w:val="22"/>
        </w:rPr>
        <w:t>onkeypox is a rare viral illness</w:t>
      </w:r>
      <w:r w:rsidR="00730F87">
        <w:rPr>
          <w:rFonts w:ascii="Calibri" w:eastAsia="Calibri" w:hAnsi="Calibri"/>
          <w:sz w:val="22"/>
          <w:szCs w:val="22"/>
        </w:rPr>
        <w:t xml:space="preserve"> with an incubation period of up to 21 days</w:t>
      </w:r>
      <w:r w:rsidR="000C0B87">
        <w:rPr>
          <w:rFonts w:ascii="Calibri" w:eastAsia="Calibri" w:hAnsi="Calibri"/>
          <w:sz w:val="22"/>
          <w:szCs w:val="22"/>
        </w:rPr>
        <w:t xml:space="preserve"> (typically 1 -2 weeks)</w:t>
      </w:r>
      <w:r w:rsidR="00730F87">
        <w:rPr>
          <w:rFonts w:ascii="Calibri" w:eastAsia="Calibri" w:hAnsi="Calibri"/>
          <w:sz w:val="22"/>
          <w:szCs w:val="22"/>
        </w:rPr>
        <w:t>.</w:t>
      </w:r>
      <w:r w:rsidR="00CF4793" w:rsidRPr="00CF4793">
        <w:rPr>
          <w:rFonts w:ascii="Calibri" w:eastAsia="Calibri" w:hAnsi="Calibri"/>
          <w:sz w:val="22"/>
          <w:szCs w:val="22"/>
        </w:rPr>
        <w:t xml:space="preserve"> </w:t>
      </w:r>
      <w:r w:rsidR="00730F87">
        <w:rPr>
          <w:rFonts w:ascii="Calibri" w:eastAsia="Calibri" w:hAnsi="Calibri"/>
          <w:sz w:val="22"/>
          <w:szCs w:val="22"/>
        </w:rPr>
        <w:t>Illness</w:t>
      </w:r>
      <w:r w:rsidR="00730F87" w:rsidRPr="00CF4793">
        <w:rPr>
          <w:rFonts w:ascii="Calibri" w:eastAsia="Calibri" w:hAnsi="Calibri"/>
          <w:sz w:val="22"/>
          <w:szCs w:val="22"/>
        </w:rPr>
        <w:t xml:space="preserve"> </w:t>
      </w:r>
      <w:r w:rsidR="00730F87">
        <w:rPr>
          <w:rFonts w:ascii="Calibri" w:eastAsia="Calibri" w:hAnsi="Calibri"/>
          <w:sz w:val="22"/>
          <w:szCs w:val="22"/>
        </w:rPr>
        <w:t xml:space="preserve">may </w:t>
      </w:r>
      <w:r w:rsidR="00CF4793" w:rsidRPr="00CF4793">
        <w:rPr>
          <w:rFonts w:ascii="Calibri" w:eastAsia="Calibri" w:hAnsi="Calibri"/>
          <w:sz w:val="22"/>
          <w:szCs w:val="22"/>
        </w:rPr>
        <w:t>begin with flu-like</w:t>
      </w:r>
      <w:r>
        <w:rPr>
          <w:rFonts w:ascii="Calibri" w:eastAsia="Calibri" w:hAnsi="Calibri"/>
          <w:sz w:val="22"/>
          <w:szCs w:val="22"/>
        </w:rPr>
        <w:t xml:space="preserve"> signs and symptoms</w:t>
      </w:r>
      <w:r w:rsidR="00CF4793" w:rsidRPr="00CF4793">
        <w:rPr>
          <w:rFonts w:ascii="Calibri" w:eastAsia="Calibri" w:hAnsi="Calibri"/>
          <w:sz w:val="22"/>
          <w:szCs w:val="22"/>
        </w:rPr>
        <w:t xml:space="preserve"> (fever, chills, malaise, headache, muscle aches</w:t>
      </w:r>
      <w:r>
        <w:rPr>
          <w:rFonts w:ascii="Calibri" w:eastAsia="Calibri" w:hAnsi="Calibri"/>
          <w:sz w:val="22"/>
          <w:szCs w:val="22"/>
        </w:rPr>
        <w:t>/back aches</w:t>
      </w:r>
      <w:r w:rsidR="00CF4793" w:rsidRPr="00CF4793">
        <w:rPr>
          <w:rFonts w:ascii="Calibri" w:eastAsia="Calibri" w:hAnsi="Calibri"/>
          <w:sz w:val="22"/>
          <w:szCs w:val="22"/>
        </w:rPr>
        <w:t xml:space="preserve">) and swelling of the lymph nodes and progresses to a rash </w:t>
      </w:r>
      <w:r w:rsidRPr="00502777">
        <w:rPr>
          <w:rFonts w:ascii="Calibri" w:eastAsia="Calibri" w:hAnsi="Calibri"/>
          <w:sz w:val="22"/>
          <w:szCs w:val="22"/>
        </w:rPr>
        <w:t>that can look like pimples or blisters that appears on the face, inside the mouth, and on other parts of the body, like the hands, feet, chest, genitals, or anus.</w:t>
      </w:r>
      <w:r>
        <w:rPr>
          <w:rFonts w:ascii="Calibri" w:eastAsia="Calibri" w:hAnsi="Calibri"/>
          <w:sz w:val="22"/>
          <w:szCs w:val="22"/>
        </w:rPr>
        <w:t xml:space="preserve"> Cases identified during this current outbreak may present only with rash illness with</w:t>
      </w:r>
      <w:r w:rsidR="00F7658D">
        <w:rPr>
          <w:rFonts w:ascii="Calibri" w:eastAsia="Calibri" w:hAnsi="Calibri"/>
          <w:sz w:val="22"/>
          <w:szCs w:val="22"/>
        </w:rPr>
        <w:t>out any other symptoms</w:t>
      </w:r>
      <w:r w:rsidR="00CB69A6">
        <w:rPr>
          <w:rFonts w:ascii="Calibri" w:eastAsia="Calibri" w:hAnsi="Calibri"/>
          <w:sz w:val="22"/>
          <w:szCs w:val="22"/>
        </w:rPr>
        <w:t xml:space="preserve"> or</w:t>
      </w:r>
      <w:r w:rsidR="000C0B87">
        <w:rPr>
          <w:rFonts w:ascii="Calibri" w:eastAsia="Calibri" w:hAnsi="Calibri"/>
          <w:sz w:val="22"/>
          <w:szCs w:val="22"/>
        </w:rPr>
        <w:t xml:space="preserve"> may also develop mucosal lesions or proctitis</w:t>
      </w:r>
      <w:r w:rsidR="00F7658D">
        <w:rPr>
          <w:rFonts w:ascii="Calibri" w:eastAsia="Calibri" w:hAnsi="Calibri"/>
          <w:sz w:val="22"/>
          <w:szCs w:val="22"/>
        </w:rPr>
        <w:t xml:space="preserve">. </w:t>
      </w:r>
      <w:r w:rsidR="00CF4793" w:rsidRPr="00CF4793">
        <w:rPr>
          <w:rFonts w:ascii="Calibri" w:eastAsia="Calibri" w:hAnsi="Calibri"/>
          <w:sz w:val="22"/>
          <w:szCs w:val="22"/>
        </w:rPr>
        <w:t>Most infections last 2-to-4 weeks</w:t>
      </w:r>
      <w:r w:rsidR="00F7658D">
        <w:rPr>
          <w:rFonts w:ascii="Calibri" w:eastAsia="Calibri" w:hAnsi="Calibri"/>
          <w:sz w:val="22"/>
          <w:szCs w:val="22"/>
        </w:rPr>
        <w:t xml:space="preserve"> and people are considered infectious </w:t>
      </w:r>
      <w:r w:rsidR="00730F87">
        <w:rPr>
          <w:rFonts w:ascii="Calibri" w:eastAsia="Calibri" w:hAnsi="Calibri"/>
          <w:sz w:val="22"/>
          <w:szCs w:val="22"/>
        </w:rPr>
        <w:t>throughout duration of symptoms</w:t>
      </w:r>
      <w:r w:rsidR="00CF4793" w:rsidRPr="00CF4793">
        <w:rPr>
          <w:rFonts w:ascii="Calibri" w:eastAsia="Calibri" w:hAnsi="Calibri"/>
          <w:sz w:val="22"/>
          <w:szCs w:val="22"/>
        </w:rPr>
        <w:t xml:space="preserve">. </w:t>
      </w:r>
    </w:p>
    <w:p w14:paraId="643D41C7" w14:textId="36F497BC" w:rsidR="00CF4793" w:rsidRPr="00CF4793" w:rsidRDefault="00CF4793" w:rsidP="00CF4793">
      <w:pPr>
        <w:spacing w:after="160" w:line="259" w:lineRule="auto"/>
        <w:rPr>
          <w:rFonts w:ascii="Calibri" w:eastAsia="Calibri" w:hAnsi="Calibri"/>
          <w:sz w:val="22"/>
          <w:szCs w:val="22"/>
        </w:rPr>
      </w:pPr>
      <w:r w:rsidRPr="00CF4793">
        <w:rPr>
          <w:rFonts w:ascii="Calibri" w:eastAsia="Calibri" w:hAnsi="Calibri"/>
          <w:sz w:val="22"/>
          <w:szCs w:val="22"/>
        </w:rPr>
        <w:t xml:space="preserve">The virus does not spread easily between people; transmission </w:t>
      </w:r>
      <w:r w:rsidR="00730F87">
        <w:rPr>
          <w:rFonts w:ascii="Calibri" w:eastAsia="Calibri" w:hAnsi="Calibri"/>
          <w:sz w:val="22"/>
          <w:szCs w:val="22"/>
        </w:rPr>
        <w:t>most frequently</w:t>
      </w:r>
      <w:r w:rsidR="00730F87" w:rsidRPr="00CF4793">
        <w:rPr>
          <w:rFonts w:ascii="Calibri" w:eastAsia="Calibri" w:hAnsi="Calibri"/>
          <w:sz w:val="22"/>
          <w:szCs w:val="22"/>
        </w:rPr>
        <w:t xml:space="preserve"> </w:t>
      </w:r>
      <w:r w:rsidRPr="00CF4793">
        <w:rPr>
          <w:rFonts w:ascii="Calibri" w:eastAsia="Calibri" w:hAnsi="Calibri"/>
          <w:sz w:val="22"/>
          <w:szCs w:val="22"/>
        </w:rPr>
        <w:t>occur</w:t>
      </w:r>
      <w:r w:rsidR="00730F87">
        <w:rPr>
          <w:rFonts w:ascii="Calibri" w:eastAsia="Calibri" w:hAnsi="Calibri"/>
          <w:sz w:val="22"/>
          <w:szCs w:val="22"/>
        </w:rPr>
        <w:t>s</w:t>
      </w:r>
      <w:r w:rsidRPr="00CF4793">
        <w:rPr>
          <w:rFonts w:ascii="Calibri" w:eastAsia="Calibri" w:hAnsi="Calibri"/>
          <w:sz w:val="22"/>
          <w:szCs w:val="22"/>
        </w:rPr>
        <w:t xml:space="preserve"> through direct contact with monkeypox </w:t>
      </w:r>
      <w:r w:rsidR="001D5952">
        <w:rPr>
          <w:rFonts w:ascii="Calibri" w:eastAsia="Calibri" w:hAnsi="Calibri"/>
          <w:sz w:val="22"/>
          <w:szCs w:val="22"/>
        </w:rPr>
        <w:t>rash lesions, scabs</w:t>
      </w:r>
      <w:r w:rsidR="00D048E9">
        <w:rPr>
          <w:rFonts w:ascii="Calibri" w:eastAsia="Calibri" w:hAnsi="Calibri"/>
          <w:sz w:val="22"/>
          <w:szCs w:val="22"/>
        </w:rPr>
        <w:t>,</w:t>
      </w:r>
      <w:r w:rsidR="001D5952">
        <w:rPr>
          <w:rFonts w:ascii="Calibri" w:eastAsia="Calibri" w:hAnsi="Calibri"/>
          <w:sz w:val="22"/>
          <w:szCs w:val="22"/>
        </w:rPr>
        <w:t xml:space="preserve"> or body fluids. The virus can also be spread</w:t>
      </w:r>
      <w:r w:rsidRPr="00CF4793">
        <w:rPr>
          <w:rFonts w:ascii="Calibri" w:eastAsia="Calibri" w:hAnsi="Calibri"/>
          <w:sz w:val="22"/>
          <w:szCs w:val="22"/>
        </w:rPr>
        <w:t xml:space="preserve"> </w:t>
      </w:r>
      <w:r w:rsidR="001D5952">
        <w:rPr>
          <w:rFonts w:ascii="Calibri" w:eastAsia="Calibri" w:hAnsi="Calibri"/>
          <w:sz w:val="22"/>
          <w:szCs w:val="22"/>
        </w:rPr>
        <w:t>through</w:t>
      </w:r>
      <w:r w:rsidRPr="00CF4793">
        <w:rPr>
          <w:rFonts w:ascii="Calibri" w:eastAsia="Calibri" w:hAnsi="Calibri"/>
          <w:sz w:val="22"/>
          <w:szCs w:val="22"/>
        </w:rPr>
        <w:t xml:space="preserve"> contact with fomites (items that </w:t>
      </w:r>
      <w:r w:rsidR="001D5952">
        <w:rPr>
          <w:rFonts w:ascii="Calibri" w:eastAsia="Calibri" w:hAnsi="Calibri"/>
          <w:sz w:val="22"/>
          <w:szCs w:val="22"/>
        </w:rPr>
        <w:t>touched the rash lesions or body fluids</w:t>
      </w:r>
      <w:r w:rsidRPr="00CF4793">
        <w:rPr>
          <w:rFonts w:ascii="Calibri" w:eastAsia="Calibri" w:hAnsi="Calibri"/>
          <w:sz w:val="22"/>
          <w:szCs w:val="22"/>
        </w:rPr>
        <w:t xml:space="preserve"> (clothing, bedding, etc.)</w:t>
      </w:r>
      <w:r w:rsidR="00730F87">
        <w:rPr>
          <w:rFonts w:ascii="Calibri" w:eastAsia="Calibri" w:hAnsi="Calibri"/>
          <w:sz w:val="22"/>
          <w:szCs w:val="22"/>
        </w:rPr>
        <w:t>)</w:t>
      </w:r>
      <w:r w:rsidRPr="00CF4793">
        <w:rPr>
          <w:rFonts w:ascii="Calibri" w:eastAsia="Calibri" w:hAnsi="Calibri"/>
          <w:sz w:val="22"/>
          <w:szCs w:val="22"/>
        </w:rPr>
        <w:t>, or through large respiratory droplets following prolonged face-to-face contact.</w:t>
      </w:r>
    </w:p>
    <w:p w14:paraId="3B51ED79" w14:textId="3F724687" w:rsidR="00CF4793" w:rsidRPr="00CF4793" w:rsidRDefault="00CF4793" w:rsidP="00CF4793">
      <w:pPr>
        <w:spacing w:after="160" w:line="259" w:lineRule="auto"/>
        <w:rPr>
          <w:rFonts w:ascii="Calibri" w:eastAsia="Calibri" w:hAnsi="Calibri"/>
          <w:sz w:val="22"/>
          <w:szCs w:val="22"/>
        </w:rPr>
      </w:pPr>
      <w:r w:rsidRPr="00CF4793">
        <w:rPr>
          <w:rFonts w:ascii="Calibri" w:eastAsia="Calibri" w:hAnsi="Calibri"/>
          <w:sz w:val="22"/>
          <w:szCs w:val="22"/>
        </w:rPr>
        <w:lastRenderedPageBreak/>
        <w:t>Monkeypox lesions typically progress through specific stages—macules, papules, vesicles, and pustules—</w:t>
      </w:r>
      <w:r w:rsidR="00E8148C">
        <w:rPr>
          <w:rFonts w:ascii="Calibri" w:eastAsia="Calibri" w:hAnsi="Calibri"/>
          <w:sz w:val="22"/>
          <w:szCs w:val="22"/>
        </w:rPr>
        <w:t xml:space="preserve"> </w:t>
      </w:r>
      <w:r w:rsidRPr="00CF4793">
        <w:rPr>
          <w:rFonts w:ascii="Calibri" w:eastAsia="Calibri" w:hAnsi="Calibri"/>
          <w:sz w:val="22"/>
          <w:szCs w:val="22"/>
        </w:rPr>
        <w:t xml:space="preserve">before scabbing and falling off. The characteristic lesions are deep-seated and well-circumscribed, often with central umbilication. </w:t>
      </w:r>
      <w:r w:rsidR="004137B8">
        <w:rPr>
          <w:rFonts w:ascii="Calibri" w:eastAsia="Calibri" w:hAnsi="Calibri"/>
          <w:sz w:val="22"/>
          <w:szCs w:val="22"/>
        </w:rPr>
        <w:t xml:space="preserve">More information supporting clinical recognition of the disease is available through the Centers for Disease Control and Prevention website at: </w:t>
      </w:r>
      <w:hyperlink r:id="rId8" w:history="1">
        <w:r w:rsidR="004137B8" w:rsidRPr="0053603E">
          <w:rPr>
            <w:rStyle w:val="Hyperlink"/>
            <w:rFonts w:ascii="Calibri" w:eastAsia="Calibri" w:hAnsi="Calibri"/>
            <w:sz w:val="22"/>
            <w:szCs w:val="22"/>
          </w:rPr>
          <w:t>https://www.cdc.gov/poxvirus/monkeypox/clinicians/clinical-recognition.html</w:t>
        </w:r>
      </w:hyperlink>
      <w:r w:rsidR="004137B8">
        <w:rPr>
          <w:rFonts w:ascii="Calibri" w:eastAsia="Calibri" w:hAnsi="Calibri"/>
          <w:sz w:val="22"/>
          <w:szCs w:val="22"/>
        </w:rPr>
        <w:t xml:space="preserve">. </w:t>
      </w:r>
      <w:r w:rsidRPr="00CF4793">
        <w:rPr>
          <w:rFonts w:ascii="Calibri" w:eastAsia="Calibri" w:hAnsi="Calibri"/>
          <w:sz w:val="22"/>
          <w:szCs w:val="22"/>
        </w:rPr>
        <w:t xml:space="preserve">Monkeypox can occur concurrently with other illnesses, </w:t>
      </w:r>
      <w:r w:rsidR="001D5952">
        <w:rPr>
          <w:rFonts w:ascii="Calibri" w:eastAsia="Calibri" w:hAnsi="Calibri"/>
          <w:sz w:val="22"/>
          <w:szCs w:val="22"/>
        </w:rPr>
        <w:t>including other rash illnesses</w:t>
      </w:r>
      <w:r w:rsidR="004137B8">
        <w:rPr>
          <w:rFonts w:ascii="Calibri" w:eastAsia="Calibri" w:hAnsi="Calibri"/>
          <w:sz w:val="22"/>
          <w:szCs w:val="22"/>
        </w:rPr>
        <w:t xml:space="preserve"> such as </w:t>
      </w:r>
      <w:r w:rsidRPr="00CF4793">
        <w:rPr>
          <w:rFonts w:ascii="Calibri" w:eastAsia="Calibri" w:hAnsi="Calibri"/>
          <w:sz w:val="22"/>
          <w:szCs w:val="22"/>
        </w:rPr>
        <w:t xml:space="preserve">varicella-zoster virus and herpes simplex virus infections. </w:t>
      </w:r>
    </w:p>
    <w:p w14:paraId="51100942" w14:textId="77777777" w:rsidR="00CF4793" w:rsidRPr="00CF4793" w:rsidRDefault="00CF4793" w:rsidP="00CF4793">
      <w:pPr>
        <w:spacing w:after="160" w:line="259" w:lineRule="auto"/>
        <w:rPr>
          <w:rFonts w:ascii="Calibri" w:eastAsia="Calibri" w:hAnsi="Calibri"/>
          <w:b/>
          <w:bCs/>
          <w:sz w:val="22"/>
          <w:szCs w:val="22"/>
          <w:u w:val="single"/>
        </w:rPr>
      </w:pPr>
      <w:r w:rsidRPr="00CF4793">
        <w:rPr>
          <w:rFonts w:ascii="Calibri" w:eastAsia="Calibri" w:hAnsi="Calibri"/>
          <w:b/>
          <w:bCs/>
          <w:sz w:val="22"/>
          <w:szCs w:val="22"/>
          <w:u w:val="single"/>
        </w:rPr>
        <w:t>RECOMMENDATIONS FOR CLINICIANS:</w:t>
      </w:r>
    </w:p>
    <w:p w14:paraId="6F3FFBB2" w14:textId="1E80316B" w:rsidR="00CF4793" w:rsidRPr="00F87093" w:rsidRDefault="00CF4793" w:rsidP="00F87093">
      <w:pPr>
        <w:spacing w:after="160" w:line="259" w:lineRule="auto"/>
        <w:rPr>
          <w:rFonts w:ascii="Calibri" w:eastAsia="Calibri" w:hAnsi="Calibri"/>
          <w:sz w:val="22"/>
          <w:szCs w:val="22"/>
        </w:rPr>
      </w:pPr>
      <w:r w:rsidRPr="00CF4793">
        <w:rPr>
          <w:rFonts w:ascii="Calibri" w:eastAsia="Calibri" w:hAnsi="Calibri"/>
          <w:sz w:val="22"/>
          <w:szCs w:val="22"/>
        </w:rPr>
        <w:t xml:space="preserve">Clinicians should consider </w:t>
      </w:r>
      <w:r w:rsidR="00FD27E5">
        <w:rPr>
          <w:rFonts w:ascii="Calibri" w:eastAsia="Calibri" w:hAnsi="Calibri"/>
          <w:sz w:val="22"/>
          <w:szCs w:val="22"/>
        </w:rPr>
        <w:t xml:space="preserve">testing for </w:t>
      </w:r>
      <w:r w:rsidRPr="00CF4793">
        <w:rPr>
          <w:rFonts w:ascii="Calibri" w:eastAsia="Calibri" w:hAnsi="Calibri"/>
          <w:sz w:val="22"/>
          <w:szCs w:val="22"/>
        </w:rPr>
        <w:t xml:space="preserve">monkeypox </w:t>
      </w:r>
      <w:r w:rsidR="00FD27E5">
        <w:rPr>
          <w:rFonts w:ascii="Calibri" w:eastAsia="Calibri" w:hAnsi="Calibri"/>
          <w:sz w:val="22"/>
          <w:szCs w:val="22"/>
        </w:rPr>
        <w:t xml:space="preserve">virus </w:t>
      </w:r>
      <w:r w:rsidRPr="00CF4793">
        <w:rPr>
          <w:rFonts w:ascii="Calibri" w:eastAsia="Calibri" w:hAnsi="Calibri"/>
          <w:sz w:val="22"/>
          <w:szCs w:val="22"/>
        </w:rPr>
        <w:t xml:space="preserve">in patients with a new </w:t>
      </w:r>
      <w:r w:rsidR="008777A7">
        <w:rPr>
          <w:rFonts w:ascii="Calibri" w:eastAsia="Calibri" w:hAnsi="Calibri"/>
          <w:sz w:val="22"/>
          <w:szCs w:val="22"/>
        </w:rPr>
        <w:t>onset</w:t>
      </w:r>
      <w:r w:rsidR="00992A69">
        <w:rPr>
          <w:rFonts w:ascii="Calibri" w:eastAsia="Calibri" w:hAnsi="Calibri"/>
          <w:sz w:val="22"/>
          <w:szCs w:val="22"/>
        </w:rPr>
        <w:t>, clinically compatible</w:t>
      </w:r>
      <w:r w:rsidRPr="00CF4793">
        <w:rPr>
          <w:rFonts w:ascii="Calibri" w:eastAsia="Calibri" w:hAnsi="Calibri"/>
          <w:sz w:val="22"/>
          <w:szCs w:val="22"/>
        </w:rPr>
        <w:t xml:space="preserve"> skin rash (exhibiting macular, papular, vesicular, or pustular lesions; generalized or localized; discrete or confluent</w:t>
      </w:r>
      <w:r w:rsidR="00D048E9">
        <w:rPr>
          <w:rFonts w:ascii="Calibri" w:eastAsia="Calibri" w:hAnsi="Calibri"/>
          <w:sz w:val="22"/>
          <w:szCs w:val="22"/>
        </w:rPr>
        <w:t>; mucosal lesions; or proctitis</w:t>
      </w:r>
      <w:r w:rsidRPr="00CF4793">
        <w:rPr>
          <w:rFonts w:ascii="Calibri" w:eastAsia="Calibri" w:hAnsi="Calibri"/>
          <w:sz w:val="22"/>
          <w:szCs w:val="22"/>
        </w:rPr>
        <w:t>)</w:t>
      </w:r>
      <w:r w:rsidR="00F87093">
        <w:rPr>
          <w:rFonts w:ascii="Calibri" w:eastAsia="Calibri" w:hAnsi="Calibri"/>
          <w:sz w:val="22"/>
          <w:szCs w:val="22"/>
        </w:rPr>
        <w:t xml:space="preserve">. </w:t>
      </w:r>
      <w:r w:rsidR="000332C7">
        <w:rPr>
          <w:rFonts w:ascii="Calibri" w:eastAsia="Calibri" w:hAnsi="Calibri"/>
          <w:sz w:val="22"/>
          <w:szCs w:val="22"/>
        </w:rPr>
        <w:t>Known r</w:t>
      </w:r>
      <w:r w:rsidR="00992A69">
        <w:rPr>
          <w:rFonts w:ascii="Calibri" w:eastAsia="Calibri" w:hAnsi="Calibri"/>
          <w:sz w:val="22"/>
          <w:szCs w:val="22"/>
        </w:rPr>
        <w:t xml:space="preserve">isk factors that increase the likelihood of monkeypox virus infection include </w:t>
      </w:r>
      <w:r w:rsidR="00D232B4">
        <w:rPr>
          <w:rFonts w:ascii="Calibri" w:eastAsia="Calibri" w:hAnsi="Calibri"/>
          <w:sz w:val="22"/>
          <w:szCs w:val="22"/>
        </w:rPr>
        <w:t xml:space="preserve">individuals </w:t>
      </w:r>
      <w:r w:rsidRPr="00CF4793">
        <w:rPr>
          <w:rFonts w:ascii="Calibri" w:eastAsia="Calibri" w:hAnsi="Calibri"/>
          <w:sz w:val="22"/>
          <w:szCs w:val="22"/>
        </w:rPr>
        <w:t xml:space="preserve">who in the </w:t>
      </w:r>
      <w:r w:rsidR="00FD27E5">
        <w:rPr>
          <w:rFonts w:ascii="Calibri" w:eastAsia="Calibri" w:hAnsi="Calibri"/>
          <w:sz w:val="22"/>
          <w:szCs w:val="22"/>
        </w:rPr>
        <w:t>previous 21 days</w:t>
      </w:r>
      <w:r w:rsidR="00142316">
        <w:rPr>
          <w:rFonts w:ascii="Calibri" w:eastAsia="Calibri" w:hAnsi="Calibri"/>
          <w:sz w:val="22"/>
          <w:szCs w:val="22"/>
        </w:rPr>
        <w:t>:</w:t>
      </w:r>
    </w:p>
    <w:p w14:paraId="7CCC50F9" w14:textId="3CBC45C2" w:rsidR="004137B8" w:rsidRDefault="00FD27E5" w:rsidP="000F7BEC">
      <w:pPr>
        <w:spacing w:after="60"/>
        <w:ind w:left="1080" w:hanging="360"/>
        <w:rPr>
          <w:rFonts w:ascii="Calibri" w:eastAsia="Calibri" w:hAnsi="Calibri"/>
          <w:sz w:val="22"/>
          <w:szCs w:val="22"/>
        </w:rPr>
      </w:pPr>
      <w:r>
        <w:rPr>
          <w:rFonts w:ascii="Calibri" w:eastAsia="Calibri" w:hAnsi="Calibri"/>
          <w:sz w:val="22"/>
          <w:szCs w:val="22"/>
        </w:rPr>
        <w:t>1</w:t>
      </w:r>
      <w:r w:rsidR="00CF4793" w:rsidRPr="00CF4793">
        <w:rPr>
          <w:rFonts w:ascii="Calibri" w:eastAsia="Calibri" w:hAnsi="Calibri"/>
          <w:sz w:val="22"/>
          <w:szCs w:val="22"/>
        </w:rPr>
        <w:t xml:space="preserve">) </w:t>
      </w:r>
      <w:r w:rsidR="00142316">
        <w:rPr>
          <w:rFonts w:ascii="Calibri" w:eastAsia="Calibri" w:hAnsi="Calibri"/>
          <w:sz w:val="22"/>
          <w:szCs w:val="22"/>
        </w:rPr>
        <w:tab/>
      </w:r>
      <w:r w:rsidR="00CF4793" w:rsidRPr="00CF4793">
        <w:rPr>
          <w:rFonts w:ascii="Calibri" w:eastAsia="Calibri" w:hAnsi="Calibri"/>
          <w:sz w:val="22"/>
          <w:szCs w:val="22"/>
        </w:rPr>
        <w:t>report close contact with a person or people with confirmed or suspected monkeypox;</w:t>
      </w:r>
      <w:r w:rsidR="00142316">
        <w:rPr>
          <w:rFonts w:ascii="Calibri" w:eastAsia="Calibri" w:hAnsi="Calibri"/>
          <w:sz w:val="22"/>
          <w:szCs w:val="22"/>
        </w:rPr>
        <w:t xml:space="preserve"> OR</w:t>
      </w:r>
    </w:p>
    <w:p w14:paraId="3FDFC098" w14:textId="1DCD0064" w:rsidR="00FD27E5" w:rsidRPr="00492D6A" w:rsidRDefault="00FD27E5" w:rsidP="009F3734">
      <w:pPr>
        <w:pStyle w:val="ListParagraph"/>
        <w:numPr>
          <w:ilvl w:val="0"/>
          <w:numId w:val="6"/>
        </w:numPr>
        <w:spacing w:after="60"/>
        <w:contextualSpacing w:val="0"/>
        <w:rPr>
          <w:rFonts w:ascii="Calibri" w:eastAsia="Calibri" w:hAnsi="Calibri"/>
          <w:sz w:val="22"/>
          <w:szCs w:val="22"/>
        </w:rPr>
      </w:pPr>
      <w:r w:rsidRPr="00492D6A">
        <w:rPr>
          <w:rFonts w:ascii="Calibri" w:eastAsia="Calibri" w:hAnsi="Calibri"/>
          <w:sz w:val="22"/>
          <w:szCs w:val="22"/>
        </w:rPr>
        <w:t>report close contact with a person or people who have a similar rash; OR</w:t>
      </w:r>
    </w:p>
    <w:p w14:paraId="6994AE4A" w14:textId="508233FD" w:rsidR="00CF4793" w:rsidRDefault="00D232B4" w:rsidP="000F7BEC">
      <w:pPr>
        <w:pStyle w:val="ListParagraph"/>
        <w:numPr>
          <w:ilvl w:val="0"/>
          <w:numId w:val="6"/>
        </w:numPr>
        <w:spacing w:after="60"/>
        <w:contextualSpacing w:val="0"/>
        <w:rPr>
          <w:rFonts w:ascii="Calibri" w:eastAsia="Calibri" w:hAnsi="Calibri"/>
          <w:sz w:val="22"/>
          <w:szCs w:val="22"/>
        </w:rPr>
      </w:pPr>
      <w:r>
        <w:rPr>
          <w:rFonts w:ascii="Calibri" w:eastAsia="Calibri" w:hAnsi="Calibri"/>
          <w:sz w:val="22"/>
          <w:szCs w:val="22"/>
        </w:rPr>
        <w:t>report they are</w:t>
      </w:r>
      <w:r w:rsidR="00CF4793" w:rsidRPr="000F7BEC">
        <w:rPr>
          <w:rFonts w:ascii="Calibri" w:eastAsia="Calibri" w:hAnsi="Calibri"/>
          <w:sz w:val="22"/>
          <w:szCs w:val="22"/>
        </w:rPr>
        <w:t xml:space="preserve"> a man (individual assigned male sex at birth) who has sex with men, or a transgender man who has sex with men, who regularly has proximate physical, sexual, or other close contact with other men, including encounters with individuals met through online dating applications or in social venues</w:t>
      </w:r>
      <w:r w:rsidR="005B5837">
        <w:rPr>
          <w:rFonts w:ascii="Calibri" w:eastAsia="Calibri" w:hAnsi="Calibri"/>
          <w:sz w:val="22"/>
          <w:szCs w:val="22"/>
        </w:rPr>
        <w:t>; OR</w:t>
      </w:r>
    </w:p>
    <w:p w14:paraId="7DA468C1" w14:textId="558AD0A5" w:rsidR="00166F4E" w:rsidRDefault="00D232B4" w:rsidP="00166F4E">
      <w:pPr>
        <w:pStyle w:val="ListParagraph"/>
        <w:numPr>
          <w:ilvl w:val="0"/>
          <w:numId w:val="6"/>
        </w:numPr>
        <w:spacing w:after="160"/>
        <w:contextualSpacing w:val="0"/>
        <w:rPr>
          <w:rFonts w:ascii="Calibri" w:eastAsia="Calibri" w:hAnsi="Calibri"/>
          <w:sz w:val="22"/>
          <w:szCs w:val="22"/>
        </w:rPr>
      </w:pPr>
      <w:r>
        <w:rPr>
          <w:rFonts w:ascii="Calibri" w:eastAsia="Calibri" w:hAnsi="Calibri"/>
          <w:sz w:val="22"/>
          <w:szCs w:val="22"/>
        </w:rPr>
        <w:t>report residence in or travel</w:t>
      </w:r>
      <w:r w:rsidR="008777A7">
        <w:rPr>
          <w:rFonts w:ascii="Calibri" w:eastAsia="Calibri" w:hAnsi="Calibri"/>
          <w:sz w:val="22"/>
          <w:szCs w:val="22"/>
        </w:rPr>
        <w:t xml:space="preserve"> to endemic areas of Africa and had contact with wild animals, especially small rodents.</w:t>
      </w:r>
    </w:p>
    <w:p w14:paraId="497332B1" w14:textId="32EEF0A9" w:rsidR="00F87093" w:rsidRPr="00791C64" w:rsidRDefault="00F87093" w:rsidP="00F87093">
      <w:pPr>
        <w:spacing w:after="160"/>
        <w:rPr>
          <w:rFonts w:ascii="Calibri" w:eastAsia="Calibri" w:hAnsi="Calibri"/>
          <w:b/>
          <w:bCs/>
          <w:sz w:val="22"/>
          <w:szCs w:val="22"/>
        </w:rPr>
      </w:pPr>
      <w:r w:rsidRPr="00791C64">
        <w:rPr>
          <w:rFonts w:ascii="Calibri" w:eastAsia="Calibri" w:hAnsi="Calibri"/>
          <w:b/>
          <w:bCs/>
          <w:sz w:val="22"/>
          <w:szCs w:val="22"/>
        </w:rPr>
        <w:t xml:space="preserve">However, </w:t>
      </w:r>
      <w:r w:rsidR="00791C64" w:rsidRPr="00791C64">
        <w:rPr>
          <w:rFonts w:ascii="Calibri" w:eastAsia="Calibri" w:hAnsi="Calibri"/>
          <w:b/>
          <w:bCs/>
          <w:sz w:val="22"/>
          <w:szCs w:val="22"/>
        </w:rPr>
        <w:t>clinicians should consider testing clinically compatible patients</w:t>
      </w:r>
      <w:r w:rsidRPr="00791C64">
        <w:rPr>
          <w:rFonts w:ascii="Calibri" w:eastAsia="Calibri" w:hAnsi="Calibri"/>
          <w:b/>
          <w:bCs/>
          <w:sz w:val="22"/>
          <w:szCs w:val="22"/>
        </w:rPr>
        <w:t xml:space="preserve"> regardless of whether they have known risk factors for monkeypox and regardless of gender or sexual orientation.</w:t>
      </w:r>
    </w:p>
    <w:p w14:paraId="7E178895" w14:textId="2753A7CE" w:rsidR="00CF4793" w:rsidRPr="00CF4793" w:rsidRDefault="00CF4793" w:rsidP="00DF5AD9">
      <w:pPr>
        <w:spacing w:after="60" w:line="259" w:lineRule="auto"/>
        <w:rPr>
          <w:rFonts w:ascii="Calibri" w:eastAsia="Calibri" w:hAnsi="Calibri"/>
          <w:sz w:val="22"/>
          <w:szCs w:val="22"/>
        </w:rPr>
      </w:pPr>
      <w:r w:rsidRPr="00CF4793">
        <w:rPr>
          <w:rFonts w:ascii="Calibri" w:eastAsia="Calibri" w:hAnsi="Calibri"/>
          <w:sz w:val="22"/>
          <w:szCs w:val="22"/>
        </w:rPr>
        <w:t xml:space="preserve">Clinicians should </w:t>
      </w:r>
      <w:r w:rsidR="00FD27E5">
        <w:rPr>
          <w:rFonts w:ascii="Calibri" w:eastAsia="Calibri" w:hAnsi="Calibri"/>
          <w:sz w:val="22"/>
          <w:szCs w:val="22"/>
        </w:rPr>
        <w:t>also</w:t>
      </w:r>
      <w:r w:rsidR="00FD27E5" w:rsidRPr="00CF4793">
        <w:rPr>
          <w:rFonts w:ascii="Calibri" w:eastAsia="Calibri" w:hAnsi="Calibri"/>
          <w:sz w:val="22"/>
          <w:szCs w:val="22"/>
        </w:rPr>
        <w:t xml:space="preserve"> </w:t>
      </w:r>
      <w:r w:rsidRPr="00CF4793">
        <w:rPr>
          <w:rFonts w:ascii="Calibri" w:eastAsia="Calibri" w:hAnsi="Calibri"/>
          <w:sz w:val="22"/>
          <w:szCs w:val="22"/>
        </w:rPr>
        <w:t xml:space="preserve">rule out more common causes of rash illness </w:t>
      </w:r>
      <w:r w:rsidR="00FD27E5">
        <w:rPr>
          <w:rFonts w:ascii="Calibri" w:eastAsia="Calibri" w:hAnsi="Calibri"/>
          <w:sz w:val="22"/>
          <w:szCs w:val="22"/>
        </w:rPr>
        <w:t>while considering monkeypox</w:t>
      </w:r>
      <w:r w:rsidR="009F3734">
        <w:rPr>
          <w:rFonts w:ascii="Calibri" w:eastAsia="Calibri" w:hAnsi="Calibri"/>
          <w:sz w:val="22"/>
          <w:szCs w:val="22"/>
        </w:rPr>
        <w:t>.</w:t>
      </w:r>
      <w:r w:rsidR="00FF78FC">
        <w:rPr>
          <w:rFonts w:ascii="Calibri" w:eastAsia="Calibri" w:hAnsi="Calibri"/>
          <w:sz w:val="22"/>
          <w:szCs w:val="22"/>
        </w:rPr>
        <w:t xml:space="preserve"> </w:t>
      </w:r>
      <w:r w:rsidRPr="00CF4793">
        <w:rPr>
          <w:rFonts w:ascii="Calibri" w:eastAsia="Calibri" w:hAnsi="Calibri"/>
          <w:sz w:val="22"/>
          <w:szCs w:val="22"/>
        </w:rPr>
        <w:t xml:space="preserve">Other </w:t>
      </w:r>
      <w:r w:rsidR="006A215F">
        <w:rPr>
          <w:rFonts w:ascii="Calibri" w:eastAsia="Calibri" w:hAnsi="Calibri"/>
          <w:sz w:val="22"/>
          <w:szCs w:val="22"/>
        </w:rPr>
        <w:t>diseases</w:t>
      </w:r>
      <w:r w:rsidRPr="00CF4793">
        <w:rPr>
          <w:rFonts w:ascii="Calibri" w:eastAsia="Calibri" w:hAnsi="Calibri"/>
          <w:sz w:val="22"/>
          <w:szCs w:val="22"/>
        </w:rPr>
        <w:t xml:space="preserve"> </w:t>
      </w:r>
      <w:r w:rsidR="00912543">
        <w:rPr>
          <w:rFonts w:ascii="Calibri" w:eastAsia="Calibri" w:hAnsi="Calibri"/>
          <w:sz w:val="22"/>
          <w:szCs w:val="22"/>
        </w:rPr>
        <w:t xml:space="preserve">that can cause similar appearing rash lesions </w:t>
      </w:r>
      <w:r w:rsidRPr="00CF4793">
        <w:rPr>
          <w:rFonts w:ascii="Calibri" w:eastAsia="Calibri" w:hAnsi="Calibri"/>
          <w:sz w:val="22"/>
          <w:szCs w:val="22"/>
        </w:rPr>
        <w:t xml:space="preserve">include: </w:t>
      </w:r>
    </w:p>
    <w:p w14:paraId="67DFA759" w14:textId="77777777" w:rsidR="00CF4793" w:rsidRPr="00CF4793" w:rsidRDefault="00CF4793" w:rsidP="00CF4793">
      <w:pPr>
        <w:numPr>
          <w:ilvl w:val="0"/>
          <w:numId w:val="3"/>
        </w:numPr>
        <w:spacing w:after="160" w:line="259" w:lineRule="auto"/>
        <w:contextualSpacing/>
        <w:rPr>
          <w:rFonts w:ascii="Calibri" w:eastAsia="Calibri" w:hAnsi="Calibri"/>
          <w:sz w:val="22"/>
          <w:szCs w:val="22"/>
        </w:rPr>
      </w:pPr>
      <w:r w:rsidRPr="00CF4793">
        <w:rPr>
          <w:rFonts w:ascii="Calibri" w:eastAsia="Calibri" w:hAnsi="Calibri"/>
          <w:sz w:val="22"/>
          <w:szCs w:val="22"/>
        </w:rPr>
        <w:t xml:space="preserve">herpes </w:t>
      </w:r>
    </w:p>
    <w:p w14:paraId="0A23FED7" w14:textId="77777777" w:rsidR="00CF4793" w:rsidRPr="00CF4793" w:rsidRDefault="00CF4793" w:rsidP="00CF4793">
      <w:pPr>
        <w:numPr>
          <w:ilvl w:val="0"/>
          <w:numId w:val="3"/>
        </w:numPr>
        <w:spacing w:after="160" w:line="259" w:lineRule="auto"/>
        <w:contextualSpacing/>
        <w:rPr>
          <w:rFonts w:ascii="Calibri" w:eastAsia="Calibri" w:hAnsi="Calibri"/>
          <w:sz w:val="22"/>
          <w:szCs w:val="22"/>
        </w:rPr>
      </w:pPr>
      <w:r w:rsidRPr="00CF4793">
        <w:rPr>
          <w:rFonts w:ascii="Calibri" w:eastAsia="Calibri" w:hAnsi="Calibri"/>
          <w:sz w:val="22"/>
          <w:szCs w:val="22"/>
        </w:rPr>
        <w:t>secondary syphilis</w:t>
      </w:r>
    </w:p>
    <w:p w14:paraId="21F43B19" w14:textId="77777777" w:rsidR="00CF4793" w:rsidRPr="00CF4793" w:rsidRDefault="00CF4793" w:rsidP="00CF4793">
      <w:pPr>
        <w:numPr>
          <w:ilvl w:val="0"/>
          <w:numId w:val="3"/>
        </w:numPr>
        <w:spacing w:after="160" w:line="259" w:lineRule="auto"/>
        <w:contextualSpacing/>
        <w:rPr>
          <w:rFonts w:ascii="Calibri" w:eastAsia="Calibri" w:hAnsi="Calibri"/>
          <w:sz w:val="22"/>
          <w:szCs w:val="22"/>
        </w:rPr>
      </w:pPr>
      <w:r w:rsidRPr="00CF4793">
        <w:rPr>
          <w:rFonts w:ascii="Calibri" w:eastAsia="Calibri" w:hAnsi="Calibri"/>
          <w:sz w:val="22"/>
          <w:szCs w:val="22"/>
        </w:rPr>
        <w:t xml:space="preserve">chancroid </w:t>
      </w:r>
    </w:p>
    <w:p w14:paraId="318C0261" w14:textId="6D3AE68C" w:rsidR="00CF4793" w:rsidRDefault="00CF4793" w:rsidP="009F3734">
      <w:pPr>
        <w:numPr>
          <w:ilvl w:val="0"/>
          <w:numId w:val="3"/>
        </w:numPr>
        <w:spacing w:after="160" w:line="259" w:lineRule="auto"/>
        <w:rPr>
          <w:rFonts w:ascii="Calibri" w:eastAsia="Calibri" w:hAnsi="Calibri"/>
          <w:sz w:val="22"/>
          <w:szCs w:val="22"/>
        </w:rPr>
      </w:pPr>
      <w:r w:rsidRPr="00CF4793">
        <w:rPr>
          <w:rFonts w:ascii="Calibri" w:eastAsia="Calibri" w:hAnsi="Calibri"/>
          <w:sz w:val="22"/>
          <w:szCs w:val="22"/>
        </w:rPr>
        <w:t>varicella-zoster virus</w:t>
      </w:r>
    </w:p>
    <w:p w14:paraId="07AB7941" w14:textId="5E80B46B" w:rsidR="000332C7" w:rsidRDefault="000332C7" w:rsidP="009F3734">
      <w:pPr>
        <w:spacing w:before="160" w:line="259" w:lineRule="auto"/>
        <w:rPr>
          <w:rFonts w:ascii="Calibri" w:eastAsia="Calibri" w:hAnsi="Calibri"/>
          <w:sz w:val="22"/>
          <w:szCs w:val="22"/>
        </w:rPr>
      </w:pPr>
      <w:r>
        <w:rPr>
          <w:rFonts w:ascii="Calibri" w:eastAsia="Calibri" w:hAnsi="Calibri"/>
          <w:sz w:val="22"/>
          <w:szCs w:val="22"/>
        </w:rPr>
        <w:t xml:space="preserve">Patients who are at risk for exposure to monkeypox virus through sexual </w:t>
      </w:r>
      <w:r w:rsidR="00D831E6">
        <w:rPr>
          <w:rFonts w:ascii="Calibri" w:eastAsia="Calibri" w:hAnsi="Calibri"/>
          <w:sz w:val="22"/>
          <w:szCs w:val="22"/>
        </w:rPr>
        <w:t>activity</w:t>
      </w:r>
      <w:r>
        <w:rPr>
          <w:rFonts w:ascii="Calibri" w:eastAsia="Calibri" w:hAnsi="Calibri"/>
          <w:sz w:val="22"/>
          <w:szCs w:val="22"/>
        </w:rPr>
        <w:t xml:space="preserve"> are also at risk for sexually transmitted infections and diagnostic testing should </w:t>
      </w:r>
      <w:r w:rsidR="009F3734">
        <w:rPr>
          <w:rFonts w:ascii="Calibri" w:eastAsia="Calibri" w:hAnsi="Calibri"/>
          <w:sz w:val="22"/>
          <w:szCs w:val="22"/>
        </w:rPr>
        <w:t>be comprehensive</w:t>
      </w:r>
      <w:r w:rsidR="00BB648E">
        <w:rPr>
          <w:rFonts w:ascii="Calibri" w:eastAsia="Calibri" w:hAnsi="Calibri"/>
          <w:sz w:val="22"/>
          <w:szCs w:val="22"/>
        </w:rPr>
        <w:t>; coinfections are not uncommon.</w:t>
      </w:r>
      <w:r w:rsidR="009F3734">
        <w:rPr>
          <w:rFonts w:ascii="Calibri" w:eastAsia="Calibri" w:hAnsi="Calibri"/>
          <w:sz w:val="22"/>
          <w:szCs w:val="22"/>
        </w:rPr>
        <w:t xml:space="preserve"> </w:t>
      </w:r>
    </w:p>
    <w:p w14:paraId="4A861FE2" w14:textId="1D03D67F" w:rsidR="00791C64" w:rsidRDefault="00791C64" w:rsidP="00791C64">
      <w:pPr>
        <w:spacing w:before="160" w:line="259" w:lineRule="auto"/>
        <w:rPr>
          <w:rFonts w:ascii="Calibri" w:eastAsia="Calibri" w:hAnsi="Calibri"/>
          <w:sz w:val="22"/>
          <w:szCs w:val="22"/>
        </w:rPr>
      </w:pPr>
      <w:r w:rsidRPr="00791C64">
        <w:rPr>
          <w:rFonts w:ascii="Calibri" w:eastAsia="Calibri" w:hAnsi="Calibri"/>
          <w:sz w:val="22"/>
          <w:szCs w:val="22"/>
        </w:rPr>
        <w:t xml:space="preserve">Suspect monkeypox cases should be evaluated clinically </w:t>
      </w:r>
      <w:r w:rsidR="00D048E9">
        <w:rPr>
          <w:rFonts w:ascii="Calibri" w:eastAsia="Calibri" w:hAnsi="Calibri"/>
          <w:sz w:val="22"/>
          <w:szCs w:val="22"/>
        </w:rPr>
        <w:t>using</w:t>
      </w:r>
      <w:r w:rsidR="00D048E9" w:rsidRPr="00791C64">
        <w:rPr>
          <w:rFonts w:ascii="Calibri" w:eastAsia="Calibri" w:hAnsi="Calibri"/>
          <w:sz w:val="22"/>
          <w:szCs w:val="22"/>
        </w:rPr>
        <w:t xml:space="preserve"> </w:t>
      </w:r>
      <w:r w:rsidRPr="00791C64">
        <w:rPr>
          <w:rFonts w:ascii="Calibri" w:eastAsia="Calibri" w:hAnsi="Calibri"/>
          <w:sz w:val="22"/>
          <w:szCs w:val="22"/>
        </w:rPr>
        <w:t>contact and droplet precautions (gloves, eye protection, surgical mask (N95 optional</w:t>
      </w:r>
      <w:r w:rsidR="00ED462D">
        <w:rPr>
          <w:rFonts w:ascii="Calibri" w:eastAsia="Calibri" w:hAnsi="Calibri"/>
          <w:sz w:val="22"/>
          <w:szCs w:val="22"/>
        </w:rPr>
        <w:t xml:space="preserve"> unless aerosol generating procedures are being performed</w:t>
      </w:r>
      <w:r w:rsidRPr="00791C64">
        <w:rPr>
          <w:rFonts w:ascii="Calibri" w:eastAsia="Calibri" w:hAnsi="Calibri"/>
          <w:sz w:val="22"/>
          <w:szCs w:val="22"/>
        </w:rPr>
        <w:t>), and a gown or disposable covering).</w:t>
      </w:r>
    </w:p>
    <w:p w14:paraId="13D12960" w14:textId="77777777" w:rsidR="00E369A5" w:rsidRPr="00CF4793" w:rsidRDefault="00E369A5" w:rsidP="00791C64">
      <w:pPr>
        <w:spacing w:after="160" w:line="259" w:lineRule="auto"/>
        <w:contextualSpacing/>
        <w:rPr>
          <w:rFonts w:ascii="Calibri" w:eastAsia="Calibri" w:hAnsi="Calibri"/>
          <w:sz w:val="22"/>
          <w:szCs w:val="22"/>
        </w:rPr>
      </w:pPr>
    </w:p>
    <w:p w14:paraId="78BCA3BD" w14:textId="7F22869D" w:rsidR="000F7BEC" w:rsidRPr="00CF4793" w:rsidRDefault="000F7BEC" w:rsidP="000F7BEC">
      <w:pPr>
        <w:spacing w:after="160" w:line="259" w:lineRule="auto"/>
        <w:rPr>
          <w:rFonts w:ascii="Calibri" w:eastAsia="Calibri" w:hAnsi="Calibri"/>
          <w:b/>
          <w:bCs/>
          <w:sz w:val="22"/>
          <w:szCs w:val="22"/>
          <w:u w:val="single"/>
        </w:rPr>
      </w:pPr>
      <w:r w:rsidRPr="00CF4793">
        <w:rPr>
          <w:rFonts w:ascii="Calibri" w:eastAsia="Calibri" w:hAnsi="Calibri"/>
          <w:b/>
          <w:bCs/>
          <w:sz w:val="22"/>
          <w:szCs w:val="22"/>
          <w:u w:val="single"/>
        </w:rPr>
        <w:t>LABORATORY TESTING AND SPECIMEN COLLECTION:</w:t>
      </w:r>
    </w:p>
    <w:p w14:paraId="41706768" w14:textId="39E5C36D" w:rsidR="00D4783E" w:rsidRDefault="00FF78FC" w:rsidP="00DF5AD9">
      <w:pPr>
        <w:spacing w:after="60" w:line="259" w:lineRule="auto"/>
        <w:rPr>
          <w:rFonts w:ascii="Calibri" w:eastAsia="Calibri" w:hAnsi="Calibri"/>
          <w:sz w:val="22"/>
          <w:szCs w:val="22"/>
        </w:rPr>
      </w:pPr>
      <w:r>
        <w:rPr>
          <w:rFonts w:ascii="Calibri" w:eastAsia="Calibri" w:hAnsi="Calibri"/>
          <w:sz w:val="22"/>
          <w:szCs w:val="22"/>
        </w:rPr>
        <w:t>Testing for non-variola orthopoxvirus (presumptive monkeypox virus) infection is available from the State Public Health Laboratory</w:t>
      </w:r>
      <w:r w:rsidR="005B5837">
        <w:rPr>
          <w:rFonts w:ascii="Calibri" w:eastAsia="Calibri" w:hAnsi="Calibri"/>
          <w:sz w:val="22"/>
          <w:szCs w:val="22"/>
        </w:rPr>
        <w:t xml:space="preserve"> (SPHL)</w:t>
      </w:r>
      <w:r>
        <w:rPr>
          <w:rFonts w:ascii="Calibri" w:eastAsia="Calibri" w:hAnsi="Calibri"/>
          <w:sz w:val="22"/>
          <w:szCs w:val="22"/>
        </w:rPr>
        <w:t xml:space="preserve"> and is increasingly available from commercial and reference laboratories. </w:t>
      </w:r>
      <w:r w:rsidR="00DC11E3">
        <w:rPr>
          <w:rFonts w:ascii="Calibri" w:eastAsia="Calibri" w:hAnsi="Calibri"/>
          <w:sz w:val="22"/>
          <w:szCs w:val="22"/>
        </w:rPr>
        <w:t>Testing turn-around-time is expected to be somewhat shorter through SPHL</w:t>
      </w:r>
      <w:r w:rsidR="00D048E9">
        <w:rPr>
          <w:rFonts w:ascii="Calibri" w:eastAsia="Calibri" w:hAnsi="Calibri"/>
          <w:sz w:val="22"/>
          <w:szCs w:val="22"/>
        </w:rPr>
        <w:t xml:space="preserve"> and</w:t>
      </w:r>
      <w:r w:rsidR="00DC11E3">
        <w:rPr>
          <w:rFonts w:ascii="Calibri" w:eastAsia="Calibri" w:hAnsi="Calibri"/>
          <w:sz w:val="22"/>
          <w:szCs w:val="22"/>
        </w:rPr>
        <w:t xml:space="preserve"> is available for</w:t>
      </w:r>
      <w:r w:rsidR="005B5837">
        <w:rPr>
          <w:rFonts w:ascii="Calibri" w:eastAsia="Calibri" w:hAnsi="Calibri"/>
          <w:sz w:val="22"/>
          <w:szCs w:val="22"/>
        </w:rPr>
        <w:t>:</w:t>
      </w:r>
    </w:p>
    <w:p w14:paraId="1681387E" w14:textId="3E7B2365" w:rsidR="005B5837" w:rsidRDefault="00912543" w:rsidP="009F3734">
      <w:pPr>
        <w:pStyle w:val="ListParagraph"/>
        <w:numPr>
          <w:ilvl w:val="0"/>
          <w:numId w:val="9"/>
        </w:numPr>
        <w:spacing w:after="160" w:line="259" w:lineRule="auto"/>
        <w:rPr>
          <w:rFonts w:ascii="Calibri" w:eastAsia="Calibri" w:hAnsi="Calibri"/>
          <w:sz w:val="22"/>
          <w:szCs w:val="22"/>
        </w:rPr>
      </w:pPr>
      <w:r>
        <w:rPr>
          <w:rFonts w:ascii="Calibri" w:eastAsia="Calibri" w:hAnsi="Calibri"/>
          <w:sz w:val="22"/>
          <w:szCs w:val="22"/>
        </w:rPr>
        <w:t>C</w:t>
      </w:r>
      <w:r w:rsidR="008777A7">
        <w:rPr>
          <w:rFonts w:ascii="Calibri" w:eastAsia="Calibri" w:hAnsi="Calibri"/>
          <w:sz w:val="22"/>
          <w:szCs w:val="22"/>
        </w:rPr>
        <w:t xml:space="preserve">linically compatible </w:t>
      </w:r>
      <w:r w:rsidR="00151582">
        <w:rPr>
          <w:rFonts w:ascii="Calibri" w:eastAsia="Calibri" w:hAnsi="Calibri"/>
          <w:sz w:val="22"/>
          <w:szCs w:val="22"/>
        </w:rPr>
        <w:t>patients</w:t>
      </w:r>
      <w:r w:rsidR="008777A7">
        <w:rPr>
          <w:rFonts w:ascii="Calibri" w:eastAsia="Calibri" w:hAnsi="Calibri"/>
          <w:sz w:val="22"/>
          <w:szCs w:val="22"/>
        </w:rPr>
        <w:t xml:space="preserve"> with a </w:t>
      </w:r>
      <w:r w:rsidR="009F3734">
        <w:rPr>
          <w:rFonts w:ascii="Calibri" w:eastAsia="Calibri" w:hAnsi="Calibri"/>
          <w:sz w:val="22"/>
          <w:szCs w:val="22"/>
        </w:rPr>
        <w:t>known risk factor; AND</w:t>
      </w:r>
    </w:p>
    <w:p w14:paraId="0A8A8C79" w14:textId="77777777" w:rsidR="00197326" w:rsidRDefault="009F3734" w:rsidP="009F3734">
      <w:pPr>
        <w:pStyle w:val="ListParagraph"/>
        <w:numPr>
          <w:ilvl w:val="0"/>
          <w:numId w:val="9"/>
        </w:numPr>
        <w:spacing w:after="160" w:line="259" w:lineRule="auto"/>
        <w:rPr>
          <w:rFonts w:ascii="Calibri" w:eastAsia="Calibri" w:hAnsi="Calibri"/>
          <w:sz w:val="22"/>
          <w:szCs w:val="22"/>
        </w:rPr>
      </w:pPr>
      <w:r>
        <w:rPr>
          <w:rFonts w:ascii="Calibri" w:eastAsia="Calibri" w:hAnsi="Calibri"/>
          <w:sz w:val="22"/>
          <w:szCs w:val="22"/>
        </w:rPr>
        <w:t xml:space="preserve">Patients for whom there is a strong clinical suspicion of monkeypox who </w:t>
      </w:r>
      <w:r w:rsidR="00197326">
        <w:rPr>
          <w:rFonts w:ascii="Calibri" w:eastAsia="Calibri" w:hAnsi="Calibri"/>
          <w:sz w:val="22"/>
          <w:szCs w:val="22"/>
        </w:rPr>
        <w:t>are hospitalized; AND</w:t>
      </w:r>
    </w:p>
    <w:p w14:paraId="4080E0DF" w14:textId="5A7F72D2" w:rsidR="009F3734" w:rsidRDefault="00197326" w:rsidP="009F3734">
      <w:pPr>
        <w:pStyle w:val="ListParagraph"/>
        <w:numPr>
          <w:ilvl w:val="0"/>
          <w:numId w:val="9"/>
        </w:numPr>
        <w:spacing w:after="160" w:line="259" w:lineRule="auto"/>
        <w:rPr>
          <w:rFonts w:ascii="Calibri" w:eastAsia="Calibri" w:hAnsi="Calibri"/>
          <w:sz w:val="22"/>
          <w:szCs w:val="22"/>
        </w:rPr>
      </w:pPr>
      <w:r>
        <w:rPr>
          <w:rFonts w:ascii="Calibri" w:eastAsia="Calibri" w:hAnsi="Calibri"/>
          <w:sz w:val="22"/>
          <w:szCs w:val="22"/>
        </w:rPr>
        <w:lastRenderedPageBreak/>
        <w:t xml:space="preserve">Patients for whom there is a strong clinical suspicion of monkeypox and </w:t>
      </w:r>
      <w:r w:rsidR="009F3734">
        <w:rPr>
          <w:rFonts w:ascii="Calibri" w:eastAsia="Calibri" w:hAnsi="Calibri"/>
          <w:sz w:val="22"/>
          <w:szCs w:val="22"/>
        </w:rPr>
        <w:t xml:space="preserve">are at </w:t>
      </w:r>
      <w:r w:rsidR="00DC11E3">
        <w:rPr>
          <w:rFonts w:ascii="Calibri" w:eastAsia="Calibri" w:hAnsi="Calibri"/>
          <w:sz w:val="22"/>
          <w:szCs w:val="22"/>
        </w:rPr>
        <w:t xml:space="preserve">high </w:t>
      </w:r>
      <w:r w:rsidR="009F3734">
        <w:rPr>
          <w:rFonts w:ascii="Calibri" w:eastAsia="Calibri" w:hAnsi="Calibri"/>
          <w:sz w:val="22"/>
          <w:szCs w:val="22"/>
        </w:rPr>
        <w:t>risk of more severe disease</w:t>
      </w:r>
      <w:r w:rsidR="00DC11E3">
        <w:rPr>
          <w:rFonts w:ascii="Calibri" w:eastAsia="Calibri" w:hAnsi="Calibri" w:cs="Calibri"/>
          <w:sz w:val="22"/>
          <w:szCs w:val="22"/>
        </w:rPr>
        <w:t>†</w:t>
      </w:r>
      <w:r w:rsidR="009F3734">
        <w:rPr>
          <w:rFonts w:ascii="Calibri" w:eastAsia="Calibri" w:hAnsi="Calibri"/>
          <w:sz w:val="22"/>
          <w:szCs w:val="22"/>
        </w:rPr>
        <w:t xml:space="preserve"> (e.g. pregnant people, </w:t>
      </w:r>
      <w:r>
        <w:rPr>
          <w:rFonts w:ascii="Calibri" w:eastAsia="Calibri" w:hAnsi="Calibri"/>
          <w:sz w:val="22"/>
          <w:szCs w:val="22"/>
        </w:rPr>
        <w:t>children under 8 years of age, individuals with immune compromise, or people with concurrent disease</w:t>
      </w:r>
      <w:r w:rsidR="00DC11E3">
        <w:rPr>
          <w:rFonts w:ascii="Calibri" w:eastAsia="Calibri" w:hAnsi="Calibri"/>
          <w:sz w:val="22"/>
          <w:szCs w:val="22"/>
        </w:rPr>
        <w:t>/co-morbidities)</w:t>
      </w:r>
    </w:p>
    <w:p w14:paraId="6664C4D1" w14:textId="6ACA4FFE" w:rsidR="00DC711E" w:rsidRDefault="00DC711E" w:rsidP="009F3734">
      <w:pPr>
        <w:pStyle w:val="ListParagraph"/>
        <w:numPr>
          <w:ilvl w:val="0"/>
          <w:numId w:val="9"/>
        </w:numPr>
        <w:spacing w:after="160" w:line="259" w:lineRule="auto"/>
        <w:rPr>
          <w:rFonts w:ascii="Calibri" w:eastAsia="Calibri" w:hAnsi="Calibri"/>
          <w:sz w:val="22"/>
          <w:szCs w:val="22"/>
        </w:rPr>
      </w:pPr>
      <w:r>
        <w:rPr>
          <w:rFonts w:ascii="Calibri" w:eastAsia="Calibri" w:hAnsi="Calibri"/>
          <w:sz w:val="22"/>
          <w:szCs w:val="22"/>
        </w:rPr>
        <w:t>Patients for whom cost of commercial testing is a concern</w:t>
      </w:r>
    </w:p>
    <w:p w14:paraId="3339C9F9" w14:textId="5BA0BF43" w:rsidR="00DC11E3" w:rsidRDefault="00DC11E3" w:rsidP="00E8148C">
      <w:pPr>
        <w:spacing w:line="259" w:lineRule="auto"/>
        <w:rPr>
          <w:rFonts w:ascii="Calibri" w:eastAsia="Calibri" w:hAnsi="Calibri"/>
          <w:sz w:val="22"/>
          <w:szCs w:val="22"/>
        </w:rPr>
      </w:pPr>
      <w:r>
        <w:rPr>
          <w:rFonts w:ascii="Calibri" w:eastAsia="Calibri" w:hAnsi="Calibri" w:cs="Calibri"/>
          <w:sz w:val="22"/>
          <w:szCs w:val="22"/>
        </w:rPr>
        <w:t>†</w:t>
      </w:r>
      <w:r>
        <w:rPr>
          <w:rFonts w:ascii="Calibri" w:eastAsia="Calibri" w:hAnsi="Calibri"/>
          <w:sz w:val="22"/>
          <w:szCs w:val="22"/>
        </w:rPr>
        <w:t xml:space="preserve">More information about individuals at high risk for severe disease is available from CDC here: </w:t>
      </w:r>
      <w:hyperlink r:id="rId9" w:history="1">
        <w:r w:rsidRPr="00DC11E3">
          <w:rPr>
            <w:rStyle w:val="Hyperlink"/>
            <w:rFonts w:ascii="Calibri" w:eastAsia="Calibri" w:hAnsi="Calibri"/>
            <w:sz w:val="22"/>
            <w:szCs w:val="22"/>
          </w:rPr>
          <w:t>https://www.cdc.gov/poxvirus/monkeypox/clinicians/treatment.html</w:t>
        </w:r>
      </w:hyperlink>
      <w:r>
        <w:rPr>
          <w:rFonts w:ascii="Calibri" w:eastAsia="Calibri" w:hAnsi="Calibri"/>
          <w:sz w:val="22"/>
          <w:szCs w:val="22"/>
        </w:rPr>
        <w:t xml:space="preserve">.  </w:t>
      </w:r>
    </w:p>
    <w:p w14:paraId="40D65591" w14:textId="1AD433C9" w:rsidR="00E8148C" w:rsidRDefault="00E8148C" w:rsidP="00E8148C">
      <w:pPr>
        <w:spacing w:line="259" w:lineRule="auto"/>
        <w:rPr>
          <w:rFonts w:ascii="Calibri" w:eastAsia="Calibri" w:hAnsi="Calibri"/>
          <w:sz w:val="22"/>
          <w:szCs w:val="22"/>
        </w:rPr>
      </w:pPr>
    </w:p>
    <w:p w14:paraId="59D377B1" w14:textId="63FEB170" w:rsidR="00E8148C" w:rsidRPr="00BB648E" w:rsidRDefault="00A22766" w:rsidP="00E8148C">
      <w:pPr>
        <w:spacing w:line="259" w:lineRule="auto"/>
        <w:rPr>
          <w:rFonts w:ascii="Calibri" w:eastAsia="Calibri" w:hAnsi="Calibri"/>
          <w:b/>
          <w:bCs/>
          <w:sz w:val="22"/>
          <w:szCs w:val="22"/>
          <w:u w:val="single"/>
        </w:rPr>
      </w:pPr>
      <w:r w:rsidRPr="00BB648E">
        <w:rPr>
          <w:rFonts w:ascii="Calibri" w:eastAsia="Calibri" w:hAnsi="Calibri"/>
          <w:b/>
          <w:bCs/>
          <w:sz w:val="22"/>
          <w:szCs w:val="22"/>
          <w:u w:val="single"/>
        </w:rPr>
        <w:t>Laboratory testing at SPHL</w:t>
      </w:r>
    </w:p>
    <w:p w14:paraId="0D13CCA6" w14:textId="4510FB15" w:rsidR="006A215F" w:rsidRDefault="00DF5AD9" w:rsidP="000F7BEC">
      <w:pPr>
        <w:spacing w:after="160" w:line="259" w:lineRule="auto"/>
        <w:rPr>
          <w:rFonts w:ascii="Calibri" w:eastAsia="Calibri" w:hAnsi="Calibri"/>
          <w:sz w:val="22"/>
          <w:szCs w:val="22"/>
        </w:rPr>
      </w:pPr>
      <w:r>
        <w:rPr>
          <w:rFonts w:ascii="Calibri" w:eastAsia="Calibri" w:hAnsi="Calibri"/>
          <w:sz w:val="22"/>
          <w:szCs w:val="22"/>
        </w:rPr>
        <w:t xml:space="preserve">Pre-approval for submission of specimens from patients that meet the criteria listed above is no longer required. Submission of specimens </w:t>
      </w:r>
      <w:r w:rsidR="00791C64">
        <w:rPr>
          <w:rFonts w:ascii="Calibri" w:eastAsia="Calibri" w:hAnsi="Calibri"/>
          <w:sz w:val="22"/>
          <w:szCs w:val="22"/>
        </w:rPr>
        <w:t xml:space="preserve">to SPHL </w:t>
      </w:r>
      <w:r>
        <w:rPr>
          <w:rFonts w:ascii="Calibri" w:eastAsia="Calibri" w:hAnsi="Calibri"/>
          <w:sz w:val="22"/>
          <w:szCs w:val="22"/>
        </w:rPr>
        <w:t>from patients that do not meet those criteria does require pre-approval through the MDPH Division of Epidemiology at 617-983-6800 (available 24/7).</w:t>
      </w:r>
    </w:p>
    <w:p w14:paraId="420BFE3C" w14:textId="51615164" w:rsidR="000300B3" w:rsidRDefault="00DF5AD9" w:rsidP="000F7BEC">
      <w:pPr>
        <w:spacing w:after="160" w:line="259" w:lineRule="auto"/>
        <w:rPr>
          <w:rFonts w:ascii="Calibri" w:eastAsia="Calibri" w:hAnsi="Calibri"/>
          <w:sz w:val="22"/>
          <w:szCs w:val="22"/>
        </w:rPr>
      </w:pPr>
      <w:r>
        <w:rPr>
          <w:rFonts w:ascii="Calibri" w:eastAsia="Calibri" w:hAnsi="Calibri"/>
          <w:sz w:val="22"/>
          <w:szCs w:val="22"/>
        </w:rPr>
        <w:t>Acceptable specimen types include dry swabs of crusts and/or fluid from an active, open lesions; dry swabs of an intact vesicle or pustule; or a scab from a lesion. Providers may submit samples from up to 2 sites</w:t>
      </w:r>
      <w:r w:rsidR="000300B3">
        <w:rPr>
          <w:rFonts w:ascii="Calibri" w:eastAsia="Calibri" w:hAnsi="Calibri"/>
          <w:sz w:val="22"/>
          <w:szCs w:val="22"/>
        </w:rPr>
        <w:t xml:space="preserve">. Selection of lesions for sampling should focus on identifying lesions that appear different from each other. </w:t>
      </w:r>
      <w:r w:rsidR="00BB648E">
        <w:rPr>
          <w:rFonts w:ascii="Calibri" w:eastAsia="Calibri" w:hAnsi="Calibri"/>
          <w:sz w:val="22"/>
          <w:szCs w:val="22"/>
        </w:rPr>
        <w:t>The rationale for this recommendation is that patients may have multiple diseases and swabs from two different appearing lesions enhances the ability to identify monkeypox virus if it is present.</w:t>
      </w:r>
      <w:r w:rsidR="006C4423">
        <w:rPr>
          <w:rFonts w:ascii="Calibri" w:eastAsia="Calibri" w:hAnsi="Calibri"/>
          <w:sz w:val="22"/>
          <w:szCs w:val="22"/>
        </w:rPr>
        <w:t xml:space="preserve"> SPHL </w:t>
      </w:r>
      <w:r w:rsidR="00F87093">
        <w:rPr>
          <w:rFonts w:ascii="Calibri" w:eastAsia="Calibri" w:hAnsi="Calibri"/>
          <w:sz w:val="22"/>
          <w:szCs w:val="22"/>
        </w:rPr>
        <w:t>is not able to test submitted specimens for other pathogens.</w:t>
      </w:r>
      <w:r w:rsidR="006C4423">
        <w:rPr>
          <w:rFonts w:ascii="Calibri" w:eastAsia="Calibri" w:hAnsi="Calibri"/>
          <w:sz w:val="22"/>
          <w:szCs w:val="22"/>
        </w:rPr>
        <w:t xml:space="preserve"> </w:t>
      </w:r>
      <w:r w:rsidR="00E814F5" w:rsidRPr="00E814F5">
        <w:rPr>
          <w:rFonts w:ascii="Calibri" w:eastAsia="Calibri" w:hAnsi="Calibri"/>
          <w:sz w:val="22"/>
          <w:szCs w:val="22"/>
          <w:u w:val="single"/>
        </w:rPr>
        <w:t>Note that there are no acceptable specimen types for testing PRIOR to the development of rash lesions.</w:t>
      </w:r>
    </w:p>
    <w:p w14:paraId="24A75C5A" w14:textId="4F2B95E2" w:rsidR="006A215F" w:rsidRPr="00791C64" w:rsidRDefault="00F87093" w:rsidP="000F7BEC">
      <w:pPr>
        <w:spacing w:after="160" w:line="259" w:lineRule="auto"/>
        <w:rPr>
          <w:rFonts w:ascii="Calibri" w:eastAsia="Calibri" w:hAnsi="Calibri"/>
          <w:b/>
          <w:bCs/>
          <w:sz w:val="22"/>
          <w:szCs w:val="22"/>
        </w:rPr>
      </w:pPr>
      <w:r>
        <w:rPr>
          <w:rFonts w:ascii="Calibri" w:eastAsia="Calibri" w:hAnsi="Calibri"/>
          <w:b/>
          <w:bCs/>
          <w:sz w:val="22"/>
          <w:szCs w:val="22"/>
        </w:rPr>
        <w:t xml:space="preserve">Complete specimen collection, labelling and packaging and shipping guidance is available and can be viewed here: </w:t>
      </w:r>
      <w:hyperlink r:id="rId10" w:history="1">
        <w:r w:rsidRPr="00F87093">
          <w:rPr>
            <w:rStyle w:val="Hyperlink"/>
            <w:rFonts w:ascii="Calibri" w:eastAsia="Calibri" w:hAnsi="Calibri"/>
            <w:b/>
            <w:bCs/>
            <w:sz w:val="22"/>
            <w:szCs w:val="22"/>
          </w:rPr>
          <w:t>https://www.mass.gov/doc/instructions-for-specimen-collection-for-orthopoxvirus-testing/download</w:t>
        </w:r>
      </w:hyperlink>
      <w:r>
        <w:rPr>
          <w:rFonts w:ascii="Calibri" w:eastAsia="Calibri" w:hAnsi="Calibri"/>
          <w:b/>
          <w:bCs/>
          <w:sz w:val="22"/>
          <w:szCs w:val="22"/>
        </w:rPr>
        <w:t>. Please note that duplicate</w:t>
      </w:r>
      <w:r w:rsidR="000300B3" w:rsidRPr="00BB648E">
        <w:rPr>
          <w:rFonts w:ascii="Calibri" w:eastAsia="Calibri" w:hAnsi="Calibri"/>
          <w:b/>
          <w:bCs/>
          <w:sz w:val="22"/>
          <w:szCs w:val="22"/>
        </w:rPr>
        <w:t xml:space="preserve"> samples and throat swabs (in the absence of oral lesions) are no longer</w:t>
      </w:r>
      <w:r w:rsidR="00BB648E" w:rsidRPr="00BB648E">
        <w:rPr>
          <w:rFonts w:ascii="Calibri" w:eastAsia="Calibri" w:hAnsi="Calibri"/>
          <w:b/>
          <w:bCs/>
          <w:sz w:val="22"/>
          <w:szCs w:val="22"/>
        </w:rPr>
        <w:t xml:space="preserve"> necessary and </w:t>
      </w:r>
      <w:r w:rsidR="00BB648E">
        <w:rPr>
          <w:rFonts w:ascii="Calibri" w:eastAsia="Calibri" w:hAnsi="Calibri"/>
          <w:b/>
          <w:bCs/>
          <w:sz w:val="22"/>
          <w:szCs w:val="22"/>
        </w:rPr>
        <w:t>should not be submitted</w:t>
      </w:r>
      <w:r w:rsidR="00411845">
        <w:rPr>
          <w:rFonts w:ascii="Calibri" w:eastAsia="Calibri" w:hAnsi="Calibri"/>
          <w:b/>
          <w:bCs/>
          <w:sz w:val="22"/>
          <w:szCs w:val="22"/>
        </w:rPr>
        <w:t>; however,</w:t>
      </w:r>
      <w:r w:rsidR="00411845" w:rsidRPr="00411845">
        <w:rPr>
          <w:rFonts w:ascii="Calibri" w:eastAsia="Calibri" w:hAnsi="Calibri"/>
          <w:b/>
          <w:bCs/>
          <w:sz w:val="22"/>
          <w:szCs w:val="22"/>
        </w:rPr>
        <w:t xml:space="preserve"> swabs from up to two different lesions per patient may be submitted.</w:t>
      </w:r>
    </w:p>
    <w:p w14:paraId="3E2F57ED" w14:textId="60AC5931" w:rsidR="00BB648E" w:rsidRPr="00BB648E" w:rsidRDefault="00BB648E" w:rsidP="00BB648E">
      <w:pPr>
        <w:spacing w:line="259" w:lineRule="auto"/>
        <w:rPr>
          <w:rFonts w:ascii="Calibri" w:eastAsia="Calibri" w:hAnsi="Calibri"/>
          <w:b/>
          <w:bCs/>
          <w:sz w:val="22"/>
          <w:szCs w:val="22"/>
          <w:u w:val="single"/>
        </w:rPr>
      </w:pPr>
      <w:r w:rsidRPr="00BB648E">
        <w:rPr>
          <w:rFonts w:ascii="Calibri" w:eastAsia="Calibri" w:hAnsi="Calibri"/>
          <w:b/>
          <w:bCs/>
          <w:sz w:val="22"/>
          <w:szCs w:val="22"/>
          <w:u w:val="single"/>
        </w:rPr>
        <w:t xml:space="preserve">Laboratory testing at </w:t>
      </w:r>
      <w:r w:rsidR="006C4423">
        <w:rPr>
          <w:rFonts w:ascii="Calibri" w:eastAsia="Calibri" w:hAnsi="Calibri"/>
          <w:b/>
          <w:bCs/>
          <w:sz w:val="22"/>
          <w:szCs w:val="22"/>
          <w:u w:val="single"/>
        </w:rPr>
        <w:t>c</w:t>
      </w:r>
      <w:r>
        <w:rPr>
          <w:rFonts w:ascii="Calibri" w:eastAsia="Calibri" w:hAnsi="Calibri"/>
          <w:b/>
          <w:bCs/>
          <w:sz w:val="22"/>
          <w:szCs w:val="22"/>
          <w:u w:val="single"/>
        </w:rPr>
        <w:t>ommercial/</w:t>
      </w:r>
      <w:r w:rsidR="006C4423">
        <w:rPr>
          <w:rFonts w:ascii="Calibri" w:eastAsia="Calibri" w:hAnsi="Calibri"/>
          <w:b/>
          <w:bCs/>
          <w:sz w:val="22"/>
          <w:szCs w:val="22"/>
          <w:u w:val="single"/>
        </w:rPr>
        <w:t>r</w:t>
      </w:r>
      <w:r>
        <w:rPr>
          <w:rFonts w:ascii="Calibri" w:eastAsia="Calibri" w:hAnsi="Calibri"/>
          <w:b/>
          <w:bCs/>
          <w:sz w:val="22"/>
          <w:szCs w:val="22"/>
          <w:u w:val="single"/>
        </w:rPr>
        <w:t xml:space="preserve">eference </w:t>
      </w:r>
      <w:r w:rsidR="006C4423">
        <w:rPr>
          <w:rFonts w:ascii="Calibri" w:eastAsia="Calibri" w:hAnsi="Calibri"/>
          <w:b/>
          <w:bCs/>
          <w:sz w:val="22"/>
          <w:szCs w:val="22"/>
          <w:u w:val="single"/>
        </w:rPr>
        <w:t>l</w:t>
      </w:r>
      <w:r>
        <w:rPr>
          <w:rFonts w:ascii="Calibri" w:eastAsia="Calibri" w:hAnsi="Calibri"/>
          <w:b/>
          <w:bCs/>
          <w:sz w:val="22"/>
          <w:szCs w:val="22"/>
          <w:u w:val="single"/>
        </w:rPr>
        <w:t>aboratories</w:t>
      </w:r>
    </w:p>
    <w:p w14:paraId="04FCC991" w14:textId="4E7D6BE3" w:rsidR="000F7BEC" w:rsidRDefault="00DC11E3" w:rsidP="000F7BEC">
      <w:pPr>
        <w:spacing w:after="160" w:line="259" w:lineRule="auto"/>
        <w:rPr>
          <w:rFonts w:ascii="Calibri" w:eastAsia="Calibri" w:hAnsi="Calibri"/>
          <w:sz w:val="22"/>
          <w:szCs w:val="22"/>
        </w:rPr>
      </w:pPr>
      <w:r>
        <w:rPr>
          <w:rFonts w:ascii="Calibri" w:eastAsia="Calibri" w:hAnsi="Calibri"/>
          <w:sz w:val="22"/>
          <w:szCs w:val="22"/>
        </w:rPr>
        <w:t>Patients who don’t meet the criteria for testing through SPHL can be tested through commercial or reference laboratories</w:t>
      </w:r>
      <w:r w:rsidR="006A215F">
        <w:rPr>
          <w:rFonts w:ascii="Calibri" w:eastAsia="Calibri" w:hAnsi="Calibri"/>
          <w:sz w:val="22"/>
          <w:szCs w:val="22"/>
        </w:rPr>
        <w:t xml:space="preserve">. </w:t>
      </w:r>
      <w:r w:rsidR="006C4423">
        <w:rPr>
          <w:rFonts w:ascii="Calibri" w:eastAsia="Calibri" w:hAnsi="Calibri"/>
          <w:sz w:val="22"/>
          <w:szCs w:val="22"/>
        </w:rPr>
        <w:t xml:space="preserve">Healthcare providers should consider </w:t>
      </w:r>
      <w:r w:rsidR="00ED462D">
        <w:rPr>
          <w:rFonts w:ascii="Calibri" w:eastAsia="Calibri" w:hAnsi="Calibri"/>
          <w:sz w:val="22"/>
          <w:szCs w:val="22"/>
        </w:rPr>
        <w:t xml:space="preserve">ordering diagnostic </w:t>
      </w:r>
      <w:r w:rsidR="006C4423">
        <w:rPr>
          <w:rFonts w:ascii="Calibri" w:eastAsia="Calibri" w:hAnsi="Calibri"/>
          <w:sz w:val="22"/>
          <w:szCs w:val="22"/>
        </w:rPr>
        <w:t>test</w:t>
      </w:r>
      <w:r w:rsidR="00ED462D">
        <w:rPr>
          <w:rFonts w:ascii="Calibri" w:eastAsia="Calibri" w:hAnsi="Calibri"/>
          <w:sz w:val="22"/>
          <w:szCs w:val="22"/>
        </w:rPr>
        <w:t>s</w:t>
      </w:r>
      <w:r w:rsidR="006C4423">
        <w:rPr>
          <w:rFonts w:ascii="Calibri" w:eastAsia="Calibri" w:hAnsi="Calibri"/>
          <w:sz w:val="22"/>
          <w:szCs w:val="22"/>
        </w:rPr>
        <w:t xml:space="preserve"> for other infections, as clinically indicated, in addition to monkeypox virus. </w:t>
      </w:r>
      <w:r w:rsidR="00FF78FC">
        <w:rPr>
          <w:rFonts w:ascii="Calibri" w:eastAsia="Calibri" w:hAnsi="Calibri"/>
          <w:sz w:val="22"/>
          <w:szCs w:val="22"/>
        </w:rPr>
        <w:t>As of the date of this guidance, testing is available through:</w:t>
      </w:r>
    </w:p>
    <w:p w14:paraId="1CD70ABE" w14:textId="12E6DCCC" w:rsidR="00D4783E" w:rsidRDefault="00D4783E" w:rsidP="00777760">
      <w:pPr>
        <w:pStyle w:val="ListParagraph"/>
        <w:numPr>
          <w:ilvl w:val="0"/>
          <w:numId w:val="8"/>
        </w:numPr>
        <w:spacing w:after="160" w:line="259" w:lineRule="auto"/>
        <w:rPr>
          <w:rFonts w:ascii="Calibri" w:eastAsia="Calibri" w:hAnsi="Calibri"/>
          <w:sz w:val="22"/>
          <w:szCs w:val="22"/>
        </w:rPr>
      </w:pPr>
      <w:r w:rsidRPr="006A215F">
        <w:rPr>
          <w:rFonts w:ascii="Calibri" w:eastAsia="Calibri" w:hAnsi="Calibri"/>
          <w:b/>
          <w:bCs/>
          <w:sz w:val="22"/>
          <w:szCs w:val="22"/>
        </w:rPr>
        <w:t>Labcorp</w:t>
      </w:r>
      <w:r>
        <w:rPr>
          <w:rFonts w:ascii="Calibri" w:eastAsia="Calibri" w:hAnsi="Calibri"/>
          <w:sz w:val="22"/>
          <w:szCs w:val="22"/>
        </w:rPr>
        <w:t xml:space="preserve"> </w:t>
      </w:r>
      <w:hyperlink r:id="rId11" w:history="1">
        <w:r w:rsidRPr="00D4783E">
          <w:rPr>
            <w:rStyle w:val="Hyperlink"/>
            <w:rFonts w:ascii="Calibri" w:eastAsia="Calibri" w:hAnsi="Calibri"/>
            <w:sz w:val="22"/>
            <w:szCs w:val="22"/>
          </w:rPr>
          <w:t xml:space="preserve">https://www.labcorp.com/tests/140230/monkeypox-orthopoxvirus-dna-pcr </w:t>
        </w:r>
      </w:hyperlink>
      <w:r>
        <w:rPr>
          <w:rFonts w:ascii="Calibri" w:eastAsia="Calibri" w:hAnsi="Calibri"/>
          <w:sz w:val="22"/>
          <w:szCs w:val="22"/>
        </w:rPr>
        <w:t xml:space="preserve"> </w:t>
      </w:r>
    </w:p>
    <w:p w14:paraId="0B069B19" w14:textId="59E40D17" w:rsidR="00777760" w:rsidRPr="009F3734" w:rsidRDefault="00777760" w:rsidP="00777760">
      <w:pPr>
        <w:pStyle w:val="ListParagraph"/>
        <w:numPr>
          <w:ilvl w:val="0"/>
          <w:numId w:val="8"/>
        </w:numPr>
        <w:spacing w:after="160" w:line="259" w:lineRule="auto"/>
        <w:rPr>
          <w:rFonts w:ascii="Calibri" w:eastAsia="Calibri" w:hAnsi="Calibri"/>
          <w:sz w:val="22"/>
          <w:szCs w:val="22"/>
        </w:rPr>
      </w:pPr>
      <w:r w:rsidRPr="006A215F">
        <w:rPr>
          <w:rFonts w:ascii="Calibri" w:eastAsia="Calibri" w:hAnsi="Calibri"/>
          <w:b/>
          <w:bCs/>
          <w:sz w:val="22"/>
          <w:szCs w:val="22"/>
        </w:rPr>
        <w:t>Quest Diagnostics</w:t>
      </w:r>
      <w:r>
        <w:rPr>
          <w:rFonts w:ascii="Calibri" w:eastAsia="Calibri" w:hAnsi="Calibri"/>
          <w:sz w:val="22"/>
          <w:szCs w:val="22"/>
        </w:rPr>
        <w:t xml:space="preserve"> </w:t>
      </w:r>
      <w:hyperlink r:id="rId12" w:history="1">
        <w:r w:rsidRPr="00777760">
          <w:rPr>
            <w:rStyle w:val="Hyperlink"/>
            <w:rFonts w:ascii="Calibri" w:eastAsia="Calibri" w:hAnsi="Calibri"/>
            <w:sz w:val="22"/>
            <w:szCs w:val="22"/>
          </w:rPr>
          <w:t>https://testdirectory.questdiagnostics.com/test/test-detail/12084/monkeypox-virus-dna-qualitative-real-time-pcr?q=monkeypox&amp;cc=MASTER</w:t>
        </w:r>
      </w:hyperlink>
      <w:r w:rsidRPr="009F3734">
        <w:rPr>
          <w:rFonts w:ascii="Calibri" w:eastAsia="Calibri" w:hAnsi="Calibri"/>
          <w:sz w:val="22"/>
          <w:szCs w:val="22"/>
        </w:rPr>
        <w:t xml:space="preserve"> </w:t>
      </w:r>
    </w:p>
    <w:p w14:paraId="3EB39A85" w14:textId="6B7F18E0" w:rsidR="00777760" w:rsidRDefault="00D4783E" w:rsidP="00777760">
      <w:pPr>
        <w:pStyle w:val="ListParagraph"/>
        <w:numPr>
          <w:ilvl w:val="0"/>
          <w:numId w:val="8"/>
        </w:numPr>
        <w:spacing w:after="160" w:line="259" w:lineRule="auto"/>
        <w:rPr>
          <w:rFonts w:ascii="Calibri" w:eastAsia="Calibri" w:hAnsi="Calibri"/>
          <w:sz w:val="22"/>
          <w:szCs w:val="22"/>
        </w:rPr>
      </w:pPr>
      <w:r w:rsidRPr="006A215F">
        <w:rPr>
          <w:rFonts w:ascii="Calibri" w:eastAsia="Calibri" w:hAnsi="Calibri"/>
          <w:b/>
          <w:bCs/>
          <w:sz w:val="22"/>
          <w:szCs w:val="22"/>
        </w:rPr>
        <w:t>Aegis Sciences Corporation</w:t>
      </w:r>
      <w:r>
        <w:rPr>
          <w:rFonts w:ascii="Calibri" w:eastAsia="Calibri" w:hAnsi="Calibri"/>
          <w:sz w:val="22"/>
          <w:szCs w:val="22"/>
        </w:rPr>
        <w:t xml:space="preserve"> </w:t>
      </w:r>
      <w:hyperlink r:id="rId13" w:history="1">
        <w:r w:rsidRPr="0053603E">
          <w:rPr>
            <w:rStyle w:val="Hyperlink"/>
            <w:rFonts w:ascii="Calibri" w:eastAsia="Calibri" w:hAnsi="Calibri"/>
            <w:sz w:val="22"/>
            <w:szCs w:val="22"/>
          </w:rPr>
          <w:t>https://www.aegislabs.com/our-services/monkeypox</w:t>
        </w:r>
      </w:hyperlink>
      <w:r>
        <w:rPr>
          <w:rFonts w:ascii="Calibri" w:eastAsia="Calibri" w:hAnsi="Calibri"/>
          <w:sz w:val="22"/>
          <w:szCs w:val="22"/>
        </w:rPr>
        <w:t xml:space="preserve"> </w:t>
      </w:r>
    </w:p>
    <w:p w14:paraId="05EA349A" w14:textId="0506BA1D" w:rsidR="00D4783E" w:rsidRPr="009F3734" w:rsidRDefault="00D4783E" w:rsidP="009F3734">
      <w:pPr>
        <w:pStyle w:val="ListParagraph"/>
        <w:numPr>
          <w:ilvl w:val="0"/>
          <w:numId w:val="8"/>
        </w:numPr>
        <w:spacing w:after="160" w:line="259" w:lineRule="auto"/>
        <w:rPr>
          <w:rFonts w:ascii="Calibri" w:eastAsia="Calibri" w:hAnsi="Calibri"/>
          <w:sz w:val="22"/>
          <w:szCs w:val="22"/>
        </w:rPr>
      </w:pPr>
      <w:r w:rsidRPr="006A215F">
        <w:rPr>
          <w:rFonts w:ascii="Calibri" w:eastAsia="Calibri" w:hAnsi="Calibri"/>
          <w:b/>
          <w:bCs/>
          <w:sz w:val="22"/>
          <w:szCs w:val="22"/>
        </w:rPr>
        <w:t>Sonic Reference Laboratory</w:t>
      </w:r>
      <w:r>
        <w:rPr>
          <w:rFonts w:ascii="Calibri" w:eastAsia="Calibri" w:hAnsi="Calibri"/>
          <w:sz w:val="22"/>
          <w:szCs w:val="22"/>
        </w:rPr>
        <w:t xml:space="preserve"> </w:t>
      </w:r>
      <w:hyperlink r:id="rId14" w:history="1">
        <w:r w:rsidRPr="00D4783E">
          <w:rPr>
            <w:rStyle w:val="Hyperlink"/>
            <w:rFonts w:ascii="Calibri" w:eastAsia="Calibri" w:hAnsi="Calibri"/>
            <w:sz w:val="22"/>
            <w:szCs w:val="22"/>
          </w:rPr>
          <w:t>https://directory.sonicreferencelab.com/tests?iframe_layout=srl</w:t>
        </w:r>
      </w:hyperlink>
      <w:r>
        <w:rPr>
          <w:rFonts w:ascii="Calibri" w:eastAsia="Calibri" w:hAnsi="Calibri"/>
          <w:sz w:val="22"/>
          <w:szCs w:val="22"/>
        </w:rPr>
        <w:t xml:space="preserve">  </w:t>
      </w:r>
    </w:p>
    <w:p w14:paraId="70CD6211" w14:textId="0423F9BA" w:rsidR="000F7BEC" w:rsidRPr="00CF4793" w:rsidRDefault="000F7BEC" w:rsidP="000F7BEC">
      <w:pPr>
        <w:spacing w:after="160" w:line="259" w:lineRule="auto"/>
        <w:rPr>
          <w:rFonts w:ascii="Calibri" w:hAnsi="Calibri" w:cs="Calibri"/>
          <w:b/>
          <w:bCs/>
          <w:color w:val="000000"/>
          <w:szCs w:val="24"/>
        </w:rPr>
      </w:pPr>
      <w:r w:rsidRPr="00CF4793">
        <w:rPr>
          <w:rFonts w:ascii="Calibri" w:hAnsi="Calibri" w:cs="Calibri"/>
          <w:b/>
          <w:bCs/>
          <w:color w:val="000000"/>
          <w:szCs w:val="24"/>
        </w:rPr>
        <w:t xml:space="preserve">Questions </w:t>
      </w:r>
      <w:r w:rsidR="006A215F">
        <w:rPr>
          <w:rFonts w:ascii="Calibri" w:hAnsi="Calibri" w:cs="Calibri"/>
          <w:b/>
          <w:bCs/>
          <w:color w:val="000000"/>
          <w:szCs w:val="24"/>
        </w:rPr>
        <w:t xml:space="preserve">about testing </w:t>
      </w:r>
      <w:r w:rsidRPr="00CF4793">
        <w:rPr>
          <w:rFonts w:ascii="Calibri" w:hAnsi="Calibri" w:cs="Calibri"/>
          <w:b/>
          <w:bCs/>
          <w:color w:val="000000"/>
          <w:szCs w:val="24"/>
        </w:rPr>
        <w:t>should be directed to the MDPH Division of Epidemiology at (617) 983-6800 available 24/7.</w:t>
      </w:r>
    </w:p>
    <w:p w14:paraId="6630B929" w14:textId="463C874D" w:rsidR="000F7BEC" w:rsidRPr="00CF4793" w:rsidRDefault="00166F4E" w:rsidP="000F7BEC">
      <w:pPr>
        <w:spacing w:after="160" w:line="259" w:lineRule="auto"/>
        <w:rPr>
          <w:rFonts w:ascii="Calibri" w:eastAsia="Calibri" w:hAnsi="Calibri"/>
          <w:b/>
          <w:bCs/>
          <w:sz w:val="22"/>
          <w:szCs w:val="22"/>
          <w:u w:val="single"/>
        </w:rPr>
      </w:pPr>
      <w:bookmarkStart w:id="0" w:name="_Hlk109647204"/>
      <w:r>
        <w:rPr>
          <w:rFonts w:ascii="Calibri" w:eastAsia="Calibri" w:hAnsi="Calibri"/>
          <w:b/>
          <w:bCs/>
          <w:sz w:val="22"/>
          <w:szCs w:val="22"/>
          <w:u w:val="single"/>
        </w:rPr>
        <w:t>PUBLIC HEALTH RECOMMENDATIONS PENDING TEST RESULTS</w:t>
      </w:r>
      <w:r w:rsidR="000F7BEC" w:rsidRPr="00CF4793">
        <w:rPr>
          <w:rFonts w:ascii="Calibri" w:eastAsia="Calibri" w:hAnsi="Calibri"/>
          <w:b/>
          <w:bCs/>
          <w:sz w:val="22"/>
          <w:szCs w:val="22"/>
          <w:u w:val="single"/>
        </w:rPr>
        <w:t>:</w:t>
      </w:r>
    </w:p>
    <w:bookmarkEnd w:id="0"/>
    <w:p w14:paraId="43596543" w14:textId="21B3FEAC" w:rsidR="00CF4793" w:rsidRDefault="00CF4793" w:rsidP="00CF4793">
      <w:pPr>
        <w:spacing w:after="160" w:line="259" w:lineRule="auto"/>
        <w:rPr>
          <w:rFonts w:ascii="Calibri" w:eastAsia="Calibri" w:hAnsi="Calibri"/>
          <w:sz w:val="22"/>
          <w:szCs w:val="22"/>
        </w:rPr>
      </w:pPr>
      <w:r w:rsidRPr="00CF4793">
        <w:rPr>
          <w:rFonts w:ascii="Calibri" w:eastAsia="Calibri" w:hAnsi="Calibri"/>
          <w:sz w:val="22"/>
          <w:szCs w:val="22"/>
        </w:rPr>
        <w:t xml:space="preserve">Anyone who is being tested for monkeypox is considered a Person Under Investigation (PUI) and </w:t>
      </w:r>
      <w:r w:rsidR="00166F4E">
        <w:rPr>
          <w:rFonts w:ascii="Calibri" w:eastAsia="Calibri" w:hAnsi="Calibri"/>
          <w:sz w:val="22"/>
          <w:szCs w:val="22"/>
        </w:rPr>
        <w:t xml:space="preserve">should </w:t>
      </w:r>
      <w:r w:rsidR="00142316">
        <w:rPr>
          <w:rFonts w:ascii="Calibri" w:eastAsia="Calibri" w:hAnsi="Calibri"/>
          <w:sz w:val="22"/>
          <w:szCs w:val="22"/>
        </w:rPr>
        <w:t xml:space="preserve">be told to </w:t>
      </w:r>
      <w:r w:rsidRPr="00CF4793">
        <w:rPr>
          <w:rFonts w:ascii="Calibri" w:eastAsia="Calibri" w:hAnsi="Calibri"/>
          <w:sz w:val="22"/>
          <w:szCs w:val="22"/>
        </w:rPr>
        <w:t>isolate pending test results. Isolation at home is preferred and means staying away from household members</w:t>
      </w:r>
      <w:r w:rsidR="00A84452">
        <w:rPr>
          <w:rFonts w:ascii="Calibri" w:eastAsia="Calibri" w:hAnsi="Calibri"/>
          <w:sz w:val="22"/>
          <w:szCs w:val="22"/>
        </w:rPr>
        <w:t xml:space="preserve"> to the extent possible</w:t>
      </w:r>
      <w:r w:rsidRPr="00CF4793">
        <w:rPr>
          <w:rFonts w:ascii="Calibri" w:eastAsia="Calibri" w:hAnsi="Calibri"/>
          <w:sz w:val="22"/>
          <w:szCs w:val="22"/>
        </w:rPr>
        <w:t xml:space="preserve">. </w:t>
      </w:r>
      <w:r w:rsidR="00A84452">
        <w:rPr>
          <w:rFonts w:ascii="Calibri" w:eastAsia="Calibri" w:hAnsi="Calibri"/>
          <w:sz w:val="22"/>
          <w:szCs w:val="22"/>
        </w:rPr>
        <w:t>The PUI should cover all lesions</w:t>
      </w:r>
      <w:r w:rsidR="00A84452" w:rsidRPr="00CF4793">
        <w:rPr>
          <w:rFonts w:ascii="Calibri" w:eastAsia="Calibri" w:hAnsi="Calibri"/>
          <w:sz w:val="22"/>
          <w:szCs w:val="22"/>
        </w:rPr>
        <w:t xml:space="preserve"> </w:t>
      </w:r>
      <w:r w:rsidR="00142316">
        <w:rPr>
          <w:rFonts w:ascii="Calibri" w:eastAsia="Calibri" w:hAnsi="Calibri"/>
          <w:sz w:val="22"/>
          <w:szCs w:val="22"/>
        </w:rPr>
        <w:t>and wear a mask at any time they are around anyone else. H</w:t>
      </w:r>
      <w:r w:rsidRPr="00CF4793">
        <w:rPr>
          <w:rFonts w:ascii="Calibri" w:eastAsia="Calibri" w:hAnsi="Calibri"/>
          <w:sz w:val="22"/>
          <w:szCs w:val="22"/>
        </w:rPr>
        <w:t xml:space="preserve">ousehold members should </w:t>
      </w:r>
      <w:r w:rsidR="00142316">
        <w:rPr>
          <w:rFonts w:ascii="Calibri" w:eastAsia="Calibri" w:hAnsi="Calibri"/>
          <w:sz w:val="22"/>
          <w:szCs w:val="22"/>
        </w:rPr>
        <w:t xml:space="preserve">also </w:t>
      </w:r>
      <w:r w:rsidRPr="00CF4793">
        <w:rPr>
          <w:rFonts w:ascii="Calibri" w:eastAsia="Calibri" w:hAnsi="Calibri"/>
          <w:sz w:val="22"/>
          <w:szCs w:val="22"/>
        </w:rPr>
        <w:t>mask if they must be in the same room</w:t>
      </w:r>
      <w:r w:rsidR="00142316">
        <w:rPr>
          <w:rFonts w:ascii="Calibri" w:eastAsia="Calibri" w:hAnsi="Calibri"/>
          <w:sz w:val="22"/>
          <w:szCs w:val="22"/>
        </w:rPr>
        <w:t>.</w:t>
      </w:r>
      <w:r w:rsidRPr="00CF4793">
        <w:rPr>
          <w:rFonts w:ascii="Calibri" w:eastAsia="Calibri" w:hAnsi="Calibri"/>
          <w:sz w:val="22"/>
          <w:szCs w:val="22"/>
        </w:rPr>
        <w:t xml:space="preserve"> </w:t>
      </w:r>
      <w:r w:rsidR="00142316">
        <w:rPr>
          <w:rFonts w:ascii="Calibri" w:eastAsia="Calibri" w:hAnsi="Calibri"/>
          <w:sz w:val="22"/>
          <w:szCs w:val="22"/>
        </w:rPr>
        <w:t xml:space="preserve">The PUI </w:t>
      </w:r>
      <w:r w:rsidR="00142316">
        <w:rPr>
          <w:rFonts w:ascii="Calibri" w:eastAsia="Calibri" w:hAnsi="Calibri"/>
          <w:sz w:val="22"/>
          <w:szCs w:val="22"/>
        </w:rPr>
        <w:lastRenderedPageBreak/>
        <w:t>should have their own bedroom and should use a separate bathroom from household members (if possible)</w:t>
      </w:r>
      <w:r w:rsidRPr="00CF4793">
        <w:rPr>
          <w:rFonts w:ascii="Calibri" w:eastAsia="Calibri" w:hAnsi="Calibri"/>
          <w:sz w:val="22"/>
          <w:szCs w:val="22"/>
        </w:rPr>
        <w:t>. Disinfection of high touch surfaces in a shared bathroom and kitchen between uses should be performed. Standard household cleaning/disinfectants may be used in accordance with the manufacturer’s instructions.</w:t>
      </w:r>
    </w:p>
    <w:p w14:paraId="113DE2CE" w14:textId="759A1619" w:rsidR="00791C64" w:rsidRDefault="00ED462D" w:rsidP="00CF4793">
      <w:pPr>
        <w:spacing w:after="160" w:line="259" w:lineRule="auto"/>
        <w:rPr>
          <w:rFonts w:ascii="Calibri" w:eastAsia="Calibri" w:hAnsi="Calibri"/>
          <w:b/>
          <w:bCs/>
          <w:sz w:val="22"/>
          <w:szCs w:val="22"/>
          <w:u w:val="single"/>
        </w:rPr>
      </w:pPr>
      <w:r w:rsidRPr="00ED462D">
        <w:rPr>
          <w:rFonts w:ascii="Calibri" w:eastAsia="Calibri" w:hAnsi="Calibri"/>
          <w:b/>
          <w:bCs/>
          <w:sz w:val="22"/>
          <w:szCs w:val="22"/>
          <w:u w:val="single"/>
        </w:rPr>
        <w:t>TREATMENT FOR MONKEYPOX</w:t>
      </w:r>
      <w:r>
        <w:rPr>
          <w:rFonts w:ascii="Calibri" w:eastAsia="Calibri" w:hAnsi="Calibri"/>
          <w:b/>
          <w:bCs/>
          <w:sz w:val="22"/>
          <w:szCs w:val="22"/>
          <w:u w:val="single"/>
        </w:rPr>
        <w:t>:</w:t>
      </w:r>
    </w:p>
    <w:p w14:paraId="334EA5D5" w14:textId="37488C6C" w:rsidR="00ED462D" w:rsidRDefault="00ED462D" w:rsidP="00CF4793">
      <w:pPr>
        <w:spacing w:after="160" w:line="259" w:lineRule="auto"/>
        <w:rPr>
          <w:rFonts w:ascii="Calibri" w:eastAsia="Calibri" w:hAnsi="Calibri"/>
          <w:sz w:val="22"/>
          <w:szCs w:val="22"/>
        </w:rPr>
      </w:pPr>
      <w:r>
        <w:rPr>
          <w:rFonts w:ascii="Calibri" w:eastAsia="Calibri" w:hAnsi="Calibri"/>
          <w:sz w:val="22"/>
          <w:szCs w:val="22"/>
        </w:rPr>
        <w:t>Most cases associated with the recent outbreak have had self-limiting disease not requiring hospitalization. However, certain conditions are associated with the possibility of more severe disease. Although there is no treatment specifically approved for monkeypox virus infections, the antiviral Tecovirimat</w:t>
      </w:r>
      <w:r w:rsidR="007B2366">
        <w:rPr>
          <w:rFonts w:ascii="Calibri" w:eastAsia="Calibri" w:hAnsi="Calibri"/>
          <w:sz w:val="22"/>
          <w:szCs w:val="22"/>
        </w:rPr>
        <w:t xml:space="preserve"> (TPOXX), developed for use in patients with smallpox, is available for use</w:t>
      </w:r>
      <w:r w:rsidR="00BC7A97">
        <w:rPr>
          <w:rFonts w:ascii="Calibri" w:eastAsia="Calibri" w:hAnsi="Calibri"/>
          <w:sz w:val="22"/>
          <w:szCs w:val="22"/>
        </w:rPr>
        <w:t>, including presumptive use prior to laboratory test results</w:t>
      </w:r>
    </w:p>
    <w:p w14:paraId="5597CC5A" w14:textId="5B426481" w:rsidR="007B2366" w:rsidRDefault="007B2366" w:rsidP="00CF4793">
      <w:pPr>
        <w:spacing w:after="160" w:line="259" w:lineRule="auto"/>
        <w:rPr>
          <w:rFonts w:ascii="Calibri" w:eastAsia="Calibri" w:hAnsi="Calibri"/>
          <w:sz w:val="22"/>
          <w:szCs w:val="22"/>
        </w:rPr>
      </w:pPr>
      <w:r>
        <w:rPr>
          <w:rFonts w:ascii="Calibri" w:eastAsia="Calibri" w:hAnsi="Calibri"/>
          <w:sz w:val="22"/>
          <w:szCs w:val="22"/>
        </w:rPr>
        <w:t>Patients who should be considered for treatment include:</w:t>
      </w:r>
    </w:p>
    <w:p w14:paraId="70B6E2EF" w14:textId="77777777" w:rsidR="007B2366" w:rsidRDefault="007B2366" w:rsidP="007B2366">
      <w:pPr>
        <w:pStyle w:val="ListParagraph"/>
        <w:numPr>
          <w:ilvl w:val="0"/>
          <w:numId w:val="10"/>
        </w:numPr>
        <w:spacing w:after="160" w:line="259" w:lineRule="auto"/>
        <w:rPr>
          <w:rFonts w:ascii="Calibri" w:eastAsia="Calibri" w:hAnsi="Calibri"/>
          <w:sz w:val="22"/>
          <w:szCs w:val="22"/>
        </w:rPr>
      </w:pPr>
      <w:r w:rsidRPr="007B2366">
        <w:rPr>
          <w:rFonts w:ascii="Calibri" w:eastAsia="Calibri" w:hAnsi="Calibri"/>
          <w:sz w:val="22"/>
          <w:szCs w:val="22"/>
        </w:rPr>
        <w:t>People with severe disease (e.g., hemorrhagic disease, confluent lesions, sepsis, encephalitis, or other conditions requiring hospitalization</w:t>
      </w:r>
    </w:p>
    <w:p w14:paraId="234D2584" w14:textId="77777777" w:rsidR="007B2366" w:rsidRDefault="007B2366" w:rsidP="007B2366">
      <w:pPr>
        <w:pStyle w:val="ListParagraph"/>
        <w:numPr>
          <w:ilvl w:val="0"/>
          <w:numId w:val="10"/>
        </w:numPr>
        <w:spacing w:after="160" w:line="259" w:lineRule="auto"/>
        <w:rPr>
          <w:rFonts w:ascii="Calibri" w:eastAsia="Calibri" w:hAnsi="Calibri"/>
          <w:sz w:val="22"/>
          <w:szCs w:val="22"/>
        </w:rPr>
      </w:pPr>
      <w:r w:rsidRPr="007B2366">
        <w:rPr>
          <w:rFonts w:ascii="Calibri" w:eastAsia="Calibri" w:hAnsi="Calibri"/>
          <w:sz w:val="22"/>
          <w:szCs w:val="22"/>
        </w:rPr>
        <w:t>People who may be at high risk of severe disease:</w:t>
      </w:r>
    </w:p>
    <w:p w14:paraId="0B2A695E" w14:textId="63E28765" w:rsidR="007B2366" w:rsidRDefault="007B2366" w:rsidP="00CB69A6">
      <w:pPr>
        <w:pStyle w:val="ListParagraph"/>
        <w:numPr>
          <w:ilvl w:val="1"/>
          <w:numId w:val="10"/>
        </w:numPr>
        <w:spacing w:after="160" w:line="259" w:lineRule="auto"/>
        <w:rPr>
          <w:rFonts w:ascii="Calibri" w:eastAsia="Calibri" w:hAnsi="Calibri"/>
          <w:sz w:val="22"/>
          <w:szCs w:val="22"/>
        </w:rPr>
      </w:pPr>
      <w:r w:rsidRPr="007B2366">
        <w:rPr>
          <w:rFonts w:ascii="Calibri" w:eastAsia="Calibri" w:hAnsi="Calibri"/>
          <w:sz w:val="22"/>
          <w:szCs w:val="22"/>
        </w:rPr>
        <w:t>People with immunocompromise (e.g., human immunodeficiency virus/acquired immune deficiency syndrome infection, leukemia, lymphoma, generalized malignancy, solid organ transplantation, therapy with alkylating agents, antimetabolites, radiation, tumor necrosis factor inhibitors, high-dose corticosteroids, being a recipient with hematopoietic stem cell transplant &lt;24 months post-transplant or ≥24 months but with graft-versus-host disease or disease relapse, or having autoimmune disease with immunodeficiency as a clinical component)</w:t>
      </w:r>
    </w:p>
    <w:p w14:paraId="7AC906A2" w14:textId="77777777" w:rsidR="007B2366" w:rsidRDefault="007B2366" w:rsidP="00CB69A6">
      <w:pPr>
        <w:pStyle w:val="ListParagraph"/>
        <w:numPr>
          <w:ilvl w:val="1"/>
          <w:numId w:val="10"/>
        </w:numPr>
        <w:spacing w:after="160" w:line="259" w:lineRule="auto"/>
        <w:rPr>
          <w:rFonts w:ascii="Calibri" w:eastAsia="Calibri" w:hAnsi="Calibri"/>
          <w:sz w:val="22"/>
          <w:szCs w:val="22"/>
        </w:rPr>
      </w:pPr>
      <w:r w:rsidRPr="007B2366">
        <w:rPr>
          <w:rFonts w:ascii="Calibri" w:eastAsia="Calibri" w:hAnsi="Calibri"/>
          <w:sz w:val="22"/>
          <w:szCs w:val="22"/>
        </w:rPr>
        <w:t>Pediatric populations, particularly patients younger than 8 years of age</w:t>
      </w:r>
    </w:p>
    <w:p w14:paraId="7D885A2A" w14:textId="77777777" w:rsidR="007B2366" w:rsidRDefault="007B2366" w:rsidP="00CB69A6">
      <w:pPr>
        <w:pStyle w:val="ListParagraph"/>
        <w:numPr>
          <w:ilvl w:val="1"/>
          <w:numId w:val="10"/>
        </w:numPr>
        <w:spacing w:after="160" w:line="259" w:lineRule="auto"/>
        <w:rPr>
          <w:rFonts w:ascii="Calibri" w:eastAsia="Calibri" w:hAnsi="Calibri"/>
          <w:sz w:val="22"/>
          <w:szCs w:val="22"/>
        </w:rPr>
      </w:pPr>
      <w:r w:rsidRPr="007B2366">
        <w:rPr>
          <w:rFonts w:ascii="Calibri" w:eastAsia="Calibri" w:hAnsi="Calibri"/>
          <w:sz w:val="22"/>
          <w:szCs w:val="22"/>
        </w:rPr>
        <w:t>People with a history or presence of atopic dermatitis, persons with other active exfoliative skin conditions (e.g., eczema, burns, impetigo, varicella zoster virus infection, herpes simplex virus infection, severe acne, severe diaper dermatitis with extensive areas of denuded skin, psoriasis, or Darier disease [keratosis follicularis])</w:t>
      </w:r>
    </w:p>
    <w:p w14:paraId="43B279B4" w14:textId="77777777" w:rsidR="007B2366" w:rsidRDefault="007B2366" w:rsidP="00CB69A6">
      <w:pPr>
        <w:pStyle w:val="ListParagraph"/>
        <w:numPr>
          <w:ilvl w:val="1"/>
          <w:numId w:val="10"/>
        </w:numPr>
        <w:spacing w:after="160" w:line="259" w:lineRule="auto"/>
        <w:rPr>
          <w:rFonts w:ascii="Calibri" w:eastAsia="Calibri" w:hAnsi="Calibri"/>
          <w:sz w:val="22"/>
          <w:szCs w:val="22"/>
        </w:rPr>
      </w:pPr>
      <w:r w:rsidRPr="007B2366">
        <w:rPr>
          <w:rFonts w:ascii="Calibri" w:eastAsia="Calibri" w:hAnsi="Calibri"/>
          <w:sz w:val="22"/>
          <w:szCs w:val="22"/>
        </w:rPr>
        <w:t xml:space="preserve">Pregnant or breastfeeding </w:t>
      </w:r>
      <w:r>
        <w:rPr>
          <w:rFonts w:ascii="Calibri" w:eastAsia="Calibri" w:hAnsi="Calibri"/>
          <w:sz w:val="22"/>
          <w:szCs w:val="22"/>
        </w:rPr>
        <w:t>people</w:t>
      </w:r>
    </w:p>
    <w:p w14:paraId="6BAC6F3D" w14:textId="51347111" w:rsidR="007B2366" w:rsidRDefault="007B2366" w:rsidP="007B2366">
      <w:pPr>
        <w:pStyle w:val="ListParagraph"/>
        <w:numPr>
          <w:ilvl w:val="0"/>
          <w:numId w:val="10"/>
        </w:numPr>
        <w:spacing w:after="160" w:line="259" w:lineRule="auto"/>
        <w:rPr>
          <w:rFonts w:ascii="Calibri" w:eastAsia="Calibri" w:hAnsi="Calibri"/>
          <w:sz w:val="22"/>
          <w:szCs w:val="22"/>
        </w:rPr>
      </w:pPr>
      <w:r w:rsidRPr="007B2366">
        <w:rPr>
          <w:rFonts w:ascii="Calibri" w:eastAsia="Calibri" w:hAnsi="Calibri"/>
          <w:sz w:val="22"/>
          <w:szCs w:val="22"/>
        </w:rPr>
        <w:t>People with one or more complications (e.g., secondary bacterial skin infection; gastroenteritis with severe nausea/vomiting, diarrhea, or dehydration; bronchopneumonia; concurrent disease or other comorbidities)</w:t>
      </w:r>
    </w:p>
    <w:p w14:paraId="1D169630" w14:textId="10536DEA" w:rsidR="007B2366" w:rsidRPr="007B2366" w:rsidRDefault="007B2366" w:rsidP="007B2366">
      <w:pPr>
        <w:pStyle w:val="ListParagraph"/>
        <w:numPr>
          <w:ilvl w:val="0"/>
          <w:numId w:val="10"/>
        </w:numPr>
        <w:spacing w:after="160" w:line="259" w:lineRule="auto"/>
        <w:rPr>
          <w:rFonts w:ascii="Calibri" w:eastAsia="Calibri" w:hAnsi="Calibri"/>
          <w:sz w:val="22"/>
          <w:szCs w:val="22"/>
        </w:rPr>
      </w:pPr>
      <w:r w:rsidRPr="007B2366">
        <w:rPr>
          <w:rFonts w:ascii="Calibri" w:eastAsia="Calibri" w:hAnsi="Calibri"/>
          <w:sz w:val="22"/>
          <w:szCs w:val="22"/>
        </w:rPr>
        <w:t>People with monkeypox virus aberrant infections that include accidental implantation in eyes, mouth, or other anatomical areas where monkeypox virus infection might constitute a special hazard (e.g., the genitals or anus)</w:t>
      </w:r>
    </w:p>
    <w:p w14:paraId="4A793A2E" w14:textId="68AA3B7A" w:rsidR="00791C64" w:rsidRDefault="007B2366" w:rsidP="00CF4793">
      <w:pPr>
        <w:spacing w:after="160" w:line="259" w:lineRule="auto"/>
        <w:rPr>
          <w:rFonts w:ascii="Calibri" w:eastAsia="Calibri" w:hAnsi="Calibri"/>
          <w:sz w:val="22"/>
          <w:szCs w:val="22"/>
        </w:rPr>
      </w:pPr>
      <w:r>
        <w:rPr>
          <w:rFonts w:ascii="Calibri" w:eastAsia="Calibri" w:hAnsi="Calibri"/>
          <w:sz w:val="22"/>
          <w:szCs w:val="22"/>
        </w:rPr>
        <w:t xml:space="preserve">Because tecovirimat is not approved for use for monkeypox virus infection, it is </w:t>
      </w:r>
      <w:r w:rsidR="00FC3BA9">
        <w:rPr>
          <w:rFonts w:ascii="Calibri" w:eastAsia="Calibri" w:hAnsi="Calibri"/>
          <w:sz w:val="22"/>
          <w:szCs w:val="22"/>
        </w:rPr>
        <w:t xml:space="preserve">available for use under an EA-IND. However, treatment can be initiated prior to completing the EA-IND process as long as patient consent has been obtained. More information about tecovirimat is available here:  </w:t>
      </w:r>
      <w:hyperlink r:id="rId15" w:history="1">
        <w:r w:rsidR="00FC3BA9" w:rsidRPr="0053603E">
          <w:rPr>
            <w:rStyle w:val="Hyperlink"/>
            <w:rFonts w:ascii="Calibri" w:eastAsia="Calibri" w:hAnsi="Calibri"/>
            <w:sz w:val="22"/>
            <w:szCs w:val="22"/>
          </w:rPr>
          <w:t>https://www.cdc.gov/poxvirus/monkeypox/clinicians/Tecovirimat.html</w:t>
        </w:r>
      </w:hyperlink>
      <w:r w:rsidR="00FC3BA9">
        <w:rPr>
          <w:rFonts w:ascii="Calibri" w:eastAsia="Calibri" w:hAnsi="Calibri"/>
          <w:sz w:val="22"/>
          <w:szCs w:val="22"/>
        </w:rPr>
        <w:t xml:space="preserve"> and the process for obtaining the drug is available here: </w:t>
      </w:r>
      <w:hyperlink r:id="rId16" w:history="1">
        <w:r w:rsidR="00FC3BA9" w:rsidRPr="0053603E">
          <w:rPr>
            <w:rStyle w:val="Hyperlink"/>
            <w:rFonts w:ascii="Calibri" w:eastAsia="Calibri" w:hAnsi="Calibri"/>
            <w:sz w:val="22"/>
            <w:szCs w:val="22"/>
          </w:rPr>
          <w:t>https://www.cdc.gov/poxvirus/monkeypox/clinicians/obtaining-tecovirimat.html</w:t>
        </w:r>
      </w:hyperlink>
      <w:r w:rsidR="00FC3BA9">
        <w:rPr>
          <w:rFonts w:ascii="Calibri" w:eastAsia="Calibri" w:hAnsi="Calibri"/>
          <w:sz w:val="22"/>
          <w:szCs w:val="22"/>
        </w:rPr>
        <w:t xml:space="preserve">. </w:t>
      </w:r>
    </w:p>
    <w:p w14:paraId="65B8A444" w14:textId="7782A296" w:rsidR="00CE78AA" w:rsidRDefault="00CE78AA" w:rsidP="00CF4793">
      <w:pPr>
        <w:spacing w:after="160" w:line="259" w:lineRule="auto"/>
        <w:rPr>
          <w:rFonts w:ascii="Calibri" w:eastAsia="Calibri" w:hAnsi="Calibri"/>
          <w:sz w:val="22"/>
          <w:szCs w:val="22"/>
        </w:rPr>
      </w:pPr>
    </w:p>
    <w:p w14:paraId="50387408" w14:textId="77777777" w:rsidR="001232C2" w:rsidRDefault="001232C2" w:rsidP="00CF4793">
      <w:pPr>
        <w:spacing w:after="160" w:line="259" w:lineRule="auto"/>
        <w:rPr>
          <w:rFonts w:asciiTheme="minorHAnsi" w:eastAsia="Calibri" w:hAnsiTheme="minorHAnsi" w:cstheme="minorHAnsi"/>
          <w:b/>
          <w:bCs/>
          <w:sz w:val="22"/>
          <w:szCs w:val="22"/>
          <w:u w:val="single"/>
        </w:rPr>
      </w:pPr>
    </w:p>
    <w:p w14:paraId="3E897873" w14:textId="77777777" w:rsidR="001232C2" w:rsidRDefault="001232C2" w:rsidP="00CF4793">
      <w:pPr>
        <w:spacing w:after="160" w:line="259" w:lineRule="auto"/>
        <w:rPr>
          <w:rFonts w:asciiTheme="minorHAnsi" w:eastAsia="Calibri" w:hAnsiTheme="minorHAnsi" w:cstheme="minorHAnsi"/>
          <w:b/>
          <w:bCs/>
          <w:sz w:val="22"/>
          <w:szCs w:val="22"/>
          <w:u w:val="single"/>
        </w:rPr>
      </w:pPr>
    </w:p>
    <w:p w14:paraId="69A4452F" w14:textId="20C84846" w:rsidR="00CE78AA" w:rsidRPr="00E76C5A" w:rsidRDefault="00CE78AA" w:rsidP="00CF4793">
      <w:pPr>
        <w:spacing w:after="160" w:line="259" w:lineRule="auto"/>
        <w:rPr>
          <w:rFonts w:asciiTheme="minorHAnsi" w:eastAsia="Calibri" w:hAnsiTheme="minorHAnsi" w:cstheme="minorHAnsi"/>
          <w:b/>
          <w:bCs/>
          <w:sz w:val="22"/>
          <w:szCs w:val="22"/>
          <w:u w:val="single"/>
        </w:rPr>
      </w:pPr>
      <w:r w:rsidRPr="00E76C5A">
        <w:rPr>
          <w:rFonts w:asciiTheme="minorHAnsi" w:eastAsia="Calibri" w:hAnsiTheme="minorHAnsi" w:cstheme="minorHAnsi"/>
          <w:b/>
          <w:bCs/>
          <w:sz w:val="22"/>
          <w:szCs w:val="22"/>
          <w:u w:val="single"/>
        </w:rPr>
        <w:lastRenderedPageBreak/>
        <w:t>POST</w:t>
      </w:r>
      <w:r w:rsidR="00E76C5A">
        <w:rPr>
          <w:rFonts w:asciiTheme="minorHAnsi" w:eastAsia="Calibri" w:hAnsiTheme="minorHAnsi" w:cstheme="minorHAnsi"/>
          <w:b/>
          <w:bCs/>
          <w:sz w:val="22"/>
          <w:szCs w:val="22"/>
          <w:u w:val="single"/>
        </w:rPr>
        <w:t>-</w:t>
      </w:r>
      <w:r w:rsidRPr="00E76C5A">
        <w:rPr>
          <w:rFonts w:asciiTheme="minorHAnsi" w:eastAsia="Calibri" w:hAnsiTheme="minorHAnsi" w:cstheme="minorHAnsi"/>
          <w:b/>
          <w:bCs/>
          <w:sz w:val="22"/>
          <w:szCs w:val="22"/>
          <w:u w:val="single"/>
        </w:rPr>
        <w:t>EXPOSURE VACCINATION FOR HIGH RISK MONKEYPOX CONTACTS:</w:t>
      </w:r>
    </w:p>
    <w:p w14:paraId="4E3E416E" w14:textId="743F2273" w:rsidR="00CF4793" w:rsidRDefault="00E76C5A" w:rsidP="00CF4793">
      <w:pPr>
        <w:rPr>
          <w:rFonts w:asciiTheme="minorHAnsi" w:hAnsiTheme="minorHAnsi" w:cstheme="minorHAnsi"/>
          <w:sz w:val="22"/>
          <w:szCs w:val="22"/>
        </w:rPr>
      </w:pPr>
      <w:r w:rsidRPr="00E76C5A">
        <w:rPr>
          <w:rFonts w:asciiTheme="minorHAnsi" w:hAnsiTheme="minorHAnsi" w:cstheme="minorHAnsi"/>
          <w:sz w:val="22"/>
          <w:szCs w:val="22"/>
        </w:rPr>
        <w:t xml:space="preserve">People who </w:t>
      </w:r>
      <w:r>
        <w:rPr>
          <w:rFonts w:asciiTheme="minorHAnsi" w:hAnsiTheme="minorHAnsi" w:cstheme="minorHAnsi"/>
          <w:sz w:val="22"/>
          <w:szCs w:val="22"/>
        </w:rPr>
        <w:t>are known or presumed to have been exposed</w:t>
      </w:r>
      <w:r w:rsidRPr="00E76C5A">
        <w:rPr>
          <w:rFonts w:asciiTheme="minorHAnsi" w:hAnsiTheme="minorHAnsi" w:cstheme="minorHAnsi"/>
          <w:sz w:val="22"/>
          <w:szCs w:val="22"/>
        </w:rPr>
        <w:t xml:space="preserve"> to monkeypox</w:t>
      </w:r>
      <w:r>
        <w:rPr>
          <w:rFonts w:asciiTheme="minorHAnsi" w:hAnsiTheme="minorHAnsi" w:cstheme="minorHAnsi"/>
          <w:sz w:val="22"/>
          <w:szCs w:val="22"/>
        </w:rPr>
        <w:t xml:space="preserve"> are eligible to receive post-exposure vaccination with JYNNEOS. </w:t>
      </w:r>
      <w:r w:rsidR="00302DAC">
        <w:rPr>
          <w:rFonts w:asciiTheme="minorHAnsi" w:hAnsiTheme="minorHAnsi" w:cstheme="minorHAnsi"/>
          <w:sz w:val="22"/>
          <w:szCs w:val="22"/>
        </w:rPr>
        <w:t xml:space="preserve">Vaccine is recommended to be administered within 4 days after exposure to prevent onset of disease but may be administered up to 14 days after exposure to help reduce disease severity. </w:t>
      </w:r>
      <w:r>
        <w:rPr>
          <w:rFonts w:asciiTheme="minorHAnsi" w:hAnsiTheme="minorHAnsi" w:cstheme="minorHAnsi"/>
          <w:sz w:val="22"/>
          <w:szCs w:val="22"/>
        </w:rPr>
        <w:t>In the United States, the vaccine is being distributed only from the CDC; Massachusetts has received several allocations of vaccine already and more vaccine is expected to become available.</w:t>
      </w:r>
      <w:r w:rsidR="00302DAC">
        <w:rPr>
          <w:rFonts w:asciiTheme="minorHAnsi" w:hAnsiTheme="minorHAnsi" w:cstheme="minorHAnsi"/>
          <w:sz w:val="22"/>
          <w:szCs w:val="22"/>
        </w:rPr>
        <w:t xml:space="preserve"> </w:t>
      </w:r>
    </w:p>
    <w:p w14:paraId="35199BAD" w14:textId="3276061A" w:rsidR="00302DAC" w:rsidRDefault="00302DAC" w:rsidP="00CF4793">
      <w:pPr>
        <w:rPr>
          <w:rFonts w:asciiTheme="minorHAnsi" w:hAnsiTheme="minorHAnsi" w:cstheme="minorHAnsi"/>
          <w:sz w:val="22"/>
          <w:szCs w:val="22"/>
        </w:rPr>
      </w:pPr>
    </w:p>
    <w:p w14:paraId="74D4ED82" w14:textId="5E641DBC" w:rsidR="00302DAC" w:rsidRPr="00E76C5A" w:rsidRDefault="00302DAC" w:rsidP="00CF4793">
      <w:pPr>
        <w:rPr>
          <w:rFonts w:asciiTheme="minorHAnsi" w:hAnsiTheme="minorHAnsi" w:cstheme="minorHAnsi"/>
          <w:sz w:val="22"/>
          <w:szCs w:val="22"/>
        </w:rPr>
      </w:pPr>
      <w:r>
        <w:rPr>
          <w:rFonts w:asciiTheme="minorHAnsi" w:hAnsiTheme="minorHAnsi" w:cstheme="minorHAnsi"/>
          <w:sz w:val="22"/>
          <w:szCs w:val="22"/>
        </w:rPr>
        <w:t xml:space="preserve">Current information about who is eligible to receive vaccine and where to access it is available on the DPH website here: </w:t>
      </w:r>
      <w:hyperlink r:id="rId17" w:history="1">
        <w:r w:rsidRPr="004006A4">
          <w:rPr>
            <w:rStyle w:val="Hyperlink"/>
            <w:rFonts w:asciiTheme="minorHAnsi" w:hAnsiTheme="minorHAnsi" w:cstheme="minorHAnsi"/>
            <w:sz w:val="22"/>
            <w:szCs w:val="22"/>
          </w:rPr>
          <w:t>https://www.mass.gov/info-details/monkeypox-vaccination</w:t>
        </w:r>
      </w:hyperlink>
      <w:r>
        <w:rPr>
          <w:rFonts w:asciiTheme="minorHAnsi" w:hAnsiTheme="minorHAnsi" w:cstheme="minorHAnsi"/>
          <w:sz w:val="22"/>
          <w:szCs w:val="22"/>
        </w:rPr>
        <w:t xml:space="preserve">. </w:t>
      </w:r>
    </w:p>
    <w:sectPr w:rsidR="00302DAC" w:rsidRPr="00E76C5A" w:rsidSect="00CB69A6">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1F14" w14:textId="77777777" w:rsidR="00D07FEF" w:rsidRDefault="00D07FEF" w:rsidP="003F190D">
      <w:r>
        <w:separator/>
      </w:r>
    </w:p>
  </w:endnote>
  <w:endnote w:type="continuationSeparator" w:id="0">
    <w:p w14:paraId="2924E334" w14:textId="77777777" w:rsidR="00D07FEF" w:rsidRDefault="00D07FEF" w:rsidP="003F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3157" w14:textId="77777777" w:rsidR="00D07FEF" w:rsidRDefault="00D07FEF" w:rsidP="003F190D">
      <w:r>
        <w:separator/>
      </w:r>
    </w:p>
  </w:footnote>
  <w:footnote w:type="continuationSeparator" w:id="0">
    <w:p w14:paraId="5E7841E0" w14:textId="77777777" w:rsidR="00D07FEF" w:rsidRDefault="00D07FEF" w:rsidP="003F1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0F2"/>
    <w:multiLevelType w:val="hybridMultilevel"/>
    <w:tmpl w:val="34F2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5C0B"/>
    <w:multiLevelType w:val="hybridMultilevel"/>
    <w:tmpl w:val="BFFE1C16"/>
    <w:lvl w:ilvl="0" w:tplc="6222314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84F26"/>
    <w:multiLevelType w:val="hybridMultilevel"/>
    <w:tmpl w:val="6FF2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2FD6"/>
    <w:multiLevelType w:val="hybridMultilevel"/>
    <w:tmpl w:val="34F2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02EE6"/>
    <w:multiLevelType w:val="hybridMultilevel"/>
    <w:tmpl w:val="D66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79001A"/>
    <w:multiLevelType w:val="hybridMultilevel"/>
    <w:tmpl w:val="40F4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74093"/>
    <w:multiLevelType w:val="hybridMultilevel"/>
    <w:tmpl w:val="019A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F3DA7"/>
    <w:multiLevelType w:val="hybridMultilevel"/>
    <w:tmpl w:val="C09E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D61F5"/>
    <w:multiLevelType w:val="hybridMultilevel"/>
    <w:tmpl w:val="5E429AAE"/>
    <w:lvl w:ilvl="0" w:tplc="622231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E563D8"/>
    <w:multiLevelType w:val="hybridMultilevel"/>
    <w:tmpl w:val="28C20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01923167">
    <w:abstractNumId w:val="3"/>
  </w:num>
  <w:num w:numId="2" w16cid:durableId="272060064">
    <w:abstractNumId w:val="0"/>
  </w:num>
  <w:num w:numId="3" w16cid:durableId="1225946115">
    <w:abstractNumId w:val="7"/>
  </w:num>
  <w:num w:numId="4" w16cid:durableId="675427200">
    <w:abstractNumId w:val="4"/>
  </w:num>
  <w:num w:numId="5" w16cid:durableId="1185947036">
    <w:abstractNumId w:val="8"/>
  </w:num>
  <w:num w:numId="6" w16cid:durableId="1616404552">
    <w:abstractNumId w:val="1"/>
  </w:num>
  <w:num w:numId="7" w16cid:durableId="1636833242">
    <w:abstractNumId w:val="5"/>
  </w:num>
  <w:num w:numId="8" w16cid:durableId="1283463511">
    <w:abstractNumId w:val="6"/>
  </w:num>
  <w:num w:numId="9" w16cid:durableId="1221556785">
    <w:abstractNumId w:val="2"/>
  </w:num>
  <w:num w:numId="10" w16cid:durableId="5377449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00B3"/>
    <w:rsid w:val="00033154"/>
    <w:rsid w:val="000332C7"/>
    <w:rsid w:val="00042048"/>
    <w:rsid w:val="000505F1"/>
    <w:rsid w:val="000537DA"/>
    <w:rsid w:val="000B4E2E"/>
    <w:rsid w:val="000C0B87"/>
    <w:rsid w:val="000E59E8"/>
    <w:rsid w:val="000F315B"/>
    <w:rsid w:val="000F7BEC"/>
    <w:rsid w:val="001232C2"/>
    <w:rsid w:val="00142316"/>
    <w:rsid w:val="00151582"/>
    <w:rsid w:val="001519CD"/>
    <w:rsid w:val="0015268B"/>
    <w:rsid w:val="00166F4E"/>
    <w:rsid w:val="00174433"/>
    <w:rsid w:val="00174740"/>
    <w:rsid w:val="00177C77"/>
    <w:rsid w:val="00187E9E"/>
    <w:rsid w:val="00197326"/>
    <w:rsid w:val="001A5680"/>
    <w:rsid w:val="001C22C3"/>
    <w:rsid w:val="001D02EA"/>
    <w:rsid w:val="001D5952"/>
    <w:rsid w:val="00246840"/>
    <w:rsid w:val="00264C45"/>
    <w:rsid w:val="00274D45"/>
    <w:rsid w:val="00276957"/>
    <w:rsid w:val="00276DCC"/>
    <w:rsid w:val="00282AFF"/>
    <w:rsid w:val="002C3A70"/>
    <w:rsid w:val="002E7471"/>
    <w:rsid w:val="00302DAC"/>
    <w:rsid w:val="00356A60"/>
    <w:rsid w:val="00363AB9"/>
    <w:rsid w:val="00385812"/>
    <w:rsid w:val="00385FC7"/>
    <w:rsid w:val="00392D0B"/>
    <w:rsid w:val="003A7AFC"/>
    <w:rsid w:val="003C60EF"/>
    <w:rsid w:val="003F190D"/>
    <w:rsid w:val="003F76EB"/>
    <w:rsid w:val="00402D5B"/>
    <w:rsid w:val="00411845"/>
    <w:rsid w:val="004137B8"/>
    <w:rsid w:val="00434FF3"/>
    <w:rsid w:val="004410A0"/>
    <w:rsid w:val="00476AF3"/>
    <w:rsid w:val="00476B6C"/>
    <w:rsid w:val="004813AC"/>
    <w:rsid w:val="00492D6A"/>
    <w:rsid w:val="004B3733"/>
    <w:rsid w:val="004B37A0"/>
    <w:rsid w:val="004C381C"/>
    <w:rsid w:val="004D6B39"/>
    <w:rsid w:val="00502777"/>
    <w:rsid w:val="005448AA"/>
    <w:rsid w:val="00552E2F"/>
    <w:rsid w:val="00570DEB"/>
    <w:rsid w:val="005809E2"/>
    <w:rsid w:val="005B5837"/>
    <w:rsid w:val="005B605A"/>
    <w:rsid w:val="006537E8"/>
    <w:rsid w:val="006715E8"/>
    <w:rsid w:val="006A215F"/>
    <w:rsid w:val="006C4423"/>
    <w:rsid w:val="006D06D9"/>
    <w:rsid w:val="006D77A6"/>
    <w:rsid w:val="006E5861"/>
    <w:rsid w:val="00702109"/>
    <w:rsid w:val="0072610D"/>
    <w:rsid w:val="00730F87"/>
    <w:rsid w:val="00777760"/>
    <w:rsid w:val="00791C64"/>
    <w:rsid w:val="007B2366"/>
    <w:rsid w:val="007B3F4B"/>
    <w:rsid w:val="007B7347"/>
    <w:rsid w:val="007D10F3"/>
    <w:rsid w:val="007F107F"/>
    <w:rsid w:val="007F4CEF"/>
    <w:rsid w:val="00830AA2"/>
    <w:rsid w:val="00833F50"/>
    <w:rsid w:val="00842654"/>
    <w:rsid w:val="00873C53"/>
    <w:rsid w:val="008777A7"/>
    <w:rsid w:val="008A1605"/>
    <w:rsid w:val="008C15D2"/>
    <w:rsid w:val="00912543"/>
    <w:rsid w:val="00917C99"/>
    <w:rsid w:val="0092320E"/>
    <w:rsid w:val="009908FF"/>
    <w:rsid w:val="00992A69"/>
    <w:rsid w:val="0099542E"/>
    <w:rsid w:val="00995505"/>
    <w:rsid w:val="009A50F8"/>
    <w:rsid w:val="009E4F08"/>
    <w:rsid w:val="009F3734"/>
    <w:rsid w:val="00A22766"/>
    <w:rsid w:val="00A254C9"/>
    <w:rsid w:val="00A65101"/>
    <w:rsid w:val="00A67C14"/>
    <w:rsid w:val="00A72452"/>
    <w:rsid w:val="00A84452"/>
    <w:rsid w:val="00AC405A"/>
    <w:rsid w:val="00AE3F85"/>
    <w:rsid w:val="00B12D4C"/>
    <w:rsid w:val="00B403BF"/>
    <w:rsid w:val="00B47152"/>
    <w:rsid w:val="00B608D9"/>
    <w:rsid w:val="00BA4055"/>
    <w:rsid w:val="00BA6211"/>
    <w:rsid w:val="00BA7FB6"/>
    <w:rsid w:val="00BB648E"/>
    <w:rsid w:val="00BC7A97"/>
    <w:rsid w:val="00BF0DFC"/>
    <w:rsid w:val="00C1185F"/>
    <w:rsid w:val="00C20BFE"/>
    <w:rsid w:val="00CB69A6"/>
    <w:rsid w:val="00CC1778"/>
    <w:rsid w:val="00CE575B"/>
    <w:rsid w:val="00CE78AA"/>
    <w:rsid w:val="00CF0F53"/>
    <w:rsid w:val="00CF3DE8"/>
    <w:rsid w:val="00CF4793"/>
    <w:rsid w:val="00D048E9"/>
    <w:rsid w:val="00D0493F"/>
    <w:rsid w:val="00D07FEF"/>
    <w:rsid w:val="00D232B4"/>
    <w:rsid w:val="00D30109"/>
    <w:rsid w:val="00D44DFC"/>
    <w:rsid w:val="00D4783E"/>
    <w:rsid w:val="00D56F91"/>
    <w:rsid w:val="00D831E6"/>
    <w:rsid w:val="00D8671C"/>
    <w:rsid w:val="00DA57C3"/>
    <w:rsid w:val="00DC11E3"/>
    <w:rsid w:val="00DC3855"/>
    <w:rsid w:val="00DC711E"/>
    <w:rsid w:val="00DD06C4"/>
    <w:rsid w:val="00DF3496"/>
    <w:rsid w:val="00DF5AD9"/>
    <w:rsid w:val="00E06E0B"/>
    <w:rsid w:val="00E274B8"/>
    <w:rsid w:val="00E369A5"/>
    <w:rsid w:val="00E6406D"/>
    <w:rsid w:val="00E72707"/>
    <w:rsid w:val="00E76C5A"/>
    <w:rsid w:val="00E8148C"/>
    <w:rsid w:val="00E814F5"/>
    <w:rsid w:val="00E9713F"/>
    <w:rsid w:val="00EA0ABA"/>
    <w:rsid w:val="00ED462D"/>
    <w:rsid w:val="00EE433A"/>
    <w:rsid w:val="00F0586E"/>
    <w:rsid w:val="00F43932"/>
    <w:rsid w:val="00F7658D"/>
    <w:rsid w:val="00F87093"/>
    <w:rsid w:val="00FC3BA9"/>
    <w:rsid w:val="00FC6B42"/>
    <w:rsid w:val="00FD27E5"/>
    <w:rsid w:val="00FD63BA"/>
    <w:rsid w:val="00FF78AF"/>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4B87856C"/>
  <w15:docId w15:val="{B381C40A-C2D9-474D-B5AD-A7E53487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8A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link w:val="BalloonText"/>
    <w:uiPriority w:val="99"/>
    <w:locked/>
    <w:rsid w:val="00FC6B42"/>
    <w:rPr>
      <w:rFonts w:ascii="Tahoma" w:hAnsi="Tahoma"/>
      <w:sz w:val="16"/>
    </w:rPr>
  </w:style>
  <w:style w:type="character" w:styleId="Emphasis">
    <w:name w:val="Emphasis"/>
    <w:uiPriority w:val="20"/>
    <w:qFormat/>
    <w:locked/>
    <w:rsid w:val="003F190D"/>
    <w:rPr>
      <w:b/>
      <w:bCs/>
      <w:i w:val="0"/>
      <w:iCs w:val="0"/>
    </w:rPr>
  </w:style>
  <w:style w:type="paragraph" w:styleId="Header">
    <w:name w:val="header"/>
    <w:basedOn w:val="Normal"/>
    <w:link w:val="HeaderChar"/>
    <w:uiPriority w:val="99"/>
    <w:unhideWhenUsed/>
    <w:rsid w:val="003F190D"/>
    <w:pPr>
      <w:tabs>
        <w:tab w:val="center" w:pos="4680"/>
        <w:tab w:val="right" w:pos="9360"/>
      </w:tabs>
    </w:pPr>
  </w:style>
  <w:style w:type="character" w:customStyle="1" w:styleId="HeaderChar">
    <w:name w:val="Header Char"/>
    <w:link w:val="Header"/>
    <w:uiPriority w:val="99"/>
    <w:rsid w:val="003F190D"/>
    <w:rPr>
      <w:sz w:val="24"/>
      <w:szCs w:val="20"/>
    </w:rPr>
  </w:style>
  <w:style w:type="paragraph" w:styleId="Footer">
    <w:name w:val="footer"/>
    <w:basedOn w:val="Normal"/>
    <w:link w:val="FooterChar"/>
    <w:uiPriority w:val="99"/>
    <w:unhideWhenUsed/>
    <w:rsid w:val="003F190D"/>
    <w:pPr>
      <w:tabs>
        <w:tab w:val="center" w:pos="4680"/>
        <w:tab w:val="right" w:pos="9360"/>
      </w:tabs>
    </w:pPr>
  </w:style>
  <w:style w:type="character" w:customStyle="1" w:styleId="FooterChar">
    <w:name w:val="Footer Char"/>
    <w:link w:val="Footer"/>
    <w:uiPriority w:val="99"/>
    <w:rsid w:val="003F190D"/>
    <w:rPr>
      <w:sz w:val="24"/>
      <w:szCs w:val="20"/>
    </w:rPr>
  </w:style>
  <w:style w:type="paragraph" w:styleId="PlainText">
    <w:name w:val="Plain Text"/>
    <w:basedOn w:val="Normal"/>
    <w:link w:val="PlainTextChar"/>
    <w:uiPriority w:val="99"/>
    <w:semiHidden/>
    <w:unhideWhenUsed/>
    <w:rsid w:val="000B4E2E"/>
    <w:rPr>
      <w:rFonts w:ascii="Calibri" w:eastAsia="Calibri" w:hAnsi="Calibri"/>
      <w:sz w:val="22"/>
      <w:szCs w:val="21"/>
    </w:rPr>
  </w:style>
  <w:style w:type="character" w:customStyle="1" w:styleId="PlainTextChar">
    <w:name w:val="Plain Text Char"/>
    <w:basedOn w:val="DefaultParagraphFont"/>
    <w:link w:val="PlainText"/>
    <w:uiPriority w:val="99"/>
    <w:semiHidden/>
    <w:rsid w:val="000B4E2E"/>
    <w:rPr>
      <w:rFonts w:ascii="Calibri" w:eastAsia="Calibri" w:hAnsi="Calibri"/>
      <w:sz w:val="22"/>
      <w:szCs w:val="21"/>
    </w:rPr>
  </w:style>
  <w:style w:type="paragraph" w:styleId="Revision">
    <w:name w:val="Revision"/>
    <w:hidden/>
    <w:uiPriority w:val="99"/>
    <w:semiHidden/>
    <w:rsid w:val="00BF0DFC"/>
    <w:rPr>
      <w:sz w:val="24"/>
    </w:rPr>
  </w:style>
  <w:style w:type="paragraph" w:styleId="ListParagraph">
    <w:name w:val="List Paragraph"/>
    <w:basedOn w:val="Normal"/>
    <w:uiPriority w:val="34"/>
    <w:qFormat/>
    <w:rsid w:val="00FD27E5"/>
    <w:pPr>
      <w:ind w:left="720"/>
      <w:contextualSpacing/>
    </w:pPr>
  </w:style>
  <w:style w:type="character" w:styleId="UnresolvedMention">
    <w:name w:val="Unresolved Mention"/>
    <w:basedOn w:val="DefaultParagraphFont"/>
    <w:uiPriority w:val="99"/>
    <w:semiHidden/>
    <w:unhideWhenUsed/>
    <w:rsid w:val="004137B8"/>
    <w:rPr>
      <w:color w:val="605E5C"/>
      <w:shd w:val="clear" w:color="auto" w:fill="E1DFDD"/>
    </w:rPr>
  </w:style>
  <w:style w:type="character" w:styleId="CommentReference">
    <w:name w:val="annotation reference"/>
    <w:basedOn w:val="DefaultParagraphFont"/>
    <w:uiPriority w:val="99"/>
    <w:semiHidden/>
    <w:unhideWhenUsed/>
    <w:rsid w:val="00492D6A"/>
    <w:rPr>
      <w:sz w:val="16"/>
      <w:szCs w:val="16"/>
    </w:rPr>
  </w:style>
  <w:style w:type="paragraph" w:styleId="CommentText">
    <w:name w:val="annotation text"/>
    <w:basedOn w:val="Normal"/>
    <w:link w:val="CommentTextChar"/>
    <w:uiPriority w:val="99"/>
    <w:unhideWhenUsed/>
    <w:rsid w:val="00492D6A"/>
    <w:rPr>
      <w:sz w:val="20"/>
    </w:rPr>
  </w:style>
  <w:style w:type="character" w:customStyle="1" w:styleId="CommentTextChar">
    <w:name w:val="Comment Text Char"/>
    <w:basedOn w:val="DefaultParagraphFont"/>
    <w:link w:val="CommentText"/>
    <w:uiPriority w:val="99"/>
    <w:rsid w:val="00492D6A"/>
  </w:style>
  <w:style w:type="paragraph" w:styleId="CommentSubject">
    <w:name w:val="annotation subject"/>
    <w:basedOn w:val="CommentText"/>
    <w:next w:val="CommentText"/>
    <w:link w:val="CommentSubjectChar"/>
    <w:uiPriority w:val="99"/>
    <w:semiHidden/>
    <w:unhideWhenUsed/>
    <w:rsid w:val="00492D6A"/>
    <w:rPr>
      <w:b/>
      <w:bCs/>
    </w:rPr>
  </w:style>
  <w:style w:type="character" w:customStyle="1" w:styleId="CommentSubjectChar">
    <w:name w:val="Comment Subject Char"/>
    <w:basedOn w:val="CommentTextChar"/>
    <w:link w:val="CommentSubject"/>
    <w:uiPriority w:val="99"/>
    <w:semiHidden/>
    <w:rsid w:val="00492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6240">
      <w:bodyDiv w:val="1"/>
      <w:marLeft w:val="0"/>
      <w:marRight w:val="0"/>
      <w:marTop w:val="0"/>
      <w:marBottom w:val="0"/>
      <w:divBdr>
        <w:top w:val="none" w:sz="0" w:space="0" w:color="auto"/>
        <w:left w:val="none" w:sz="0" w:space="0" w:color="auto"/>
        <w:bottom w:val="none" w:sz="0" w:space="0" w:color="auto"/>
        <w:right w:val="none" w:sz="0" w:space="0" w:color="auto"/>
      </w:divBdr>
    </w:div>
    <w:div w:id="516776234">
      <w:bodyDiv w:val="1"/>
      <w:marLeft w:val="0"/>
      <w:marRight w:val="0"/>
      <w:marTop w:val="0"/>
      <w:marBottom w:val="0"/>
      <w:divBdr>
        <w:top w:val="none" w:sz="0" w:space="0" w:color="auto"/>
        <w:left w:val="none" w:sz="0" w:space="0" w:color="auto"/>
        <w:bottom w:val="none" w:sz="0" w:space="0" w:color="auto"/>
        <w:right w:val="none" w:sz="0" w:space="0" w:color="auto"/>
      </w:divBdr>
    </w:div>
    <w:div w:id="587234095">
      <w:bodyDiv w:val="1"/>
      <w:marLeft w:val="0"/>
      <w:marRight w:val="0"/>
      <w:marTop w:val="0"/>
      <w:marBottom w:val="0"/>
      <w:divBdr>
        <w:top w:val="none" w:sz="0" w:space="0" w:color="auto"/>
        <w:left w:val="none" w:sz="0" w:space="0" w:color="auto"/>
        <w:bottom w:val="none" w:sz="0" w:space="0" w:color="auto"/>
        <w:right w:val="none" w:sz="0" w:space="0" w:color="auto"/>
      </w:divBdr>
    </w:div>
    <w:div w:id="661616656">
      <w:bodyDiv w:val="1"/>
      <w:marLeft w:val="0"/>
      <w:marRight w:val="0"/>
      <w:marTop w:val="0"/>
      <w:marBottom w:val="0"/>
      <w:divBdr>
        <w:top w:val="none" w:sz="0" w:space="0" w:color="auto"/>
        <w:left w:val="none" w:sz="0" w:space="0" w:color="auto"/>
        <w:bottom w:val="none" w:sz="0" w:space="0" w:color="auto"/>
        <w:right w:val="none" w:sz="0" w:space="0" w:color="auto"/>
      </w:divBdr>
    </w:div>
    <w:div w:id="725879703">
      <w:bodyDiv w:val="1"/>
      <w:marLeft w:val="0"/>
      <w:marRight w:val="0"/>
      <w:marTop w:val="0"/>
      <w:marBottom w:val="0"/>
      <w:divBdr>
        <w:top w:val="none" w:sz="0" w:space="0" w:color="auto"/>
        <w:left w:val="none" w:sz="0" w:space="0" w:color="auto"/>
        <w:bottom w:val="none" w:sz="0" w:space="0" w:color="auto"/>
        <w:right w:val="none" w:sz="0" w:space="0" w:color="auto"/>
      </w:divBdr>
    </w:div>
    <w:div w:id="1564680202">
      <w:bodyDiv w:val="1"/>
      <w:marLeft w:val="0"/>
      <w:marRight w:val="0"/>
      <w:marTop w:val="0"/>
      <w:marBottom w:val="0"/>
      <w:divBdr>
        <w:top w:val="none" w:sz="0" w:space="0" w:color="auto"/>
        <w:left w:val="none" w:sz="0" w:space="0" w:color="auto"/>
        <w:bottom w:val="none" w:sz="0" w:space="0" w:color="auto"/>
        <w:right w:val="none" w:sz="0" w:space="0" w:color="auto"/>
      </w:divBdr>
    </w:div>
    <w:div w:id="1773092350">
      <w:bodyDiv w:val="1"/>
      <w:marLeft w:val="0"/>
      <w:marRight w:val="0"/>
      <w:marTop w:val="0"/>
      <w:marBottom w:val="0"/>
      <w:divBdr>
        <w:top w:val="none" w:sz="0" w:space="0" w:color="auto"/>
        <w:left w:val="none" w:sz="0" w:space="0" w:color="auto"/>
        <w:bottom w:val="none" w:sz="0" w:space="0" w:color="auto"/>
        <w:right w:val="none" w:sz="0" w:space="0" w:color="auto"/>
      </w:divBdr>
    </w:div>
    <w:div w:id="21350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poxvirus/monkeypox/clinicians/clinical-recognition.html" TargetMode="External"/><Relationship Id="rId13" Type="http://schemas.openxmlformats.org/officeDocument/2006/relationships/hyperlink" Target="https://www.aegislabs.com/our-services/monkeypo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estdirectory.questdiagnostics.com/test/test-detail/12084/monkeypox-virus-dna-qualitative-real-time-pcr?q=monkeypox&amp;cc=MASTER" TargetMode="External"/><Relationship Id="rId17" Type="http://schemas.openxmlformats.org/officeDocument/2006/relationships/hyperlink" Target="https://www.mass.gov/info-details/monkeypox-vaccination" TargetMode="External"/><Relationship Id="rId2" Type="http://schemas.openxmlformats.org/officeDocument/2006/relationships/styles" Target="styles.xml"/><Relationship Id="rId16" Type="http://schemas.openxmlformats.org/officeDocument/2006/relationships/hyperlink" Target="https://www.cdc.gov/poxvirus/monkeypox/clinicians/obtaining-tecovirima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corp.com/tests/140230/monkeypox-orthopoxvirus-dna-pcr%20%20" TargetMode="External"/><Relationship Id="rId5" Type="http://schemas.openxmlformats.org/officeDocument/2006/relationships/footnotes" Target="footnotes.xml"/><Relationship Id="rId15" Type="http://schemas.openxmlformats.org/officeDocument/2006/relationships/hyperlink" Target="https://www.cdc.gov/poxvirus/monkeypox/clinicians/Tecovirimat.html" TargetMode="External"/><Relationship Id="rId10" Type="http://schemas.openxmlformats.org/officeDocument/2006/relationships/hyperlink" Target="https://www.mass.gov/doc/instructions-for-specimen-collection-for-orthopoxvirus-testing/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poxvirus/monkeypox/clinicians/treatment.html" TargetMode="External"/><Relationship Id="rId14" Type="http://schemas.openxmlformats.org/officeDocument/2006/relationships/hyperlink" Target="https://directory.sonicreferencelab.com/tests?iframe_layout=sr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15</TotalTime>
  <Pages>5</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Brown, Catherine (DPH)</cp:lastModifiedBy>
  <cp:revision>7</cp:revision>
  <cp:lastPrinted>2015-01-09T15:33:00Z</cp:lastPrinted>
  <dcterms:created xsi:type="dcterms:W3CDTF">2022-07-25T20:50:00Z</dcterms:created>
  <dcterms:modified xsi:type="dcterms:W3CDTF">2022-07-26T15:28:00Z</dcterms:modified>
</cp:coreProperties>
</file>