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1406FE77" wp14:editId="76EAF789">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color w:val="2B579A"/>
          <w:shd w:val="clear" w:color="auto" w:fill="E6E6E6"/>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067A8F7A">
              <v:shapetype id="_x0000_t202" coordsize="21600,21600" o:spt="202" path="m,l,21600r21600,l21600,xe" w14:anchorId="593B8E20">
                <v:stroke joinstyle="miter"/>
                <v:path gradientshapeok="t" o:connecttype="rect"/>
              </v:shapetype>
              <v:shape id="Text Box 3"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672A6659" w14:textId="77777777">
                      <w:pPr>
                        <w:pStyle w:val="Governor"/>
                        <w:spacing w:after="0"/>
                        <w:rPr>
                          <w:sz w:val="16"/>
                        </w:rPr>
                      </w:pPr>
                    </w:p>
                    <w:p w:rsidRPr="00530145" w:rsidR="00FC6B42" w:rsidP="009D48CD" w:rsidRDefault="009D48CD" w14:paraId="3B44D3D4" w14:textId="77777777">
                      <w:pPr>
                        <w:pStyle w:val="Governor"/>
                        <w:spacing w:after="0"/>
                        <w:rPr>
                          <w:sz w:val="16"/>
                          <w:szCs w:val="16"/>
                        </w:rPr>
                      </w:pPr>
                      <w:r w:rsidRPr="00530145">
                        <w:rPr>
                          <w:sz w:val="16"/>
                          <w:szCs w:val="16"/>
                        </w:rPr>
                        <w:t>KATHLEEN E. WALSH</w:t>
                      </w:r>
                    </w:p>
                    <w:p w:rsidR="002D1C21" w:rsidP="0000218B" w:rsidRDefault="009D48CD" w14:paraId="67AA55DE" w14:textId="77777777">
                      <w:pPr>
                        <w:pStyle w:val="Governor"/>
                      </w:pPr>
                      <w:r>
                        <w:t xml:space="preserve">Secretary </w:t>
                      </w:r>
                    </w:p>
                    <w:p w:rsidR="00FC6B42" w:rsidP="00033154" w:rsidRDefault="009C4428" w14:paraId="34D0ABB2" w14:textId="4022EC75">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0A37501D" w14:textId="77777777">
                      <w:pPr>
                        <w:jc w:val="center"/>
                        <w:rPr>
                          <w:rFonts w:ascii="Arial Rounded MT Bold" w:hAnsi="Arial Rounded MT Bold"/>
                          <w:sz w:val="14"/>
                          <w:szCs w:val="14"/>
                        </w:rPr>
                      </w:pPr>
                    </w:p>
                    <w:p w:rsidRPr="004813AC" w:rsidR="004813AC" w:rsidP="004813AC" w:rsidRDefault="004813AC" w14:paraId="673B1DBD"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7C33124B"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5DAB6C7B" w14:textId="77777777">
                      <w:pPr>
                        <w:jc w:val="center"/>
                        <w:rPr>
                          <w:rFonts w:ascii="Arial Rounded MT Bold" w:hAnsi="Arial Rounded MT Bold"/>
                          <w:sz w:val="14"/>
                          <w:szCs w:val="14"/>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468559DC">
              <v:shape id="Text Box 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5CC856F6">
                <v:textbox style="mso-fit-shape-to-text:t">
                  <w:txbxContent>
                    <w:p w:rsidR="00FC6B42" w:rsidP="00FC6B42" w:rsidRDefault="00FC6B42" w14:paraId="02EB378F" w14:textId="77777777">
                      <w:pPr>
                        <w:pStyle w:val="Governor"/>
                        <w:spacing w:after="0"/>
                        <w:rPr>
                          <w:sz w:val="16"/>
                        </w:rPr>
                      </w:pPr>
                    </w:p>
                    <w:p w:rsidR="00FC6B42" w:rsidP="00FC6B42" w:rsidRDefault="002D1C21" w14:paraId="79086CF1" w14:textId="77777777">
                      <w:pPr>
                        <w:pStyle w:val="Governor"/>
                        <w:spacing w:after="0"/>
                        <w:rPr>
                          <w:sz w:val="16"/>
                        </w:rPr>
                      </w:pPr>
                      <w:r>
                        <w:rPr>
                          <w:sz w:val="16"/>
                        </w:rPr>
                        <w:t>MAURA T. HEALEY</w:t>
                      </w:r>
                    </w:p>
                    <w:p w:rsidR="00FC6B42" w:rsidP="00FC6B42" w:rsidRDefault="00FC6B42" w14:paraId="637F627B" w14:textId="77777777">
                      <w:pPr>
                        <w:pStyle w:val="Governor"/>
                      </w:pPr>
                      <w:r>
                        <w:t>Governor</w:t>
                      </w:r>
                    </w:p>
                    <w:p w:rsidR="00FC6B42" w:rsidP="00FC6B42" w:rsidRDefault="002D1C21" w14:paraId="7583C5AA" w14:textId="77777777">
                      <w:pPr>
                        <w:pStyle w:val="Governor"/>
                        <w:spacing w:after="0"/>
                        <w:rPr>
                          <w:sz w:val="16"/>
                        </w:rPr>
                      </w:pPr>
                      <w:r>
                        <w:rPr>
                          <w:sz w:val="16"/>
                        </w:rPr>
                        <w:t>KIMBERLEY DRISCOLL</w:t>
                      </w:r>
                    </w:p>
                    <w:p w:rsidR="00FC6B42" w:rsidP="00FC6B42" w:rsidRDefault="00FC6B42" w14:paraId="36C70626" w14:textId="77777777">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8EDF823" w14:textId="77777777" w:rsidR="00033154" w:rsidRDefault="00033154" w:rsidP="0072610D"/>
    <w:p w14:paraId="1E8C4DA4" w14:textId="4C86F31D" w:rsidR="00D16009" w:rsidRDefault="00D16009" w:rsidP="00D16009">
      <w:pP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pPr>
      <w:r w:rsidRPr="00D16009">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t>TO:</w:t>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 </w:t>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r>
      <w:r w:rsidRPr="0092320E">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Massachusetts Healthcare Providers</w:t>
      </w:r>
      <w:r w:rsidRPr="00873C53">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Hospitals</w:t>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Community Health Centers</w:t>
      </w:r>
      <w:r w:rsidR="00190F6F">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w:t>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 and EMS</w:t>
      </w:r>
    </w:p>
    <w:p w14:paraId="078B52CA" w14:textId="77777777" w:rsidR="00D16009" w:rsidRPr="0092320E" w:rsidRDefault="00D16009" w:rsidP="00D16009">
      <w:pPr>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pP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t>Local Boards of Health</w:t>
      </w:r>
    </w:p>
    <w:p w14:paraId="06F3CA6E" w14:textId="77777777" w:rsidR="00D16009" w:rsidRPr="00735671" w:rsidRDefault="00D16009" w:rsidP="00D16009">
      <w:pPr>
        <w:rPr>
          <w:rFonts w:asciiTheme="minorHAnsi" w:eastAsia="Arial Unicode MS" w:hAnsiTheme="minorHAnsi" w:cstheme="minorHAnsi"/>
          <w:b/>
          <w:bCs/>
          <w:color w:val="000000"/>
          <w:sz w:val="16"/>
          <w:szCs w:val="16"/>
          <w:u w:color="000000"/>
          <w14:textOutline w14:w="12700" w14:cap="flat" w14:cmpd="sng" w14:algn="ctr">
            <w14:noFill/>
            <w14:prstDash w14:val="solid"/>
            <w14:miter w14:lim="100000"/>
          </w14:textOutline>
        </w:rPr>
      </w:pPr>
    </w:p>
    <w:p w14:paraId="35F095E3" w14:textId="45A6DB27" w:rsidR="00D16009" w:rsidRPr="0092320E" w:rsidRDefault="00D16009" w:rsidP="008377F1">
      <w:pPr>
        <w:rPr>
          <w:rFonts w:asciiTheme="minorHAnsi" w:eastAsia="Arial Unicode MS" w:hAnsiTheme="minorHAnsi" w:cstheme="minorBidi"/>
          <w:color w:val="000000" w:themeColor="text1"/>
          <w:sz w:val="22"/>
          <w:szCs w:val="22"/>
        </w:rPr>
      </w:pPr>
      <w:r w:rsidRPr="54339958">
        <w:rPr>
          <w:rFonts w:asciiTheme="minorHAnsi" w:eastAsia="Arial Unicode MS" w:hAnsiTheme="minorHAnsi" w:cstheme="minorBidi"/>
          <w:b/>
          <w:bCs/>
          <w:color w:val="000000"/>
          <w:sz w:val="22"/>
          <w:szCs w:val="22"/>
          <w14:textOutline w14:w="12700" w14:cap="flat" w14:cmpd="sng" w14:algn="ctr">
            <w14:noFill/>
            <w14:prstDash w14:val="solid"/>
            <w14:miter w14:lim="100000"/>
          </w14:textOutline>
        </w:rPr>
        <w:t>FROM:</w:t>
      </w:r>
      <w:r w:rsidRPr="54339958">
        <w:rPr>
          <w:rFonts w:asciiTheme="minorHAnsi" w:eastAsia="Arial Unicode MS" w:hAnsiTheme="minorHAnsi" w:cstheme="minorBidi"/>
          <w:color w:val="000000"/>
          <w:sz w:val="22"/>
          <w:szCs w:val="22"/>
          <w14:textOutline w14:w="12700" w14:cap="flat" w14:cmpd="sng" w14:algn="ctr">
            <w14:noFill/>
            <w14:prstDash w14:val="solid"/>
            <w14:miter w14:lim="100000"/>
          </w14:textOutline>
        </w:rPr>
        <w:t xml:space="preserve">          </w:t>
      </w:r>
      <w:r>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r>
      <w:r w:rsidRPr="54339958">
        <w:rPr>
          <w:rFonts w:asciiTheme="minorHAnsi" w:eastAsia="Arial Unicode MS" w:hAnsiTheme="minorHAnsi" w:cstheme="minorBidi"/>
          <w:color w:val="000000"/>
          <w:sz w:val="22"/>
          <w:szCs w:val="22"/>
          <w14:textOutline w14:w="12700" w14:cap="flat" w14:cmpd="sng" w14:algn="ctr">
            <w14:noFill/>
            <w14:prstDash w14:val="solid"/>
            <w14:miter w14:lim="100000"/>
          </w14:textOutline>
        </w:rPr>
        <w:t>Catherine M. Brown, DVM, MSc, MPH, State Epidemiologist</w:t>
      </w:r>
      <w:r w:rsidR="43C2E312" w:rsidRPr="54339958">
        <w:rPr>
          <w:rFonts w:asciiTheme="minorHAnsi" w:eastAsia="Arial Unicode MS" w:hAnsiTheme="minorHAnsi" w:cstheme="minorBidi"/>
          <w:color w:val="000000" w:themeColor="text1"/>
          <w:sz w:val="22"/>
          <w:szCs w:val="22"/>
        </w:rPr>
        <w:t xml:space="preserve"> </w:t>
      </w:r>
    </w:p>
    <w:p w14:paraId="51A99688" w14:textId="09235947" w:rsidR="00D16009" w:rsidRPr="008377F1" w:rsidRDefault="43C2E312" w:rsidP="008377F1">
      <w:pPr>
        <w:ind w:left="1440"/>
        <w:rPr>
          <w:rFonts w:asciiTheme="minorHAnsi" w:eastAsia="Arial Unicode MS" w:hAnsiTheme="minorHAnsi" w:cstheme="minorBidi"/>
          <w:color w:val="000000" w:themeColor="text1"/>
          <w:sz w:val="22"/>
          <w:szCs w:val="22"/>
        </w:rPr>
      </w:pPr>
      <w:r w:rsidRPr="54339958">
        <w:rPr>
          <w:rFonts w:asciiTheme="minorHAnsi" w:eastAsia="Arial Unicode MS" w:hAnsiTheme="minorHAnsi" w:cstheme="minorBidi"/>
          <w:color w:val="000000" w:themeColor="text1"/>
          <w:sz w:val="22"/>
          <w:szCs w:val="22"/>
        </w:rPr>
        <w:t>Nicolas Epie, PhD, HCLD, TS (ABB); MLS (ASCP), Director, Massachusetts State Public Health Laboratory</w:t>
      </w:r>
    </w:p>
    <w:p w14:paraId="3A26ABA8" w14:textId="71857A09" w:rsidR="00BD5A6F" w:rsidRPr="0092320E" w:rsidRDefault="00D16009" w:rsidP="54339958">
      <w:pPr>
        <w:ind w:left="1440"/>
        <w:rPr>
          <w:rFonts w:asciiTheme="minorHAnsi" w:eastAsia="Arial Unicode MS" w:hAnsiTheme="minorHAnsi" w:cstheme="minorBidi"/>
          <w:color w:val="000000"/>
          <w:sz w:val="22"/>
          <w:szCs w:val="22"/>
          <w14:textOutline w14:w="12700" w14:cap="flat" w14:cmpd="sng" w14:algn="ctr">
            <w14:noFill/>
            <w14:prstDash w14:val="solid"/>
            <w14:miter w14:lim="100000"/>
          </w14:textOutline>
        </w:rPr>
      </w:pPr>
      <w:r w:rsidRPr="54339958">
        <w:rPr>
          <w:rFonts w:asciiTheme="minorHAnsi" w:eastAsia="Arial Unicode MS" w:hAnsiTheme="minorHAnsi" w:cstheme="minorBidi"/>
          <w:color w:val="000000"/>
          <w:sz w:val="22"/>
          <w:szCs w:val="22"/>
          <w14:textOutline w14:w="12700" w14:cap="flat" w14:cmpd="sng" w14:algn="ctr">
            <w14:noFill/>
            <w14:prstDash w14:val="solid"/>
            <w14:miter w14:lim="100000"/>
          </w14:textOutline>
        </w:rPr>
        <w:t>Larry Madoff, MD, Medical Director</w:t>
      </w:r>
    </w:p>
    <w:p w14:paraId="2E043019" w14:textId="4F010D7F" w:rsidR="00D16009" w:rsidRPr="00735671" w:rsidRDefault="47FF0CA2" w:rsidP="002718BF">
      <w:pPr>
        <w:ind w:left="720" w:firstLine="720"/>
        <w:rPr>
          <w:rFonts w:asciiTheme="minorHAnsi" w:eastAsia="Arial Unicode MS" w:hAnsiTheme="minorHAnsi" w:cstheme="minorHAnsi"/>
          <w:color w:val="000000"/>
          <w:sz w:val="16"/>
          <w:szCs w:val="16"/>
          <w:u w:color="000000"/>
          <w14:textOutline w14:w="12700" w14:cap="flat" w14:cmpd="sng" w14:algn="ctr">
            <w14:noFill/>
            <w14:prstDash w14:val="solid"/>
            <w14:miter w14:lim="100000"/>
          </w14:textOutline>
        </w:rPr>
      </w:pPr>
      <w:r w:rsidRPr="54339958">
        <w:rPr>
          <w:rFonts w:asciiTheme="minorHAnsi" w:eastAsia="Arial Unicode MS" w:hAnsiTheme="minorHAnsi" w:cstheme="minorBidi"/>
          <w:color w:val="000000" w:themeColor="text1"/>
          <w:sz w:val="22"/>
          <w:szCs w:val="22"/>
        </w:rPr>
        <w:t>Dylan Tierney, MD, MPH, Associate Medical Director</w:t>
      </w:r>
      <w:r w:rsidR="00D16009" w:rsidRPr="00735671">
        <w:rPr>
          <w:rFonts w:asciiTheme="minorHAnsi" w:eastAsia="Arial Unicode MS" w:hAnsiTheme="minorHAnsi" w:cstheme="minorHAnsi"/>
          <w:color w:val="000000"/>
          <w:sz w:val="16"/>
          <w:szCs w:val="16"/>
          <w:u w:color="000000"/>
          <w14:textOutline w14:w="12700" w14:cap="flat" w14:cmpd="sng" w14:algn="ctr">
            <w14:noFill/>
            <w14:prstDash w14:val="solid"/>
            <w14:miter w14:lim="100000"/>
          </w14:textOutline>
        </w:rPr>
        <w:tab/>
      </w:r>
      <w:r w:rsidR="00D16009" w:rsidRPr="00735671">
        <w:rPr>
          <w:rFonts w:asciiTheme="minorHAnsi" w:eastAsia="Arial Unicode MS" w:hAnsiTheme="minorHAnsi" w:cstheme="minorHAnsi"/>
          <w:color w:val="000000"/>
          <w:sz w:val="16"/>
          <w:szCs w:val="16"/>
          <w:u w:color="000000"/>
          <w14:textOutline w14:w="12700" w14:cap="flat" w14:cmpd="sng" w14:algn="ctr">
            <w14:noFill/>
            <w14:prstDash w14:val="solid"/>
            <w14:miter w14:lim="100000"/>
          </w14:textOutline>
        </w:rPr>
        <w:tab/>
      </w:r>
      <w:r w:rsidR="00D16009" w:rsidRPr="00735671">
        <w:rPr>
          <w:rFonts w:asciiTheme="minorHAnsi" w:eastAsia="Arial Unicode MS" w:hAnsiTheme="minorHAnsi" w:cstheme="minorHAnsi"/>
          <w:color w:val="000000"/>
          <w:sz w:val="16"/>
          <w:szCs w:val="16"/>
          <w:u w:color="000000"/>
          <w14:textOutline w14:w="12700" w14:cap="flat" w14:cmpd="sng" w14:algn="ctr">
            <w14:noFill/>
            <w14:prstDash w14:val="solid"/>
            <w14:miter w14:lim="100000"/>
          </w14:textOutline>
        </w:rPr>
        <w:tab/>
      </w:r>
    </w:p>
    <w:p w14:paraId="40A93B78" w14:textId="77777777" w:rsidR="002718BF" w:rsidRDefault="002718BF" w:rsidP="00D16009">
      <w:pPr>
        <w:tabs>
          <w:tab w:val="left" w:pos="1440"/>
        </w:tabs>
        <w:ind w:left="1440" w:hanging="1440"/>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pPr>
    </w:p>
    <w:p w14:paraId="71B60938" w14:textId="05F5C593" w:rsidR="00D16009" w:rsidRPr="0092320E" w:rsidRDefault="00D16009" w:rsidP="00D16009">
      <w:pPr>
        <w:tabs>
          <w:tab w:val="left" w:pos="1440"/>
        </w:tabs>
        <w:ind w:left="1440" w:hanging="1440"/>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pPr>
      <w:r w:rsidRPr="0092320E">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t>SUBJECT:</w:t>
      </w:r>
      <w:r w:rsidRPr="0092320E">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   </w:t>
      </w:r>
      <w:r w:rsidRPr="0092320E">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b/>
      </w:r>
      <w:r w:rsidRPr="00873C53">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Clinical and Laboratory Testing Guidance for </w:t>
      </w:r>
      <w:r w:rsidR="00904B71">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M</w:t>
      </w:r>
      <w:r w:rsidRPr="00873C53">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pox</w:t>
      </w:r>
    </w:p>
    <w:p w14:paraId="6F8C96E3" w14:textId="0F608660" w:rsidR="00D16009" w:rsidRPr="00735671" w:rsidRDefault="00D16009" w:rsidP="00D16009">
      <w:pPr>
        <w:rPr>
          <w:rFonts w:asciiTheme="minorHAnsi" w:eastAsia="Arial Unicode MS" w:hAnsiTheme="minorHAnsi" w:cstheme="minorHAnsi"/>
          <w:b/>
          <w:bCs/>
          <w:color w:val="000000"/>
          <w:sz w:val="16"/>
          <w:szCs w:val="16"/>
          <w:u w:color="000000"/>
          <w14:textOutline w14:w="12700" w14:cap="flat" w14:cmpd="sng" w14:algn="ctr">
            <w14:noFill/>
            <w14:prstDash w14:val="solid"/>
            <w14:miter w14:lim="100000"/>
          </w14:textOutline>
        </w:rPr>
      </w:pPr>
    </w:p>
    <w:p w14:paraId="7F8571E1" w14:textId="7057E4A1" w:rsidR="00D16009" w:rsidRDefault="00D16009" w:rsidP="00D16009">
      <w:pPr>
        <w:spacing w:line="259" w:lineRule="auto"/>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pPr>
      <w:r w:rsidRPr="4CDF336F">
        <w:rPr>
          <w:rFonts w:asciiTheme="minorHAnsi" w:eastAsia="Arial Unicode MS" w:hAnsiTheme="minorHAnsi" w:cstheme="minorBidi"/>
          <w:b/>
          <w:bCs/>
          <w:color w:val="000000"/>
          <w:sz w:val="22"/>
          <w:szCs w:val="22"/>
          <w14:textOutline w14:w="12700" w14:cap="flat" w14:cmpd="sng" w14:algn="ctr">
            <w14:noFill/>
            <w14:prstDash w14:val="solid"/>
            <w14:miter w14:lim="100000"/>
          </w14:textOutline>
        </w:rPr>
        <w:t>DATE:</w:t>
      </w:r>
      <w:r w:rsidRPr="0092320E">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tab/>
      </w:r>
      <w:r>
        <w:rPr>
          <w:rFonts w:asciiTheme="minorHAnsi" w:eastAsia="Arial Unicode MS" w:hAnsiTheme="minorHAnsi" w:cstheme="minorHAnsi"/>
          <w:b/>
          <w:bCs/>
          <w:color w:val="000000"/>
          <w:sz w:val="22"/>
          <w:szCs w:val="22"/>
          <w:u w:color="000000"/>
          <w14:textOutline w14:w="12700" w14:cap="flat" w14:cmpd="sng" w14:algn="ctr">
            <w14:noFill/>
            <w14:prstDash w14:val="solid"/>
            <w14:miter w14:lim="100000"/>
          </w14:textOutline>
        </w:rPr>
        <w:tab/>
      </w:r>
      <w:r w:rsidR="00297269">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April 2, 2024</w:t>
      </w:r>
    </w:p>
    <w:p w14:paraId="3774D4B0" w14:textId="4E604872" w:rsidR="004A2342" w:rsidRDefault="004A2342" w:rsidP="00D16009">
      <w:pPr>
        <w:spacing w:line="259" w:lineRule="auto"/>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pPr>
      <w:r>
        <w:rPr>
          <w:rFonts w:ascii="Calibri" w:eastAsia="Calibri" w:hAnsi="Calibri"/>
          <w:b/>
          <w:noProof/>
          <w:color w:val="2B579A"/>
          <w:sz w:val="22"/>
          <w:szCs w:val="22"/>
          <w:u w:val="single"/>
          <w:shd w:val="clear" w:color="auto" w:fill="E6E6E6"/>
        </w:rPr>
        <mc:AlternateContent>
          <mc:Choice Requires="wps">
            <w:drawing>
              <wp:anchor distT="0" distB="0" distL="114300" distR="114300" simplePos="0" relativeHeight="251658242" behindDoc="1" locked="0" layoutInCell="1" allowOverlap="1" wp14:anchorId="6B39D395" wp14:editId="7100AD89">
                <wp:simplePos x="0" y="0"/>
                <wp:positionH relativeFrom="margin">
                  <wp:posOffset>-172016</wp:posOffset>
                </wp:positionH>
                <wp:positionV relativeFrom="paragraph">
                  <wp:posOffset>103254</wp:posOffset>
                </wp:positionV>
                <wp:extent cx="6477000" cy="4291342"/>
                <wp:effectExtent l="0" t="0" r="12700" b="13970"/>
                <wp:wrapNone/>
                <wp:docPr id="5" name="Rectangle 5"/>
                <wp:cNvGraphicFramePr/>
                <a:graphic xmlns:a="http://schemas.openxmlformats.org/drawingml/2006/main">
                  <a:graphicData uri="http://schemas.microsoft.com/office/word/2010/wordprocessingShape">
                    <wps:wsp>
                      <wps:cNvSpPr/>
                      <wps:spPr>
                        <a:xfrm>
                          <a:off x="0" y="0"/>
                          <a:ext cx="6477000" cy="4291342"/>
                        </a:xfrm>
                        <a:prstGeom prst="rect">
                          <a:avLst/>
                        </a:prstGeom>
                        <a:solidFill>
                          <a:schemeClr val="bg1">
                            <a:lumMod val="75000"/>
                            <a:alpha val="23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A80CF8" w14:textId="77777777" w:rsidR="00992927" w:rsidRDefault="00992927" w:rsidP="006B2D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9D395" id="Rectangle 5" o:spid="_x0000_s1028" style="position:absolute;margin-left:-13.55pt;margin-top:8.15pt;width:510pt;height:337.9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" fillcolor="#bfbfbf [2412]" strokecolor="#1f3763 [1604]" strokeweight="1pt">
                <v:fill opacity="15163f"/>
                <v:textbox>
                  <w:txbxContent>
                    <w:p w14:paraId="25A80CF8" w14:textId="77777777" w:rsidR="00992927" w:rsidRDefault="00992927" w:rsidP="006B2D52"/>
                  </w:txbxContent>
                </v:textbox>
                <w10:wrap anchorx="margin"/>
              </v:rect>
            </w:pict>
          </mc:Fallback>
        </mc:AlternateContent>
      </w:r>
    </w:p>
    <w:p w14:paraId="6090514E" w14:textId="7F476B44" w:rsidR="004A2342" w:rsidRPr="004A2342" w:rsidRDefault="004A2342" w:rsidP="004A2342">
      <w:pPr>
        <w:rPr>
          <w:rFonts w:asciiTheme="minorHAnsi" w:hAnsiTheme="minorHAnsi" w:cstheme="minorHAnsi"/>
          <w:b/>
          <w:bCs/>
          <w:sz w:val="22"/>
          <w:szCs w:val="22"/>
        </w:rPr>
      </w:pPr>
      <w:r>
        <w:rPr>
          <w:rFonts w:asciiTheme="minorHAnsi" w:hAnsiTheme="minorHAnsi" w:cstheme="minorHAnsi"/>
          <w:b/>
          <w:bCs/>
          <w:sz w:val="22"/>
          <w:szCs w:val="22"/>
        </w:rPr>
        <w:t>Key Messages and Updates</w:t>
      </w:r>
    </w:p>
    <w:p w14:paraId="3D6EC8D6" w14:textId="01CDC737" w:rsidR="00D16009" w:rsidRPr="00245881" w:rsidRDefault="00D16009" w:rsidP="00D16009">
      <w:pPr>
        <w:spacing w:line="259" w:lineRule="auto"/>
        <w:rPr>
          <w:rFonts w:ascii="Calibri" w:eastAsia="Calibri" w:hAnsi="Calibri"/>
          <w:b/>
          <w:bCs/>
          <w:sz w:val="16"/>
          <w:szCs w:val="16"/>
          <w:u w:val="single"/>
        </w:rPr>
      </w:pPr>
    </w:p>
    <w:p w14:paraId="2AB8909B" w14:textId="08D21703" w:rsidR="00E64050" w:rsidRDefault="12B59F14" w:rsidP="00E64050">
      <w:pPr>
        <w:pStyle w:val="ListParagraph"/>
        <w:numPr>
          <w:ilvl w:val="0"/>
          <w:numId w:val="13"/>
        </w:numPr>
        <w:spacing w:after="240"/>
        <w:rPr>
          <w:rFonts w:asciiTheme="minorHAnsi" w:eastAsia="Calibri" w:hAnsiTheme="minorHAnsi"/>
          <w:sz w:val="22"/>
          <w:szCs w:val="22"/>
        </w:rPr>
      </w:pPr>
      <w:r w:rsidRPr="5FEC5076">
        <w:rPr>
          <w:rFonts w:asciiTheme="minorHAnsi" w:eastAsia="Calibri" w:hAnsiTheme="minorHAnsi"/>
          <w:sz w:val="22"/>
          <w:szCs w:val="22"/>
        </w:rPr>
        <w:t xml:space="preserve">Mpox incidence in Massachusetts has increased over the period from October 2023 to March 2024. Providers should be vigilant for mpox in people with potential exposure, including previously vaccinated individuals. </w:t>
      </w:r>
    </w:p>
    <w:p w14:paraId="04A76FB0" w14:textId="50701EF2" w:rsidR="006A3483" w:rsidRPr="006B2D52" w:rsidRDefault="00E64050" w:rsidP="006B2D52">
      <w:pPr>
        <w:pStyle w:val="ListParagraph"/>
        <w:numPr>
          <w:ilvl w:val="0"/>
          <w:numId w:val="13"/>
        </w:numPr>
        <w:spacing w:after="240"/>
        <w:rPr>
          <w:rFonts w:asciiTheme="minorHAnsi" w:eastAsia="Calibri" w:hAnsiTheme="minorHAnsi"/>
          <w:sz w:val="22"/>
          <w:szCs w:val="22"/>
        </w:rPr>
      </w:pPr>
      <w:r w:rsidRPr="2235D0B5">
        <w:rPr>
          <w:rFonts w:asciiTheme="minorHAnsi" w:eastAsia="Calibri" w:hAnsiTheme="minorHAnsi"/>
          <w:sz w:val="22"/>
          <w:szCs w:val="22"/>
        </w:rPr>
        <w:t>A concurrent but geographically distinct outbreak of mpox due to MPXV Clade I is occurring in central Africa. No cases have been detected in the U.S., but local health authorities should remain vigilant.</w:t>
      </w:r>
    </w:p>
    <w:p w14:paraId="2585E2BC" w14:textId="4ACCDFB5" w:rsidR="006A3483" w:rsidRPr="00002282" w:rsidRDefault="002E01B8" w:rsidP="29637E0F">
      <w:pPr>
        <w:pStyle w:val="ListParagraph"/>
        <w:numPr>
          <w:ilvl w:val="0"/>
          <w:numId w:val="13"/>
        </w:numPr>
        <w:spacing w:after="240"/>
        <w:rPr>
          <w:rFonts w:asciiTheme="minorHAnsi" w:eastAsiaTheme="minorEastAsia" w:hAnsiTheme="minorHAnsi"/>
          <w:sz w:val="22"/>
          <w:szCs w:val="22"/>
        </w:rPr>
      </w:pPr>
      <w:proofErr w:type="spellStart"/>
      <w:r w:rsidRPr="29637E0F">
        <w:rPr>
          <w:rFonts w:asciiTheme="minorHAnsi" w:eastAsia="Calibri" w:hAnsiTheme="minorHAnsi"/>
          <w:sz w:val="22"/>
          <w:szCs w:val="22"/>
        </w:rPr>
        <w:t>Jynneos</w:t>
      </w:r>
      <w:proofErr w:type="spellEnd"/>
      <w:r w:rsidRPr="29637E0F">
        <w:rPr>
          <w:rFonts w:asciiTheme="minorHAnsi" w:eastAsia="Calibri" w:hAnsiTheme="minorHAnsi"/>
          <w:sz w:val="22"/>
          <w:szCs w:val="22"/>
        </w:rPr>
        <w:t xml:space="preserve"> vaccination is associated with a reduced risk of mpox. </w:t>
      </w:r>
      <w:r w:rsidR="006A3483" w:rsidRPr="29637E0F">
        <w:rPr>
          <w:rFonts w:asciiTheme="minorHAnsi" w:eastAsia="Calibri" w:hAnsiTheme="minorHAnsi"/>
          <w:sz w:val="22"/>
          <w:szCs w:val="22"/>
        </w:rPr>
        <w:t>Outreach to individuals with potential exposure to mpox should continue and the two-dose series should be completed to lower their risk for infection. People with immunocompromise, including those with HIV, may have more severe disease due to mpox so vaccination is important if they are at risk for exposure.</w:t>
      </w:r>
    </w:p>
    <w:p w14:paraId="0C879833" w14:textId="4AF2AB82" w:rsidR="00E64050" w:rsidRPr="002573F8" w:rsidRDefault="00E64050" w:rsidP="0B889C6F">
      <w:pPr>
        <w:pStyle w:val="ListParagraph"/>
        <w:numPr>
          <w:ilvl w:val="0"/>
          <w:numId w:val="13"/>
        </w:numPr>
        <w:spacing w:after="240"/>
        <w:rPr>
          <w:rFonts w:asciiTheme="minorHAnsi" w:eastAsiaTheme="minorEastAsia" w:hAnsiTheme="minorHAnsi"/>
          <w:sz w:val="22"/>
          <w:szCs w:val="22"/>
        </w:rPr>
      </w:pPr>
      <w:r w:rsidRPr="0B889C6F">
        <w:rPr>
          <w:rFonts w:asciiTheme="minorHAnsi" w:eastAsia="Calibri" w:hAnsiTheme="minorHAnsi"/>
          <w:sz w:val="22"/>
          <w:szCs w:val="22"/>
        </w:rPr>
        <w:t xml:space="preserve">Testing of mpox </w:t>
      </w:r>
      <w:r w:rsidR="00034573">
        <w:rPr>
          <w:rFonts w:asciiTheme="minorHAnsi" w:eastAsia="Calibri" w:hAnsiTheme="minorHAnsi"/>
          <w:sz w:val="22"/>
          <w:szCs w:val="22"/>
        </w:rPr>
        <w:t xml:space="preserve">is available </w:t>
      </w:r>
      <w:r w:rsidRPr="0B889C6F">
        <w:rPr>
          <w:rFonts w:asciiTheme="minorHAnsi" w:eastAsia="Calibri" w:hAnsiTheme="minorHAnsi"/>
          <w:sz w:val="22"/>
          <w:szCs w:val="22"/>
        </w:rPr>
        <w:t xml:space="preserve">through the State Public Health Laboratory </w:t>
      </w:r>
      <w:r w:rsidR="535AC42F" w:rsidRPr="0B889C6F">
        <w:rPr>
          <w:rFonts w:asciiTheme="minorHAnsi" w:eastAsia="Calibri" w:hAnsiTheme="minorHAnsi"/>
          <w:sz w:val="22"/>
          <w:szCs w:val="22"/>
        </w:rPr>
        <w:t>(SPHL)</w:t>
      </w:r>
      <w:r w:rsidR="00AA0D59">
        <w:rPr>
          <w:rFonts w:asciiTheme="minorHAnsi" w:eastAsia="Calibri" w:hAnsiTheme="minorHAnsi"/>
          <w:sz w:val="22"/>
          <w:szCs w:val="22"/>
        </w:rPr>
        <w:t xml:space="preserve"> and commercial laboratories</w:t>
      </w:r>
      <w:r w:rsidR="00523237">
        <w:rPr>
          <w:rFonts w:asciiTheme="minorHAnsi" w:eastAsia="Calibri" w:hAnsiTheme="minorHAnsi"/>
          <w:sz w:val="22"/>
          <w:szCs w:val="22"/>
        </w:rPr>
        <w:t>. T</w:t>
      </w:r>
      <w:r w:rsidR="00053A0E">
        <w:rPr>
          <w:rFonts w:asciiTheme="minorHAnsi" w:eastAsia="Calibri" w:hAnsiTheme="minorHAnsi"/>
          <w:sz w:val="22"/>
          <w:szCs w:val="22"/>
        </w:rPr>
        <w:t>esting</w:t>
      </w:r>
      <w:r w:rsidR="00BB49A4">
        <w:rPr>
          <w:rFonts w:asciiTheme="minorHAnsi" w:eastAsia="Calibri" w:hAnsiTheme="minorHAnsi"/>
          <w:sz w:val="22"/>
          <w:szCs w:val="22"/>
        </w:rPr>
        <w:t xml:space="preserve"> at the SPHL is encouraged</w:t>
      </w:r>
      <w:r w:rsidR="00E0491C">
        <w:rPr>
          <w:rFonts w:asciiTheme="minorHAnsi" w:eastAsia="Calibri" w:hAnsiTheme="minorHAnsi"/>
          <w:sz w:val="22"/>
          <w:szCs w:val="22"/>
        </w:rPr>
        <w:t xml:space="preserve"> to facilitate turnaround and clade determination</w:t>
      </w:r>
      <w:r w:rsidR="00BB49A4">
        <w:rPr>
          <w:rFonts w:asciiTheme="minorHAnsi" w:eastAsia="Calibri" w:hAnsiTheme="minorHAnsi"/>
          <w:sz w:val="22"/>
          <w:szCs w:val="22"/>
        </w:rPr>
        <w:t>.</w:t>
      </w:r>
      <w:r w:rsidR="199C0244" w:rsidRPr="0B889C6F">
        <w:rPr>
          <w:rFonts w:asciiTheme="minorHAnsi" w:eastAsia="Calibri" w:hAnsiTheme="minorHAnsi"/>
          <w:sz w:val="22"/>
          <w:szCs w:val="22"/>
        </w:rPr>
        <w:t xml:space="preserve"> See guidance on page 5 of this advisory with guidance about specimen submission</w:t>
      </w:r>
      <w:r w:rsidRPr="0B889C6F">
        <w:rPr>
          <w:rFonts w:asciiTheme="minorHAnsi" w:eastAsia="Calibri" w:hAnsiTheme="minorHAnsi"/>
          <w:sz w:val="22"/>
          <w:szCs w:val="22"/>
        </w:rPr>
        <w:t xml:space="preserve"> </w:t>
      </w:r>
      <w:r w:rsidR="697BE40E" w:rsidRPr="0B889C6F">
        <w:rPr>
          <w:rFonts w:asciiTheme="minorHAnsi" w:eastAsia="Calibri" w:hAnsiTheme="minorHAnsi"/>
          <w:sz w:val="22"/>
          <w:szCs w:val="22"/>
        </w:rPr>
        <w:t>to the SPHL</w:t>
      </w:r>
      <w:r w:rsidRPr="0B889C6F">
        <w:rPr>
          <w:rFonts w:asciiTheme="minorHAnsi" w:eastAsia="Calibri" w:hAnsiTheme="minorHAnsi"/>
          <w:sz w:val="22"/>
          <w:szCs w:val="22"/>
        </w:rPr>
        <w:t xml:space="preserve">. </w:t>
      </w:r>
    </w:p>
    <w:p w14:paraId="14273A2C" w14:textId="179236DB" w:rsidR="211FC283" w:rsidRDefault="211FC283" w:rsidP="3E75EE24">
      <w:pPr>
        <w:pStyle w:val="ListParagraph"/>
        <w:numPr>
          <w:ilvl w:val="0"/>
          <w:numId w:val="13"/>
        </w:numPr>
        <w:spacing w:after="240"/>
        <w:rPr>
          <w:rFonts w:ascii="Calibri" w:eastAsia="Calibri" w:hAnsi="Calibri"/>
          <w:sz w:val="22"/>
          <w:szCs w:val="22"/>
        </w:rPr>
      </w:pPr>
      <w:r w:rsidRPr="14319605">
        <w:rPr>
          <w:rFonts w:ascii="Calibri" w:eastAsia="Calibri" w:hAnsi="Calibri"/>
          <w:sz w:val="22"/>
          <w:szCs w:val="22"/>
        </w:rPr>
        <w:t xml:space="preserve">Specimens </w:t>
      </w:r>
      <w:r w:rsidR="00D0168A" w:rsidRPr="14319605">
        <w:rPr>
          <w:rFonts w:ascii="Calibri" w:eastAsia="Calibri" w:hAnsi="Calibri"/>
          <w:sz w:val="22"/>
          <w:szCs w:val="22"/>
        </w:rPr>
        <w:t xml:space="preserve">collected </w:t>
      </w:r>
      <w:r w:rsidRPr="14319605">
        <w:rPr>
          <w:rFonts w:ascii="Calibri" w:eastAsia="Calibri" w:hAnsi="Calibri"/>
          <w:sz w:val="22"/>
          <w:szCs w:val="22"/>
        </w:rPr>
        <w:t xml:space="preserve">from patients with travel </w:t>
      </w:r>
      <w:r w:rsidR="009865A6" w:rsidRPr="14319605">
        <w:rPr>
          <w:rFonts w:ascii="Calibri" w:eastAsia="Calibri" w:hAnsi="Calibri"/>
          <w:sz w:val="22"/>
          <w:szCs w:val="22"/>
        </w:rPr>
        <w:t xml:space="preserve">history </w:t>
      </w:r>
      <w:r w:rsidRPr="14319605">
        <w:rPr>
          <w:rFonts w:ascii="Calibri" w:eastAsia="Calibri" w:hAnsi="Calibri"/>
          <w:sz w:val="22"/>
          <w:szCs w:val="22"/>
        </w:rPr>
        <w:t>to central Africa or recent close contact with someone w</w:t>
      </w:r>
      <w:r w:rsidR="009865A6" w:rsidRPr="14319605">
        <w:rPr>
          <w:rFonts w:ascii="Calibri" w:eastAsia="Calibri" w:hAnsi="Calibri"/>
          <w:sz w:val="22"/>
          <w:szCs w:val="22"/>
        </w:rPr>
        <w:t>ho</w:t>
      </w:r>
      <w:r w:rsidR="00D0168A" w:rsidRPr="14319605">
        <w:rPr>
          <w:rFonts w:ascii="Calibri" w:eastAsia="Calibri" w:hAnsi="Calibri"/>
          <w:sz w:val="22"/>
          <w:szCs w:val="22"/>
        </w:rPr>
        <w:t xml:space="preserve"> recently</w:t>
      </w:r>
      <w:r w:rsidRPr="14319605">
        <w:rPr>
          <w:rFonts w:ascii="Calibri" w:eastAsia="Calibri" w:hAnsi="Calibri"/>
          <w:sz w:val="22"/>
          <w:szCs w:val="22"/>
        </w:rPr>
        <w:t xml:space="preserve"> travel</w:t>
      </w:r>
      <w:r w:rsidR="00D0168A" w:rsidRPr="14319605">
        <w:rPr>
          <w:rFonts w:ascii="Calibri" w:eastAsia="Calibri" w:hAnsi="Calibri"/>
          <w:sz w:val="22"/>
          <w:szCs w:val="22"/>
        </w:rPr>
        <w:t>led</w:t>
      </w:r>
      <w:r w:rsidRPr="14319605">
        <w:rPr>
          <w:rFonts w:ascii="Calibri" w:eastAsia="Calibri" w:hAnsi="Calibri"/>
          <w:sz w:val="22"/>
          <w:szCs w:val="22"/>
        </w:rPr>
        <w:t xml:space="preserve"> to central Africa should be sent to the </w:t>
      </w:r>
      <w:r w:rsidR="00523237">
        <w:rPr>
          <w:rFonts w:ascii="Calibri" w:eastAsia="Calibri" w:hAnsi="Calibri"/>
          <w:sz w:val="22"/>
          <w:szCs w:val="22"/>
        </w:rPr>
        <w:t>SPHL</w:t>
      </w:r>
      <w:r w:rsidR="74D7ADD3" w:rsidRPr="14319605">
        <w:rPr>
          <w:rFonts w:ascii="Calibri" w:eastAsia="Calibri" w:hAnsi="Calibri"/>
          <w:sz w:val="22"/>
          <w:szCs w:val="22"/>
        </w:rPr>
        <w:t>, rather than to a commercial laboratory,</w:t>
      </w:r>
      <w:r w:rsidRPr="14319605">
        <w:rPr>
          <w:rFonts w:ascii="Calibri" w:eastAsia="Calibri" w:hAnsi="Calibri"/>
          <w:sz w:val="22"/>
          <w:szCs w:val="22"/>
        </w:rPr>
        <w:t xml:space="preserve"> for testing.</w:t>
      </w:r>
    </w:p>
    <w:p w14:paraId="731DB4EF" w14:textId="6879DC62" w:rsidR="002E01B8" w:rsidRDefault="002E01B8" w:rsidP="29637E0F">
      <w:pPr>
        <w:pStyle w:val="ListParagraph"/>
        <w:numPr>
          <w:ilvl w:val="0"/>
          <w:numId w:val="13"/>
        </w:numPr>
        <w:spacing w:after="240"/>
        <w:rPr>
          <w:rFonts w:asciiTheme="minorHAnsi" w:eastAsia="Calibri" w:hAnsiTheme="minorHAnsi"/>
          <w:sz w:val="22"/>
          <w:szCs w:val="22"/>
        </w:rPr>
      </w:pPr>
      <w:r w:rsidRPr="29637E0F">
        <w:rPr>
          <w:rFonts w:asciiTheme="minorHAnsi" w:eastAsia="Calibri" w:hAnsiTheme="minorHAnsi"/>
          <w:sz w:val="22"/>
          <w:szCs w:val="22"/>
        </w:rPr>
        <w:t>Tecovir</w:t>
      </w:r>
      <w:r w:rsidR="00125703">
        <w:rPr>
          <w:rFonts w:asciiTheme="minorHAnsi" w:eastAsia="Calibri" w:hAnsiTheme="minorHAnsi"/>
          <w:sz w:val="22"/>
          <w:szCs w:val="22"/>
        </w:rPr>
        <w:t>i</w:t>
      </w:r>
      <w:r w:rsidRPr="29637E0F">
        <w:rPr>
          <w:rFonts w:asciiTheme="minorHAnsi" w:eastAsia="Calibri" w:hAnsiTheme="minorHAnsi"/>
          <w:sz w:val="22"/>
          <w:szCs w:val="22"/>
        </w:rPr>
        <w:t xml:space="preserve">mat (TPOXX) is available for treatment of mpox. Therapy can be obtained by participating in the STOMP clinical trial. If trial participation is not feasible or of interest to the individual, certain patients may be eligible to receive the drug through the CDC EA-IND protocol by a healthcare provider. Contact MDPH for additional details. </w:t>
      </w:r>
    </w:p>
    <w:p w14:paraId="24D5A3C2" w14:textId="77777777" w:rsidR="00904B71" w:rsidRDefault="00904B71" w:rsidP="00D16009">
      <w:pPr>
        <w:rPr>
          <w:rFonts w:asciiTheme="minorHAnsi" w:hAnsiTheme="minorHAnsi" w:cstheme="minorHAnsi"/>
          <w:b/>
          <w:bCs/>
          <w:sz w:val="22"/>
          <w:szCs w:val="22"/>
        </w:rPr>
      </w:pPr>
    </w:p>
    <w:p w14:paraId="64527D48" w14:textId="77777777" w:rsidR="00D16009" w:rsidRPr="009126D2" w:rsidRDefault="00D16009" w:rsidP="00D16009">
      <w:pPr>
        <w:rPr>
          <w:b/>
          <w:bCs/>
          <w:sz w:val="2"/>
          <w:szCs w:val="2"/>
        </w:rPr>
      </w:pPr>
    </w:p>
    <w:p w14:paraId="4B9D10BE" w14:textId="77777777" w:rsidR="00D16009" w:rsidRPr="009126D2" w:rsidRDefault="00D16009" w:rsidP="00D16009">
      <w:pPr>
        <w:rPr>
          <w:b/>
          <w:bCs/>
          <w:sz w:val="4"/>
          <w:szCs w:val="2"/>
        </w:rPr>
      </w:pPr>
    </w:p>
    <w:p w14:paraId="0464B58F" w14:textId="77777777" w:rsidR="00D16009" w:rsidRPr="00735671" w:rsidRDefault="00D16009" w:rsidP="00D16009">
      <w:pPr>
        <w:spacing w:line="259" w:lineRule="auto"/>
        <w:rPr>
          <w:rFonts w:asciiTheme="minorHAnsi" w:hAnsiTheme="minorHAnsi" w:cstheme="minorHAnsi"/>
          <w:sz w:val="16"/>
          <w:szCs w:val="16"/>
        </w:rPr>
      </w:pPr>
    </w:p>
    <w:p w14:paraId="2695DA8F" w14:textId="6A6D2217" w:rsidR="00D16009" w:rsidRDefault="00D16009" w:rsidP="00D16009">
      <w:pPr>
        <w:spacing w:after="40"/>
        <w:rPr>
          <w:rFonts w:ascii="Calibri" w:eastAsia="Calibri" w:hAnsi="Calibri"/>
          <w:b/>
          <w:bCs/>
          <w:sz w:val="22"/>
          <w:szCs w:val="22"/>
          <w:u w:val="single"/>
        </w:rPr>
      </w:pPr>
      <w:r w:rsidRPr="001906C7">
        <w:rPr>
          <w:rFonts w:ascii="Calibri" w:eastAsia="Calibri" w:hAnsi="Calibri"/>
          <w:b/>
          <w:bCs/>
          <w:sz w:val="22"/>
          <w:szCs w:val="22"/>
        </w:rPr>
        <w:t>ABOUT M</w:t>
      </w:r>
      <w:r w:rsidR="001906C7">
        <w:rPr>
          <w:rFonts w:ascii="Calibri" w:eastAsia="Calibri" w:hAnsi="Calibri"/>
          <w:b/>
          <w:bCs/>
          <w:sz w:val="22"/>
          <w:szCs w:val="22"/>
        </w:rPr>
        <w:t>POX</w:t>
      </w:r>
    </w:p>
    <w:p w14:paraId="5DEE6ED9" w14:textId="77777777" w:rsidR="00D16009" w:rsidRPr="00245881" w:rsidRDefault="00190579" w:rsidP="00D16009">
      <w:pPr>
        <w:spacing w:after="40"/>
        <w:rPr>
          <w:rFonts w:ascii="Calibri" w:eastAsia="Calibri" w:hAnsi="Calibri"/>
          <w:b/>
          <w:bCs/>
          <w:color w:val="0000FF"/>
          <w:sz w:val="22"/>
          <w:szCs w:val="22"/>
          <w:u w:val="single"/>
        </w:rPr>
      </w:pPr>
      <w:hyperlink w:anchor="RECOMMENDATIONS" w:history="1">
        <w:r w:rsidR="00D16009" w:rsidRPr="00951AEF">
          <w:rPr>
            <w:rStyle w:val="Hyperlink"/>
            <w:rFonts w:ascii="Calibri" w:eastAsia="Calibri" w:hAnsi="Calibri"/>
            <w:b/>
            <w:bCs/>
            <w:sz w:val="22"/>
            <w:szCs w:val="22"/>
          </w:rPr>
          <w:t>RECOMMENDATIONS FOR CLINICIANS</w:t>
        </w:r>
      </w:hyperlink>
    </w:p>
    <w:p w14:paraId="1F1F5EF0" w14:textId="77777777" w:rsidR="00D16009" w:rsidRPr="00CF4793" w:rsidRDefault="00190579" w:rsidP="00D16009">
      <w:pPr>
        <w:spacing w:after="40"/>
        <w:rPr>
          <w:rFonts w:ascii="Calibri" w:eastAsia="Calibri" w:hAnsi="Calibri"/>
          <w:b/>
          <w:bCs/>
          <w:sz w:val="22"/>
          <w:szCs w:val="22"/>
          <w:u w:val="single"/>
        </w:rPr>
      </w:pPr>
      <w:hyperlink w:anchor="LABORATORY" w:history="1">
        <w:r w:rsidR="00D16009" w:rsidRPr="00951AEF">
          <w:rPr>
            <w:rStyle w:val="Hyperlink"/>
            <w:rFonts w:ascii="Calibri" w:eastAsia="Calibri" w:hAnsi="Calibri"/>
            <w:b/>
            <w:bCs/>
            <w:sz w:val="22"/>
            <w:szCs w:val="22"/>
          </w:rPr>
          <w:t>LABORATORY TESTING AND SPECIMEN COLLECTION</w:t>
        </w:r>
      </w:hyperlink>
      <w:r w:rsidR="00D16009">
        <w:rPr>
          <w:rStyle w:val="Hyperlink"/>
          <w:rFonts w:ascii="Calibri" w:eastAsia="Calibri" w:hAnsi="Calibri"/>
          <w:b/>
          <w:bCs/>
          <w:sz w:val="22"/>
          <w:szCs w:val="22"/>
        </w:rPr>
        <w:t xml:space="preserve"> </w:t>
      </w:r>
    </w:p>
    <w:p w14:paraId="1189EA71" w14:textId="77777777" w:rsidR="00D16009" w:rsidRPr="00245881" w:rsidRDefault="00190579" w:rsidP="00D16009">
      <w:pPr>
        <w:spacing w:after="40"/>
        <w:ind w:left="720"/>
        <w:rPr>
          <w:rFonts w:ascii="Calibri" w:eastAsia="Calibri" w:hAnsi="Calibri"/>
          <w:b/>
          <w:bCs/>
          <w:sz w:val="22"/>
          <w:szCs w:val="22"/>
        </w:rPr>
      </w:pPr>
      <w:hyperlink w:anchor="SPHL" w:history="1">
        <w:r w:rsidR="00D16009" w:rsidRPr="00951AEF">
          <w:rPr>
            <w:rStyle w:val="Hyperlink"/>
            <w:rFonts w:ascii="Calibri" w:eastAsia="Calibri" w:hAnsi="Calibri"/>
            <w:b/>
            <w:bCs/>
            <w:sz w:val="22"/>
            <w:szCs w:val="22"/>
          </w:rPr>
          <w:t>Laboratory testing at SPHL</w:t>
        </w:r>
      </w:hyperlink>
      <w:r w:rsidR="00D16009">
        <w:rPr>
          <w:rFonts w:ascii="Calibri" w:eastAsia="Calibri" w:hAnsi="Calibri"/>
          <w:b/>
          <w:bCs/>
          <w:sz w:val="22"/>
          <w:szCs w:val="22"/>
          <w:u w:val="single"/>
        </w:rPr>
        <w:t xml:space="preserve"> </w:t>
      </w:r>
    </w:p>
    <w:p w14:paraId="72F3AEF0" w14:textId="77777777" w:rsidR="00D16009" w:rsidRDefault="00190579" w:rsidP="00D16009">
      <w:pPr>
        <w:spacing w:after="40"/>
        <w:ind w:firstLine="720"/>
        <w:rPr>
          <w:rFonts w:ascii="Calibri" w:eastAsia="Calibri" w:hAnsi="Calibri"/>
          <w:b/>
          <w:bCs/>
          <w:sz w:val="22"/>
          <w:szCs w:val="22"/>
          <w:u w:val="single"/>
        </w:rPr>
      </w:pPr>
      <w:hyperlink w:anchor="COMMERCIAL" w:history="1">
        <w:r w:rsidR="00D16009" w:rsidRPr="00951AEF">
          <w:rPr>
            <w:rStyle w:val="Hyperlink"/>
            <w:rFonts w:ascii="Calibri" w:eastAsia="Calibri" w:hAnsi="Calibri"/>
            <w:b/>
            <w:bCs/>
            <w:sz w:val="22"/>
            <w:szCs w:val="22"/>
          </w:rPr>
          <w:t>Laboratory testing at commercial/reference laboratories</w:t>
        </w:r>
      </w:hyperlink>
    </w:p>
    <w:p w14:paraId="3B8CE4BF" w14:textId="77777777" w:rsidR="00D16009" w:rsidRDefault="00190579" w:rsidP="00D16009">
      <w:pPr>
        <w:spacing w:after="40"/>
        <w:rPr>
          <w:rFonts w:ascii="Calibri" w:eastAsia="Calibri" w:hAnsi="Calibri"/>
          <w:b/>
          <w:bCs/>
          <w:sz w:val="22"/>
          <w:szCs w:val="22"/>
          <w:u w:val="single"/>
        </w:rPr>
      </w:pPr>
      <w:hyperlink w:anchor="TREATMENT" w:history="1">
        <w:r w:rsidR="00D16009" w:rsidRPr="00951AEF">
          <w:rPr>
            <w:rStyle w:val="Hyperlink"/>
            <w:rFonts w:ascii="Calibri" w:eastAsia="Calibri" w:hAnsi="Calibri"/>
            <w:b/>
            <w:bCs/>
            <w:sz w:val="22"/>
            <w:szCs w:val="22"/>
          </w:rPr>
          <w:t>TREATMENT FOR MONKEYPOX</w:t>
        </w:r>
      </w:hyperlink>
    </w:p>
    <w:p w14:paraId="2730564B" w14:textId="77777777" w:rsidR="00D16009" w:rsidRDefault="00190579" w:rsidP="00D16009">
      <w:pPr>
        <w:spacing w:after="40"/>
        <w:rPr>
          <w:rFonts w:ascii="Calibri" w:eastAsia="Calibri" w:hAnsi="Calibri"/>
          <w:b/>
          <w:bCs/>
          <w:sz w:val="22"/>
          <w:szCs w:val="22"/>
          <w:u w:val="single"/>
        </w:rPr>
      </w:pPr>
      <w:hyperlink w:anchor="VACCINE">
        <w:r w:rsidR="00D16009" w:rsidRPr="64FC99F8">
          <w:rPr>
            <w:rStyle w:val="Hyperlink"/>
            <w:rFonts w:asciiTheme="minorHAnsi" w:eastAsia="Calibri" w:hAnsiTheme="minorHAnsi" w:cstheme="minorBidi"/>
            <w:b/>
            <w:bCs/>
            <w:sz w:val="22"/>
            <w:szCs w:val="22"/>
          </w:rPr>
          <w:t>POST-EXPOSURE VACCINATION FOR HIGH RISK MONKEYPOX CONTACTS</w:t>
        </w:r>
      </w:hyperlink>
      <w:r w:rsidR="00D16009" w:rsidRPr="64FC99F8">
        <w:rPr>
          <w:rStyle w:val="Hyperlink"/>
          <w:rFonts w:asciiTheme="minorHAnsi" w:eastAsia="Calibri" w:hAnsiTheme="minorHAnsi" w:cstheme="minorBidi"/>
          <w:b/>
          <w:bCs/>
          <w:sz w:val="22"/>
          <w:szCs w:val="22"/>
        </w:rPr>
        <w:t xml:space="preserve"> </w:t>
      </w:r>
    </w:p>
    <w:p w14:paraId="387512B4" w14:textId="77777777" w:rsidR="00066946" w:rsidRDefault="00066946" w:rsidP="00D16009">
      <w:pPr>
        <w:spacing w:after="160" w:line="259" w:lineRule="auto"/>
        <w:rPr>
          <w:rFonts w:ascii="Calibri" w:eastAsia="Calibri" w:hAnsi="Calibri"/>
          <w:b/>
          <w:bCs/>
          <w:sz w:val="22"/>
          <w:szCs w:val="22"/>
          <w:u w:val="single"/>
        </w:rPr>
      </w:pPr>
    </w:p>
    <w:p w14:paraId="23530E2F" w14:textId="6977EABC" w:rsidR="00D16009" w:rsidRPr="00CF4793" w:rsidRDefault="00D16009" w:rsidP="00D16009">
      <w:pPr>
        <w:spacing w:after="160" w:line="259" w:lineRule="auto"/>
        <w:rPr>
          <w:rFonts w:ascii="Calibri" w:eastAsia="Calibri" w:hAnsi="Calibri"/>
          <w:b/>
          <w:bCs/>
          <w:sz w:val="22"/>
          <w:szCs w:val="22"/>
          <w:u w:val="single"/>
        </w:rPr>
      </w:pPr>
      <w:r>
        <w:rPr>
          <w:rFonts w:ascii="Calibri" w:eastAsia="Calibri" w:hAnsi="Calibri"/>
          <w:b/>
          <w:bCs/>
          <w:sz w:val="22"/>
          <w:szCs w:val="22"/>
          <w:u w:val="single"/>
        </w:rPr>
        <w:t>ABOUT MPOX</w:t>
      </w:r>
      <w:r w:rsidRPr="00CF4793">
        <w:rPr>
          <w:rFonts w:ascii="Calibri" w:eastAsia="Calibri" w:hAnsi="Calibri"/>
          <w:b/>
          <w:bCs/>
          <w:sz w:val="22"/>
          <w:szCs w:val="22"/>
          <w:u w:val="single"/>
        </w:rPr>
        <w:t>:</w:t>
      </w:r>
    </w:p>
    <w:p w14:paraId="641B7CB2" w14:textId="58B10238" w:rsidR="00D16009" w:rsidRDefault="6C451FED" w:rsidP="00D16009">
      <w:pPr>
        <w:spacing w:after="160" w:line="259" w:lineRule="auto"/>
        <w:rPr>
          <w:rFonts w:ascii="Calibri" w:eastAsia="Calibri" w:hAnsi="Calibri"/>
          <w:sz w:val="22"/>
          <w:szCs w:val="22"/>
        </w:rPr>
      </w:pPr>
      <w:r w:rsidRPr="5FEC5076">
        <w:rPr>
          <w:rFonts w:ascii="Calibri" w:eastAsia="Calibri" w:hAnsi="Calibri"/>
          <w:sz w:val="22"/>
          <w:szCs w:val="22"/>
        </w:rPr>
        <w:t xml:space="preserve">Mpox is a viral </w:t>
      </w:r>
      <w:r w:rsidR="72F50015" w:rsidRPr="5FEC5076">
        <w:rPr>
          <w:rFonts w:ascii="Calibri" w:eastAsia="Calibri" w:hAnsi="Calibri"/>
          <w:sz w:val="22"/>
          <w:szCs w:val="22"/>
        </w:rPr>
        <w:t>disease</w:t>
      </w:r>
      <w:r w:rsidRPr="5FEC5076">
        <w:rPr>
          <w:rFonts w:ascii="Calibri" w:eastAsia="Calibri" w:hAnsi="Calibri"/>
          <w:sz w:val="22"/>
          <w:szCs w:val="22"/>
        </w:rPr>
        <w:t xml:space="preserve"> with an incubation period of </w:t>
      </w:r>
      <w:r w:rsidR="610FD827" w:rsidRPr="5FEC5076">
        <w:rPr>
          <w:rFonts w:ascii="Calibri" w:eastAsia="Calibri" w:hAnsi="Calibri"/>
          <w:sz w:val="22"/>
          <w:szCs w:val="22"/>
        </w:rPr>
        <w:t xml:space="preserve">1 to </w:t>
      </w:r>
      <w:r w:rsidR="7BCEEBB5" w:rsidRPr="5FEC5076">
        <w:rPr>
          <w:rFonts w:ascii="Calibri" w:eastAsia="Calibri" w:hAnsi="Calibri"/>
          <w:sz w:val="22"/>
          <w:szCs w:val="22"/>
        </w:rPr>
        <w:t>21</w:t>
      </w:r>
      <w:r w:rsidRPr="5FEC5076">
        <w:rPr>
          <w:rFonts w:ascii="Calibri" w:eastAsia="Calibri" w:hAnsi="Calibri"/>
          <w:sz w:val="22"/>
          <w:szCs w:val="22"/>
        </w:rPr>
        <w:t xml:space="preserve"> days (typically 1 -2 weeks). Illness may begin with flu-like signs and symptoms (fever, chills, malaise, headache, muscle aches/back aches) and swelling of the lymph nodes and progresses to a rash that can look like pimples or blisters that appears on the face, inside the mouth, and on other parts of the body, like the hands, feet, chest, genitals, or anus. Cases may present only with rash illness without any other symptoms or may</w:t>
      </w:r>
      <w:r w:rsidR="004A57DF">
        <w:rPr>
          <w:rFonts w:ascii="Calibri" w:eastAsia="Calibri" w:hAnsi="Calibri"/>
          <w:sz w:val="22"/>
          <w:szCs w:val="22"/>
        </w:rPr>
        <w:t xml:space="preserve"> on</w:t>
      </w:r>
      <w:r w:rsidR="001D1508">
        <w:rPr>
          <w:rFonts w:ascii="Calibri" w:eastAsia="Calibri" w:hAnsi="Calibri"/>
          <w:sz w:val="22"/>
          <w:szCs w:val="22"/>
        </w:rPr>
        <w:t>ly</w:t>
      </w:r>
      <w:r w:rsidRPr="5FEC5076">
        <w:rPr>
          <w:rFonts w:ascii="Calibri" w:eastAsia="Calibri" w:hAnsi="Calibri"/>
          <w:sz w:val="22"/>
          <w:szCs w:val="22"/>
        </w:rPr>
        <w:t xml:space="preserve"> develop mucosal lesions or proctitis. Most infections last 2-to-4 weeks and people are considered infectious throughout duration of symptoms. </w:t>
      </w:r>
      <w:r w:rsidR="40D23D85" w:rsidRPr="5FEC5076">
        <w:rPr>
          <w:rFonts w:ascii="Calibri" w:eastAsia="Calibri" w:hAnsi="Calibri"/>
          <w:sz w:val="22"/>
          <w:szCs w:val="22"/>
        </w:rPr>
        <w:t>The infectious period may precede the development of skin lesions by several days in some individuals.</w:t>
      </w:r>
    </w:p>
    <w:p w14:paraId="0D8BAB62" w14:textId="4974032E" w:rsidR="00D16009" w:rsidRPr="00CF4793" w:rsidRDefault="7BCEEBB5" w:rsidP="00D16009">
      <w:pPr>
        <w:spacing w:after="160" w:line="259" w:lineRule="auto"/>
        <w:rPr>
          <w:rFonts w:ascii="Calibri" w:eastAsia="Calibri" w:hAnsi="Calibri"/>
          <w:sz w:val="22"/>
          <w:szCs w:val="22"/>
        </w:rPr>
      </w:pPr>
      <w:r w:rsidRPr="5FEC5076">
        <w:rPr>
          <w:rFonts w:ascii="Calibri" w:eastAsia="Calibri" w:hAnsi="Calibri"/>
          <w:sz w:val="22"/>
          <w:szCs w:val="22"/>
        </w:rPr>
        <w:t xml:space="preserve">The virus does not spread easily between people; transmission most frequently occurs through direct contact with </w:t>
      </w:r>
      <w:r w:rsidR="000B0BDA">
        <w:rPr>
          <w:rFonts w:ascii="Calibri" w:eastAsia="Calibri" w:hAnsi="Calibri"/>
          <w:sz w:val="22"/>
          <w:szCs w:val="22"/>
        </w:rPr>
        <w:t>mpox</w:t>
      </w:r>
      <w:r w:rsidR="000B0BDA" w:rsidRPr="5FEC5076">
        <w:rPr>
          <w:rFonts w:ascii="Calibri" w:eastAsia="Calibri" w:hAnsi="Calibri"/>
          <w:sz w:val="22"/>
          <w:szCs w:val="22"/>
        </w:rPr>
        <w:t xml:space="preserve"> </w:t>
      </w:r>
      <w:r w:rsidRPr="5FEC5076">
        <w:rPr>
          <w:rFonts w:ascii="Calibri" w:eastAsia="Calibri" w:hAnsi="Calibri"/>
          <w:sz w:val="22"/>
          <w:szCs w:val="22"/>
        </w:rPr>
        <w:t xml:space="preserve">rash lesions, scabs, or body fluids. The virus can also be spread through contact with fomites </w:t>
      </w:r>
      <w:r w:rsidR="000B0BDA">
        <w:rPr>
          <w:rFonts w:ascii="Calibri" w:eastAsia="Calibri" w:hAnsi="Calibri"/>
          <w:sz w:val="22"/>
          <w:szCs w:val="22"/>
        </w:rPr>
        <w:t xml:space="preserve">on </w:t>
      </w:r>
      <w:r w:rsidRPr="5FEC5076">
        <w:rPr>
          <w:rFonts w:ascii="Calibri" w:eastAsia="Calibri" w:hAnsi="Calibri"/>
          <w:sz w:val="22"/>
          <w:szCs w:val="22"/>
        </w:rPr>
        <w:t>items that touched the rash lesions or body fluids (</w:t>
      </w:r>
      <w:r w:rsidR="000B0BDA">
        <w:rPr>
          <w:rFonts w:ascii="Calibri" w:eastAsia="Calibri" w:hAnsi="Calibri"/>
          <w:sz w:val="22"/>
          <w:szCs w:val="22"/>
        </w:rPr>
        <w:t xml:space="preserve">e.g., </w:t>
      </w:r>
      <w:r w:rsidRPr="5FEC5076">
        <w:rPr>
          <w:rFonts w:ascii="Calibri" w:eastAsia="Calibri" w:hAnsi="Calibri"/>
          <w:sz w:val="22"/>
          <w:szCs w:val="22"/>
        </w:rPr>
        <w:t>clothing, bedding, etc.) or through large respiratory droplets following prolonged face-to-face contact.</w:t>
      </w:r>
      <w:r w:rsidR="71154C38" w:rsidRPr="5FEC5076">
        <w:rPr>
          <w:rFonts w:ascii="Calibri" w:eastAsia="Calibri" w:hAnsi="Calibri"/>
          <w:sz w:val="22"/>
          <w:szCs w:val="22"/>
        </w:rPr>
        <w:t xml:space="preserve"> </w:t>
      </w:r>
    </w:p>
    <w:p w14:paraId="6E7FD50D" w14:textId="77777777" w:rsidR="00066946" w:rsidRDefault="00D16009" w:rsidP="00904B71">
      <w:pPr>
        <w:spacing w:after="160" w:line="259" w:lineRule="auto"/>
        <w:rPr>
          <w:rFonts w:ascii="Calibri" w:eastAsia="Calibri" w:hAnsi="Calibri"/>
          <w:sz w:val="22"/>
          <w:szCs w:val="22"/>
        </w:rPr>
      </w:pPr>
      <w:r w:rsidRPr="00CF4793">
        <w:rPr>
          <w:rFonts w:ascii="Calibri" w:eastAsia="Calibri" w:hAnsi="Calibri"/>
          <w:sz w:val="22"/>
          <w:szCs w:val="22"/>
        </w:rPr>
        <w:t>Mpox lesions typically progress through specific stages—macules, papules, vesicles, and pustules—</w:t>
      </w:r>
      <w:r>
        <w:rPr>
          <w:rFonts w:ascii="Calibri" w:eastAsia="Calibri" w:hAnsi="Calibri"/>
          <w:sz w:val="22"/>
          <w:szCs w:val="22"/>
        </w:rPr>
        <w:t xml:space="preserve"> </w:t>
      </w:r>
      <w:r w:rsidRPr="00CF4793">
        <w:rPr>
          <w:rFonts w:ascii="Calibri" w:eastAsia="Calibri" w:hAnsi="Calibri"/>
          <w:sz w:val="22"/>
          <w:szCs w:val="22"/>
        </w:rPr>
        <w:t>before scabbing and falling off. The characteristic lesions are deep-seated and well-circumscribed, often with central umbilication.</w:t>
      </w:r>
    </w:p>
    <w:p w14:paraId="00BE61A2" w14:textId="6F3F3B96" w:rsidR="00066946" w:rsidRDefault="00066946" w:rsidP="00904B71">
      <w:pPr>
        <w:spacing w:after="160" w:line="259" w:lineRule="auto"/>
        <w:rPr>
          <w:rFonts w:ascii="Calibri" w:eastAsia="Calibri" w:hAnsi="Calibri"/>
          <w:sz w:val="22"/>
          <w:szCs w:val="22"/>
        </w:rPr>
      </w:pPr>
      <w:r w:rsidRPr="55632013">
        <w:rPr>
          <w:rFonts w:ascii="Calibri" w:eastAsia="Calibri" w:hAnsi="Calibri"/>
          <w:sz w:val="22"/>
          <w:szCs w:val="22"/>
        </w:rPr>
        <w:t xml:space="preserve">Mpox can occur concurrently with other </w:t>
      </w:r>
      <w:r w:rsidR="002012E8">
        <w:rPr>
          <w:rFonts w:ascii="Calibri" w:eastAsia="Calibri" w:hAnsi="Calibri"/>
          <w:sz w:val="22"/>
          <w:szCs w:val="22"/>
        </w:rPr>
        <w:t>diseases</w:t>
      </w:r>
      <w:r w:rsidRPr="55632013">
        <w:rPr>
          <w:rFonts w:ascii="Calibri" w:eastAsia="Calibri" w:hAnsi="Calibri"/>
          <w:sz w:val="22"/>
          <w:szCs w:val="22"/>
        </w:rPr>
        <w:t>, including other rash illnesses such as varicella-zoster virus, herpes simplex virus or syphilis.</w:t>
      </w:r>
      <w:r w:rsidR="00D16009" w:rsidRPr="55632013">
        <w:rPr>
          <w:rFonts w:ascii="Calibri" w:eastAsia="Calibri" w:hAnsi="Calibri"/>
          <w:sz w:val="22"/>
          <w:szCs w:val="22"/>
        </w:rPr>
        <w:t xml:space="preserve"> </w:t>
      </w:r>
    </w:p>
    <w:p w14:paraId="529E4DDD" w14:textId="78FA4952" w:rsidR="00904B71" w:rsidRDefault="00D16009" w:rsidP="00904B71">
      <w:pPr>
        <w:spacing w:after="160" w:line="259" w:lineRule="auto"/>
        <w:rPr>
          <w:rFonts w:ascii="Calibri" w:eastAsia="Calibri" w:hAnsi="Calibri"/>
          <w:sz w:val="22"/>
          <w:szCs w:val="22"/>
        </w:rPr>
      </w:pPr>
      <w:r>
        <w:rPr>
          <w:rFonts w:ascii="Calibri" w:eastAsia="Calibri" w:hAnsi="Calibri"/>
          <w:sz w:val="22"/>
          <w:szCs w:val="22"/>
        </w:rPr>
        <w:t xml:space="preserve">More information supporting clinical recognition of the disease is available through the Centers for Disease Control and Prevention website at: </w:t>
      </w:r>
      <w:hyperlink r:id="rId10" w:history="1">
        <w:r w:rsidR="00066946" w:rsidRPr="00B80AEA">
          <w:rPr>
            <w:rStyle w:val="Hyperlink"/>
            <w:rFonts w:ascii="Calibri" w:eastAsia="Calibri" w:hAnsi="Calibri"/>
            <w:sz w:val="22"/>
            <w:szCs w:val="22"/>
          </w:rPr>
          <w:t>https://www.cdc.gov/poxvirus/mpox/clinicians/clinical-recognition.html</w:t>
        </w:r>
      </w:hyperlink>
      <w:r>
        <w:rPr>
          <w:rFonts w:ascii="Calibri" w:eastAsia="Calibri" w:hAnsi="Calibri"/>
          <w:sz w:val="22"/>
          <w:szCs w:val="22"/>
        </w:rPr>
        <w:t xml:space="preserve">. </w:t>
      </w:r>
    </w:p>
    <w:p w14:paraId="509A1E66" w14:textId="4D1C5E96" w:rsidR="009D7BC7" w:rsidRPr="00DA70C0" w:rsidRDefault="00904B71" w:rsidP="00DA70C0">
      <w:pPr>
        <w:spacing w:after="160" w:line="259" w:lineRule="auto"/>
        <w:rPr>
          <w:rFonts w:ascii="Calibri" w:eastAsia="Calibri" w:hAnsi="Calibri"/>
          <w:b/>
          <w:bCs/>
          <w:sz w:val="22"/>
          <w:szCs w:val="22"/>
          <w:u w:val="single"/>
        </w:rPr>
      </w:pPr>
      <w:r w:rsidRPr="00904B71">
        <w:rPr>
          <w:rFonts w:ascii="Calibri" w:eastAsia="Calibri" w:hAnsi="Calibri"/>
          <w:b/>
          <w:bCs/>
          <w:sz w:val="22"/>
          <w:szCs w:val="22"/>
          <w:u w:val="single"/>
        </w:rPr>
        <w:t>Epidemiology</w:t>
      </w:r>
      <w:r w:rsidR="0028426B">
        <w:rPr>
          <w:rFonts w:ascii="Calibri" w:eastAsia="Calibri" w:hAnsi="Calibri"/>
          <w:sz w:val="22"/>
          <w:szCs w:val="22"/>
        </w:rPr>
        <w:t xml:space="preserve"> </w:t>
      </w:r>
    </w:p>
    <w:p w14:paraId="55AC37AE" w14:textId="1EBDF562" w:rsidR="0025722F" w:rsidRPr="00C74997" w:rsidRDefault="2270F8AE" w:rsidP="448FD213">
      <w:pPr>
        <w:spacing w:after="240"/>
        <w:rPr>
          <w:rFonts w:asciiTheme="minorHAnsi" w:eastAsia="Calibri" w:hAnsiTheme="minorHAnsi" w:cstheme="minorBidi"/>
          <w:sz w:val="22"/>
          <w:szCs w:val="22"/>
        </w:rPr>
      </w:pPr>
      <w:r w:rsidRPr="448FD213">
        <w:rPr>
          <w:rFonts w:asciiTheme="minorHAnsi" w:eastAsia="Calibri" w:hAnsiTheme="minorHAnsi" w:cstheme="minorBidi"/>
          <w:sz w:val="22"/>
          <w:szCs w:val="22"/>
        </w:rPr>
        <w:t xml:space="preserve">There has been a global outbreak of mpox associated with </w:t>
      </w:r>
      <w:r w:rsidR="10C22CF1" w:rsidRPr="448FD213">
        <w:rPr>
          <w:rFonts w:asciiTheme="minorHAnsi" w:eastAsia="Calibri" w:hAnsiTheme="minorHAnsi" w:cstheme="minorBidi"/>
          <w:sz w:val="22"/>
          <w:szCs w:val="22"/>
        </w:rPr>
        <w:t>m</w:t>
      </w:r>
      <w:r w:rsidR="367782DF" w:rsidRPr="448FD213">
        <w:rPr>
          <w:rFonts w:asciiTheme="minorHAnsi" w:eastAsia="Calibri" w:hAnsiTheme="minorHAnsi" w:cstheme="minorBidi"/>
          <w:sz w:val="22"/>
          <w:szCs w:val="22"/>
        </w:rPr>
        <w:t>onkeypox</w:t>
      </w:r>
      <w:r w:rsidR="10C22CF1" w:rsidRPr="448FD213">
        <w:rPr>
          <w:rFonts w:asciiTheme="minorHAnsi" w:eastAsia="Calibri" w:hAnsiTheme="minorHAnsi" w:cstheme="minorBidi"/>
          <w:sz w:val="22"/>
          <w:szCs w:val="22"/>
        </w:rPr>
        <w:t xml:space="preserve"> virus (</w:t>
      </w:r>
      <w:r w:rsidRPr="448FD213">
        <w:rPr>
          <w:rFonts w:asciiTheme="minorHAnsi" w:eastAsia="Calibri" w:hAnsiTheme="minorHAnsi" w:cstheme="minorBidi"/>
          <w:sz w:val="22"/>
          <w:szCs w:val="22"/>
        </w:rPr>
        <w:t>MPX</w:t>
      </w:r>
      <w:r w:rsidR="10C22CF1" w:rsidRPr="448FD213">
        <w:rPr>
          <w:rFonts w:asciiTheme="minorHAnsi" w:eastAsia="Calibri" w:hAnsiTheme="minorHAnsi" w:cstheme="minorBidi"/>
          <w:sz w:val="22"/>
          <w:szCs w:val="22"/>
        </w:rPr>
        <w:t>V)</w:t>
      </w:r>
      <w:r w:rsidRPr="448FD213">
        <w:rPr>
          <w:rFonts w:asciiTheme="minorHAnsi" w:eastAsia="Calibri" w:hAnsiTheme="minorHAnsi" w:cstheme="minorBidi"/>
          <w:sz w:val="22"/>
          <w:szCs w:val="22"/>
        </w:rPr>
        <w:t xml:space="preserve"> Clade IIb, beginning in 2022 and continuing to the present. The first mpox case of this MPX</w:t>
      </w:r>
      <w:r w:rsidR="65B36900" w:rsidRPr="448FD213">
        <w:rPr>
          <w:rFonts w:asciiTheme="minorHAnsi" w:eastAsia="Calibri" w:hAnsiTheme="minorHAnsi" w:cstheme="minorBidi"/>
          <w:sz w:val="22"/>
          <w:szCs w:val="22"/>
        </w:rPr>
        <w:t>V</w:t>
      </w:r>
      <w:r w:rsidRPr="448FD213">
        <w:rPr>
          <w:rFonts w:asciiTheme="minorHAnsi" w:eastAsia="Calibri" w:hAnsiTheme="minorHAnsi" w:cstheme="minorBidi"/>
          <w:sz w:val="22"/>
          <w:szCs w:val="22"/>
        </w:rPr>
        <w:t xml:space="preserve"> Clade IIb global outbreak in the USA was identified in Massachusetts in May 2022. The Massachusetts outbreak continued through the remainder of 2022, with the peak incidence in August 2022. Cases of mpox declined to near zero from the end 2022 through October 2023. There has been an uptick in mpox</w:t>
      </w:r>
      <w:r w:rsidR="000B0BDA" w:rsidRPr="448FD213">
        <w:rPr>
          <w:rFonts w:asciiTheme="minorHAnsi" w:eastAsia="Calibri" w:hAnsiTheme="minorHAnsi" w:cstheme="minorBidi"/>
          <w:sz w:val="22"/>
          <w:szCs w:val="22"/>
        </w:rPr>
        <w:t xml:space="preserve"> cases</w:t>
      </w:r>
      <w:r w:rsidRPr="448FD213">
        <w:rPr>
          <w:rFonts w:asciiTheme="minorHAnsi" w:eastAsia="Calibri" w:hAnsiTheme="minorHAnsi" w:cstheme="minorBidi"/>
          <w:sz w:val="22"/>
          <w:szCs w:val="22"/>
        </w:rPr>
        <w:t xml:space="preserve"> in Massachusetts, with </w:t>
      </w:r>
      <w:r w:rsidR="4D8C440A" w:rsidRPr="448FD213">
        <w:rPr>
          <w:rFonts w:asciiTheme="minorHAnsi" w:eastAsia="Calibri" w:hAnsiTheme="minorHAnsi" w:cstheme="minorBidi"/>
          <w:sz w:val="22"/>
          <w:szCs w:val="22"/>
        </w:rPr>
        <w:t>32</w:t>
      </w:r>
      <w:r w:rsidRPr="448FD213">
        <w:rPr>
          <w:rFonts w:asciiTheme="minorHAnsi" w:eastAsia="Calibri" w:hAnsiTheme="minorHAnsi" w:cstheme="minorBidi"/>
          <w:sz w:val="22"/>
          <w:szCs w:val="22"/>
        </w:rPr>
        <w:t xml:space="preserve"> confirmed or probable cases </w:t>
      </w:r>
      <w:r w:rsidR="3B784E1F" w:rsidRPr="448FD213">
        <w:rPr>
          <w:rFonts w:asciiTheme="minorHAnsi" w:eastAsia="Calibri" w:hAnsiTheme="minorHAnsi" w:cstheme="minorBidi"/>
          <w:sz w:val="22"/>
          <w:szCs w:val="22"/>
        </w:rPr>
        <w:t>reported</w:t>
      </w:r>
      <w:r w:rsidR="5B5127A6" w:rsidRPr="448FD213">
        <w:rPr>
          <w:rFonts w:asciiTheme="minorHAnsi" w:eastAsia="Calibri" w:hAnsiTheme="minorHAnsi" w:cstheme="minorBidi"/>
          <w:sz w:val="22"/>
          <w:szCs w:val="22"/>
        </w:rPr>
        <w:t xml:space="preserve"> </w:t>
      </w:r>
      <w:r w:rsidRPr="448FD213">
        <w:rPr>
          <w:rFonts w:asciiTheme="minorHAnsi" w:eastAsia="Calibri" w:hAnsiTheme="minorHAnsi" w:cstheme="minorBidi"/>
          <w:sz w:val="22"/>
          <w:szCs w:val="22"/>
        </w:rPr>
        <w:t xml:space="preserve">from October 2023 to </w:t>
      </w:r>
      <w:proofErr w:type="gramStart"/>
      <w:r w:rsidRPr="448FD213">
        <w:rPr>
          <w:rFonts w:asciiTheme="minorHAnsi" w:eastAsia="Calibri" w:hAnsiTheme="minorHAnsi" w:cstheme="minorBidi"/>
          <w:sz w:val="22"/>
          <w:szCs w:val="22"/>
        </w:rPr>
        <w:t>date</w:t>
      </w:r>
      <w:proofErr w:type="gramEnd"/>
      <w:r w:rsidRPr="448FD213">
        <w:rPr>
          <w:rFonts w:asciiTheme="minorHAnsi" w:eastAsia="Calibri" w:hAnsiTheme="minorHAnsi" w:cstheme="minorBidi"/>
          <w:sz w:val="22"/>
          <w:szCs w:val="22"/>
        </w:rPr>
        <w:t>.</w:t>
      </w:r>
      <w:r w:rsidR="72B379AB" w:rsidRPr="448FD213">
        <w:rPr>
          <w:rFonts w:asciiTheme="minorHAnsi" w:eastAsia="Calibri" w:hAnsiTheme="minorHAnsi" w:cstheme="minorBidi"/>
          <w:sz w:val="22"/>
          <w:szCs w:val="22"/>
        </w:rPr>
        <w:t xml:space="preserve"> There may also be unrecognized cases</w:t>
      </w:r>
      <w:r w:rsidR="47864940" w:rsidRPr="448FD213">
        <w:rPr>
          <w:rFonts w:asciiTheme="minorHAnsi" w:eastAsia="Calibri" w:hAnsiTheme="minorHAnsi" w:cstheme="minorBidi"/>
          <w:sz w:val="22"/>
          <w:szCs w:val="22"/>
        </w:rPr>
        <w:t xml:space="preserve"> </w:t>
      </w:r>
      <w:r w:rsidR="0ABFE2DF" w:rsidRPr="448FD213">
        <w:rPr>
          <w:rFonts w:asciiTheme="minorHAnsi" w:eastAsia="Calibri" w:hAnsiTheme="minorHAnsi" w:cstheme="minorBidi"/>
          <w:sz w:val="22"/>
          <w:szCs w:val="22"/>
        </w:rPr>
        <w:t>occurring</w:t>
      </w:r>
      <w:r w:rsidR="47864940" w:rsidRPr="448FD213">
        <w:rPr>
          <w:rFonts w:asciiTheme="minorHAnsi" w:eastAsia="Calibri" w:hAnsiTheme="minorHAnsi" w:cstheme="minorBidi"/>
          <w:sz w:val="22"/>
          <w:szCs w:val="22"/>
        </w:rPr>
        <w:t xml:space="preserve"> since </w:t>
      </w:r>
      <w:r w:rsidR="7AEE0045" w:rsidRPr="448FD213">
        <w:rPr>
          <w:rFonts w:asciiTheme="minorHAnsi" w:eastAsia="Calibri" w:hAnsiTheme="minorHAnsi" w:cstheme="minorBidi"/>
          <w:sz w:val="22"/>
          <w:szCs w:val="22"/>
        </w:rPr>
        <w:t>not all</w:t>
      </w:r>
      <w:r w:rsidR="47864940" w:rsidRPr="448FD213">
        <w:rPr>
          <w:rFonts w:asciiTheme="minorHAnsi" w:eastAsia="Calibri" w:hAnsiTheme="minorHAnsi" w:cstheme="minorBidi"/>
          <w:sz w:val="22"/>
          <w:szCs w:val="22"/>
        </w:rPr>
        <w:t xml:space="preserve"> identified cases can be linked </w:t>
      </w:r>
      <w:r w:rsidR="79F448DC" w:rsidRPr="448FD213">
        <w:rPr>
          <w:rFonts w:asciiTheme="minorHAnsi" w:eastAsia="Calibri" w:hAnsiTheme="minorHAnsi" w:cstheme="minorBidi"/>
          <w:sz w:val="22"/>
          <w:szCs w:val="22"/>
        </w:rPr>
        <w:t>directly</w:t>
      </w:r>
      <w:r w:rsidR="47864940" w:rsidRPr="448FD213">
        <w:rPr>
          <w:rFonts w:asciiTheme="minorHAnsi" w:eastAsia="Calibri" w:hAnsiTheme="minorHAnsi" w:cstheme="minorBidi"/>
          <w:sz w:val="22"/>
          <w:szCs w:val="22"/>
        </w:rPr>
        <w:t xml:space="preserve"> to other identified cases.</w:t>
      </w:r>
      <w:r w:rsidRPr="448FD213">
        <w:rPr>
          <w:rFonts w:asciiTheme="minorHAnsi" w:eastAsia="Calibri" w:hAnsiTheme="minorHAnsi" w:cstheme="minorBidi"/>
          <w:sz w:val="22"/>
          <w:szCs w:val="22"/>
        </w:rPr>
        <w:t xml:space="preserve"> Healthcare </w:t>
      </w:r>
      <w:r w:rsidRPr="448FD213">
        <w:rPr>
          <w:rFonts w:asciiTheme="minorHAnsi" w:eastAsia="Calibri" w:hAnsiTheme="minorHAnsi" w:cstheme="minorBidi"/>
          <w:sz w:val="22"/>
          <w:szCs w:val="22"/>
        </w:rPr>
        <w:lastRenderedPageBreak/>
        <w:t>providers should be vigilant for mpox in people with potential exposure, including previously vaccinated individuals.</w:t>
      </w:r>
    </w:p>
    <w:p w14:paraId="560A09FB" w14:textId="0C26CFDD" w:rsidR="00514A84" w:rsidRDefault="3F6B7355" w:rsidP="5FEC5076">
      <w:pPr>
        <w:spacing w:after="240" w:line="259" w:lineRule="auto"/>
        <w:rPr>
          <w:rFonts w:ascii="Calibri" w:eastAsia="Calibri" w:hAnsi="Calibri"/>
          <w:sz w:val="22"/>
          <w:szCs w:val="22"/>
        </w:rPr>
      </w:pPr>
      <w:r w:rsidRPr="5FEC5076">
        <w:rPr>
          <w:rFonts w:ascii="Calibri" w:eastAsia="Calibri" w:hAnsi="Calibri"/>
          <w:sz w:val="22"/>
          <w:szCs w:val="22"/>
        </w:rPr>
        <w:t xml:space="preserve">To date, mpox cases have been disproportionately reported </w:t>
      </w:r>
      <w:r w:rsidR="6D4C951A" w:rsidRPr="5FEC5076">
        <w:rPr>
          <w:rFonts w:ascii="Calibri" w:eastAsia="Calibri" w:hAnsi="Calibri"/>
          <w:sz w:val="22"/>
          <w:szCs w:val="22"/>
        </w:rPr>
        <w:t>within networks of self-identified gay and bisexual men, other men who have sex with men</w:t>
      </w:r>
      <w:r w:rsidR="02A92DD3" w:rsidRPr="5FEC5076">
        <w:rPr>
          <w:rFonts w:ascii="Calibri" w:eastAsia="Calibri" w:hAnsi="Calibri"/>
          <w:sz w:val="22"/>
          <w:szCs w:val="22"/>
        </w:rPr>
        <w:t xml:space="preserve"> (MSM)</w:t>
      </w:r>
      <w:r w:rsidR="6D4C951A" w:rsidRPr="5FEC5076">
        <w:rPr>
          <w:rFonts w:ascii="Calibri" w:eastAsia="Calibri" w:hAnsi="Calibri"/>
          <w:sz w:val="22"/>
          <w:szCs w:val="22"/>
        </w:rPr>
        <w:t>, and transgender individuals who have sex with men</w:t>
      </w:r>
      <w:r w:rsidR="56FC34BB" w:rsidRPr="5FEC5076">
        <w:rPr>
          <w:rFonts w:ascii="Calibri" w:eastAsia="Calibri" w:hAnsi="Calibri"/>
          <w:sz w:val="22"/>
          <w:szCs w:val="22"/>
        </w:rPr>
        <w:t>. Recent cases have included an increase in the number of individuals identifying as Hispanic. However,</w:t>
      </w:r>
      <w:r w:rsidR="6D4C951A" w:rsidRPr="5FEC5076">
        <w:rPr>
          <w:rFonts w:ascii="Calibri" w:eastAsia="Calibri" w:hAnsi="Calibri"/>
          <w:sz w:val="22"/>
          <w:szCs w:val="22"/>
        </w:rPr>
        <w:t xml:space="preserve"> people of any sexual orientation or gender identity can become infected and </w:t>
      </w:r>
      <w:r w:rsidR="47FD0478" w:rsidRPr="5FEC5076">
        <w:rPr>
          <w:rFonts w:ascii="Calibri" w:eastAsia="Calibri" w:hAnsi="Calibri"/>
          <w:sz w:val="22"/>
          <w:szCs w:val="22"/>
        </w:rPr>
        <w:t xml:space="preserve">transmit </w:t>
      </w:r>
      <w:r w:rsidR="6D4C951A" w:rsidRPr="5FEC5076">
        <w:rPr>
          <w:rFonts w:ascii="Calibri" w:eastAsia="Calibri" w:hAnsi="Calibri"/>
          <w:sz w:val="22"/>
          <w:szCs w:val="22"/>
        </w:rPr>
        <w:t>mpox.</w:t>
      </w:r>
    </w:p>
    <w:p w14:paraId="276501DA" w14:textId="331CD1AB" w:rsidR="0060366C" w:rsidRDefault="0060366C" w:rsidP="0060366C">
      <w:pPr>
        <w:spacing w:after="160" w:line="259" w:lineRule="auto"/>
        <w:rPr>
          <w:rFonts w:ascii="Calibri" w:eastAsia="Calibri" w:hAnsi="Calibri"/>
          <w:sz w:val="22"/>
          <w:szCs w:val="22"/>
        </w:rPr>
      </w:pPr>
      <w:r w:rsidRPr="54339958">
        <w:rPr>
          <w:rFonts w:ascii="Calibri" w:eastAsia="Calibri" w:hAnsi="Calibri"/>
          <w:sz w:val="22"/>
          <w:szCs w:val="22"/>
        </w:rPr>
        <w:t xml:space="preserve">A concurrent but geographically distinct outbreak of mpox with MPXV Clade I has also been underway in central Africa in 2023-2024, particularly in the Democratic Republic of Congo. Infections due to MPXV Clade I may be more severe than those from Clade IIb. MPXV Clade I human-to-human transmission traditionally has occur through non-sexual </w:t>
      </w:r>
      <w:proofErr w:type="gramStart"/>
      <w:r w:rsidRPr="54339958">
        <w:rPr>
          <w:rFonts w:ascii="Calibri" w:eastAsia="Calibri" w:hAnsi="Calibri"/>
          <w:sz w:val="22"/>
          <w:szCs w:val="22"/>
        </w:rPr>
        <w:t>contact</w:t>
      </w:r>
      <w:proofErr w:type="gramEnd"/>
      <w:r w:rsidRPr="54339958">
        <w:rPr>
          <w:rFonts w:ascii="Calibri" w:eastAsia="Calibri" w:hAnsi="Calibri"/>
          <w:sz w:val="22"/>
          <w:szCs w:val="22"/>
        </w:rPr>
        <w:t xml:space="preserve"> but </w:t>
      </w:r>
      <w:r w:rsidR="0F6304A3" w:rsidRPr="54339958">
        <w:rPr>
          <w:rFonts w:ascii="Calibri" w:eastAsia="Calibri" w:hAnsi="Calibri"/>
          <w:sz w:val="22"/>
          <w:szCs w:val="22"/>
        </w:rPr>
        <w:t xml:space="preserve">some </w:t>
      </w:r>
      <w:r w:rsidRPr="54339958">
        <w:rPr>
          <w:rFonts w:ascii="Calibri" w:eastAsia="Calibri" w:hAnsi="Calibri"/>
          <w:sz w:val="22"/>
          <w:szCs w:val="22"/>
        </w:rPr>
        <w:t xml:space="preserve">sexual transmission has been observed during the current outbreak. There have been no cases of mpox due to MPVX Clade I detected in the U.S. to date. </w:t>
      </w:r>
      <w:r w:rsidR="6F11BA75" w:rsidRPr="54339958">
        <w:rPr>
          <w:rFonts w:ascii="Calibri" w:eastAsia="Calibri" w:hAnsi="Calibri"/>
          <w:sz w:val="22"/>
          <w:szCs w:val="22"/>
        </w:rPr>
        <w:t>Importantly, vaccination and therapeutics effective against MPVX Clade II are also likely to be effective for MPVX Clade I</w:t>
      </w:r>
      <w:r w:rsidR="339903E9" w:rsidRPr="54339958">
        <w:rPr>
          <w:rFonts w:ascii="Calibri" w:eastAsia="Calibri" w:hAnsi="Calibri"/>
          <w:sz w:val="22"/>
          <w:szCs w:val="22"/>
        </w:rPr>
        <w:t>.</w:t>
      </w:r>
    </w:p>
    <w:p w14:paraId="5A2424DC" w14:textId="77777777" w:rsidR="00D16009" w:rsidRPr="00CF4793" w:rsidRDefault="00D16009" w:rsidP="00D16009">
      <w:pPr>
        <w:spacing w:after="160" w:line="259" w:lineRule="auto"/>
        <w:rPr>
          <w:rFonts w:ascii="Calibri" w:eastAsia="Calibri" w:hAnsi="Calibri"/>
          <w:b/>
          <w:bCs/>
          <w:sz w:val="22"/>
          <w:szCs w:val="22"/>
          <w:u w:val="single"/>
        </w:rPr>
      </w:pPr>
      <w:r w:rsidRPr="00CF4793">
        <w:rPr>
          <w:rFonts w:ascii="Calibri" w:eastAsia="Calibri" w:hAnsi="Calibri"/>
          <w:b/>
          <w:bCs/>
          <w:sz w:val="22"/>
          <w:szCs w:val="22"/>
          <w:u w:val="single"/>
        </w:rPr>
        <w:t>RECOMMENDATIONS FOR CLINICIANS:</w:t>
      </w:r>
    </w:p>
    <w:p w14:paraId="37A6E370" w14:textId="084DE2C9" w:rsidR="00D16009" w:rsidRPr="007F6C0C" w:rsidRDefault="00D16009" w:rsidP="00D16009">
      <w:pPr>
        <w:spacing w:after="160" w:line="259" w:lineRule="auto"/>
        <w:rPr>
          <w:rFonts w:ascii="Calibri" w:eastAsia="Calibri" w:hAnsi="Calibri"/>
          <w:b/>
          <w:bCs/>
          <w:sz w:val="22"/>
          <w:szCs w:val="22"/>
          <w:u w:val="single"/>
        </w:rPr>
      </w:pPr>
      <w:r w:rsidRPr="367A4B58">
        <w:rPr>
          <w:rFonts w:ascii="Calibri" w:eastAsia="Calibri" w:hAnsi="Calibri"/>
          <w:b/>
          <w:bCs/>
          <w:sz w:val="22"/>
          <w:szCs w:val="22"/>
          <w:u w:val="single"/>
        </w:rPr>
        <w:t>M</w:t>
      </w:r>
      <w:r w:rsidR="291CEF26" w:rsidRPr="367A4B58">
        <w:rPr>
          <w:rFonts w:ascii="Calibri" w:eastAsia="Calibri" w:hAnsi="Calibri"/>
          <w:b/>
          <w:bCs/>
          <w:sz w:val="22"/>
          <w:szCs w:val="22"/>
          <w:u w:val="single"/>
        </w:rPr>
        <w:t>pox</w:t>
      </w:r>
      <w:r w:rsidRPr="367A4B58">
        <w:rPr>
          <w:rFonts w:ascii="Calibri" w:eastAsia="Calibri" w:hAnsi="Calibri"/>
          <w:b/>
          <w:bCs/>
          <w:sz w:val="22"/>
          <w:szCs w:val="22"/>
          <w:u w:val="single"/>
        </w:rPr>
        <w:t xml:space="preserve"> considerations</w:t>
      </w:r>
    </w:p>
    <w:p w14:paraId="18701F86" w14:textId="7ADC8538" w:rsidR="00D16009" w:rsidRPr="00F87093" w:rsidRDefault="00D16009" w:rsidP="00D16009">
      <w:pPr>
        <w:spacing w:after="160" w:line="259" w:lineRule="auto"/>
        <w:rPr>
          <w:rFonts w:ascii="Calibri" w:eastAsia="Calibri" w:hAnsi="Calibri"/>
          <w:sz w:val="22"/>
          <w:szCs w:val="22"/>
        </w:rPr>
      </w:pPr>
      <w:r w:rsidRPr="00CF4793">
        <w:rPr>
          <w:rFonts w:ascii="Calibri" w:eastAsia="Calibri" w:hAnsi="Calibri"/>
          <w:sz w:val="22"/>
          <w:szCs w:val="22"/>
        </w:rPr>
        <w:t xml:space="preserve">Clinicians should consider </w:t>
      </w:r>
      <w:r>
        <w:rPr>
          <w:rFonts w:ascii="Calibri" w:eastAsia="Calibri" w:hAnsi="Calibri"/>
          <w:sz w:val="22"/>
          <w:szCs w:val="22"/>
        </w:rPr>
        <w:t xml:space="preserve">testing for </w:t>
      </w:r>
      <w:r w:rsidRPr="00CF4793">
        <w:rPr>
          <w:rFonts w:ascii="Calibri" w:eastAsia="Calibri" w:hAnsi="Calibri"/>
          <w:sz w:val="22"/>
          <w:szCs w:val="22"/>
        </w:rPr>
        <w:t xml:space="preserve">mpox in patients with a new </w:t>
      </w:r>
      <w:r>
        <w:rPr>
          <w:rFonts w:ascii="Calibri" w:eastAsia="Calibri" w:hAnsi="Calibri"/>
          <w:sz w:val="22"/>
          <w:szCs w:val="22"/>
        </w:rPr>
        <w:t>onset</w:t>
      </w:r>
      <w:r w:rsidR="000B0BDA">
        <w:rPr>
          <w:rFonts w:ascii="Calibri" w:eastAsia="Calibri" w:hAnsi="Calibri"/>
          <w:sz w:val="22"/>
          <w:szCs w:val="22"/>
        </w:rPr>
        <w:t xml:space="preserve"> and</w:t>
      </w:r>
      <w:r>
        <w:rPr>
          <w:rFonts w:ascii="Calibri" w:eastAsia="Calibri" w:hAnsi="Calibri"/>
          <w:sz w:val="22"/>
          <w:szCs w:val="22"/>
        </w:rPr>
        <w:t xml:space="preserve"> </w:t>
      </w:r>
      <w:r w:rsidR="000B0BDA">
        <w:rPr>
          <w:rFonts w:ascii="Calibri" w:eastAsia="Calibri" w:hAnsi="Calibri"/>
          <w:sz w:val="22"/>
          <w:szCs w:val="22"/>
        </w:rPr>
        <w:t xml:space="preserve">a </w:t>
      </w:r>
      <w:r>
        <w:rPr>
          <w:rFonts w:ascii="Calibri" w:eastAsia="Calibri" w:hAnsi="Calibri"/>
          <w:sz w:val="22"/>
          <w:szCs w:val="22"/>
        </w:rPr>
        <w:t>clinically compatible</w:t>
      </w:r>
      <w:r w:rsidRPr="00CF4793">
        <w:rPr>
          <w:rFonts w:ascii="Calibri" w:eastAsia="Calibri" w:hAnsi="Calibri"/>
          <w:sz w:val="22"/>
          <w:szCs w:val="22"/>
        </w:rPr>
        <w:t xml:space="preserve"> skin rash (exhibiting macular, </w:t>
      </w:r>
      <w:proofErr w:type="spellStart"/>
      <w:r w:rsidRPr="00CF4793">
        <w:rPr>
          <w:rFonts w:ascii="Calibri" w:eastAsia="Calibri" w:hAnsi="Calibri"/>
          <w:sz w:val="22"/>
          <w:szCs w:val="22"/>
        </w:rPr>
        <w:t>papular</w:t>
      </w:r>
      <w:proofErr w:type="spellEnd"/>
      <w:r w:rsidRPr="00CF4793">
        <w:rPr>
          <w:rFonts w:ascii="Calibri" w:eastAsia="Calibri" w:hAnsi="Calibri"/>
          <w:sz w:val="22"/>
          <w:szCs w:val="22"/>
        </w:rPr>
        <w:t>, vesicular, or pustular lesions; generalized or localized; discrete or confluent</w:t>
      </w:r>
      <w:r>
        <w:rPr>
          <w:rFonts w:ascii="Calibri" w:eastAsia="Calibri" w:hAnsi="Calibri"/>
          <w:sz w:val="22"/>
          <w:szCs w:val="22"/>
        </w:rPr>
        <w:t>; mucosal lesions; or proctitis</w:t>
      </w:r>
      <w:r w:rsidRPr="00CF4793">
        <w:rPr>
          <w:rFonts w:ascii="Calibri" w:eastAsia="Calibri" w:hAnsi="Calibri"/>
          <w:sz w:val="22"/>
          <w:szCs w:val="22"/>
        </w:rPr>
        <w:t>)</w:t>
      </w:r>
      <w:r>
        <w:rPr>
          <w:rFonts w:ascii="Calibri" w:eastAsia="Calibri" w:hAnsi="Calibri"/>
          <w:sz w:val="22"/>
          <w:szCs w:val="22"/>
        </w:rPr>
        <w:t xml:space="preserve">. Known risk factors that increase the likelihood of </w:t>
      </w:r>
      <w:r w:rsidR="000B0BDA">
        <w:rPr>
          <w:rFonts w:ascii="Calibri" w:eastAsia="Calibri" w:hAnsi="Calibri"/>
          <w:sz w:val="22"/>
          <w:szCs w:val="22"/>
        </w:rPr>
        <w:t>MPXV</w:t>
      </w:r>
      <w:r>
        <w:rPr>
          <w:rFonts w:ascii="Calibri" w:eastAsia="Calibri" w:hAnsi="Calibri"/>
          <w:sz w:val="22"/>
          <w:szCs w:val="22"/>
        </w:rPr>
        <w:t xml:space="preserve"> infection include individuals </w:t>
      </w:r>
      <w:r w:rsidRPr="00CF4793">
        <w:rPr>
          <w:rFonts w:ascii="Calibri" w:eastAsia="Calibri" w:hAnsi="Calibri"/>
          <w:sz w:val="22"/>
          <w:szCs w:val="22"/>
        </w:rPr>
        <w:t xml:space="preserve">who in the </w:t>
      </w:r>
      <w:r>
        <w:rPr>
          <w:rFonts w:ascii="Calibri" w:eastAsia="Calibri" w:hAnsi="Calibri"/>
          <w:sz w:val="22"/>
          <w:szCs w:val="22"/>
        </w:rPr>
        <w:t>previous 21 days:</w:t>
      </w:r>
    </w:p>
    <w:p w14:paraId="1639AEE5" w14:textId="542DF051" w:rsidR="00D16009" w:rsidRPr="00492D6A" w:rsidRDefault="00D16009" w:rsidP="366FBEB7">
      <w:pPr>
        <w:pStyle w:val="ListParagraph"/>
        <w:numPr>
          <w:ilvl w:val="0"/>
          <w:numId w:val="1"/>
        </w:numPr>
        <w:spacing w:after="60"/>
        <w:contextualSpacing w:val="0"/>
        <w:rPr>
          <w:rFonts w:ascii="Calibri" w:eastAsia="Calibri" w:hAnsi="Calibri"/>
          <w:szCs w:val="24"/>
        </w:rPr>
      </w:pPr>
      <w:r w:rsidRPr="366FBEB7">
        <w:rPr>
          <w:rFonts w:ascii="Calibri" w:eastAsia="Calibri" w:hAnsi="Calibri"/>
          <w:sz w:val="22"/>
          <w:szCs w:val="22"/>
        </w:rPr>
        <w:t>report close contact with a person or people with confirmed or suspected mpox; OR</w:t>
      </w:r>
    </w:p>
    <w:p w14:paraId="6D6B5A1F" w14:textId="5860537F" w:rsidR="00D16009" w:rsidRPr="00492D6A" w:rsidRDefault="00D16009" w:rsidP="366FBEB7">
      <w:pPr>
        <w:pStyle w:val="ListParagraph"/>
        <w:numPr>
          <w:ilvl w:val="0"/>
          <w:numId w:val="1"/>
        </w:numPr>
        <w:spacing w:after="60"/>
        <w:contextualSpacing w:val="0"/>
        <w:rPr>
          <w:rFonts w:ascii="Calibri" w:eastAsia="Calibri" w:hAnsi="Calibri"/>
          <w:szCs w:val="24"/>
        </w:rPr>
      </w:pPr>
      <w:r w:rsidRPr="366FBEB7">
        <w:rPr>
          <w:rFonts w:ascii="Calibri" w:eastAsia="Calibri" w:hAnsi="Calibri"/>
          <w:sz w:val="22"/>
          <w:szCs w:val="22"/>
        </w:rPr>
        <w:t xml:space="preserve">report close contact with a person or people who have a similar </w:t>
      </w:r>
      <w:proofErr w:type="gramStart"/>
      <w:r w:rsidRPr="366FBEB7">
        <w:rPr>
          <w:rFonts w:ascii="Calibri" w:eastAsia="Calibri" w:hAnsi="Calibri"/>
          <w:sz w:val="22"/>
          <w:szCs w:val="22"/>
        </w:rPr>
        <w:t>rash;</w:t>
      </w:r>
      <w:proofErr w:type="gramEnd"/>
      <w:r w:rsidRPr="366FBEB7">
        <w:rPr>
          <w:rFonts w:ascii="Calibri" w:eastAsia="Calibri" w:hAnsi="Calibri"/>
          <w:sz w:val="22"/>
          <w:szCs w:val="22"/>
        </w:rPr>
        <w:t xml:space="preserve"> OR</w:t>
      </w:r>
    </w:p>
    <w:p w14:paraId="4A6D4375" w14:textId="656316C3" w:rsidR="00D16009" w:rsidRDefault="00D16009" w:rsidP="366FBEB7">
      <w:pPr>
        <w:pStyle w:val="ListParagraph"/>
        <w:numPr>
          <w:ilvl w:val="0"/>
          <w:numId w:val="1"/>
        </w:numPr>
        <w:spacing w:after="60"/>
        <w:rPr>
          <w:rFonts w:ascii="Calibri" w:eastAsia="Calibri" w:hAnsi="Calibri"/>
          <w:szCs w:val="24"/>
        </w:rPr>
      </w:pPr>
      <w:r w:rsidRPr="366FBEB7">
        <w:rPr>
          <w:rFonts w:ascii="Calibri" w:eastAsia="Calibri" w:hAnsi="Calibri"/>
          <w:sz w:val="22"/>
          <w:szCs w:val="22"/>
        </w:rPr>
        <w:t>report they are a man (individual assigned male sex at birth</w:t>
      </w:r>
      <w:r w:rsidR="7836218C" w:rsidRPr="366FBEB7">
        <w:rPr>
          <w:rFonts w:ascii="Calibri" w:eastAsia="Calibri" w:hAnsi="Calibri"/>
          <w:sz w:val="22"/>
          <w:szCs w:val="22"/>
        </w:rPr>
        <w:t>; cisgender man</w:t>
      </w:r>
      <w:r w:rsidRPr="366FBEB7">
        <w:rPr>
          <w:rFonts w:ascii="Calibri" w:eastAsia="Calibri" w:hAnsi="Calibri"/>
          <w:sz w:val="22"/>
          <w:szCs w:val="22"/>
        </w:rPr>
        <w:t xml:space="preserve">) who has sex with men, </w:t>
      </w:r>
      <w:r w:rsidR="2EC551AA" w:rsidRPr="366FBEB7">
        <w:rPr>
          <w:rFonts w:ascii="Calibri" w:eastAsia="Calibri" w:hAnsi="Calibri"/>
          <w:sz w:val="22"/>
          <w:szCs w:val="22"/>
        </w:rPr>
        <w:t xml:space="preserve">a transgender woman who has sex with men, </w:t>
      </w:r>
      <w:r w:rsidRPr="366FBEB7">
        <w:rPr>
          <w:rFonts w:ascii="Calibri" w:eastAsia="Calibri" w:hAnsi="Calibri"/>
          <w:sz w:val="22"/>
          <w:szCs w:val="22"/>
        </w:rPr>
        <w:t>or a transgender man who has sex with men, who regularly has proximate physical, sexual, or other close contact with other men, including encounters with individuals met through online dating applications or in social venues; OR</w:t>
      </w:r>
    </w:p>
    <w:p w14:paraId="5CC1C46E" w14:textId="721675C4" w:rsidR="00D16009" w:rsidRDefault="00D16009" w:rsidP="366FBEB7">
      <w:pPr>
        <w:pStyle w:val="ListParagraph"/>
        <w:numPr>
          <w:ilvl w:val="0"/>
          <w:numId w:val="1"/>
        </w:numPr>
        <w:spacing w:after="160"/>
        <w:rPr>
          <w:rFonts w:ascii="Calibri" w:eastAsia="Calibri" w:hAnsi="Calibri"/>
          <w:szCs w:val="24"/>
        </w:rPr>
      </w:pPr>
      <w:r w:rsidRPr="366FBEB7">
        <w:rPr>
          <w:rFonts w:ascii="Calibri" w:eastAsia="Calibri" w:hAnsi="Calibri"/>
          <w:sz w:val="22"/>
          <w:szCs w:val="22"/>
        </w:rPr>
        <w:t>report residence in or travel to endemic areas of</w:t>
      </w:r>
      <w:r w:rsidR="000D6FC7" w:rsidRPr="366FBEB7">
        <w:rPr>
          <w:rFonts w:ascii="Calibri" w:eastAsia="Calibri" w:hAnsi="Calibri"/>
          <w:sz w:val="22"/>
          <w:szCs w:val="22"/>
        </w:rPr>
        <w:t xml:space="preserve"> Africa</w:t>
      </w:r>
      <w:r w:rsidRPr="366FBEB7">
        <w:rPr>
          <w:rFonts w:ascii="Calibri" w:eastAsia="Calibri" w:hAnsi="Calibri"/>
          <w:sz w:val="22"/>
          <w:szCs w:val="22"/>
        </w:rPr>
        <w:t>.</w:t>
      </w:r>
    </w:p>
    <w:p w14:paraId="1099A381" w14:textId="3551AAB1" w:rsidR="00D16009" w:rsidRDefault="00D16009" w:rsidP="00D16009">
      <w:pPr>
        <w:spacing w:after="160"/>
        <w:rPr>
          <w:rFonts w:ascii="Calibri" w:eastAsia="Calibri" w:hAnsi="Calibri"/>
          <w:b/>
          <w:bCs/>
          <w:sz w:val="22"/>
          <w:szCs w:val="22"/>
        </w:rPr>
      </w:pPr>
      <w:r w:rsidRPr="00791C64">
        <w:rPr>
          <w:rFonts w:ascii="Calibri" w:eastAsia="Calibri" w:hAnsi="Calibri"/>
          <w:b/>
          <w:bCs/>
          <w:sz w:val="22"/>
          <w:szCs w:val="22"/>
        </w:rPr>
        <w:t>However, clinicians should consider testing clinically compatible patients regardless of whether they have known risk factors for mpox and regardless of gender or sexual orientation.</w:t>
      </w:r>
    </w:p>
    <w:p w14:paraId="712242C8" w14:textId="33EBE691" w:rsidR="00D16009" w:rsidRPr="007F6C0C" w:rsidRDefault="0C7D8C02" w:rsidP="00D16009">
      <w:pPr>
        <w:spacing w:after="160"/>
        <w:rPr>
          <w:rFonts w:ascii="Calibri" w:eastAsia="Calibri" w:hAnsi="Calibri"/>
          <w:sz w:val="22"/>
          <w:szCs w:val="22"/>
        </w:rPr>
      </w:pPr>
      <w:r w:rsidRPr="55632013">
        <w:rPr>
          <w:rFonts w:ascii="Calibri" w:eastAsia="Calibri" w:hAnsi="Calibri"/>
          <w:sz w:val="22"/>
          <w:szCs w:val="22"/>
        </w:rPr>
        <w:t xml:space="preserve">Although transmission of mpox from patients to healthcare workers happens rarely and is primarily associated with needlestick injuries, suspect mpox cases should be evaluated clinically using contact and droplet precautions </w:t>
      </w:r>
      <w:r w:rsidR="00C922BC">
        <w:rPr>
          <w:rFonts w:ascii="Calibri" w:eastAsia="Calibri" w:hAnsi="Calibri"/>
          <w:sz w:val="22"/>
          <w:szCs w:val="22"/>
        </w:rPr>
        <w:t>[</w:t>
      </w:r>
      <w:r w:rsidRPr="55632013">
        <w:rPr>
          <w:rFonts w:ascii="Calibri" w:eastAsia="Calibri" w:hAnsi="Calibri"/>
          <w:sz w:val="22"/>
          <w:szCs w:val="22"/>
        </w:rPr>
        <w:t>gloves, eye protection, surgical mask (N95 optional unless aerosol generating procedures are being performed), and a gown or disposable covering</w:t>
      </w:r>
      <w:r w:rsidR="00C922BC">
        <w:rPr>
          <w:rFonts w:ascii="Calibri" w:eastAsia="Calibri" w:hAnsi="Calibri"/>
          <w:sz w:val="22"/>
          <w:szCs w:val="22"/>
        </w:rPr>
        <w:t>]</w:t>
      </w:r>
      <w:r w:rsidRPr="55632013">
        <w:rPr>
          <w:rFonts w:ascii="Calibri" w:eastAsia="Calibri" w:hAnsi="Calibri"/>
          <w:sz w:val="22"/>
          <w:szCs w:val="22"/>
        </w:rPr>
        <w:t>.</w:t>
      </w:r>
    </w:p>
    <w:p w14:paraId="4A68F854" w14:textId="77777777" w:rsidR="00D16009" w:rsidRPr="007F6C0C" w:rsidRDefault="00D16009" w:rsidP="00D16009">
      <w:pPr>
        <w:spacing w:after="160"/>
        <w:rPr>
          <w:rFonts w:ascii="Calibri" w:eastAsia="Calibri" w:hAnsi="Calibri"/>
          <w:b/>
          <w:bCs/>
          <w:sz w:val="22"/>
          <w:szCs w:val="22"/>
          <w:u w:val="single"/>
        </w:rPr>
      </w:pPr>
      <w:r w:rsidRPr="007F6C0C">
        <w:rPr>
          <w:rFonts w:ascii="Calibri" w:eastAsia="Calibri" w:hAnsi="Calibri"/>
          <w:b/>
          <w:bCs/>
          <w:sz w:val="22"/>
          <w:szCs w:val="22"/>
          <w:u w:val="single"/>
        </w:rPr>
        <w:t>Co-infection considerations</w:t>
      </w:r>
    </w:p>
    <w:p w14:paraId="380B8A27" w14:textId="7BF920A3" w:rsidR="00D16009" w:rsidRDefault="0C7D8C02" w:rsidP="00D16009">
      <w:pPr>
        <w:spacing w:before="160" w:line="259" w:lineRule="auto"/>
        <w:rPr>
          <w:rFonts w:ascii="Calibri" w:eastAsia="Calibri" w:hAnsi="Calibri"/>
          <w:sz w:val="22"/>
          <w:szCs w:val="22"/>
        </w:rPr>
      </w:pPr>
      <w:r w:rsidRPr="55632013">
        <w:rPr>
          <w:rFonts w:ascii="Calibri" w:eastAsia="Calibri" w:hAnsi="Calibri"/>
          <w:sz w:val="22"/>
          <w:szCs w:val="22"/>
        </w:rPr>
        <w:t xml:space="preserve">Patients who are at risk for exposure to </w:t>
      </w:r>
      <w:r w:rsidR="00C922BC">
        <w:rPr>
          <w:rFonts w:ascii="Calibri" w:eastAsia="Calibri" w:hAnsi="Calibri"/>
          <w:sz w:val="22"/>
          <w:szCs w:val="22"/>
        </w:rPr>
        <w:t>MPXV</w:t>
      </w:r>
      <w:r w:rsidRPr="55632013">
        <w:rPr>
          <w:rFonts w:ascii="Calibri" w:eastAsia="Calibri" w:hAnsi="Calibri"/>
          <w:sz w:val="22"/>
          <w:szCs w:val="22"/>
        </w:rPr>
        <w:t xml:space="preserve"> through sexual activity are also at risk for sexually transmitted infections and diagnostic testing should be comprehensive; coinfections are </w:t>
      </w:r>
      <w:r w:rsidR="4BB916E5" w:rsidRPr="55632013">
        <w:rPr>
          <w:rFonts w:ascii="Calibri" w:eastAsia="Calibri" w:hAnsi="Calibri"/>
          <w:sz w:val="22"/>
          <w:szCs w:val="22"/>
        </w:rPr>
        <w:t>common</w:t>
      </w:r>
      <w:r w:rsidRPr="55632013">
        <w:rPr>
          <w:rFonts w:ascii="Calibri" w:eastAsia="Calibri" w:hAnsi="Calibri"/>
          <w:sz w:val="22"/>
          <w:szCs w:val="22"/>
        </w:rPr>
        <w:t xml:space="preserve">. </w:t>
      </w:r>
      <w:r w:rsidRPr="55632013">
        <w:rPr>
          <w:rFonts w:ascii="Calibri" w:eastAsia="Calibri" w:hAnsi="Calibri"/>
          <w:sz w:val="22"/>
          <w:szCs w:val="22"/>
          <w:u w:val="single"/>
        </w:rPr>
        <w:t xml:space="preserve">All patients with mpox who are not known to have </w:t>
      </w:r>
      <w:proofErr w:type="gramStart"/>
      <w:r w:rsidRPr="55632013">
        <w:rPr>
          <w:rFonts w:ascii="Calibri" w:eastAsia="Calibri" w:hAnsi="Calibri"/>
          <w:sz w:val="22"/>
          <w:szCs w:val="22"/>
          <w:u w:val="single"/>
        </w:rPr>
        <w:t>HIV,</w:t>
      </w:r>
      <w:proofErr w:type="gramEnd"/>
      <w:r w:rsidRPr="55632013">
        <w:rPr>
          <w:rFonts w:ascii="Calibri" w:eastAsia="Calibri" w:hAnsi="Calibri"/>
          <w:sz w:val="22"/>
          <w:szCs w:val="22"/>
          <w:u w:val="single"/>
        </w:rPr>
        <w:t xml:space="preserve"> should be tested for HIV.</w:t>
      </w:r>
    </w:p>
    <w:p w14:paraId="2DBFD9A1" w14:textId="77777777" w:rsidR="00D16009" w:rsidRDefault="00D16009" w:rsidP="00D16009">
      <w:pPr>
        <w:spacing w:line="259" w:lineRule="auto"/>
        <w:rPr>
          <w:rFonts w:ascii="Calibri" w:eastAsia="Calibri" w:hAnsi="Calibri"/>
          <w:sz w:val="22"/>
          <w:szCs w:val="22"/>
        </w:rPr>
      </w:pPr>
    </w:p>
    <w:p w14:paraId="340CB8B3" w14:textId="693505C8" w:rsidR="00D16009" w:rsidRPr="00CF4793" w:rsidRDefault="0C7D8C02" w:rsidP="00D16009">
      <w:pPr>
        <w:spacing w:after="60" w:line="259" w:lineRule="auto"/>
        <w:rPr>
          <w:rFonts w:ascii="Calibri" w:eastAsia="Calibri" w:hAnsi="Calibri"/>
          <w:sz w:val="22"/>
          <w:szCs w:val="22"/>
        </w:rPr>
      </w:pPr>
      <w:r w:rsidRPr="3CEBB372">
        <w:rPr>
          <w:rFonts w:ascii="Calibri" w:eastAsia="Calibri" w:hAnsi="Calibri"/>
          <w:sz w:val="22"/>
          <w:szCs w:val="22"/>
        </w:rPr>
        <w:t xml:space="preserve">Clinicians should also rule out </w:t>
      </w:r>
      <w:r w:rsidR="5258B086" w:rsidRPr="3CEBB372">
        <w:rPr>
          <w:rFonts w:ascii="Calibri" w:eastAsia="Calibri" w:hAnsi="Calibri"/>
          <w:sz w:val="22"/>
          <w:szCs w:val="22"/>
        </w:rPr>
        <w:t>other</w:t>
      </w:r>
      <w:r w:rsidRPr="3CEBB372">
        <w:rPr>
          <w:rFonts w:ascii="Calibri" w:eastAsia="Calibri" w:hAnsi="Calibri"/>
          <w:sz w:val="22"/>
          <w:szCs w:val="22"/>
        </w:rPr>
        <w:t xml:space="preserve"> causes of rash illness while considering mpox. Other diseases that can cause similar appearing rash lesions include: </w:t>
      </w:r>
    </w:p>
    <w:p w14:paraId="6716823E" w14:textId="77777777" w:rsidR="00D16009" w:rsidRPr="00CF4793" w:rsidRDefault="00D16009" w:rsidP="00D16009">
      <w:pPr>
        <w:numPr>
          <w:ilvl w:val="0"/>
          <w:numId w:val="4"/>
        </w:numPr>
        <w:spacing w:after="160" w:line="259" w:lineRule="auto"/>
        <w:contextualSpacing/>
        <w:rPr>
          <w:rFonts w:ascii="Calibri" w:eastAsia="Calibri" w:hAnsi="Calibri"/>
          <w:sz w:val="22"/>
          <w:szCs w:val="22"/>
        </w:rPr>
      </w:pPr>
      <w:r w:rsidRPr="00CF4793">
        <w:rPr>
          <w:rFonts w:ascii="Calibri" w:eastAsia="Calibri" w:hAnsi="Calibri"/>
          <w:sz w:val="22"/>
          <w:szCs w:val="22"/>
        </w:rPr>
        <w:lastRenderedPageBreak/>
        <w:t xml:space="preserve">herpes </w:t>
      </w:r>
    </w:p>
    <w:p w14:paraId="658F6ED8" w14:textId="77777777" w:rsidR="00D16009" w:rsidRPr="00CF4793" w:rsidRDefault="00D16009" w:rsidP="00D16009">
      <w:pPr>
        <w:numPr>
          <w:ilvl w:val="0"/>
          <w:numId w:val="4"/>
        </w:numPr>
        <w:spacing w:after="160" w:line="259" w:lineRule="auto"/>
        <w:contextualSpacing/>
        <w:rPr>
          <w:rFonts w:ascii="Calibri" w:eastAsia="Calibri" w:hAnsi="Calibri"/>
          <w:sz w:val="22"/>
          <w:szCs w:val="22"/>
        </w:rPr>
      </w:pPr>
      <w:r w:rsidRPr="00CF4793">
        <w:rPr>
          <w:rFonts w:ascii="Calibri" w:eastAsia="Calibri" w:hAnsi="Calibri"/>
          <w:sz w:val="22"/>
          <w:szCs w:val="22"/>
        </w:rPr>
        <w:t>secondary syphilis</w:t>
      </w:r>
    </w:p>
    <w:p w14:paraId="4A9C4B01" w14:textId="77777777" w:rsidR="00D16009" w:rsidRPr="00CF4793" w:rsidRDefault="00D16009" w:rsidP="00D16009">
      <w:pPr>
        <w:numPr>
          <w:ilvl w:val="0"/>
          <w:numId w:val="4"/>
        </w:numPr>
        <w:spacing w:after="160" w:line="259" w:lineRule="auto"/>
        <w:contextualSpacing/>
        <w:rPr>
          <w:rFonts w:ascii="Calibri" w:eastAsia="Calibri" w:hAnsi="Calibri"/>
          <w:sz w:val="22"/>
          <w:szCs w:val="22"/>
        </w:rPr>
      </w:pPr>
      <w:r w:rsidRPr="00CF4793">
        <w:rPr>
          <w:rFonts w:ascii="Calibri" w:eastAsia="Calibri" w:hAnsi="Calibri"/>
          <w:sz w:val="22"/>
          <w:szCs w:val="22"/>
        </w:rPr>
        <w:t xml:space="preserve">chancroid </w:t>
      </w:r>
    </w:p>
    <w:p w14:paraId="68F64CD6" w14:textId="77777777" w:rsidR="00D16009" w:rsidRPr="00CF4793" w:rsidRDefault="00D16009" w:rsidP="00D16009">
      <w:pPr>
        <w:numPr>
          <w:ilvl w:val="0"/>
          <w:numId w:val="4"/>
        </w:numPr>
        <w:spacing w:after="160" w:line="259" w:lineRule="auto"/>
        <w:rPr>
          <w:rFonts w:ascii="Calibri" w:eastAsia="Calibri" w:hAnsi="Calibri"/>
          <w:sz w:val="22"/>
          <w:szCs w:val="22"/>
        </w:rPr>
      </w:pPr>
      <w:r w:rsidRPr="00CF4793">
        <w:rPr>
          <w:rFonts w:ascii="Calibri" w:eastAsia="Calibri" w:hAnsi="Calibri"/>
          <w:sz w:val="22"/>
          <w:szCs w:val="22"/>
        </w:rPr>
        <w:t>varicella-zoster virus</w:t>
      </w:r>
    </w:p>
    <w:p w14:paraId="4BEEA806" w14:textId="77777777" w:rsidR="00D16009" w:rsidRPr="00CF4793" w:rsidRDefault="00D16009" w:rsidP="00D16009">
      <w:pPr>
        <w:spacing w:after="160" w:line="259" w:lineRule="auto"/>
        <w:rPr>
          <w:rFonts w:ascii="Calibri" w:eastAsia="Calibri" w:hAnsi="Calibri"/>
          <w:b/>
          <w:bCs/>
          <w:sz w:val="22"/>
          <w:szCs w:val="22"/>
          <w:u w:val="single"/>
        </w:rPr>
      </w:pPr>
      <w:r w:rsidRPr="00CF4793">
        <w:rPr>
          <w:rFonts w:ascii="Calibri" w:eastAsia="Calibri" w:hAnsi="Calibri"/>
          <w:b/>
          <w:bCs/>
          <w:sz w:val="22"/>
          <w:szCs w:val="22"/>
          <w:u w:val="single"/>
        </w:rPr>
        <w:t>LABORATORY TESTING AND SPECIMEN COLLECTION:</w:t>
      </w:r>
    </w:p>
    <w:p w14:paraId="1DB0D8CE" w14:textId="355D12FB" w:rsidR="00D16009" w:rsidRDefault="6C451FED" w:rsidP="00D16009">
      <w:pPr>
        <w:spacing w:after="60" w:line="259" w:lineRule="auto"/>
        <w:rPr>
          <w:rFonts w:ascii="Calibri" w:eastAsia="Calibri" w:hAnsi="Calibri"/>
          <w:sz w:val="22"/>
          <w:szCs w:val="22"/>
        </w:rPr>
      </w:pPr>
      <w:r w:rsidRPr="5FEC5076">
        <w:rPr>
          <w:rFonts w:ascii="Calibri" w:eastAsia="Calibri" w:hAnsi="Calibri"/>
          <w:sz w:val="22"/>
          <w:szCs w:val="22"/>
        </w:rPr>
        <w:t xml:space="preserve">Testing for non-variola </w:t>
      </w:r>
      <w:proofErr w:type="spellStart"/>
      <w:r w:rsidRPr="5FEC5076">
        <w:rPr>
          <w:rFonts w:ascii="Calibri" w:eastAsia="Calibri" w:hAnsi="Calibri"/>
          <w:sz w:val="22"/>
          <w:szCs w:val="22"/>
        </w:rPr>
        <w:t>orthopoxvirus</w:t>
      </w:r>
      <w:proofErr w:type="spellEnd"/>
      <w:r w:rsidRPr="5FEC5076">
        <w:rPr>
          <w:rFonts w:ascii="Calibri" w:eastAsia="Calibri" w:hAnsi="Calibri"/>
          <w:sz w:val="22"/>
          <w:szCs w:val="22"/>
        </w:rPr>
        <w:t xml:space="preserve"> (presumptive </w:t>
      </w:r>
      <w:r w:rsidR="00C922BC">
        <w:rPr>
          <w:rFonts w:ascii="Calibri" w:eastAsia="Calibri" w:hAnsi="Calibri"/>
          <w:sz w:val="22"/>
          <w:szCs w:val="22"/>
        </w:rPr>
        <w:t>MPXV</w:t>
      </w:r>
      <w:r w:rsidRPr="5FEC5076">
        <w:rPr>
          <w:rFonts w:ascii="Calibri" w:eastAsia="Calibri" w:hAnsi="Calibri"/>
          <w:sz w:val="22"/>
          <w:szCs w:val="22"/>
        </w:rPr>
        <w:t xml:space="preserve">) infection is available from the State Public Health Laboratory (SPHL) and from commercial laboratories. Testing through SPHL </w:t>
      </w:r>
      <w:r w:rsidR="3B89B71F" w:rsidRPr="5FEC5076">
        <w:rPr>
          <w:rFonts w:ascii="Calibri" w:eastAsia="Calibri" w:hAnsi="Calibri"/>
          <w:sz w:val="22"/>
          <w:szCs w:val="22"/>
        </w:rPr>
        <w:t>is encouraged for</w:t>
      </w:r>
      <w:r w:rsidR="49902490" w:rsidRPr="5FEC5076">
        <w:rPr>
          <w:rFonts w:ascii="Calibri" w:eastAsia="Calibri" w:hAnsi="Calibri"/>
          <w:sz w:val="22"/>
          <w:szCs w:val="22"/>
        </w:rPr>
        <w:t xml:space="preserve"> all patients</w:t>
      </w:r>
      <w:r w:rsidR="005454D0">
        <w:rPr>
          <w:rFonts w:ascii="Calibri" w:eastAsia="Calibri" w:hAnsi="Calibri"/>
          <w:sz w:val="22"/>
          <w:szCs w:val="22"/>
        </w:rPr>
        <w:t>,</w:t>
      </w:r>
      <w:r w:rsidR="49902490" w:rsidRPr="5FEC5076">
        <w:rPr>
          <w:rFonts w:ascii="Calibri" w:eastAsia="Calibri" w:hAnsi="Calibri"/>
          <w:sz w:val="22"/>
          <w:szCs w:val="22"/>
        </w:rPr>
        <w:t xml:space="preserve"> and </w:t>
      </w:r>
      <w:proofErr w:type="gramStart"/>
      <w:r w:rsidR="49902490" w:rsidRPr="5FEC5076">
        <w:rPr>
          <w:rFonts w:ascii="Calibri" w:eastAsia="Calibri" w:hAnsi="Calibri"/>
          <w:sz w:val="22"/>
          <w:szCs w:val="22"/>
        </w:rPr>
        <w:t>in particular for</w:t>
      </w:r>
      <w:proofErr w:type="gramEnd"/>
    </w:p>
    <w:p w14:paraId="7BA4F14E" w14:textId="5F8F5432" w:rsidR="00D16009" w:rsidRDefault="00D16009" w:rsidP="00D16009">
      <w:pPr>
        <w:pStyle w:val="ListParagraph"/>
        <w:numPr>
          <w:ilvl w:val="0"/>
          <w:numId w:val="7"/>
        </w:numPr>
        <w:spacing w:after="160" w:line="259" w:lineRule="auto"/>
        <w:rPr>
          <w:rFonts w:ascii="Calibri" w:eastAsia="Calibri" w:hAnsi="Calibri"/>
          <w:sz w:val="22"/>
          <w:szCs w:val="22"/>
        </w:rPr>
      </w:pPr>
      <w:r>
        <w:rPr>
          <w:rFonts w:ascii="Calibri" w:eastAsia="Calibri" w:hAnsi="Calibri"/>
          <w:sz w:val="22"/>
          <w:szCs w:val="22"/>
        </w:rPr>
        <w:t xml:space="preserve">Patients for whom there is a strong clinical suspicion of mpox who are </w:t>
      </w:r>
      <w:proofErr w:type="gramStart"/>
      <w:r>
        <w:rPr>
          <w:rFonts w:ascii="Calibri" w:eastAsia="Calibri" w:hAnsi="Calibri"/>
          <w:sz w:val="22"/>
          <w:szCs w:val="22"/>
        </w:rPr>
        <w:t>hospitalized;</w:t>
      </w:r>
      <w:proofErr w:type="gramEnd"/>
      <w:r>
        <w:rPr>
          <w:rFonts w:ascii="Calibri" w:eastAsia="Calibri" w:hAnsi="Calibri"/>
          <w:sz w:val="22"/>
          <w:szCs w:val="22"/>
        </w:rPr>
        <w:t xml:space="preserve"> OR</w:t>
      </w:r>
    </w:p>
    <w:p w14:paraId="01CA391F" w14:textId="20E757FC" w:rsidR="00D16009" w:rsidRDefault="00D16009" w:rsidP="00D16009">
      <w:pPr>
        <w:pStyle w:val="ListParagraph"/>
        <w:numPr>
          <w:ilvl w:val="0"/>
          <w:numId w:val="7"/>
        </w:numPr>
        <w:spacing w:after="160" w:line="259" w:lineRule="auto"/>
        <w:rPr>
          <w:rFonts w:ascii="Calibri" w:eastAsia="Calibri" w:hAnsi="Calibri"/>
          <w:sz w:val="22"/>
          <w:szCs w:val="22"/>
        </w:rPr>
      </w:pPr>
      <w:r>
        <w:rPr>
          <w:rFonts w:ascii="Calibri" w:eastAsia="Calibri" w:hAnsi="Calibri"/>
          <w:sz w:val="22"/>
          <w:szCs w:val="22"/>
        </w:rPr>
        <w:t>Patients for whom there is a strong clinical suspicion of mpox and are at high risk of more severe disease</w:t>
      </w:r>
      <w:r>
        <w:rPr>
          <w:rFonts w:ascii="Calibri" w:eastAsia="Calibri" w:hAnsi="Calibri" w:cs="Calibri"/>
          <w:sz w:val="22"/>
          <w:szCs w:val="22"/>
        </w:rPr>
        <w:t>†</w:t>
      </w:r>
      <w:r>
        <w:rPr>
          <w:rFonts w:ascii="Calibri" w:eastAsia="Calibri" w:hAnsi="Calibri"/>
          <w:sz w:val="22"/>
          <w:szCs w:val="22"/>
        </w:rPr>
        <w:t xml:space="preserve"> (e.g. pregnant people, children under 8 years of age, individuals with immune compromise, or people with concurrent disease/co-morbidities); OR</w:t>
      </w:r>
    </w:p>
    <w:p w14:paraId="76DF6717" w14:textId="77777777" w:rsidR="00767FE4" w:rsidRDefault="00D16009" w:rsidP="001E5D69">
      <w:pPr>
        <w:pStyle w:val="ListParagraph"/>
        <w:numPr>
          <w:ilvl w:val="0"/>
          <w:numId w:val="7"/>
        </w:numPr>
        <w:spacing w:after="160" w:line="259" w:lineRule="auto"/>
        <w:rPr>
          <w:rFonts w:ascii="Calibri" w:eastAsia="Calibri" w:hAnsi="Calibri"/>
          <w:sz w:val="22"/>
          <w:szCs w:val="22"/>
        </w:rPr>
      </w:pPr>
      <w:r>
        <w:rPr>
          <w:rFonts w:ascii="Calibri" w:eastAsia="Calibri" w:hAnsi="Calibri"/>
          <w:sz w:val="22"/>
          <w:szCs w:val="22"/>
        </w:rPr>
        <w:t xml:space="preserve">Patients for whom there is a strong clinical suspicion of mpox in a congregate </w:t>
      </w:r>
      <w:proofErr w:type="gramStart"/>
      <w:r>
        <w:rPr>
          <w:rFonts w:ascii="Calibri" w:eastAsia="Calibri" w:hAnsi="Calibri"/>
          <w:sz w:val="22"/>
          <w:szCs w:val="22"/>
        </w:rPr>
        <w:t>setting;</w:t>
      </w:r>
      <w:proofErr w:type="gramEnd"/>
      <w:r>
        <w:rPr>
          <w:rFonts w:ascii="Calibri" w:eastAsia="Calibri" w:hAnsi="Calibri"/>
          <w:sz w:val="22"/>
          <w:szCs w:val="22"/>
        </w:rPr>
        <w:t xml:space="preserve"> OR</w:t>
      </w:r>
    </w:p>
    <w:p w14:paraId="7E9A2758" w14:textId="77777777" w:rsidR="00767FE4" w:rsidRDefault="00D16009" w:rsidP="001E5D69">
      <w:pPr>
        <w:pStyle w:val="ListParagraph"/>
        <w:numPr>
          <w:ilvl w:val="0"/>
          <w:numId w:val="7"/>
        </w:numPr>
        <w:spacing w:after="160" w:line="259" w:lineRule="auto"/>
        <w:rPr>
          <w:rFonts w:ascii="Calibri" w:eastAsia="Calibri" w:hAnsi="Calibri"/>
          <w:sz w:val="22"/>
          <w:szCs w:val="22"/>
        </w:rPr>
      </w:pPr>
      <w:r w:rsidRPr="00767FE4">
        <w:rPr>
          <w:rFonts w:ascii="Calibri" w:eastAsia="Calibri" w:hAnsi="Calibri"/>
          <w:sz w:val="22"/>
          <w:szCs w:val="22"/>
        </w:rPr>
        <w:t xml:space="preserve">Patients for whom </w:t>
      </w:r>
      <w:proofErr w:type="gramStart"/>
      <w:r w:rsidRPr="00767FE4">
        <w:rPr>
          <w:rFonts w:ascii="Calibri" w:eastAsia="Calibri" w:hAnsi="Calibri"/>
          <w:sz w:val="22"/>
          <w:szCs w:val="22"/>
        </w:rPr>
        <w:t>cost</w:t>
      </w:r>
      <w:proofErr w:type="gramEnd"/>
      <w:r w:rsidRPr="00767FE4">
        <w:rPr>
          <w:rFonts w:ascii="Calibri" w:eastAsia="Calibri" w:hAnsi="Calibri"/>
          <w:sz w:val="22"/>
          <w:szCs w:val="22"/>
        </w:rPr>
        <w:t xml:space="preserve"> of commercial testing is a concern.</w:t>
      </w:r>
      <w:r w:rsidR="00C922BC" w:rsidRPr="00767FE4">
        <w:rPr>
          <w:rFonts w:ascii="Calibri" w:eastAsia="Calibri" w:hAnsi="Calibri"/>
          <w:sz w:val="22"/>
          <w:szCs w:val="22"/>
        </w:rPr>
        <w:t xml:space="preserve"> </w:t>
      </w:r>
    </w:p>
    <w:p w14:paraId="405A5A16" w14:textId="66B4D413" w:rsidR="00616ABD" w:rsidRPr="00767FE4" w:rsidRDefault="00C922BC" w:rsidP="00767FE4">
      <w:pPr>
        <w:spacing w:after="160" w:line="259" w:lineRule="auto"/>
        <w:rPr>
          <w:rFonts w:ascii="Calibri" w:eastAsia="Calibri" w:hAnsi="Calibri"/>
          <w:sz w:val="22"/>
          <w:szCs w:val="22"/>
        </w:rPr>
      </w:pPr>
      <w:r w:rsidRPr="00767FE4">
        <w:rPr>
          <w:rFonts w:ascii="Calibri" w:eastAsia="Calibri" w:hAnsi="Calibri"/>
          <w:b/>
          <w:bCs/>
          <w:sz w:val="22"/>
          <w:szCs w:val="22"/>
        </w:rPr>
        <w:t>All s</w:t>
      </w:r>
      <w:r w:rsidR="353A27BD" w:rsidRPr="00767FE4">
        <w:rPr>
          <w:rFonts w:ascii="Calibri" w:eastAsia="Calibri" w:hAnsi="Calibri"/>
          <w:b/>
          <w:bCs/>
          <w:sz w:val="22"/>
          <w:szCs w:val="22"/>
        </w:rPr>
        <w:t>pecimens from p</w:t>
      </w:r>
      <w:r w:rsidR="6C5047AD" w:rsidRPr="00767FE4">
        <w:rPr>
          <w:rFonts w:ascii="Calibri" w:eastAsia="Calibri" w:hAnsi="Calibri"/>
          <w:b/>
          <w:bCs/>
          <w:sz w:val="22"/>
          <w:szCs w:val="22"/>
        </w:rPr>
        <w:t xml:space="preserve">atients with travel </w:t>
      </w:r>
      <w:r w:rsidR="7AD12FBD" w:rsidRPr="00767FE4">
        <w:rPr>
          <w:rFonts w:ascii="Calibri" w:eastAsia="Calibri" w:hAnsi="Calibri"/>
          <w:b/>
          <w:bCs/>
          <w:sz w:val="22"/>
          <w:szCs w:val="22"/>
        </w:rPr>
        <w:t xml:space="preserve">history </w:t>
      </w:r>
      <w:r w:rsidR="6C5047AD" w:rsidRPr="00767FE4">
        <w:rPr>
          <w:rFonts w:ascii="Calibri" w:eastAsia="Calibri" w:hAnsi="Calibri"/>
          <w:b/>
          <w:bCs/>
          <w:sz w:val="22"/>
          <w:szCs w:val="22"/>
        </w:rPr>
        <w:t xml:space="preserve">to central Africa or recent </w:t>
      </w:r>
      <w:r w:rsidR="2D0C60E1" w:rsidRPr="00767FE4">
        <w:rPr>
          <w:rFonts w:ascii="Calibri" w:eastAsia="Calibri" w:hAnsi="Calibri"/>
          <w:b/>
          <w:bCs/>
          <w:sz w:val="22"/>
          <w:szCs w:val="22"/>
        </w:rPr>
        <w:t xml:space="preserve">close contact with someone with travel </w:t>
      </w:r>
      <w:r w:rsidR="7AD12FBD" w:rsidRPr="00767FE4">
        <w:rPr>
          <w:rFonts w:ascii="Calibri" w:eastAsia="Calibri" w:hAnsi="Calibri"/>
          <w:b/>
          <w:bCs/>
          <w:sz w:val="22"/>
          <w:szCs w:val="22"/>
        </w:rPr>
        <w:t xml:space="preserve">history </w:t>
      </w:r>
      <w:r w:rsidR="2D0C60E1" w:rsidRPr="00767FE4">
        <w:rPr>
          <w:rFonts w:ascii="Calibri" w:eastAsia="Calibri" w:hAnsi="Calibri"/>
          <w:b/>
          <w:bCs/>
          <w:sz w:val="22"/>
          <w:szCs w:val="22"/>
        </w:rPr>
        <w:t>to central Africa</w:t>
      </w:r>
      <w:r w:rsidR="729282F4" w:rsidRPr="00767FE4">
        <w:rPr>
          <w:rFonts w:ascii="Calibri" w:eastAsia="Calibri" w:hAnsi="Calibri"/>
          <w:b/>
          <w:bCs/>
          <w:sz w:val="22"/>
          <w:szCs w:val="22"/>
        </w:rPr>
        <w:t xml:space="preserve"> should be</w:t>
      </w:r>
      <w:r w:rsidR="3D735E38" w:rsidRPr="00767FE4">
        <w:rPr>
          <w:rFonts w:ascii="Calibri" w:eastAsia="Calibri" w:hAnsi="Calibri"/>
          <w:b/>
          <w:bCs/>
          <w:sz w:val="22"/>
          <w:szCs w:val="22"/>
        </w:rPr>
        <w:t xml:space="preserve"> sent to the State Public Health Laboratory for testing.</w:t>
      </w:r>
    </w:p>
    <w:p w14:paraId="4D5BDA56" w14:textId="77777777" w:rsidR="00D16009" w:rsidRDefault="00D16009" w:rsidP="00D16009">
      <w:pPr>
        <w:spacing w:line="259" w:lineRule="auto"/>
        <w:rPr>
          <w:rFonts w:ascii="Calibri" w:eastAsia="Calibri" w:hAnsi="Calibri"/>
          <w:sz w:val="22"/>
          <w:szCs w:val="22"/>
        </w:rPr>
      </w:pPr>
      <w:r>
        <w:rPr>
          <w:rFonts w:ascii="Calibri" w:eastAsia="Calibri" w:hAnsi="Calibri" w:cs="Calibri"/>
          <w:sz w:val="22"/>
          <w:szCs w:val="22"/>
        </w:rPr>
        <w:t>†</w:t>
      </w:r>
      <w:r>
        <w:rPr>
          <w:rFonts w:ascii="Calibri" w:eastAsia="Calibri" w:hAnsi="Calibri"/>
          <w:sz w:val="22"/>
          <w:szCs w:val="22"/>
        </w:rPr>
        <w:t xml:space="preserve">More information about individuals at high risk for severe disease is available from CDC here: </w:t>
      </w:r>
      <w:hyperlink r:id="rId11" w:history="1">
        <w:r w:rsidRPr="00DC11E3">
          <w:rPr>
            <w:rStyle w:val="Hyperlink"/>
            <w:rFonts w:ascii="Calibri" w:eastAsia="Calibri" w:hAnsi="Calibri"/>
            <w:sz w:val="22"/>
            <w:szCs w:val="22"/>
          </w:rPr>
          <w:t>https://www.cdc.gov/poxvirus/monkeypox/clinicians/treatment.html</w:t>
        </w:r>
      </w:hyperlink>
      <w:r>
        <w:rPr>
          <w:rFonts w:ascii="Calibri" w:eastAsia="Calibri" w:hAnsi="Calibri"/>
          <w:sz w:val="22"/>
          <w:szCs w:val="22"/>
        </w:rPr>
        <w:t xml:space="preserve">.  </w:t>
      </w:r>
    </w:p>
    <w:p w14:paraId="57D3E7E3" w14:textId="77777777" w:rsidR="00D16009" w:rsidRDefault="00D16009" w:rsidP="00D16009">
      <w:pPr>
        <w:spacing w:line="259" w:lineRule="auto"/>
        <w:rPr>
          <w:rFonts w:ascii="Calibri" w:eastAsia="Calibri" w:hAnsi="Calibri"/>
          <w:sz w:val="22"/>
          <w:szCs w:val="22"/>
        </w:rPr>
      </w:pPr>
    </w:p>
    <w:p w14:paraId="32010FDC" w14:textId="1AF14C0A" w:rsidR="00D16009" w:rsidRPr="00BB648E" w:rsidRDefault="00D16009" w:rsidP="00052053">
      <w:pPr>
        <w:rPr>
          <w:rFonts w:ascii="Calibri" w:eastAsia="Calibri" w:hAnsi="Calibri"/>
          <w:b/>
          <w:bCs/>
          <w:sz w:val="22"/>
          <w:szCs w:val="22"/>
          <w:u w:val="single"/>
        </w:rPr>
      </w:pPr>
      <w:r w:rsidRPr="00BB648E">
        <w:rPr>
          <w:rFonts w:ascii="Calibri" w:eastAsia="Calibri" w:hAnsi="Calibri"/>
          <w:b/>
          <w:bCs/>
          <w:sz w:val="22"/>
          <w:szCs w:val="22"/>
          <w:u w:val="single"/>
        </w:rPr>
        <w:t xml:space="preserve">Laboratory testing at </w:t>
      </w:r>
      <w:proofErr w:type="gramStart"/>
      <w:r w:rsidRPr="00BB648E">
        <w:rPr>
          <w:rFonts w:ascii="Calibri" w:eastAsia="Calibri" w:hAnsi="Calibri"/>
          <w:b/>
          <w:bCs/>
          <w:sz w:val="22"/>
          <w:szCs w:val="22"/>
          <w:u w:val="single"/>
        </w:rPr>
        <w:t>SPHL</w:t>
      </w:r>
      <w:proofErr w:type="gramEnd"/>
    </w:p>
    <w:p w14:paraId="6DCA3B9E" w14:textId="4A75D9F0" w:rsidR="00D16009" w:rsidRDefault="6C451FED" w:rsidP="00D16009">
      <w:pPr>
        <w:spacing w:after="160" w:line="259" w:lineRule="auto"/>
        <w:rPr>
          <w:rFonts w:ascii="Calibri" w:eastAsia="Calibri" w:hAnsi="Calibri"/>
          <w:sz w:val="22"/>
          <w:szCs w:val="22"/>
        </w:rPr>
      </w:pPr>
      <w:r w:rsidRPr="5FEC5076">
        <w:rPr>
          <w:rFonts w:ascii="Calibri" w:eastAsia="Calibri" w:hAnsi="Calibri"/>
          <w:b/>
          <w:bCs/>
          <w:i/>
          <w:iCs/>
          <w:sz w:val="22"/>
          <w:szCs w:val="22"/>
        </w:rPr>
        <w:t xml:space="preserve">Pre-approval for submission of specimens is </w:t>
      </w:r>
      <w:r w:rsidR="271D87BE" w:rsidRPr="5FEC5076">
        <w:rPr>
          <w:rFonts w:ascii="Calibri" w:eastAsia="Calibri" w:hAnsi="Calibri"/>
          <w:b/>
          <w:bCs/>
          <w:i/>
          <w:iCs/>
          <w:sz w:val="22"/>
          <w:szCs w:val="22"/>
          <w:u w:val="single"/>
        </w:rPr>
        <w:t>not</w:t>
      </w:r>
      <w:r w:rsidR="271D87BE" w:rsidRPr="5FEC5076">
        <w:rPr>
          <w:rFonts w:ascii="Calibri" w:eastAsia="Calibri" w:hAnsi="Calibri"/>
          <w:b/>
          <w:bCs/>
          <w:i/>
          <w:iCs/>
          <w:sz w:val="22"/>
          <w:szCs w:val="22"/>
        </w:rPr>
        <w:t xml:space="preserve"> required</w:t>
      </w:r>
      <w:r w:rsidRPr="5FEC5076">
        <w:rPr>
          <w:rFonts w:ascii="Calibri" w:eastAsia="Calibri" w:hAnsi="Calibri"/>
          <w:b/>
          <w:bCs/>
          <w:i/>
          <w:iCs/>
          <w:sz w:val="22"/>
          <w:szCs w:val="22"/>
        </w:rPr>
        <w:t>.</w:t>
      </w:r>
      <w:r w:rsidRPr="5FEC5076">
        <w:rPr>
          <w:rFonts w:ascii="Calibri" w:eastAsia="Calibri" w:hAnsi="Calibri"/>
          <w:sz w:val="22"/>
          <w:szCs w:val="22"/>
        </w:rPr>
        <w:t xml:space="preserve"> </w:t>
      </w:r>
      <w:r w:rsidR="3EAB9799" w:rsidRPr="5FEC5076">
        <w:rPr>
          <w:rFonts w:ascii="Calibri" w:eastAsia="Calibri" w:hAnsi="Calibri"/>
          <w:sz w:val="22"/>
          <w:szCs w:val="22"/>
        </w:rPr>
        <w:t>Questions about specimen submission should be dire</w:t>
      </w:r>
      <w:r w:rsidR="2FAC6756" w:rsidRPr="5FEC5076">
        <w:rPr>
          <w:rFonts w:ascii="Calibri" w:eastAsia="Calibri" w:hAnsi="Calibri"/>
          <w:sz w:val="22"/>
          <w:szCs w:val="22"/>
        </w:rPr>
        <w:t>c</w:t>
      </w:r>
      <w:r w:rsidR="3EAB9799" w:rsidRPr="5FEC5076">
        <w:rPr>
          <w:rFonts w:ascii="Calibri" w:eastAsia="Calibri" w:hAnsi="Calibri"/>
          <w:sz w:val="22"/>
          <w:szCs w:val="22"/>
        </w:rPr>
        <w:t xml:space="preserve">ted to the </w:t>
      </w:r>
      <w:r w:rsidRPr="5FEC5076">
        <w:rPr>
          <w:rFonts w:ascii="Calibri" w:eastAsia="Calibri" w:hAnsi="Calibri"/>
          <w:sz w:val="22"/>
          <w:szCs w:val="22"/>
        </w:rPr>
        <w:t>MDPH Division of Epidemiology at 617-983-6800 (available 24/7).</w:t>
      </w:r>
    </w:p>
    <w:p w14:paraId="025E0E4B" w14:textId="2FE48425" w:rsidR="00D16009" w:rsidRDefault="00D16009" w:rsidP="00D16009">
      <w:pPr>
        <w:spacing w:after="160" w:line="259" w:lineRule="auto"/>
        <w:rPr>
          <w:rFonts w:ascii="Calibri" w:eastAsia="Calibri" w:hAnsi="Calibri"/>
          <w:sz w:val="22"/>
          <w:szCs w:val="22"/>
        </w:rPr>
      </w:pPr>
      <w:r>
        <w:rPr>
          <w:rFonts w:ascii="Calibri" w:eastAsia="Calibri" w:hAnsi="Calibri"/>
          <w:sz w:val="22"/>
          <w:szCs w:val="22"/>
        </w:rPr>
        <w:t xml:space="preserve">Acceptable specimen types include dry swabs of crusts and/or fluid from an active, open lesions; dry swabs of an intact vesicle or pustule; or a scab from a lesion. Providers may submit </w:t>
      </w:r>
      <w:r w:rsidR="002012E8">
        <w:rPr>
          <w:rFonts w:ascii="Calibri" w:eastAsia="Calibri" w:hAnsi="Calibri"/>
          <w:sz w:val="22"/>
          <w:szCs w:val="22"/>
        </w:rPr>
        <w:t>specimens</w:t>
      </w:r>
      <w:r>
        <w:rPr>
          <w:rFonts w:ascii="Calibri" w:eastAsia="Calibri" w:hAnsi="Calibri"/>
          <w:sz w:val="22"/>
          <w:szCs w:val="22"/>
        </w:rPr>
        <w:t xml:space="preserve"> from up to 2 sites. Selection of lesions for sampling should focus on identifying lesions that appear different from each other. The rationale for this recommendation is that patients may have multiple diseases and </w:t>
      </w:r>
      <w:r w:rsidR="00C922BC">
        <w:rPr>
          <w:rFonts w:ascii="Calibri" w:eastAsia="Calibri" w:hAnsi="Calibri"/>
          <w:sz w:val="22"/>
          <w:szCs w:val="22"/>
        </w:rPr>
        <w:t xml:space="preserve">sending </w:t>
      </w:r>
      <w:r>
        <w:rPr>
          <w:rFonts w:ascii="Calibri" w:eastAsia="Calibri" w:hAnsi="Calibri"/>
          <w:sz w:val="22"/>
          <w:szCs w:val="22"/>
        </w:rPr>
        <w:t xml:space="preserve">swabs from two different appearing lesions enhances the ability to identify </w:t>
      </w:r>
      <w:r w:rsidR="00C922BC">
        <w:rPr>
          <w:rFonts w:ascii="Calibri" w:eastAsia="Calibri" w:hAnsi="Calibri"/>
          <w:sz w:val="22"/>
          <w:szCs w:val="22"/>
        </w:rPr>
        <w:t>MPXV</w:t>
      </w:r>
      <w:r>
        <w:rPr>
          <w:rFonts w:ascii="Calibri" w:eastAsia="Calibri" w:hAnsi="Calibri"/>
          <w:sz w:val="22"/>
          <w:szCs w:val="22"/>
        </w:rPr>
        <w:t xml:space="preserve"> if it is present. SPHL is not able to test submitted specimens for other pathogens. </w:t>
      </w:r>
      <w:r w:rsidRPr="00E814F5">
        <w:rPr>
          <w:rFonts w:ascii="Calibri" w:eastAsia="Calibri" w:hAnsi="Calibri"/>
          <w:sz w:val="22"/>
          <w:szCs w:val="22"/>
          <w:u w:val="single"/>
        </w:rPr>
        <w:t>Note that there are no acceptable specimen types for testing PRIOR to the development of rash lesions.</w:t>
      </w:r>
    </w:p>
    <w:p w14:paraId="6D570A51" w14:textId="70BD22AF" w:rsidR="00D16009" w:rsidRDefault="7BCEEBB5" w:rsidP="00D16009">
      <w:pPr>
        <w:spacing w:after="160" w:line="259" w:lineRule="auto"/>
        <w:rPr>
          <w:rFonts w:ascii="Calibri" w:eastAsia="Calibri" w:hAnsi="Calibri"/>
          <w:b/>
          <w:bCs/>
          <w:sz w:val="22"/>
          <w:szCs w:val="22"/>
        </w:rPr>
      </w:pPr>
      <w:r w:rsidRPr="5FEC5076">
        <w:rPr>
          <w:rFonts w:ascii="Calibri" w:eastAsia="Calibri" w:hAnsi="Calibri"/>
          <w:b/>
          <w:bCs/>
          <w:sz w:val="22"/>
          <w:szCs w:val="22"/>
        </w:rPr>
        <w:t xml:space="preserve">Complete specimen collection, labelling and packaging and shipping guidance for specimens sent to the State Public Health Laboratory is available and can be viewed here: </w:t>
      </w:r>
      <w:hyperlink r:id="rId12">
        <w:r w:rsidRPr="5FEC5076">
          <w:rPr>
            <w:rStyle w:val="Hyperlink"/>
            <w:rFonts w:ascii="Calibri" w:eastAsia="Calibri" w:hAnsi="Calibri"/>
            <w:b/>
            <w:bCs/>
            <w:sz w:val="22"/>
            <w:szCs w:val="22"/>
          </w:rPr>
          <w:t>https://www.mass.gov/doc/instructions-for-specimen-collection-for-orthopoxvirus-testing/download</w:t>
        </w:r>
      </w:hyperlink>
      <w:r w:rsidRPr="5FEC5076">
        <w:rPr>
          <w:rFonts w:ascii="Calibri" w:eastAsia="Calibri" w:hAnsi="Calibri"/>
          <w:b/>
          <w:bCs/>
          <w:sz w:val="22"/>
          <w:szCs w:val="22"/>
        </w:rPr>
        <w:t xml:space="preserve">. Please note that duplicate </w:t>
      </w:r>
      <w:r w:rsidR="71154C38" w:rsidRPr="5FEC5076">
        <w:rPr>
          <w:rFonts w:ascii="Calibri" w:eastAsia="Calibri" w:hAnsi="Calibri"/>
          <w:b/>
          <w:bCs/>
          <w:sz w:val="22"/>
          <w:szCs w:val="22"/>
        </w:rPr>
        <w:t>s</w:t>
      </w:r>
      <w:r w:rsidR="25F05D55" w:rsidRPr="5FEC5076">
        <w:rPr>
          <w:rFonts w:ascii="Calibri" w:eastAsia="Calibri" w:hAnsi="Calibri"/>
          <w:b/>
          <w:bCs/>
          <w:sz w:val="22"/>
          <w:szCs w:val="22"/>
        </w:rPr>
        <w:t>pecimens</w:t>
      </w:r>
      <w:r w:rsidR="71154C38" w:rsidRPr="5FEC5076">
        <w:rPr>
          <w:rFonts w:ascii="Calibri" w:eastAsia="Calibri" w:hAnsi="Calibri"/>
          <w:b/>
          <w:bCs/>
          <w:sz w:val="22"/>
          <w:szCs w:val="22"/>
        </w:rPr>
        <w:t xml:space="preserve"> are</w:t>
      </w:r>
      <w:r w:rsidRPr="5FEC5076">
        <w:rPr>
          <w:rFonts w:ascii="Calibri" w:eastAsia="Calibri" w:hAnsi="Calibri"/>
          <w:b/>
          <w:bCs/>
          <w:sz w:val="22"/>
          <w:szCs w:val="22"/>
        </w:rPr>
        <w:t xml:space="preserve"> no longer necessary and should not be submitted; however, swabs from up to two different lesions per patient may be submitted. </w:t>
      </w:r>
      <w:r w:rsidR="25F05D55" w:rsidRPr="5FEC5076">
        <w:rPr>
          <w:rFonts w:ascii="Calibri" w:eastAsia="Calibri" w:hAnsi="Calibri"/>
          <w:b/>
          <w:bCs/>
          <w:sz w:val="22"/>
          <w:szCs w:val="22"/>
        </w:rPr>
        <w:t>Please</w:t>
      </w:r>
      <w:r w:rsidR="20C2FFB2" w:rsidRPr="5FEC5076">
        <w:rPr>
          <w:rFonts w:ascii="Calibri" w:eastAsia="Calibri" w:hAnsi="Calibri"/>
          <w:b/>
          <w:bCs/>
          <w:sz w:val="22"/>
          <w:szCs w:val="22"/>
        </w:rPr>
        <w:t>,</w:t>
      </w:r>
      <w:r w:rsidR="25F05D55" w:rsidRPr="5FEC5076">
        <w:rPr>
          <w:rFonts w:ascii="Calibri" w:eastAsia="Calibri" w:hAnsi="Calibri"/>
          <w:b/>
          <w:bCs/>
          <w:sz w:val="22"/>
          <w:szCs w:val="22"/>
        </w:rPr>
        <w:t xml:space="preserve"> do not </w:t>
      </w:r>
      <w:r w:rsidRPr="5FEC5076">
        <w:rPr>
          <w:rFonts w:ascii="Calibri" w:eastAsia="Calibri" w:hAnsi="Calibri"/>
          <w:b/>
          <w:bCs/>
          <w:sz w:val="22"/>
          <w:szCs w:val="22"/>
        </w:rPr>
        <w:t xml:space="preserve">submit </w:t>
      </w:r>
      <w:r w:rsidR="2A14B2E6" w:rsidRPr="5FEC5076">
        <w:rPr>
          <w:rFonts w:ascii="Calibri" w:eastAsia="Calibri" w:hAnsi="Calibri"/>
          <w:b/>
          <w:bCs/>
          <w:sz w:val="22"/>
          <w:szCs w:val="22"/>
        </w:rPr>
        <w:t>throat swabs</w:t>
      </w:r>
      <w:r w:rsidR="00C922BC">
        <w:rPr>
          <w:rFonts w:ascii="Calibri" w:eastAsia="Calibri" w:hAnsi="Calibri"/>
          <w:b/>
          <w:bCs/>
          <w:sz w:val="22"/>
          <w:szCs w:val="22"/>
        </w:rPr>
        <w:t xml:space="preserve"> in the absence of oropharyngeal lesions,</w:t>
      </w:r>
      <w:r w:rsidR="2A14B2E6" w:rsidRPr="5FEC5076">
        <w:rPr>
          <w:rFonts w:ascii="Calibri" w:eastAsia="Calibri" w:hAnsi="Calibri"/>
          <w:b/>
          <w:bCs/>
          <w:sz w:val="22"/>
          <w:szCs w:val="22"/>
        </w:rPr>
        <w:t xml:space="preserve"> </w:t>
      </w:r>
      <w:r w:rsidRPr="5FEC5076">
        <w:rPr>
          <w:rFonts w:ascii="Calibri" w:eastAsia="Calibri" w:hAnsi="Calibri"/>
          <w:b/>
          <w:bCs/>
          <w:sz w:val="22"/>
          <w:szCs w:val="22"/>
        </w:rPr>
        <w:t xml:space="preserve">but swabs of oropharyngeal lesions are acceptable. </w:t>
      </w:r>
    </w:p>
    <w:p w14:paraId="3F33B2AD" w14:textId="487689B3" w:rsidR="00D16009" w:rsidRPr="00BB648E" w:rsidRDefault="7BCEEBB5" w:rsidP="00D16009">
      <w:pPr>
        <w:spacing w:line="259" w:lineRule="auto"/>
        <w:rPr>
          <w:rFonts w:ascii="Calibri" w:eastAsia="Calibri" w:hAnsi="Calibri"/>
          <w:b/>
          <w:bCs/>
          <w:sz w:val="22"/>
          <w:szCs w:val="22"/>
          <w:u w:val="single"/>
        </w:rPr>
      </w:pPr>
      <w:r w:rsidRPr="5FEC5076">
        <w:rPr>
          <w:rFonts w:ascii="Calibri" w:eastAsia="Calibri" w:hAnsi="Calibri"/>
          <w:b/>
          <w:bCs/>
          <w:sz w:val="22"/>
          <w:szCs w:val="22"/>
          <w:u w:val="single"/>
        </w:rPr>
        <w:t xml:space="preserve">Laboratory testing at commercial/reference </w:t>
      </w:r>
      <w:proofErr w:type="gramStart"/>
      <w:r w:rsidRPr="5FEC5076">
        <w:rPr>
          <w:rFonts w:ascii="Calibri" w:eastAsia="Calibri" w:hAnsi="Calibri"/>
          <w:b/>
          <w:bCs/>
          <w:sz w:val="22"/>
          <w:szCs w:val="22"/>
          <w:u w:val="single"/>
        </w:rPr>
        <w:t>laboratories</w:t>
      </w:r>
      <w:proofErr w:type="gramEnd"/>
    </w:p>
    <w:p w14:paraId="3D5A5AF5" w14:textId="6CAE4F76" w:rsidR="00D16009" w:rsidRDefault="2464A096" w:rsidP="00D16009">
      <w:pPr>
        <w:spacing w:after="160" w:line="259" w:lineRule="auto"/>
        <w:rPr>
          <w:rFonts w:ascii="Calibri" w:eastAsia="Calibri" w:hAnsi="Calibri"/>
          <w:sz w:val="22"/>
          <w:szCs w:val="22"/>
        </w:rPr>
      </w:pPr>
      <w:r w:rsidRPr="5FEC5076">
        <w:rPr>
          <w:rFonts w:ascii="Calibri" w:eastAsia="Calibri" w:hAnsi="Calibri"/>
          <w:sz w:val="22"/>
          <w:szCs w:val="22"/>
        </w:rPr>
        <w:t>Wh</w:t>
      </w:r>
      <w:r w:rsidR="03A3CEB3" w:rsidRPr="5FEC5076">
        <w:rPr>
          <w:rFonts w:ascii="Calibri" w:eastAsia="Calibri" w:hAnsi="Calibri"/>
          <w:sz w:val="22"/>
          <w:szCs w:val="22"/>
        </w:rPr>
        <w:t>en</w:t>
      </w:r>
      <w:r w:rsidRPr="5FEC5076">
        <w:rPr>
          <w:rFonts w:ascii="Calibri" w:eastAsia="Calibri" w:hAnsi="Calibri"/>
          <w:sz w:val="22"/>
          <w:szCs w:val="22"/>
        </w:rPr>
        <w:t xml:space="preserve"> p</w:t>
      </w:r>
      <w:r w:rsidR="7BCEEBB5" w:rsidRPr="5FEC5076">
        <w:rPr>
          <w:rFonts w:ascii="Calibri" w:eastAsia="Calibri" w:hAnsi="Calibri"/>
          <w:sz w:val="22"/>
          <w:szCs w:val="22"/>
        </w:rPr>
        <w:t xml:space="preserve">atients </w:t>
      </w:r>
      <w:r w:rsidR="1EDE6B9C" w:rsidRPr="5FEC5076">
        <w:rPr>
          <w:rFonts w:ascii="Calibri" w:eastAsia="Calibri" w:hAnsi="Calibri"/>
          <w:sz w:val="22"/>
          <w:szCs w:val="22"/>
        </w:rPr>
        <w:t xml:space="preserve">are being </w:t>
      </w:r>
      <w:r w:rsidR="7BCEEBB5" w:rsidRPr="5FEC5076">
        <w:rPr>
          <w:rFonts w:ascii="Calibri" w:eastAsia="Calibri" w:hAnsi="Calibri"/>
          <w:sz w:val="22"/>
          <w:szCs w:val="22"/>
        </w:rPr>
        <w:t>tested through commercial or reference laboratories</w:t>
      </w:r>
      <w:r w:rsidR="03B7132F" w:rsidRPr="5FEC5076">
        <w:rPr>
          <w:rFonts w:ascii="Calibri" w:eastAsia="Calibri" w:hAnsi="Calibri"/>
          <w:sz w:val="22"/>
          <w:szCs w:val="22"/>
        </w:rPr>
        <w:t>,</w:t>
      </w:r>
      <w:r w:rsidR="7BCEEBB5" w:rsidRPr="5FEC5076">
        <w:rPr>
          <w:rFonts w:ascii="Calibri" w:eastAsia="Calibri" w:hAnsi="Calibri"/>
          <w:sz w:val="22"/>
          <w:szCs w:val="22"/>
        </w:rPr>
        <w:t xml:space="preserve"> </w:t>
      </w:r>
      <w:r w:rsidR="4626AFAA" w:rsidRPr="5FEC5076">
        <w:rPr>
          <w:rFonts w:ascii="Calibri" w:eastAsia="Calibri" w:hAnsi="Calibri"/>
          <w:sz w:val="22"/>
          <w:szCs w:val="22"/>
        </w:rPr>
        <w:t>h</w:t>
      </w:r>
      <w:r w:rsidR="7BCEEBB5" w:rsidRPr="5FEC5076">
        <w:rPr>
          <w:rFonts w:ascii="Calibri" w:eastAsia="Calibri" w:hAnsi="Calibri"/>
          <w:sz w:val="22"/>
          <w:szCs w:val="22"/>
        </w:rPr>
        <w:t xml:space="preserve">ealthcare providers should consider ordering diagnostic tests for other infections, as clinically indicated, in addition to </w:t>
      </w:r>
      <w:r w:rsidR="00C922BC">
        <w:rPr>
          <w:rFonts w:ascii="Calibri" w:eastAsia="Calibri" w:hAnsi="Calibri"/>
          <w:sz w:val="22"/>
          <w:szCs w:val="22"/>
        </w:rPr>
        <w:t>MPXV</w:t>
      </w:r>
      <w:r w:rsidR="7BCEEBB5" w:rsidRPr="5FEC5076">
        <w:rPr>
          <w:rFonts w:ascii="Calibri" w:eastAsia="Calibri" w:hAnsi="Calibri"/>
          <w:sz w:val="22"/>
          <w:szCs w:val="22"/>
        </w:rPr>
        <w:t>. As of the date of this guidance, testing is available through:</w:t>
      </w:r>
    </w:p>
    <w:p w14:paraId="4E60471D" w14:textId="215B516B" w:rsidR="00D16009" w:rsidRDefault="00D16009" w:rsidP="00D16009">
      <w:pPr>
        <w:pStyle w:val="ListParagraph"/>
        <w:numPr>
          <w:ilvl w:val="0"/>
          <w:numId w:val="6"/>
        </w:numPr>
        <w:spacing w:after="160" w:line="259" w:lineRule="auto"/>
        <w:rPr>
          <w:rFonts w:ascii="Calibri" w:eastAsia="Calibri" w:hAnsi="Calibri"/>
          <w:sz w:val="22"/>
          <w:szCs w:val="22"/>
        </w:rPr>
      </w:pPr>
      <w:proofErr w:type="spellStart"/>
      <w:r w:rsidRPr="006A215F">
        <w:rPr>
          <w:rFonts w:ascii="Calibri" w:eastAsia="Calibri" w:hAnsi="Calibri"/>
          <w:b/>
          <w:bCs/>
          <w:sz w:val="22"/>
          <w:szCs w:val="22"/>
        </w:rPr>
        <w:lastRenderedPageBreak/>
        <w:t>Labcorp</w:t>
      </w:r>
      <w:proofErr w:type="spellEnd"/>
      <w:r>
        <w:rPr>
          <w:rFonts w:ascii="Calibri" w:eastAsia="Calibri" w:hAnsi="Calibri"/>
          <w:sz w:val="22"/>
          <w:szCs w:val="22"/>
        </w:rPr>
        <w:t xml:space="preserve"> </w:t>
      </w:r>
      <w:hyperlink r:id="rId13" w:history="1">
        <w:r w:rsidR="00D36B02" w:rsidRPr="00B80AEA">
          <w:rPr>
            <w:rStyle w:val="Hyperlink"/>
            <w:rFonts w:ascii="Calibri" w:eastAsia="Calibri" w:hAnsi="Calibri"/>
            <w:sz w:val="22"/>
            <w:szCs w:val="22"/>
          </w:rPr>
          <w:t xml:space="preserve">https://www.labcorp.com/tests/140230/mpox-orthopoxvirus-dna-pcr </w:t>
        </w:r>
      </w:hyperlink>
      <w:r>
        <w:rPr>
          <w:rFonts w:ascii="Calibri" w:eastAsia="Calibri" w:hAnsi="Calibri"/>
          <w:sz w:val="22"/>
          <w:szCs w:val="22"/>
        </w:rPr>
        <w:t xml:space="preserve"> </w:t>
      </w:r>
    </w:p>
    <w:p w14:paraId="5E9502C4" w14:textId="77777777" w:rsidR="00D16009" w:rsidRPr="009F3734" w:rsidRDefault="00D16009" w:rsidP="00D16009">
      <w:pPr>
        <w:pStyle w:val="ListParagraph"/>
        <w:numPr>
          <w:ilvl w:val="0"/>
          <w:numId w:val="6"/>
        </w:numPr>
        <w:spacing w:after="160" w:line="259" w:lineRule="auto"/>
        <w:rPr>
          <w:rFonts w:ascii="Calibri" w:eastAsia="Calibri" w:hAnsi="Calibri"/>
          <w:sz w:val="22"/>
          <w:szCs w:val="22"/>
        </w:rPr>
      </w:pPr>
      <w:r w:rsidRPr="006A215F">
        <w:rPr>
          <w:rFonts w:ascii="Calibri" w:eastAsia="Calibri" w:hAnsi="Calibri"/>
          <w:b/>
          <w:bCs/>
          <w:sz w:val="22"/>
          <w:szCs w:val="22"/>
        </w:rPr>
        <w:t>Quest Diagnostics</w:t>
      </w:r>
      <w:r>
        <w:rPr>
          <w:rFonts w:ascii="Calibri" w:eastAsia="Calibri" w:hAnsi="Calibri"/>
          <w:sz w:val="22"/>
          <w:szCs w:val="22"/>
        </w:rPr>
        <w:t xml:space="preserve"> </w:t>
      </w:r>
      <w:hyperlink r:id="rId14" w:history="1">
        <w:r w:rsidRPr="00777760">
          <w:rPr>
            <w:rStyle w:val="Hyperlink"/>
            <w:rFonts w:ascii="Calibri" w:eastAsia="Calibri" w:hAnsi="Calibri"/>
            <w:sz w:val="22"/>
            <w:szCs w:val="22"/>
          </w:rPr>
          <w:t>https://testdirectory.questdiagnostics.com/test/test-detail/12084/monkeypox-virus-dna-qualitative-real-time-pcr?q=monkeypox&amp;cc=MASTER</w:t>
        </w:r>
      </w:hyperlink>
      <w:r w:rsidRPr="009F3734">
        <w:rPr>
          <w:rFonts w:ascii="Calibri" w:eastAsia="Calibri" w:hAnsi="Calibri"/>
          <w:sz w:val="22"/>
          <w:szCs w:val="22"/>
        </w:rPr>
        <w:t xml:space="preserve"> </w:t>
      </w:r>
    </w:p>
    <w:p w14:paraId="1598143D" w14:textId="77777777" w:rsidR="00D16009" w:rsidRDefault="00D16009" w:rsidP="00D16009">
      <w:pPr>
        <w:pStyle w:val="ListParagraph"/>
        <w:numPr>
          <w:ilvl w:val="0"/>
          <w:numId w:val="6"/>
        </w:numPr>
        <w:spacing w:after="160" w:line="259" w:lineRule="auto"/>
        <w:rPr>
          <w:rFonts w:ascii="Calibri" w:eastAsia="Calibri" w:hAnsi="Calibri"/>
          <w:sz w:val="22"/>
          <w:szCs w:val="22"/>
        </w:rPr>
      </w:pPr>
      <w:r w:rsidRPr="006A215F">
        <w:rPr>
          <w:rFonts w:ascii="Calibri" w:eastAsia="Calibri" w:hAnsi="Calibri"/>
          <w:b/>
          <w:bCs/>
          <w:sz w:val="22"/>
          <w:szCs w:val="22"/>
        </w:rPr>
        <w:t>Aegis Sciences Corporation</w:t>
      </w:r>
      <w:r>
        <w:rPr>
          <w:rFonts w:ascii="Calibri" w:eastAsia="Calibri" w:hAnsi="Calibri"/>
          <w:sz w:val="22"/>
          <w:szCs w:val="22"/>
        </w:rPr>
        <w:t xml:space="preserve"> </w:t>
      </w:r>
      <w:hyperlink r:id="rId15" w:history="1">
        <w:r w:rsidRPr="0053603E">
          <w:rPr>
            <w:rStyle w:val="Hyperlink"/>
            <w:rFonts w:ascii="Calibri" w:eastAsia="Calibri" w:hAnsi="Calibri"/>
            <w:sz w:val="22"/>
            <w:szCs w:val="22"/>
          </w:rPr>
          <w:t>https://www.aegislabs.com/our-services/monkeypox</w:t>
        </w:r>
      </w:hyperlink>
      <w:r>
        <w:rPr>
          <w:rFonts w:ascii="Calibri" w:eastAsia="Calibri" w:hAnsi="Calibri"/>
          <w:sz w:val="22"/>
          <w:szCs w:val="22"/>
        </w:rPr>
        <w:t xml:space="preserve"> </w:t>
      </w:r>
    </w:p>
    <w:p w14:paraId="064D2561" w14:textId="00ABEF2C" w:rsidR="00D16009" w:rsidRDefault="00D16009" w:rsidP="00D16009">
      <w:pPr>
        <w:pStyle w:val="ListParagraph"/>
        <w:numPr>
          <w:ilvl w:val="0"/>
          <w:numId w:val="6"/>
        </w:numPr>
        <w:spacing w:after="160" w:line="259" w:lineRule="auto"/>
        <w:rPr>
          <w:rFonts w:ascii="Calibri" w:eastAsia="Calibri" w:hAnsi="Calibri"/>
          <w:sz w:val="22"/>
          <w:szCs w:val="22"/>
        </w:rPr>
      </w:pPr>
      <w:r w:rsidRPr="3E75EE24">
        <w:rPr>
          <w:rFonts w:ascii="Calibri" w:eastAsia="Calibri" w:hAnsi="Calibri"/>
          <w:b/>
          <w:bCs/>
          <w:sz w:val="22"/>
          <w:szCs w:val="22"/>
        </w:rPr>
        <w:t>Sonic Reference Laboratory</w:t>
      </w:r>
      <w:r w:rsidRPr="3E75EE24">
        <w:rPr>
          <w:rFonts w:ascii="Calibri" w:eastAsia="Calibri" w:hAnsi="Calibri"/>
          <w:sz w:val="22"/>
          <w:szCs w:val="22"/>
        </w:rPr>
        <w:t xml:space="preserve"> </w:t>
      </w:r>
      <w:hyperlink r:id="rId16" w:history="1">
        <w:hyperlink r:id="rId17" w:history="1">
          <w:r w:rsidRPr="3E75EE24">
            <w:rPr>
              <w:rStyle w:val="Hyperlink"/>
              <w:rFonts w:ascii="Calibri" w:eastAsia="Calibri" w:hAnsi="Calibri"/>
              <w:sz w:val="22"/>
              <w:szCs w:val="22"/>
            </w:rPr>
            <w:t>https://directory.sonicreferencelab.com/tests?iframe_layout=srl</w:t>
          </w:r>
        </w:hyperlink>
      </w:hyperlink>
      <w:r w:rsidRPr="3E75EE24">
        <w:rPr>
          <w:rFonts w:ascii="Calibri" w:eastAsia="Calibri" w:hAnsi="Calibri"/>
          <w:sz w:val="22"/>
          <w:szCs w:val="22"/>
        </w:rPr>
        <w:t xml:space="preserve">  </w:t>
      </w:r>
    </w:p>
    <w:p w14:paraId="589FBD13" w14:textId="77777777" w:rsidR="00D16009" w:rsidRPr="00D36B02" w:rsidRDefault="00D16009" w:rsidP="00D16009">
      <w:pPr>
        <w:pStyle w:val="ListParagraph"/>
        <w:numPr>
          <w:ilvl w:val="0"/>
          <w:numId w:val="6"/>
        </w:numPr>
        <w:spacing w:after="160" w:line="259" w:lineRule="auto"/>
        <w:rPr>
          <w:rFonts w:asciiTheme="minorHAnsi" w:eastAsia="Calibri" w:hAnsiTheme="minorHAnsi" w:cstheme="minorHAnsi"/>
          <w:sz w:val="22"/>
          <w:szCs w:val="22"/>
        </w:rPr>
      </w:pPr>
      <w:r w:rsidRPr="00D36B02">
        <w:rPr>
          <w:rFonts w:ascii="Calibri" w:eastAsia="Calibri" w:hAnsi="Calibri"/>
          <w:b/>
          <w:bCs/>
          <w:sz w:val="22"/>
          <w:szCs w:val="22"/>
        </w:rPr>
        <w:t xml:space="preserve">ARUP </w:t>
      </w:r>
      <w:hyperlink r:id="rId18" w:history="1">
        <w:r w:rsidRPr="00D36B02">
          <w:rPr>
            <w:rStyle w:val="Hyperlink"/>
            <w:rFonts w:asciiTheme="minorHAnsi" w:eastAsia="Calibri" w:hAnsiTheme="minorHAnsi" w:cstheme="minorHAnsi"/>
            <w:sz w:val="22"/>
            <w:szCs w:val="22"/>
          </w:rPr>
          <w:t>https://ltd.aruplab.com/Tests/Pub/3005716</w:t>
        </w:r>
      </w:hyperlink>
    </w:p>
    <w:p w14:paraId="03255CA5" w14:textId="77777777" w:rsidR="00D16009" w:rsidRPr="00D36B02" w:rsidRDefault="00D16009" w:rsidP="00D16009">
      <w:pPr>
        <w:spacing w:after="160" w:line="259" w:lineRule="auto"/>
        <w:rPr>
          <w:rFonts w:ascii="Calibri" w:hAnsi="Calibri" w:cs="Calibri"/>
          <w:b/>
          <w:bCs/>
          <w:color w:val="000000"/>
          <w:sz w:val="22"/>
          <w:szCs w:val="22"/>
        </w:rPr>
      </w:pPr>
      <w:r w:rsidRPr="00D36B02">
        <w:rPr>
          <w:rFonts w:ascii="Calibri" w:hAnsi="Calibri" w:cs="Calibri"/>
          <w:b/>
          <w:bCs/>
          <w:color w:val="000000"/>
          <w:sz w:val="22"/>
          <w:szCs w:val="22"/>
        </w:rPr>
        <w:t>Questions about testing should be directed to the MDPH Division of Epidemiology at (617) 983-</w:t>
      </w:r>
      <w:proofErr w:type="gramStart"/>
      <w:r w:rsidRPr="00D36B02">
        <w:rPr>
          <w:rFonts w:ascii="Calibri" w:hAnsi="Calibri" w:cs="Calibri"/>
          <w:b/>
          <w:bCs/>
          <w:color w:val="000000"/>
          <w:sz w:val="22"/>
          <w:szCs w:val="22"/>
        </w:rPr>
        <w:t>6800</w:t>
      </w:r>
      <w:proofErr w:type="gramEnd"/>
      <w:r w:rsidRPr="00D36B02">
        <w:rPr>
          <w:rFonts w:ascii="Calibri" w:hAnsi="Calibri" w:cs="Calibri"/>
          <w:b/>
          <w:bCs/>
          <w:color w:val="000000"/>
          <w:sz w:val="22"/>
          <w:szCs w:val="22"/>
        </w:rPr>
        <w:t xml:space="preserve"> available 24/7.</w:t>
      </w:r>
    </w:p>
    <w:p w14:paraId="3BDDD839" w14:textId="31E0B019" w:rsidR="00891E4E" w:rsidRPr="00CF4793" w:rsidDel="00904B71" w:rsidRDefault="00891E4E" w:rsidP="00891E4E">
      <w:pPr>
        <w:spacing w:after="160" w:line="259" w:lineRule="auto"/>
        <w:rPr>
          <w:rFonts w:ascii="Calibri" w:eastAsia="Calibri" w:hAnsi="Calibri"/>
          <w:b/>
          <w:bCs/>
          <w:sz w:val="22"/>
          <w:szCs w:val="22"/>
          <w:u w:val="single"/>
        </w:rPr>
      </w:pPr>
      <w:r w:rsidRPr="3CEBB372">
        <w:rPr>
          <w:rFonts w:ascii="Calibri" w:eastAsia="Calibri" w:hAnsi="Calibri"/>
          <w:b/>
          <w:bCs/>
          <w:sz w:val="22"/>
          <w:szCs w:val="22"/>
          <w:u w:val="single"/>
        </w:rPr>
        <w:t>PREVENTING TRANSMISSION</w:t>
      </w:r>
      <w:r>
        <w:rPr>
          <w:rFonts w:ascii="Calibri" w:eastAsia="Calibri" w:hAnsi="Calibri"/>
          <w:b/>
          <w:bCs/>
          <w:sz w:val="22"/>
          <w:szCs w:val="22"/>
          <w:u w:val="single"/>
        </w:rPr>
        <w:t>:</w:t>
      </w:r>
    </w:p>
    <w:p w14:paraId="4B5FD825" w14:textId="48BCDCC5" w:rsidR="00891E4E" w:rsidRPr="3CEBB372" w:rsidRDefault="00891E4E" w:rsidP="00891E4E">
      <w:pPr>
        <w:spacing w:after="160" w:line="259" w:lineRule="auto"/>
        <w:rPr>
          <w:rFonts w:ascii="Calibri" w:eastAsia="Calibri" w:hAnsi="Calibri"/>
          <w:sz w:val="22"/>
          <w:szCs w:val="22"/>
        </w:rPr>
      </w:pPr>
      <w:r w:rsidRPr="3CEBB372">
        <w:rPr>
          <w:rFonts w:ascii="Calibri" w:eastAsia="Calibri" w:hAnsi="Calibri"/>
          <w:sz w:val="22"/>
          <w:szCs w:val="22"/>
        </w:rPr>
        <w:t xml:space="preserve">Anyone who is suspected </w:t>
      </w:r>
      <w:proofErr w:type="gramStart"/>
      <w:r w:rsidRPr="3CEBB372">
        <w:rPr>
          <w:rFonts w:ascii="Calibri" w:eastAsia="Calibri" w:hAnsi="Calibri"/>
          <w:sz w:val="22"/>
          <w:szCs w:val="22"/>
        </w:rPr>
        <w:t>to have</w:t>
      </w:r>
      <w:proofErr w:type="gramEnd"/>
      <w:r w:rsidRPr="3CEBB372">
        <w:rPr>
          <w:rFonts w:ascii="Calibri" w:eastAsia="Calibri" w:hAnsi="Calibri"/>
          <w:sz w:val="22"/>
          <w:szCs w:val="22"/>
        </w:rPr>
        <w:t xml:space="preserve"> mpox and is being tested or who has already tested positive should take precautions to help prevent spread of the virus. Isolation at home or in another private location is recommended but may not always be possible. If isolation is not possible, individuals should completely cover all their rash lesions and wear a mask when in public or around others. Individuals should avoid having bare skin physical contact, including sexual contact, with others and should avoid sharing bed linens, clothing, towels, wash cloths, drinking glasses or eating utensils.</w:t>
      </w:r>
    </w:p>
    <w:p w14:paraId="36F3D1BF" w14:textId="6863DFAC" w:rsidR="00D16009" w:rsidDel="00904B71" w:rsidRDefault="16C7416F" w:rsidP="00D16009">
      <w:pPr>
        <w:spacing w:after="160" w:line="259" w:lineRule="auto"/>
        <w:rPr>
          <w:rFonts w:ascii="Calibri" w:eastAsia="Calibri" w:hAnsi="Calibri"/>
          <w:sz w:val="22"/>
          <w:szCs w:val="22"/>
        </w:rPr>
      </w:pPr>
      <w:r w:rsidRPr="3CEBB372">
        <w:rPr>
          <w:rFonts w:ascii="Calibri" w:eastAsia="Calibri" w:hAnsi="Calibri"/>
          <w:sz w:val="22"/>
          <w:szCs w:val="22"/>
        </w:rPr>
        <w:t>Routine d</w:t>
      </w:r>
      <w:r w:rsidR="0C7D8C02" w:rsidRPr="3CEBB372">
        <w:rPr>
          <w:rFonts w:ascii="Calibri" w:eastAsia="Calibri" w:hAnsi="Calibri"/>
          <w:sz w:val="22"/>
          <w:szCs w:val="22"/>
        </w:rPr>
        <w:t xml:space="preserve">isinfection of high touch surfaces in a shared bathroom and kitchen </w:t>
      </w:r>
      <w:r w:rsidR="2AD1F947" w:rsidRPr="3CEBB372">
        <w:rPr>
          <w:rFonts w:ascii="Calibri" w:eastAsia="Calibri" w:hAnsi="Calibri"/>
          <w:sz w:val="22"/>
          <w:szCs w:val="22"/>
        </w:rPr>
        <w:t>after use is recommended</w:t>
      </w:r>
      <w:r w:rsidR="0C7D8C02" w:rsidRPr="3CEBB372">
        <w:rPr>
          <w:rFonts w:ascii="Calibri" w:eastAsia="Calibri" w:hAnsi="Calibri"/>
          <w:sz w:val="22"/>
          <w:szCs w:val="22"/>
        </w:rPr>
        <w:t xml:space="preserve">. Standard household cleaning/disinfectants may be used in accordance with the manufacturer’s instructions. </w:t>
      </w:r>
      <w:r w:rsidR="662871D7" w:rsidRPr="3CEBB372">
        <w:rPr>
          <w:rFonts w:ascii="Calibri" w:eastAsia="Calibri" w:hAnsi="Calibri"/>
          <w:sz w:val="22"/>
          <w:szCs w:val="22"/>
        </w:rPr>
        <w:t xml:space="preserve">More </w:t>
      </w:r>
      <w:r w:rsidR="343A6717" w:rsidRPr="3CEBB372">
        <w:rPr>
          <w:rFonts w:ascii="Calibri" w:eastAsia="Calibri" w:hAnsi="Calibri"/>
          <w:sz w:val="22"/>
          <w:szCs w:val="22"/>
        </w:rPr>
        <w:t xml:space="preserve">guidance on </w:t>
      </w:r>
      <w:r w:rsidR="0C7D8C02" w:rsidRPr="3CEBB372">
        <w:rPr>
          <w:rFonts w:ascii="Calibri" w:eastAsia="Calibri" w:hAnsi="Calibri"/>
          <w:sz w:val="22"/>
          <w:szCs w:val="22"/>
        </w:rPr>
        <w:t xml:space="preserve">how to safely isolate at home is available from CDC at </w:t>
      </w:r>
      <w:hyperlink r:id="rId19" w:history="1">
        <w:r w:rsidR="0C7D8C02" w:rsidRPr="3CEBB372">
          <w:rPr>
            <w:rStyle w:val="Hyperlink"/>
            <w:rFonts w:ascii="Calibri" w:eastAsia="Calibri" w:hAnsi="Calibri"/>
            <w:sz w:val="22"/>
            <w:szCs w:val="22"/>
          </w:rPr>
          <w:t>https://www.cdc.gov/poxvirus/monkeypox/clinicians/infection-control-home.html</w:t>
        </w:r>
      </w:hyperlink>
      <w:r w:rsidR="0C7D8C02" w:rsidRPr="3CEBB372">
        <w:rPr>
          <w:rFonts w:ascii="Calibri" w:eastAsia="Calibri" w:hAnsi="Calibri"/>
          <w:sz w:val="22"/>
          <w:szCs w:val="22"/>
        </w:rPr>
        <w:t>.</w:t>
      </w:r>
    </w:p>
    <w:p w14:paraId="3C5AA572" w14:textId="77777777" w:rsidR="00722CD5" w:rsidRDefault="00722CD5" w:rsidP="00722CD5">
      <w:pPr>
        <w:spacing w:after="160" w:line="259" w:lineRule="auto"/>
        <w:rPr>
          <w:rFonts w:ascii="Calibri" w:eastAsia="Calibri" w:hAnsi="Calibri"/>
          <w:sz w:val="22"/>
          <w:szCs w:val="22"/>
        </w:rPr>
      </w:pPr>
      <w:r w:rsidRPr="00722CD5">
        <w:rPr>
          <w:rFonts w:ascii="Calibri" w:eastAsia="Calibri" w:hAnsi="Calibri"/>
          <w:b/>
          <w:bCs/>
          <w:sz w:val="22"/>
          <w:szCs w:val="22"/>
          <w:u w:val="single"/>
        </w:rPr>
        <w:t>IDENTIFYING CONTAC</w:t>
      </w:r>
      <w:r w:rsidRPr="00722CD5">
        <w:rPr>
          <w:rFonts w:ascii="Calibri" w:eastAsia="Calibri" w:hAnsi="Calibri"/>
          <w:b/>
          <w:bCs/>
          <w:sz w:val="22"/>
          <w:szCs w:val="22"/>
        </w:rPr>
        <w:t>TS:</w:t>
      </w:r>
    </w:p>
    <w:p w14:paraId="7C89DB01" w14:textId="77777777" w:rsidR="00722CD5" w:rsidRDefault="00722CD5" w:rsidP="00722CD5">
      <w:pPr>
        <w:spacing w:after="160" w:line="259" w:lineRule="auto"/>
        <w:rPr>
          <w:rFonts w:ascii="Calibri" w:eastAsia="Calibri" w:hAnsi="Calibri"/>
          <w:sz w:val="22"/>
          <w:szCs w:val="22"/>
        </w:rPr>
      </w:pPr>
      <w:r w:rsidRPr="3CEBB372">
        <w:rPr>
          <w:rFonts w:ascii="Calibri" w:eastAsia="Calibri" w:hAnsi="Calibri"/>
          <w:sz w:val="22"/>
          <w:szCs w:val="22"/>
        </w:rPr>
        <w:t xml:space="preserve">After a </w:t>
      </w:r>
      <w:proofErr w:type="gramStart"/>
      <w:r w:rsidRPr="3CEBB372">
        <w:rPr>
          <w:rFonts w:ascii="Calibri" w:eastAsia="Calibri" w:hAnsi="Calibri"/>
          <w:sz w:val="22"/>
          <w:szCs w:val="22"/>
        </w:rPr>
        <w:t>person tests</w:t>
      </w:r>
      <w:proofErr w:type="gramEnd"/>
      <w:r w:rsidRPr="3CEBB372">
        <w:rPr>
          <w:rFonts w:ascii="Calibri" w:eastAsia="Calibri" w:hAnsi="Calibri"/>
          <w:sz w:val="22"/>
          <w:szCs w:val="22"/>
        </w:rPr>
        <w:t xml:space="preserve"> positive for mpox it is important to identify others who may have been exposed to the virus to advise them of their possible exposure and to offer post-exposure prophylaxis (see VACCINATION FOR MPOX further on in this document). The local Board of Health in the town of residence of the case will speak with the individual and assess for close contacts. However, the clinician can facilitate this conversation by educating their patient about what constitutes an exposure.</w:t>
      </w:r>
    </w:p>
    <w:p w14:paraId="2C31C4DC" w14:textId="762B61C4" w:rsidR="3CEBB372" w:rsidRDefault="271D87BE" w:rsidP="3CEBB372">
      <w:pPr>
        <w:spacing w:after="160" w:line="259" w:lineRule="auto"/>
        <w:rPr>
          <w:rFonts w:ascii="Calibri" w:eastAsia="Calibri" w:hAnsi="Calibri"/>
          <w:sz w:val="22"/>
          <w:szCs w:val="22"/>
        </w:rPr>
      </w:pPr>
      <w:r w:rsidRPr="5FEC5076">
        <w:rPr>
          <w:rFonts w:ascii="Calibri" w:eastAsia="Calibri" w:hAnsi="Calibri"/>
          <w:sz w:val="22"/>
          <w:szCs w:val="22"/>
        </w:rPr>
        <w:t xml:space="preserve">People should be considered a contact, and therefore potentially exposed to the virus that causes mpox, if they had skin-to-skin physical contact (including sexual contact) at any time while the case had symptoms. Sharing clothes, bed linens, towels, drinking glasses or eating utensils with a symptomatic case can also result in exposure. Because of emerging evidence that some people with mpox can transmit the virus up to 4 days before symptom onset, any sexual or intimate contact involving mucous membranes </w:t>
      </w:r>
      <w:r w:rsidR="00C922BC">
        <w:rPr>
          <w:rFonts w:ascii="Calibri" w:eastAsia="Calibri" w:hAnsi="Calibri"/>
          <w:sz w:val="22"/>
          <w:szCs w:val="22"/>
        </w:rPr>
        <w:t>[</w:t>
      </w:r>
      <w:r w:rsidRPr="5FEC5076">
        <w:rPr>
          <w:rFonts w:ascii="Calibri" w:eastAsia="Calibri" w:hAnsi="Calibri"/>
          <w:sz w:val="22"/>
          <w:szCs w:val="22"/>
        </w:rPr>
        <w:t>e.g., kissing, oral-genital, oral-anal, vaginal, or anal sex (</w:t>
      </w:r>
      <w:proofErr w:type="spellStart"/>
      <w:r w:rsidRPr="5FEC5076">
        <w:rPr>
          <w:rFonts w:ascii="Calibri" w:eastAsia="Calibri" w:hAnsi="Calibri"/>
          <w:sz w:val="22"/>
          <w:szCs w:val="22"/>
        </w:rPr>
        <w:t>insertive</w:t>
      </w:r>
      <w:proofErr w:type="spellEnd"/>
      <w:r w:rsidRPr="5FEC5076">
        <w:rPr>
          <w:rFonts w:ascii="Calibri" w:eastAsia="Calibri" w:hAnsi="Calibri"/>
          <w:sz w:val="22"/>
          <w:szCs w:val="22"/>
        </w:rPr>
        <w:t xml:space="preserve"> or receptive)</w:t>
      </w:r>
      <w:r w:rsidR="00C922BC">
        <w:rPr>
          <w:rFonts w:ascii="Calibri" w:eastAsia="Calibri" w:hAnsi="Calibri"/>
          <w:sz w:val="22"/>
          <w:szCs w:val="22"/>
        </w:rPr>
        <w:t>]</w:t>
      </w:r>
      <w:r w:rsidRPr="5FEC5076">
        <w:rPr>
          <w:rFonts w:ascii="Calibri" w:eastAsia="Calibri" w:hAnsi="Calibri"/>
          <w:sz w:val="22"/>
          <w:szCs w:val="22"/>
        </w:rPr>
        <w:t xml:space="preserve"> within 4 days of symptoms onset with a person who developed mpox should also be considered exposed. Lower risk exposures that are less likely to result in transmission include sustained, face-to-face interactions (within 6 feet for more than 3 hours) with a symptomatic case.</w:t>
      </w:r>
    </w:p>
    <w:p w14:paraId="42C24FBF" w14:textId="626DD69B" w:rsidR="00D16009" w:rsidRDefault="00D16009" w:rsidP="00D16009">
      <w:pPr>
        <w:spacing w:after="160" w:line="259" w:lineRule="auto"/>
        <w:rPr>
          <w:rFonts w:ascii="Calibri" w:eastAsia="Calibri" w:hAnsi="Calibri"/>
          <w:b/>
          <w:bCs/>
          <w:sz w:val="22"/>
          <w:szCs w:val="22"/>
          <w:u w:val="single"/>
        </w:rPr>
      </w:pPr>
      <w:r w:rsidRPr="00ED462D">
        <w:rPr>
          <w:rFonts w:ascii="Calibri" w:eastAsia="Calibri" w:hAnsi="Calibri"/>
          <w:b/>
          <w:bCs/>
          <w:sz w:val="22"/>
          <w:szCs w:val="22"/>
          <w:u w:val="single"/>
        </w:rPr>
        <w:t>TREATMENT FOR MPOX</w:t>
      </w:r>
      <w:r>
        <w:rPr>
          <w:rFonts w:ascii="Calibri" w:eastAsia="Calibri" w:hAnsi="Calibri"/>
          <w:b/>
          <w:bCs/>
          <w:sz w:val="22"/>
          <w:szCs w:val="22"/>
          <w:u w:val="single"/>
        </w:rPr>
        <w:t>:</w:t>
      </w:r>
    </w:p>
    <w:p w14:paraId="08E893D9" w14:textId="28BD7C66" w:rsidR="005164EC" w:rsidRDefault="00D16009" w:rsidP="448FD213">
      <w:pPr>
        <w:spacing w:after="160" w:line="259" w:lineRule="auto"/>
        <w:rPr>
          <w:rFonts w:asciiTheme="minorHAnsi" w:hAnsiTheme="minorHAnsi"/>
          <w:sz w:val="22"/>
          <w:szCs w:val="22"/>
        </w:rPr>
      </w:pPr>
      <w:r w:rsidRPr="448FD213">
        <w:rPr>
          <w:rFonts w:ascii="Calibri" w:eastAsia="Calibri" w:hAnsi="Calibri"/>
          <w:sz w:val="22"/>
          <w:szCs w:val="22"/>
        </w:rPr>
        <w:t>Most cases associated with the recent outbreak have had self-limiting disease not requiring hospitalization. However, certain conditions are associated with the possibility of more severe disease.</w:t>
      </w:r>
      <w:r w:rsidR="0068743C" w:rsidRPr="448FD213">
        <w:rPr>
          <w:rFonts w:ascii="Calibri" w:eastAsia="Calibri" w:hAnsi="Calibri"/>
          <w:sz w:val="22"/>
          <w:szCs w:val="22"/>
        </w:rPr>
        <w:t xml:space="preserve"> </w:t>
      </w:r>
      <w:r w:rsidR="0068743C" w:rsidRPr="448FD213">
        <w:rPr>
          <w:rFonts w:asciiTheme="minorHAnsi" w:hAnsiTheme="minorHAnsi"/>
          <w:sz w:val="22"/>
          <w:szCs w:val="22"/>
        </w:rPr>
        <w:t xml:space="preserve">Tecovirimat (TPOXX or ST-246) is an antiviral drug FDA-approved for the treatment of smallpox disease. </w:t>
      </w:r>
      <w:r w:rsidR="00902F19" w:rsidRPr="448FD213">
        <w:rPr>
          <w:rFonts w:asciiTheme="minorHAnsi" w:hAnsiTheme="minorHAnsi"/>
          <w:sz w:val="22"/>
          <w:szCs w:val="22"/>
        </w:rPr>
        <w:lastRenderedPageBreak/>
        <w:t xml:space="preserve">There is </w:t>
      </w:r>
      <w:r w:rsidR="0027514E" w:rsidRPr="448FD213">
        <w:rPr>
          <w:rFonts w:asciiTheme="minorHAnsi" w:hAnsiTheme="minorHAnsi"/>
          <w:sz w:val="22"/>
          <w:szCs w:val="22"/>
        </w:rPr>
        <w:t>minimal</w:t>
      </w:r>
      <w:r w:rsidR="00902F19" w:rsidRPr="448FD213">
        <w:rPr>
          <w:rFonts w:asciiTheme="minorHAnsi" w:hAnsiTheme="minorHAnsi"/>
          <w:sz w:val="22"/>
          <w:szCs w:val="22"/>
        </w:rPr>
        <w:t xml:space="preserve"> evidence, however, </w:t>
      </w:r>
      <w:r w:rsidR="0027514E" w:rsidRPr="448FD213">
        <w:rPr>
          <w:rFonts w:asciiTheme="minorHAnsi" w:hAnsiTheme="minorHAnsi"/>
          <w:sz w:val="22"/>
          <w:szCs w:val="22"/>
        </w:rPr>
        <w:t xml:space="preserve">demonstrating clinical efficacy of </w:t>
      </w:r>
      <w:r w:rsidR="00CA55F9" w:rsidRPr="448FD213">
        <w:rPr>
          <w:rFonts w:asciiTheme="minorHAnsi" w:hAnsiTheme="minorHAnsi"/>
          <w:sz w:val="22"/>
          <w:szCs w:val="22"/>
        </w:rPr>
        <w:t>tecovirimat</w:t>
      </w:r>
      <w:r w:rsidR="0027514E" w:rsidRPr="448FD213">
        <w:rPr>
          <w:rFonts w:asciiTheme="minorHAnsi" w:hAnsiTheme="minorHAnsi"/>
          <w:sz w:val="22"/>
          <w:szCs w:val="22"/>
        </w:rPr>
        <w:t xml:space="preserve"> for </w:t>
      </w:r>
      <w:r w:rsidR="00CB689C" w:rsidRPr="448FD213">
        <w:rPr>
          <w:rFonts w:asciiTheme="minorHAnsi" w:hAnsiTheme="minorHAnsi"/>
          <w:sz w:val="22"/>
          <w:szCs w:val="22"/>
        </w:rPr>
        <w:t xml:space="preserve">the treatment of mpox in humans. </w:t>
      </w:r>
      <w:r w:rsidR="0027514E" w:rsidRPr="448FD213">
        <w:rPr>
          <w:rFonts w:asciiTheme="minorHAnsi" w:hAnsiTheme="minorHAnsi"/>
          <w:sz w:val="22"/>
          <w:szCs w:val="22"/>
        </w:rPr>
        <w:t xml:space="preserve"> </w:t>
      </w:r>
    </w:p>
    <w:p w14:paraId="51C768FF" w14:textId="6D88652F" w:rsidR="00026F06" w:rsidRDefault="005164EC" w:rsidP="448FD213">
      <w:pPr>
        <w:spacing w:after="160" w:line="259" w:lineRule="auto"/>
        <w:rPr>
          <w:rFonts w:asciiTheme="minorHAnsi" w:hAnsiTheme="minorHAnsi"/>
          <w:sz w:val="22"/>
          <w:szCs w:val="22"/>
        </w:rPr>
      </w:pPr>
      <w:r w:rsidRPr="448FD213">
        <w:rPr>
          <w:rFonts w:ascii="Calibri" w:eastAsia="Calibri" w:hAnsi="Calibri"/>
          <w:sz w:val="22"/>
          <w:szCs w:val="22"/>
        </w:rPr>
        <w:t xml:space="preserve">More information about </w:t>
      </w:r>
      <w:r w:rsidR="00CA55F9" w:rsidRPr="448FD213">
        <w:rPr>
          <w:rFonts w:ascii="Calibri" w:eastAsia="Calibri" w:hAnsi="Calibri"/>
          <w:sz w:val="22"/>
          <w:szCs w:val="22"/>
        </w:rPr>
        <w:t>tecovirimat</w:t>
      </w:r>
      <w:r w:rsidRPr="448FD213">
        <w:rPr>
          <w:rFonts w:ascii="Calibri" w:eastAsia="Calibri" w:hAnsi="Calibri"/>
          <w:sz w:val="22"/>
          <w:szCs w:val="22"/>
        </w:rPr>
        <w:t xml:space="preserve"> is available here:  </w:t>
      </w:r>
      <w:hyperlink r:id="rId20">
        <w:r w:rsidRPr="448FD213">
          <w:rPr>
            <w:rStyle w:val="Hyperlink"/>
            <w:rFonts w:ascii="Calibri" w:eastAsia="Calibri" w:hAnsi="Calibri"/>
            <w:sz w:val="22"/>
            <w:szCs w:val="22"/>
          </w:rPr>
          <w:t>https://www.cdc.gov/poxvirus/mpox/clinicians/Tecovirimat.html</w:t>
        </w:r>
      </w:hyperlink>
      <w:r w:rsidRPr="448FD213">
        <w:rPr>
          <w:rFonts w:ascii="Calibri" w:eastAsia="Calibri" w:hAnsi="Calibri"/>
          <w:sz w:val="22"/>
          <w:szCs w:val="22"/>
        </w:rPr>
        <w:t>.</w:t>
      </w:r>
    </w:p>
    <w:p w14:paraId="09ED3504" w14:textId="77777777" w:rsidR="002E01B8" w:rsidRDefault="002E01B8" w:rsidP="002E01B8">
      <w:pPr>
        <w:spacing w:after="160" w:line="259" w:lineRule="auto"/>
        <w:rPr>
          <w:rFonts w:ascii="Calibri" w:eastAsia="Calibri" w:hAnsi="Calibri"/>
          <w:b/>
          <w:bCs/>
          <w:sz w:val="22"/>
          <w:szCs w:val="22"/>
          <w:u w:val="single"/>
        </w:rPr>
      </w:pPr>
      <w:r w:rsidRPr="29637E0F">
        <w:rPr>
          <w:rFonts w:ascii="Calibri" w:eastAsia="Calibri" w:hAnsi="Calibri"/>
          <w:b/>
          <w:bCs/>
          <w:sz w:val="22"/>
          <w:szCs w:val="22"/>
          <w:u w:val="single"/>
        </w:rPr>
        <w:t>Accessing treatment</w:t>
      </w:r>
    </w:p>
    <w:p w14:paraId="6C17951F" w14:textId="77777777" w:rsidR="002E01B8" w:rsidRDefault="002E01B8" w:rsidP="002E01B8">
      <w:pPr>
        <w:spacing w:after="160" w:line="259" w:lineRule="auto"/>
        <w:rPr>
          <w:rFonts w:ascii="Calibri" w:eastAsia="Calibri" w:hAnsi="Calibri"/>
          <w:b/>
          <w:bCs/>
          <w:sz w:val="22"/>
          <w:szCs w:val="22"/>
          <w:u w:val="single"/>
        </w:rPr>
      </w:pPr>
      <w:r w:rsidRPr="29637E0F">
        <w:rPr>
          <w:rFonts w:asciiTheme="minorHAnsi" w:hAnsiTheme="minorHAnsi"/>
          <w:sz w:val="22"/>
          <w:szCs w:val="22"/>
        </w:rPr>
        <w:t>Tecovirimat is available for the treatment of mpox in adults and children through regulated access.</w:t>
      </w:r>
    </w:p>
    <w:p w14:paraId="5FC0A8B7" w14:textId="77777777" w:rsidR="002E01B8" w:rsidRDefault="002E01B8" w:rsidP="29637E0F">
      <w:pPr>
        <w:rPr>
          <w:rFonts w:asciiTheme="minorHAnsi" w:hAnsiTheme="minorHAnsi"/>
          <w:sz w:val="22"/>
          <w:szCs w:val="22"/>
        </w:rPr>
      </w:pPr>
      <w:r w:rsidRPr="29637E0F">
        <w:rPr>
          <w:rFonts w:asciiTheme="minorHAnsi" w:hAnsiTheme="minorHAnsi"/>
          <w:sz w:val="22"/>
          <w:szCs w:val="22"/>
        </w:rPr>
        <w:t xml:space="preserve">Individuals with mild-to-moderate mpox disease can access the drug by participating in the Study of Tecovirimat for Human Mpox Virus (STOMP) trial, sponsored by the National Institute of Allergy and Infectious Disease. Eligible participants with mild-to-moderate disease will be randomized 2:1 to receive either tecovirimat or placebo. (Note: STOMP is the only option for tecovirimat access for patients with mild-to-moderate diseases.) Individuals with severe disease, significant skin conditions, or with severe immunocompromise will receive </w:t>
      </w:r>
      <w:proofErr w:type="gramStart"/>
      <w:r w:rsidRPr="29637E0F">
        <w:rPr>
          <w:rFonts w:asciiTheme="minorHAnsi" w:hAnsiTheme="minorHAnsi"/>
          <w:sz w:val="22"/>
          <w:szCs w:val="22"/>
        </w:rPr>
        <w:t>open-label</w:t>
      </w:r>
      <w:proofErr w:type="gramEnd"/>
      <w:r w:rsidRPr="29637E0F">
        <w:rPr>
          <w:rFonts w:asciiTheme="minorHAnsi" w:hAnsiTheme="minorHAnsi"/>
          <w:sz w:val="22"/>
          <w:szCs w:val="22"/>
        </w:rPr>
        <w:t xml:space="preserve"> tecovirimat through the STOMP trial should they choose to participate.  Regardless of disease severity, individuals must have mpox illness for less than 14 days prior to study entry to be eligible to participate in STOMP.</w:t>
      </w:r>
    </w:p>
    <w:p w14:paraId="7D156864" w14:textId="77777777" w:rsidR="002E01B8" w:rsidRDefault="002E01B8" w:rsidP="29637E0F">
      <w:pPr>
        <w:rPr>
          <w:rFonts w:asciiTheme="minorHAnsi" w:hAnsiTheme="minorHAnsi"/>
          <w:sz w:val="22"/>
          <w:szCs w:val="22"/>
        </w:rPr>
      </w:pPr>
    </w:p>
    <w:p w14:paraId="3952C475" w14:textId="77777777" w:rsidR="002E01B8" w:rsidRDefault="002E01B8" w:rsidP="29637E0F">
      <w:pPr>
        <w:rPr>
          <w:rFonts w:asciiTheme="minorHAnsi" w:hAnsiTheme="minorHAnsi"/>
          <w:sz w:val="22"/>
          <w:szCs w:val="22"/>
        </w:rPr>
      </w:pPr>
      <w:r w:rsidRPr="29637E0F">
        <w:rPr>
          <w:rFonts w:asciiTheme="minorHAnsi" w:hAnsiTheme="minorHAnsi"/>
          <w:sz w:val="22"/>
          <w:szCs w:val="22"/>
        </w:rPr>
        <w:t xml:space="preserve">The study is being conducted through the AIDS Clinical Trial Group (ACTG). There are two ACTG sites in Massachusetts that are conducting the STOMP trial: Massachusetts General Hospital (617-726 -5598) and Brigham and Women’s Hospital (617-732-5635). Participants can enroll in the study through an initial in-person visit to either site. Providers caring for individuals with mpox as outpatients should contact an ACTG site Monday through Friday 9 AM – 5 PM to arrange for an intake appointment. Enrollment is also possible </w:t>
      </w:r>
      <w:proofErr w:type="gramStart"/>
      <w:r w:rsidRPr="29637E0F">
        <w:rPr>
          <w:rFonts w:asciiTheme="minorHAnsi" w:hAnsiTheme="minorHAnsi"/>
          <w:sz w:val="22"/>
          <w:szCs w:val="22"/>
        </w:rPr>
        <w:t>on</w:t>
      </w:r>
      <w:proofErr w:type="gramEnd"/>
      <w:r w:rsidRPr="29637E0F">
        <w:rPr>
          <w:rFonts w:asciiTheme="minorHAnsi" w:hAnsiTheme="minorHAnsi"/>
          <w:sz w:val="22"/>
          <w:szCs w:val="22"/>
        </w:rPr>
        <w:t xml:space="preserve"> nights and weekends through the Brigham and Women’s Hospital Emergency Department. For individuals who are hospitalized with mpox and require treatment, transfer to a hospital with an ACTG site should be considered.</w:t>
      </w:r>
    </w:p>
    <w:p w14:paraId="3747875C" w14:textId="77777777" w:rsidR="002E01B8" w:rsidRDefault="002E01B8" w:rsidP="29637E0F">
      <w:pPr>
        <w:rPr>
          <w:rFonts w:asciiTheme="minorHAnsi" w:hAnsiTheme="minorHAnsi"/>
          <w:sz w:val="22"/>
          <w:szCs w:val="22"/>
        </w:rPr>
      </w:pPr>
    </w:p>
    <w:p w14:paraId="4E209981" w14:textId="77777777" w:rsidR="002E01B8" w:rsidRDefault="002E01B8" w:rsidP="29637E0F">
      <w:pPr>
        <w:rPr>
          <w:rFonts w:asciiTheme="minorHAnsi" w:hAnsiTheme="minorHAnsi"/>
          <w:sz w:val="22"/>
          <w:szCs w:val="22"/>
        </w:rPr>
      </w:pPr>
      <w:r w:rsidRPr="29637E0F">
        <w:rPr>
          <w:rFonts w:asciiTheme="minorHAnsi" w:hAnsiTheme="minorHAnsi"/>
          <w:sz w:val="22"/>
          <w:szCs w:val="22"/>
        </w:rPr>
        <w:t xml:space="preserve">If an eligible participant cannot enroll at an in-person study site, remote enrollment in the STOMP trial via study sites outside of Massachusetts is possible. (Note: remote enrollment may not be available on weekends.)  More information about the STOMP trial is available here: </w:t>
      </w:r>
      <w:hyperlink r:id="rId21" w:history="1">
        <w:r w:rsidRPr="29637E0F">
          <w:rPr>
            <w:rStyle w:val="Hyperlink"/>
            <w:rFonts w:asciiTheme="minorHAnsi" w:hAnsiTheme="minorHAnsi"/>
            <w:sz w:val="22"/>
            <w:szCs w:val="22"/>
          </w:rPr>
          <w:t>STOMP (stomptpoxx.org)</w:t>
        </w:r>
      </w:hyperlink>
      <w:r w:rsidRPr="29637E0F">
        <w:rPr>
          <w:rFonts w:asciiTheme="minorHAnsi" w:hAnsiTheme="minorHAnsi"/>
          <w:sz w:val="22"/>
          <w:szCs w:val="22"/>
        </w:rPr>
        <w:t xml:space="preserve"> or by calling 855-876-9997 Monday through Friday 9 AM to 10 PM, Saturday 9 AM to 4 PM and Sunday 1 PM to 6 PM. </w:t>
      </w:r>
    </w:p>
    <w:p w14:paraId="53ADD5D6" w14:textId="77777777" w:rsidR="002E01B8" w:rsidRDefault="002E01B8" w:rsidP="29637E0F">
      <w:pPr>
        <w:rPr>
          <w:rFonts w:asciiTheme="minorHAnsi" w:hAnsiTheme="minorHAnsi"/>
          <w:sz w:val="22"/>
          <w:szCs w:val="22"/>
        </w:rPr>
      </w:pPr>
    </w:p>
    <w:p w14:paraId="76ECEB1D" w14:textId="4EF142C4" w:rsidR="00F21C41" w:rsidRDefault="002E01B8" w:rsidP="002E01B8">
      <w:pPr>
        <w:spacing w:after="160" w:line="259" w:lineRule="auto"/>
        <w:rPr>
          <w:rFonts w:ascii="Calibri" w:eastAsia="Calibri" w:hAnsi="Calibri"/>
          <w:sz w:val="22"/>
          <w:szCs w:val="22"/>
        </w:rPr>
      </w:pPr>
      <w:r w:rsidRPr="29637E0F">
        <w:rPr>
          <w:rFonts w:asciiTheme="minorHAnsi" w:hAnsiTheme="minorHAnsi"/>
          <w:sz w:val="22"/>
          <w:szCs w:val="22"/>
        </w:rPr>
        <w:t>If enrollment in STOMP is not feasible (e.g., a clinical trial site is not geographically accessible) or of interest, individuals with severe mpox disease can also access TPOXX through a Massachusetts health care provider using the EA-IND pathway in concert with CDC’s guidance for treatment if they qualify for the EA-IND.</w:t>
      </w:r>
      <w:r w:rsidR="00F21C41" w:rsidRPr="29637E0F">
        <w:rPr>
          <w:rFonts w:ascii="Calibri" w:eastAsia="Calibri" w:hAnsi="Calibri"/>
          <w:sz w:val="22"/>
          <w:szCs w:val="22"/>
        </w:rPr>
        <w:t xml:space="preserve"> </w:t>
      </w:r>
    </w:p>
    <w:p w14:paraId="7A04A60D" w14:textId="77777777" w:rsidR="00F21C41" w:rsidRDefault="00F21C41" w:rsidP="00F21C41">
      <w:pPr>
        <w:spacing w:after="160" w:line="259" w:lineRule="auto"/>
        <w:rPr>
          <w:rFonts w:ascii="Calibri" w:eastAsia="Calibri" w:hAnsi="Calibri"/>
          <w:sz w:val="22"/>
          <w:szCs w:val="22"/>
        </w:rPr>
      </w:pPr>
      <w:r w:rsidRPr="448FD213">
        <w:rPr>
          <w:rFonts w:ascii="Calibri" w:eastAsia="Calibri" w:hAnsi="Calibri"/>
          <w:sz w:val="22"/>
          <w:szCs w:val="22"/>
        </w:rPr>
        <w:t>Access to tecovirimat treatment through EA-IND access is limited to:</w:t>
      </w:r>
    </w:p>
    <w:p w14:paraId="1F633DEE" w14:textId="77777777" w:rsidR="00F21C41" w:rsidRDefault="00F21C41" w:rsidP="00F21C41">
      <w:pPr>
        <w:pStyle w:val="ListParagraph"/>
        <w:numPr>
          <w:ilvl w:val="0"/>
          <w:numId w:val="8"/>
        </w:numPr>
        <w:spacing w:after="160" w:line="259" w:lineRule="auto"/>
        <w:rPr>
          <w:rFonts w:ascii="Calibri" w:eastAsia="Calibri" w:hAnsi="Calibri"/>
          <w:sz w:val="22"/>
          <w:szCs w:val="22"/>
        </w:rPr>
      </w:pPr>
      <w:r w:rsidRPr="448FD213">
        <w:rPr>
          <w:rFonts w:ascii="Calibri" w:eastAsia="Calibri" w:hAnsi="Calibri"/>
          <w:sz w:val="22"/>
          <w:szCs w:val="22"/>
        </w:rPr>
        <w:t xml:space="preserve">People with severe disease </w:t>
      </w:r>
    </w:p>
    <w:p w14:paraId="3D4B9B05"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Hemorrhagic disease</w:t>
      </w:r>
    </w:p>
    <w:p w14:paraId="1886D434"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Large number of confluent lesions</w:t>
      </w:r>
    </w:p>
    <w:p w14:paraId="07878A03"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Necrotic lesions</w:t>
      </w:r>
    </w:p>
    <w:p w14:paraId="75C654A0"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Severe lymphadenopathy that can be necrotizing or obstructing (such as in airways)</w:t>
      </w:r>
    </w:p>
    <w:p w14:paraId="54A97F86"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 xml:space="preserve">Involvement of multiple organ systems and associated comorbidities (for example, pulmonary involvement with nodular lesions, sepsis, encephalitis, myocarditis, ocular or periorbital infections) </w:t>
      </w:r>
    </w:p>
    <w:p w14:paraId="058E2C32" w14:textId="0B46899C"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lastRenderedPageBreak/>
        <w:t xml:space="preserve">Other conditions requiring </w:t>
      </w:r>
      <w:proofErr w:type="gramStart"/>
      <w:r w:rsidRPr="448FD213">
        <w:rPr>
          <w:rFonts w:ascii="Calibri" w:eastAsia="Calibri" w:hAnsi="Calibri"/>
          <w:sz w:val="22"/>
          <w:szCs w:val="22"/>
        </w:rPr>
        <w:t>hospitalization</w:t>
      </w:r>
      <w:proofErr w:type="gramEnd"/>
    </w:p>
    <w:p w14:paraId="3A423EF3" w14:textId="77777777" w:rsidR="00F21C41" w:rsidRDefault="00F21C41" w:rsidP="00F21C41">
      <w:pPr>
        <w:pStyle w:val="ListParagraph"/>
        <w:numPr>
          <w:ilvl w:val="0"/>
          <w:numId w:val="8"/>
        </w:numPr>
        <w:spacing w:after="160" w:line="259" w:lineRule="auto"/>
        <w:rPr>
          <w:sz w:val="22"/>
          <w:szCs w:val="22"/>
        </w:rPr>
      </w:pPr>
      <w:r w:rsidRPr="448FD213">
        <w:rPr>
          <w:rFonts w:ascii="Calibri" w:eastAsia="Calibri" w:hAnsi="Calibri"/>
          <w:sz w:val="22"/>
          <w:szCs w:val="22"/>
        </w:rPr>
        <w:t xml:space="preserve">People with involvement of an anatomic area which might result in serious sequelae that include scarring or </w:t>
      </w:r>
      <w:proofErr w:type="gramStart"/>
      <w:r w:rsidRPr="448FD213">
        <w:rPr>
          <w:rFonts w:ascii="Calibri" w:eastAsia="Calibri" w:hAnsi="Calibri"/>
          <w:sz w:val="22"/>
          <w:szCs w:val="22"/>
        </w:rPr>
        <w:t>strictures</w:t>
      </w:r>
      <w:proofErr w:type="gramEnd"/>
    </w:p>
    <w:p w14:paraId="1A75C061" w14:textId="77777777" w:rsidR="00F21C41" w:rsidRDefault="00F21C41" w:rsidP="00F21C41">
      <w:pPr>
        <w:pStyle w:val="ListParagraph"/>
        <w:numPr>
          <w:ilvl w:val="1"/>
          <w:numId w:val="8"/>
        </w:numPr>
        <w:spacing w:after="160" w:line="259" w:lineRule="auto"/>
        <w:rPr>
          <w:sz w:val="22"/>
          <w:szCs w:val="22"/>
        </w:rPr>
      </w:pPr>
      <w:r w:rsidRPr="448FD213">
        <w:rPr>
          <w:rFonts w:ascii="Calibri" w:eastAsia="Calibri" w:hAnsi="Calibri"/>
          <w:sz w:val="22"/>
          <w:szCs w:val="22"/>
        </w:rPr>
        <w:t xml:space="preserve">Lesions involving pharynx causing dysphagia, inability to control secretions or need for parenteral </w:t>
      </w:r>
      <w:proofErr w:type="gramStart"/>
      <w:r w:rsidRPr="448FD213">
        <w:rPr>
          <w:rFonts w:ascii="Calibri" w:eastAsia="Calibri" w:hAnsi="Calibri"/>
          <w:sz w:val="22"/>
          <w:szCs w:val="22"/>
        </w:rPr>
        <w:t>feeding</w:t>
      </w:r>
      <w:proofErr w:type="gramEnd"/>
    </w:p>
    <w:p w14:paraId="32620362" w14:textId="77777777" w:rsidR="00F21C41" w:rsidRDefault="00F21C41" w:rsidP="00F21C41">
      <w:pPr>
        <w:pStyle w:val="ListParagraph"/>
        <w:numPr>
          <w:ilvl w:val="1"/>
          <w:numId w:val="8"/>
        </w:numPr>
        <w:spacing w:after="160" w:line="259" w:lineRule="auto"/>
        <w:rPr>
          <w:sz w:val="22"/>
          <w:szCs w:val="22"/>
        </w:rPr>
      </w:pPr>
      <w:r w:rsidRPr="448FD213">
        <w:rPr>
          <w:rFonts w:ascii="Calibri" w:eastAsia="Calibri" w:hAnsi="Calibri"/>
          <w:sz w:val="22"/>
          <w:szCs w:val="22"/>
        </w:rPr>
        <w:t xml:space="preserve">Lesions involving penile foreskin, vulva, vagina, urethra or anorectum with the potential for causing strictures or requiring </w:t>
      </w:r>
      <w:proofErr w:type="gramStart"/>
      <w:r w:rsidRPr="448FD213">
        <w:rPr>
          <w:rFonts w:ascii="Calibri" w:eastAsia="Calibri" w:hAnsi="Calibri"/>
          <w:sz w:val="22"/>
          <w:szCs w:val="22"/>
        </w:rPr>
        <w:t>catheterization</w:t>
      </w:r>
      <w:proofErr w:type="gramEnd"/>
    </w:p>
    <w:p w14:paraId="75289EA4" w14:textId="77777777" w:rsidR="00F21C41" w:rsidRDefault="00F21C41" w:rsidP="00F21C41">
      <w:pPr>
        <w:pStyle w:val="ListParagraph"/>
        <w:numPr>
          <w:ilvl w:val="1"/>
          <w:numId w:val="8"/>
        </w:numPr>
        <w:spacing w:after="160" w:line="259" w:lineRule="auto"/>
        <w:rPr>
          <w:sz w:val="22"/>
          <w:szCs w:val="22"/>
        </w:rPr>
      </w:pPr>
      <w:r w:rsidRPr="448FD213">
        <w:rPr>
          <w:rFonts w:ascii="Calibri" w:eastAsia="Calibri" w:hAnsi="Calibri"/>
          <w:sz w:val="22"/>
          <w:szCs w:val="22"/>
        </w:rPr>
        <w:t>Anorectal lesions interfering with bowel movements (for example, severe pain)</w:t>
      </w:r>
    </w:p>
    <w:p w14:paraId="325AE3D4" w14:textId="77777777" w:rsidR="00F21C41" w:rsidRDefault="00F21C41" w:rsidP="00F21C41">
      <w:pPr>
        <w:pStyle w:val="ListParagraph"/>
        <w:numPr>
          <w:ilvl w:val="1"/>
          <w:numId w:val="8"/>
        </w:numPr>
        <w:spacing w:after="160" w:line="259" w:lineRule="auto"/>
        <w:rPr>
          <w:sz w:val="22"/>
          <w:szCs w:val="22"/>
        </w:rPr>
      </w:pPr>
      <w:r w:rsidRPr="448FD213">
        <w:rPr>
          <w:rFonts w:ascii="Calibri" w:eastAsia="Calibri" w:hAnsi="Calibri"/>
          <w:sz w:val="22"/>
          <w:szCs w:val="22"/>
        </w:rPr>
        <w:t xml:space="preserve">Severe infections (including secondary bacterial skin infections), especially those that require surgical intervention such as </w:t>
      </w:r>
      <w:proofErr w:type="gramStart"/>
      <w:r w:rsidRPr="448FD213">
        <w:rPr>
          <w:rFonts w:ascii="Calibri" w:eastAsia="Calibri" w:hAnsi="Calibri"/>
          <w:sz w:val="22"/>
          <w:szCs w:val="22"/>
        </w:rPr>
        <w:t>debridement</w:t>
      </w:r>
      <w:proofErr w:type="gramEnd"/>
      <w:r w:rsidRPr="448FD213">
        <w:rPr>
          <w:rFonts w:ascii="Calibri" w:eastAsia="Calibri" w:hAnsi="Calibri"/>
          <w:sz w:val="22"/>
          <w:szCs w:val="22"/>
        </w:rPr>
        <w:t xml:space="preserve"> </w:t>
      </w:r>
    </w:p>
    <w:p w14:paraId="63E3055E" w14:textId="77777777" w:rsidR="00F21C41" w:rsidRDefault="00F21C41" w:rsidP="00F21C41">
      <w:pPr>
        <w:pStyle w:val="ListParagraph"/>
        <w:numPr>
          <w:ilvl w:val="0"/>
          <w:numId w:val="8"/>
        </w:numPr>
        <w:spacing w:after="160" w:line="259" w:lineRule="auto"/>
        <w:rPr>
          <w:rFonts w:ascii="Calibri" w:eastAsia="Calibri" w:hAnsi="Calibri"/>
          <w:sz w:val="22"/>
          <w:szCs w:val="22"/>
        </w:rPr>
      </w:pPr>
      <w:r w:rsidRPr="448FD213">
        <w:rPr>
          <w:rFonts w:ascii="Calibri" w:eastAsia="Calibri" w:hAnsi="Calibri"/>
          <w:sz w:val="22"/>
          <w:szCs w:val="22"/>
        </w:rPr>
        <w:t>People who may be at high risk of severe disease:</w:t>
      </w:r>
    </w:p>
    <w:p w14:paraId="1751E0AF"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People with severe immunocompromise (e.g., advanced or poorly controlled human immunodeficiency virus/acquired immune deficiency syndrome infection, leukemia, lymphoma, generalized malignancy, solid organ transplantation, therapy with alkylating agents, antimetabolites, radiation, tumor necrosis factor inhibitors, high-dose corticosteroids, being a recipient with hematopoietic stem cell transplant &lt;24 months post-transplant or ≥24 months but with graft-versus-host disease or disease relapse, or having autoimmune disease with immunodeficiency as a clinical component)</w:t>
      </w:r>
    </w:p>
    <w:p w14:paraId="3B2564E1"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Pediatric populations, particularly patients younger than 1 year of age</w:t>
      </w:r>
    </w:p>
    <w:p w14:paraId="249BD445" w14:textId="77777777" w:rsidR="00F21C41" w:rsidRDefault="00F21C41" w:rsidP="00F21C41">
      <w:pPr>
        <w:pStyle w:val="ListParagraph"/>
        <w:numPr>
          <w:ilvl w:val="1"/>
          <w:numId w:val="8"/>
        </w:numPr>
        <w:spacing w:after="160" w:line="259" w:lineRule="auto"/>
        <w:rPr>
          <w:rFonts w:ascii="Calibri" w:eastAsia="Calibri" w:hAnsi="Calibri"/>
          <w:sz w:val="22"/>
          <w:szCs w:val="22"/>
        </w:rPr>
      </w:pPr>
      <w:r w:rsidRPr="448FD213">
        <w:rPr>
          <w:rFonts w:ascii="Calibri" w:eastAsia="Calibri" w:hAnsi="Calibri"/>
          <w:sz w:val="22"/>
          <w:szCs w:val="22"/>
        </w:rPr>
        <w:t>People with a condition affecting skin integrity including atopic dermatitis, eczema, burns, impetigo, varicella zoster virus infection, herpes simplex virus infection, severe acne, severe diaper dermatitis with extensive areas of denuded skin, psoriasis, or Darier disease [keratosis follicularis])</w:t>
      </w:r>
    </w:p>
    <w:p w14:paraId="092B2E51" w14:textId="77777777" w:rsidR="00F21C41" w:rsidRPr="00F21C41" w:rsidRDefault="00F21C41" w:rsidP="00F21C41">
      <w:pPr>
        <w:pStyle w:val="ListParagraph"/>
        <w:numPr>
          <w:ilvl w:val="1"/>
          <w:numId w:val="8"/>
        </w:numPr>
        <w:spacing w:after="160" w:line="259" w:lineRule="auto"/>
        <w:rPr>
          <w:rFonts w:eastAsia="Calibri"/>
        </w:rPr>
      </w:pPr>
      <w:r w:rsidRPr="448FD213">
        <w:rPr>
          <w:rFonts w:ascii="Calibri" w:eastAsia="Calibri" w:hAnsi="Calibri"/>
          <w:sz w:val="22"/>
          <w:szCs w:val="22"/>
        </w:rPr>
        <w:t>Pregnant or breastfeeding people</w:t>
      </w:r>
    </w:p>
    <w:p w14:paraId="589C8555" w14:textId="77777777" w:rsidR="00F21C41" w:rsidRPr="00DC2C3E" w:rsidRDefault="00F21C41" w:rsidP="448FD213">
      <w:pPr>
        <w:spacing w:after="160" w:line="259" w:lineRule="auto"/>
        <w:rPr>
          <w:rFonts w:asciiTheme="minorHAnsi" w:hAnsiTheme="minorHAnsi"/>
          <w:sz w:val="22"/>
          <w:szCs w:val="22"/>
        </w:rPr>
      </w:pPr>
      <w:r w:rsidRPr="448FD213">
        <w:rPr>
          <w:rFonts w:ascii="Calibri" w:eastAsia="Calibri" w:hAnsi="Calibri"/>
          <w:sz w:val="22"/>
          <w:szCs w:val="22"/>
        </w:rPr>
        <w:t xml:space="preserve">The regulatory requirements for treating patients with tecovirimat through the EA-IND are available here: </w:t>
      </w:r>
      <w:hyperlink r:id="rId22" w:history="1">
        <w:r w:rsidRPr="448FD213">
          <w:rPr>
            <w:rStyle w:val="Hyperlink"/>
            <w:rFonts w:ascii="Calibri" w:eastAsia="Calibri" w:hAnsi="Calibri"/>
            <w:sz w:val="22"/>
            <w:szCs w:val="22"/>
          </w:rPr>
          <w:t>https://www.cdc.gov/poxvirus/mpox/clinicians/obtaining-tecovirimat.html</w:t>
        </w:r>
      </w:hyperlink>
      <w:r w:rsidRPr="448FD213">
        <w:rPr>
          <w:rFonts w:ascii="Calibri" w:eastAsia="Calibri" w:hAnsi="Calibri"/>
          <w:sz w:val="22"/>
          <w:szCs w:val="22"/>
        </w:rPr>
        <w:t>. Providers should contact Massachusetts DPH for additional details and facilitation of communication with the US Centers for Disease Control to access tecovirimat through the EA-IND program.</w:t>
      </w:r>
    </w:p>
    <w:p w14:paraId="07B3F8A8" w14:textId="77777777" w:rsidR="00F21C41" w:rsidRPr="0023433E" w:rsidRDefault="00F21C41" w:rsidP="00F21C41">
      <w:pPr>
        <w:spacing w:after="160" w:line="259" w:lineRule="auto"/>
        <w:rPr>
          <w:rFonts w:ascii="Calibri" w:eastAsia="Calibri" w:hAnsi="Calibri"/>
          <w:sz w:val="22"/>
          <w:szCs w:val="22"/>
        </w:rPr>
      </w:pPr>
      <w:r w:rsidRPr="448FD213">
        <w:rPr>
          <w:rFonts w:ascii="Calibri" w:eastAsia="Calibri" w:hAnsi="Calibri"/>
          <w:sz w:val="22"/>
          <w:szCs w:val="22"/>
        </w:rPr>
        <w:t xml:space="preserve">For patients with severe manifestations of disease, prolongation of treatment length beyond the standard 14-day course may be advisable. Addition of other therapeutics such as </w:t>
      </w:r>
      <w:proofErr w:type="spellStart"/>
      <w:r w:rsidRPr="448FD213">
        <w:rPr>
          <w:rFonts w:ascii="Calibri" w:eastAsia="Calibri" w:hAnsi="Calibri"/>
          <w:sz w:val="22"/>
          <w:szCs w:val="22"/>
        </w:rPr>
        <w:t>brincidofovir</w:t>
      </w:r>
      <w:proofErr w:type="spellEnd"/>
      <w:r w:rsidRPr="448FD213">
        <w:rPr>
          <w:rFonts w:ascii="Calibri" w:eastAsia="Calibri" w:hAnsi="Calibri"/>
          <w:sz w:val="22"/>
          <w:szCs w:val="22"/>
        </w:rPr>
        <w:t>, cidofovir or Vaccinia Immune Globulin may also be indicated. In these cases, providers should seek consultation with MDPH.</w:t>
      </w:r>
    </w:p>
    <w:p w14:paraId="302E94A6" w14:textId="77777777" w:rsidR="006C2BAC" w:rsidRDefault="006C2BAC" w:rsidP="00D16009">
      <w:pPr>
        <w:spacing w:after="160" w:line="259" w:lineRule="auto"/>
        <w:rPr>
          <w:rFonts w:asciiTheme="minorHAnsi" w:hAnsiTheme="minorHAnsi"/>
          <w:sz w:val="22"/>
          <w:szCs w:val="22"/>
        </w:rPr>
      </w:pPr>
    </w:p>
    <w:p w14:paraId="263C51CE" w14:textId="464DB829" w:rsidR="00C8242C" w:rsidRPr="0049522A" w:rsidRDefault="00C8242C" w:rsidP="0049522A">
      <w:pPr>
        <w:spacing w:after="160" w:line="259" w:lineRule="auto"/>
        <w:rPr>
          <w:rFonts w:asciiTheme="minorHAnsi" w:eastAsia="Calibri" w:hAnsiTheme="minorHAnsi" w:cstheme="minorHAnsi"/>
          <w:b/>
          <w:bCs/>
          <w:sz w:val="22"/>
          <w:szCs w:val="22"/>
          <w:u w:val="single"/>
        </w:rPr>
      </w:pPr>
      <w:r>
        <w:rPr>
          <w:rFonts w:asciiTheme="minorHAnsi" w:eastAsia="Calibri" w:hAnsiTheme="minorHAnsi" w:cstheme="minorHAnsi"/>
          <w:b/>
          <w:bCs/>
          <w:sz w:val="22"/>
          <w:szCs w:val="22"/>
          <w:u w:val="single"/>
        </w:rPr>
        <w:t>VACCINATION FOR MPOX</w:t>
      </w:r>
    </w:p>
    <w:p w14:paraId="02214275" w14:textId="2E38056C" w:rsidR="00C8242C" w:rsidRPr="009A6478" w:rsidRDefault="002E01B8" w:rsidP="29637E0F">
      <w:pPr>
        <w:shd w:val="clear" w:color="auto" w:fill="FFFFFF" w:themeFill="background1"/>
        <w:spacing w:after="240"/>
        <w:rPr>
          <w:rFonts w:asciiTheme="minorHAnsi" w:eastAsia="Calibri" w:hAnsiTheme="minorHAnsi"/>
          <w:sz w:val="22"/>
          <w:szCs w:val="22"/>
        </w:rPr>
      </w:pPr>
      <w:proofErr w:type="spellStart"/>
      <w:r w:rsidRPr="29637E0F">
        <w:rPr>
          <w:rFonts w:asciiTheme="minorHAnsi" w:hAnsiTheme="minorHAnsi" w:cstheme="minorBidi"/>
          <w:color w:val="000000" w:themeColor="text1"/>
          <w:sz w:val="22"/>
          <w:szCs w:val="22"/>
        </w:rPr>
        <w:t>Jynneos</w:t>
      </w:r>
      <w:proofErr w:type="spellEnd"/>
      <w:r w:rsidRPr="29637E0F">
        <w:rPr>
          <w:rFonts w:asciiTheme="minorHAnsi" w:hAnsiTheme="minorHAnsi" w:cstheme="minorBidi"/>
          <w:color w:val="000000" w:themeColor="text1"/>
          <w:sz w:val="22"/>
          <w:szCs w:val="22"/>
        </w:rPr>
        <w:t xml:space="preserve"> vaccination is </w:t>
      </w:r>
      <w:r w:rsidR="0C801214" w:rsidRPr="29637E0F">
        <w:rPr>
          <w:rFonts w:asciiTheme="minorHAnsi" w:hAnsiTheme="minorHAnsi" w:cstheme="minorBidi"/>
          <w:color w:val="000000" w:themeColor="text1"/>
          <w:sz w:val="22"/>
          <w:szCs w:val="22"/>
        </w:rPr>
        <w:t xml:space="preserve">associated with a </w:t>
      </w:r>
      <w:r w:rsidRPr="29637E0F">
        <w:rPr>
          <w:rFonts w:asciiTheme="minorHAnsi" w:hAnsiTheme="minorHAnsi" w:cstheme="minorBidi"/>
          <w:color w:val="000000" w:themeColor="text1"/>
          <w:sz w:val="22"/>
          <w:szCs w:val="22"/>
        </w:rPr>
        <w:t>reduc</w:t>
      </w:r>
      <w:r w:rsidR="1D263197" w:rsidRPr="29637E0F">
        <w:rPr>
          <w:rFonts w:asciiTheme="minorHAnsi" w:hAnsiTheme="minorHAnsi" w:cstheme="minorBidi"/>
          <w:color w:val="000000" w:themeColor="text1"/>
          <w:sz w:val="22"/>
          <w:szCs w:val="22"/>
        </w:rPr>
        <w:t>ed</w:t>
      </w:r>
      <w:r w:rsidRPr="29637E0F">
        <w:rPr>
          <w:rFonts w:asciiTheme="minorHAnsi" w:hAnsiTheme="minorHAnsi" w:cstheme="minorBidi"/>
          <w:color w:val="000000" w:themeColor="text1"/>
          <w:sz w:val="22"/>
          <w:szCs w:val="22"/>
        </w:rPr>
        <w:t xml:space="preserve"> risk of mpox, based upon retrospective clinical studies, with two doses providing the best protection. </w:t>
      </w:r>
      <w:r w:rsidR="00DC2C3E" w:rsidRPr="29637E0F">
        <w:rPr>
          <w:rFonts w:asciiTheme="minorHAnsi" w:hAnsiTheme="minorHAnsi" w:cstheme="minorBidi"/>
          <w:color w:val="000000" w:themeColor="text1"/>
          <w:sz w:val="22"/>
          <w:szCs w:val="22"/>
        </w:rPr>
        <w:t xml:space="preserve">People who have been vaccinated can still get mpox, but vaccination may make illness less severe. </w:t>
      </w:r>
      <w:r w:rsidR="1AED04AE" w:rsidRPr="29637E0F">
        <w:rPr>
          <w:rFonts w:asciiTheme="minorHAnsi" w:eastAsia="Calibri" w:hAnsiTheme="minorHAnsi"/>
          <w:sz w:val="22"/>
          <w:szCs w:val="22"/>
        </w:rPr>
        <w:t xml:space="preserve">Outreach to individuals with potential exposure to mpox should </w:t>
      </w:r>
      <w:r w:rsidR="002A0718" w:rsidRPr="29637E0F">
        <w:rPr>
          <w:rFonts w:asciiTheme="minorHAnsi" w:eastAsia="Calibri" w:hAnsiTheme="minorHAnsi"/>
          <w:sz w:val="22"/>
          <w:szCs w:val="22"/>
        </w:rPr>
        <w:t>be prioritized</w:t>
      </w:r>
      <w:r w:rsidR="1AED04AE" w:rsidRPr="29637E0F">
        <w:rPr>
          <w:rFonts w:asciiTheme="minorHAnsi" w:eastAsia="Calibri" w:hAnsiTheme="minorHAnsi"/>
          <w:sz w:val="22"/>
          <w:szCs w:val="22"/>
        </w:rPr>
        <w:t>. People with immunocompromise, including those with HIV, may have more severe disease due to mpox so vaccination is important if they are at risk for exposure.</w:t>
      </w:r>
    </w:p>
    <w:p w14:paraId="50D26509" w14:textId="4DD026CE" w:rsidR="009A6478" w:rsidRDefault="009A6478" w:rsidP="00393507">
      <w:pPr>
        <w:shd w:val="clear" w:color="auto" w:fill="FFFFFF" w:themeFill="background1"/>
        <w:spacing w:after="240"/>
        <w:rPr>
          <w:rFonts w:asciiTheme="minorHAnsi" w:hAnsiTheme="minorHAnsi" w:cstheme="minorBidi"/>
          <w:b/>
          <w:bCs/>
          <w:color w:val="000000" w:themeColor="text1"/>
          <w:sz w:val="22"/>
          <w:szCs w:val="22"/>
          <w:u w:val="single"/>
        </w:rPr>
      </w:pPr>
      <w:r w:rsidRPr="00741AE4">
        <w:rPr>
          <w:rFonts w:asciiTheme="minorHAnsi" w:hAnsiTheme="minorHAnsi" w:cstheme="minorBidi"/>
          <w:b/>
          <w:bCs/>
          <w:color w:val="000000" w:themeColor="text1"/>
          <w:sz w:val="22"/>
          <w:szCs w:val="22"/>
          <w:u w:val="single"/>
        </w:rPr>
        <w:t>Post-Exposure Pr</w:t>
      </w:r>
      <w:r w:rsidR="00741AE4" w:rsidRPr="00741AE4">
        <w:rPr>
          <w:rFonts w:asciiTheme="minorHAnsi" w:hAnsiTheme="minorHAnsi" w:cstheme="minorBidi"/>
          <w:b/>
          <w:bCs/>
          <w:color w:val="000000" w:themeColor="text1"/>
          <w:sz w:val="22"/>
          <w:szCs w:val="22"/>
          <w:u w:val="single"/>
        </w:rPr>
        <w:t>ophylaxis</w:t>
      </w:r>
    </w:p>
    <w:p w14:paraId="5949F802" w14:textId="6464B64A" w:rsidR="00885730" w:rsidRPr="00885730" w:rsidRDefault="00885730" w:rsidP="00393507">
      <w:pPr>
        <w:shd w:val="clear" w:color="auto" w:fill="FFFFFF" w:themeFill="background1"/>
        <w:spacing w:after="240"/>
        <w:rPr>
          <w:rFonts w:asciiTheme="minorHAnsi" w:hAnsiTheme="minorHAnsi" w:cstheme="minorBidi"/>
          <w:color w:val="000000" w:themeColor="text1"/>
          <w:sz w:val="22"/>
          <w:szCs w:val="22"/>
        </w:rPr>
      </w:pPr>
      <w:r w:rsidRPr="663B9C3F">
        <w:rPr>
          <w:rFonts w:asciiTheme="minorHAnsi" w:hAnsiTheme="minorHAnsi" w:cstheme="minorBidi"/>
          <w:color w:val="000000" w:themeColor="text1"/>
          <w:sz w:val="22"/>
          <w:szCs w:val="22"/>
        </w:rPr>
        <w:lastRenderedPageBreak/>
        <w:t xml:space="preserve">Individuals </w:t>
      </w:r>
      <w:r w:rsidR="15DE8C71" w:rsidRPr="663B9C3F">
        <w:rPr>
          <w:rFonts w:asciiTheme="minorHAnsi" w:hAnsiTheme="minorHAnsi" w:cstheme="minorBidi"/>
          <w:color w:val="000000" w:themeColor="text1"/>
          <w:sz w:val="22"/>
          <w:szCs w:val="22"/>
        </w:rPr>
        <w:t>with potential exposure to</w:t>
      </w:r>
      <w:r w:rsidR="0049522A" w:rsidRPr="663B9C3F">
        <w:rPr>
          <w:rFonts w:asciiTheme="minorHAnsi" w:hAnsiTheme="minorHAnsi" w:cstheme="minorBidi"/>
          <w:color w:val="000000" w:themeColor="text1"/>
          <w:sz w:val="22"/>
          <w:szCs w:val="22"/>
        </w:rPr>
        <w:t xml:space="preserve"> mpox</w:t>
      </w:r>
      <w:r w:rsidRPr="663B9C3F">
        <w:rPr>
          <w:rFonts w:asciiTheme="minorHAnsi" w:hAnsiTheme="minorHAnsi" w:cstheme="minorBidi"/>
          <w:color w:val="000000" w:themeColor="text1"/>
          <w:sz w:val="22"/>
          <w:szCs w:val="22"/>
        </w:rPr>
        <w:t xml:space="preserve"> should complete </w:t>
      </w:r>
      <w:r w:rsidR="0049522A" w:rsidRPr="663B9C3F">
        <w:rPr>
          <w:rFonts w:asciiTheme="minorHAnsi" w:hAnsiTheme="minorHAnsi" w:cstheme="minorBidi"/>
          <w:color w:val="000000" w:themeColor="text1"/>
          <w:sz w:val="22"/>
          <w:szCs w:val="22"/>
        </w:rPr>
        <w:t>the recommended</w:t>
      </w:r>
      <w:r w:rsidRPr="663B9C3F">
        <w:rPr>
          <w:rFonts w:asciiTheme="minorHAnsi" w:hAnsiTheme="minorHAnsi" w:cstheme="minorBidi"/>
          <w:color w:val="000000" w:themeColor="text1"/>
          <w:sz w:val="22"/>
          <w:szCs w:val="22"/>
        </w:rPr>
        <w:t xml:space="preserve"> two</w:t>
      </w:r>
      <w:r w:rsidR="0049522A" w:rsidRPr="663B9C3F">
        <w:rPr>
          <w:rFonts w:asciiTheme="minorHAnsi" w:hAnsiTheme="minorHAnsi" w:cstheme="minorBidi"/>
          <w:color w:val="000000" w:themeColor="text1"/>
          <w:sz w:val="22"/>
          <w:szCs w:val="22"/>
        </w:rPr>
        <w:t>-dose</w:t>
      </w:r>
      <w:r w:rsidRPr="663B9C3F">
        <w:rPr>
          <w:rFonts w:asciiTheme="minorHAnsi" w:hAnsiTheme="minorHAnsi" w:cstheme="minorBidi"/>
          <w:color w:val="000000" w:themeColor="text1"/>
          <w:sz w:val="22"/>
          <w:szCs w:val="22"/>
        </w:rPr>
        <w:t xml:space="preserve"> series.</w:t>
      </w:r>
      <w:r w:rsidR="0049522A" w:rsidRPr="663B9C3F">
        <w:rPr>
          <w:rFonts w:asciiTheme="minorHAnsi" w:hAnsiTheme="minorHAnsi" w:cstheme="minorBidi"/>
          <w:color w:val="000000" w:themeColor="text1"/>
          <w:sz w:val="22"/>
          <w:szCs w:val="22"/>
        </w:rPr>
        <w:t xml:space="preserve"> The second dose should be given four weeks after the first dose.</w:t>
      </w:r>
    </w:p>
    <w:p w14:paraId="3DA80872" w14:textId="51F2A5C7" w:rsidR="0049522A" w:rsidRDefault="0049522A" w:rsidP="663B9C3F">
      <w:pPr>
        <w:spacing w:after="240"/>
        <w:contextualSpacing/>
        <w:rPr>
          <w:rFonts w:ascii="Calibri" w:eastAsia="Calibri" w:hAnsi="Calibri" w:cs="Calibri"/>
          <w:color w:val="141414"/>
          <w:sz w:val="22"/>
          <w:szCs w:val="22"/>
        </w:rPr>
      </w:pPr>
      <w:r w:rsidRPr="3E75EE24">
        <w:rPr>
          <w:rFonts w:ascii="Calibri" w:eastAsia="Calibri" w:hAnsi="Calibri" w:cs="Calibri"/>
          <w:color w:val="141414"/>
          <w:sz w:val="22"/>
          <w:szCs w:val="22"/>
        </w:rPr>
        <w:t>V</w:t>
      </w:r>
      <w:r w:rsidR="00C8242C" w:rsidRPr="3E75EE24">
        <w:rPr>
          <w:rFonts w:ascii="Calibri" w:eastAsia="Calibri" w:hAnsi="Calibri" w:cs="Calibri"/>
          <w:color w:val="141414"/>
          <w:sz w:val="22"/>
          <w:szCs w:val="22"/>
        </w:rPr>
        <w:t xml:space="preserve">accination </w:t>
      </w:r>
      <w:r w:rsidR="00172B19" w:rsidRPr="3E75EE24">
        <w:rPr>
          <w:rFonts w:ascii="Calibri" w:eastAsia="Calibri" w:hAnsi="Calibri" w:cs="Calibri"/>
          <w:color w:val="141414"/>
          <w:sz w:val="22"/>
          <w:szCs w:val="22"/>
        </w:rPr>
        <w:t>is</w:t>
      </w:r>
      <w:r w:rsidR="00C8242C" w:rsidRPr="3E75EE24">
        <w:rPr>
          <w:rFonts w:ascii="Calibri" w:eastAsia="Calibri" w:hAnsi="Calibri" w:cs="Calibri"/>
          <w:color w:val="141414"/>
          <w:sz w:val="22"/>
          <w:szCs w:val="22"/>
        </w:rPr>
        <w:t xml:space="preserve"> available to individuals who live or work in Massachusetts and meet current eligibility criteria, which include individuals with possible recent exposure to an individual with </w:t>
      </w:r>
      <w:r w:rsidR="439573EE" w:rsidRPr="3E75EE24">
        <w:rPr>
          <w:rFonts w:ascii="Calibri" w:eastAsia="Calibri" w:hAnsi="Calibri" w:cs="Calibri"/>
          <w:color w:val="141414"/>
          <w:sz w:val="22"/>
          <w:szCs w:val="22"/>
        </w:rPr>
        <w:t>mpox</w:t>
      </w:r>
      <w:r w:rsidRPr="3E75EE24">
        <w:rPr>
          <w:rFonts w:ascii="Calibri" w:eastAsia="Calibri" w:hAnsi="Calibri" w:cs="Calibri"/>
          <w:color w:val="141414"/>
          <w:sz w:val="22"/>
          <w:szCs w:val="22"/>
        </w:rPr>
        <w:t>.</w:t>
      </w:r>
    </w:p>
    <w:p w14:paraId="753B9E5A" w14:textId="4EE13804" w:rsidR="00C8242C" w:rsidRDefault="133FB425" w:rsidP="00C8242C">
      <w:pPr>
        <w:contextualSpacing/>
        <w:rPr>
          <w:rFonts w:ascii="Calibri" w:eastAsia="Calibri" w:hAnsi="Calibri" w:cs="Calibri"/>
          <w:color w:val="141414"/>
          <w:sz w:val="22"/>
          <w:szCs w:val="22"/>
        </w:rPr>
      </w:pPr>
      <w:r w:rsidRPr="3CEBB372">
        <w:rPr>
          <w:rFonts w:ascii="Calibri" w:eastAsia="Calibri" w:hAnsi="Calibri" w:cs="Calibri"/>
          <w:color w:val="141414"/>
          <w:sz w:val="22"/>
          <w:szCs w:val="22"/>
        </w:rPr>
        <w:t xml:space="preserve">Persons eligible for post-exposure </w:t>
      </w:r>
      <w:r w:rsidR="7B11D081" w:rsidRPr="3CEBB372">
        <w:rPr>
          <w:rFonts w:ascii="Calibri" w:eastAsia="Calibri" w:hAnsi="Calibri" w:cs="Calibri"/>
          <w:color w:val="141414"/>
          <w:sz w:val="22"/>
          <w:szCs w:val="22"/>
        </w:rPr>
        <w:t>prophylaxis</w:t>
      </w:r>
      <w:r w:rsidRPr="3CEBB372">
        <w:rPr>
          <w:rFonts w:ascii="Calibri" w:eastAsia="Calibri" w:hAnsi="Calibri" w:cs="Calibri"/>
          <w:color w:val="141414"/>
          <w:sz w:val="22"/>
          <w:szCs w:val="22"/>
        </w:rPr>
        <w:t xml:space="preserve"> (PEP)</w:t>
      </w:r>
      <w:r w:rsidR="5C9D76F3" w:rsidRPr="3CEBB372">
        <w:rPr>
          <w:rFonts w:ascii="Calibri" w:eastAsia="Calibri" w:hAnsi="Calibri" w:cs="Calibri"/>
          <w:color w:val="141414"/>
          <w:sz w:val="22"/>
          <w:szCs w:val="22"/>
        </w:rPr>
        <w:t xml:space="preserve"> using vaccine</w:t>
      </w:r>
      <w:r w:rsidRPr="3CEBB372">
        <w:rPr>
          <w:rFonts w:ascii="Calibri" w:eastAsia="Calibri" w:hAnsi="Calibri" w:cs="Calibri"/>
          <w:color w:val="141414"/>
          <w:sz w:val="22"/>
          <w:szCs w:val="22"/>
        </w:rPr>
        <w:t xml:space="preserve"> include: </w:t>
      </w:r>
    </w:p>
    <w:p w14:paraId="0B36D94F" w14:textId="77777777"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Known contacts identified by public health via case investigation, contact tracing, and risk exposure assessments (this may include sexual partners, household contacts, and healthcare workers); as well as</w:t>
      </w:r>
    </w:p>
    <w:p w14:paraId="523B73DB" w14:textId="77777777"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Presumed contacts who meet the following criteria:</w:t>
      </w:r>
    </w:p>
    <w:p w14:paraId="4DD86F53" w14:textId="610568E6"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Know that a sexual partner in the past 14 days was diagnosed with </w:t>
      </w:r>
      <w:proofErr w:type="gramStart"/>
      <w:r w:rsidR="512393C4" w:rsidRPr="366FBEB7">
        <w:rPr>
          <w:rFonts w:ascii="Calibri" w:eastAsia="Calibri" w:hAnsi="Calibri" w:cs="Calibri"/>
          <w:color w:val="141414"/>
          <w:sz w:val="22"/>
          <w:szCs w:val="22"/>
        </w:rPr>
        <w:t>mpox</w:t>
      </w:r>
      <w:proofErr w:type="gramEnd"/>
    </w:p>
    <w:p w14:paraId="0333AA08" w14:textId="72C333AB"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Had multiple sexual partners in the past 14 days in a jurisdiction with known </w:t>
      </w:r>
      <w:proofErr w:type="gramStart"/>
      <w:r w:rsidR="0A2BB48E" w:rsidRPr="366FBEB7">
        <w:rPr>
          <w:rFonts w:ascii="Calibri" w:eastAsia="Calibri" w:hAnsi="Calibri" w:cs="Calibri"/>
          <w:color w:val="141414"/>
          <w:sz w:val="22"/>
          <w:szCs w:val="22"/>
        </w:rPr>
        <w:t>mpox</w:t>
      </w:r>
      <w:proofErr w:type="gramEnd"/>
    </w:p>
    <w:p w14:paraId="700EB771" w14:textId="732CD388" w:rsidR="00C8242C" w:rsidRDefault="00C8242C" w:rsidP="00C8242C">
      <w:pPr>
        <w:rPr>
          <w:rFonts w:ascii="Calibri" w:eastAsia="Calibri" w:hAnsi="Calibri" w:cs="Calibri"/>
          <w:color w:val="141414"/>
          <w:sz w:val="22"/>
          <w:szCs w:val="22"/>
        </w:rPr>
      </w:pPr>
    </w:p>
    <w:p w14:paraId="533DD7B0" w14:textId="1E0C4623" w:rsidR="005932A8" w:rsidRDefault="0028038D" w:rsidP="005932A8">
      <w:pPr>
        <w:rPr>
          <w:rFonts w:ascii="Calibri" w:eastAsia="Calibri" w:hAnsi="Calibri" w:cs="Calibri"/>
          <w:color w:val="141414"/>
          <w:sz w:val="22"/>
          <w:szCs w:val="22"/>
        </w:rPr>
      </w:pPr>
      <w:r w:rsidRPr="3CEBB372">
        <w:rPr>
          <w:rFonts w:ascii="Calibri" w:eastAsia="Calibri" w:hAnsi="Calibri" w:cs="Calibri"/>
          <w:color w:val="141414"/>
          <w:sz w:val="22"/>
          <w:szCs w:val="22"/>
        </w:rPr>
        <w:t>As PEP, vaccine should be given as soon as possible, ideally within four days of exposure; administration 4-14 days after exposure may still provide some protection against mpox and reduce the severity of infection if it occurs.</w:t>
      </w:r>
      <w:r w:rsidR="00991006">
        <w:rPr>
          <w:rFonts w:ascii="Calibri" w:eastAsia="Calibri" w:hAnsi="Calibri" w:cs="Calibri"/>
          <w:color w:val="141414"/>
          <w:sz w:val="22"/>
          <w:szCs w:val="22"/>
        </w:rPr>
        <w:t xml:space="preserve"> </w:t>
      </w:r>
      <w:r w:rsidR="005932A8">
        <w:rPr>
          <w:rFonts w:ascii="Calibri" w:eastAsia="Calibri" w:hAnsi="Calibri" w:cs="Calibri"/>
          <w:color w:val="141414"/>
          <w:sz w:val="22"/>
          <w:szCs w:val="22"/>
        </w:rPr>
        <w:t>After 14 days, clinicians should consider the benefits</w:t>
      </w:r>
      <w:r w:rsidR="0004492A">
        <w:rPr>
          <w:rFonts w:ascii="Calibri" w:eastAsia="Calibri" w:hAnsi="Calibri" w:cs="Calibri"/>
          <w:color w:val="141414"/>
          <w:sz w:val="22"/>
          <w:szCs w:val="22"/>
        </w:rPr>
        <w:t xml:space="preserve"> and risks</w:t>
      </w:r>
      <w:r w:rsidR="005932A8">
        <w:rPr>
          <w:rFonts w:ascii="Calibri" w:eastAsia="Calibri" w:hAnsi="Calibri" w:cs="Calibri"/>
          <w:color w:val="141414"/>
          <w:sz w:val="22"/>
          <w:szCs w:val="22"/>
        </w:rPr>
        <w:t xml:space="preserve"> of receiving vaccine on a case-by-case basis.</w:t>
      </w:r>
    </w:p>
    <w:p w14:paraId="14C25DA1" w14:textId="77777777" w:rsidR="00885730" w:rsidRDefault="00885730" w:rsidP="00C8242C">
      <w:pPr>
        <w:rPr>
          <w:rFonts w:ascii="Calibri" w:eastAsia="Calibri" w:hAnsi="Calibri" w:cs="Calibri"/>
          <w:color w:val="141414"/>
          <w:sz w:val="22"/>
          <w:szCs w:val="22"/>
        </w:rPr>
      </w:pPr>
    </w:p>
    <w:p w14:paraId="557F9CCF" w14:textId="0F731413" w:rsidR="00741AE4" w:rsidRPr="00741AE4" w:rsidRDefault="00741AE4" w:rsidP="00393507">
      <w:pPr>
        <w:spacing w:after="240"/>
        <w:rPr>
          <w:rFonts w:ascii="Calibri" w:eastAsia="Calibri" w:hAnsi="Calibri" w:cs="Calibri"/>
          <w:b/>
          <w:bCs/>
          <w:color w:val="141414"/>
          <w:sz w:val="22"/>
          <w:szCs w:val="22"/>
          <w:u w:val="single"/>
        </w:rPr>
      </w:pPr>
      <w:r w:rsidRPr="00741AE4">
        <w:rPr>
          <w:rFonts w:ascii="Calibri" w:eastAsia="Calibri" w:hAnsi="Calibri" w:cs="Calibri"/>
          <w:b/>
          <w:bCs/>
          <w:color w:val="141414"/>
          <w:sz w:val="22"/>
          <w:szCs w:val="22"/>
          <w:u w:val="single"/>
        </w:rPr>
        <w:t>Pre-Exposure Prophylaxis</w:t>
      </w:r>
    </w:p>
    <w:p w14:paraId="7FA04F47" w14:textId="74EB9414" w:rsidR="00C8242C" w:rsidRPr="007F6C0C" w:rsidRDefault="133FB425" w:rsidP="00393507">
      <w:pPr>
        <w:spacing w:after="240"/>
        <w:rPr>
          <w:rFonts w:ascii="Calibri" w:eastAsia="Calibri" w:hAnsi="Calibri" w:cs="Calibri"/>
          <w:color w:val="141414"/>
          <w:sz w:val="22"/>
          <w:szCs w:val="22"/>
        </w:rPr>
      </w:pPr>
      <w:r w:rsidRPr="3E75EE24">
        <w:rPr>
          <w:rFonts w:ascii="Calibri" w:eastAsia="Calibri" w:hAnsi="Calibri" w:cs="Calibri"/>
          <w:color w:val="141414"/>
          <w:sz w:val="22"/>
          <w:szCs w:val="22"/>
        </w:rPr>
        <w:t>In addition, pre-exposure vaccination (</w:t>
      </w:r>
      <w:proofErr w:type="spellStart"/>
      <w:r w:rsidRPr="3E75EE24">
        <w:rPr>
          <w:rFonts w:ascii="Calibri" w:eastAsia="Calibri" w:hAnsi="Calibri" w:cs="Calibri"/>
          <w:color w:val="141414"/>
          <w:sz w:val="22"/>
          <w:szCs w:val="22"/>
        </w:rPr>
        <w:t>PrEP</w:t>
      </w:r>
      <w:proofErr w:type="spellEnd"/>
      <w:r w:rsidRPr="3E75EE24">
        <w:rPr>
          <w:rFonts w:ascii="Calibri" w:eastAsia="Calibri" w:hAnsi="Calibri" w:cs="Calibri"/>
          <w:color w:val="141414"/>
          <w:sz w:val="22"/>
          <w:szCs w:val="22"/>
        </w:rPr>
        <w:t xml:space="preserve">) </w:t>
      </w:r>
      <w:r w:rsidR="1E311FB8" w:rsidRPr="3E75EE24">
        <w:rPr>
          <w:rFonts w:ascii="Calibri" w:eastAsia="Calibri" w:hAnsi="Calibri" w:cs="Calibri"/>
          <w:color w:val="141414"/>
          <w:sz w:val="22"/>
          <w:szCs w:val="22"/>
        </w:rPr>
        <w:t>is recommended for</w:t>
      </w:r>
      <w:r w:rsidRPr="3E75EE24">
        <w:rPr>
          <w:rFonts w:ascii="Calibri" w:eastAsia="Calibri" w:hAnsi="Calibri" w:cs="Calibri"/>
          <w:color w:val="141414"/>
          <w:sz w:val="22"/>
          <w:szCs w:val="22"/>
        </w:rPr>
        <w:t xml:space="preserve"> persons at risk for </w:t>
      </w:r>
      <w:r w:rsidR="0BB3AB74" w:rsidRPr="3E75EE24">
        <w:rPr>
          <w:rFonts w:ascii="Calibri" w:eastAsia="Calibri" w:hAnsi="Calibri" w:cs="Calibri"/>
          <w:color w:val="141414"/>
          <w:sz w:val="22"/>
          <w:szCs w:val="22"/>
        </w:rPr>
        <w:t>mpox</w:t>
      </w:r>
      <w:r w:rsidR="6707E633" w:rsidRPr="3E75EE24">
        <w:rPr>
          <w:rFonts w:ascii="Calibri" w:eastAsia="Calibri" w:hAnsi="Calibri" w:cs="Calibri"/>
          <w:color w:val="141414"/>
          <w:sz w:val="22"/>
          <w:szCs w:val="22"/>
        </w:rPr>
        <w:t>,</w:t>
      </w:r>
      <w:r w:rsidRPr="3E75EE24">
        <w:rPr>
          <w:rFonts w:ascii="Calibri" w:eastAsia="Calibri" w:hAnsi="Calibri" w:cs="Calibri"/>
          <w:color w:val="141414"/>
          <w:sz w:val="22"/>
          <w:szCs w:val="22"/>
        </w:rPr>
        <w:t xml:space="preserve"> </w:t>
      </w:r>
      <w:r w:rsidR="403DCC75" w:rsidRPr="3E75EE24">
        <w:rPr>
          <w:rFonts w:ascii="Calibri" w:eastAsia="Calibri" w:hAnsi="Calibri" w:cs="Calibri"/>
          <w:color w:val="141414"/>
          <w:sz w:val="22"/>
          <w:szCs w:val="22"/>
        </w:rPr>
        <w:t>including</w:t>
      </w:r>
      <w:r w:rsidRPr="3E75EE24">
        <w:rPr>
          <w:rFonts w:ascii="Calibri" w:eastAsia="Calibri" w:hAnsi="Calibri" w:cs="Calibri"/>
          <w:color w:val="141414"/>
          <w:sz w:val="22"/>
          <w:szCs w:val="22"/>
        </w:rPr>
        <w:t xml:space="preserve">: </w:t>
      </w:r>
    </w:p>
    <w:p w14:paraId="440E56D8" w14:textId="149CF7B9"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Gay, bisexual, and other men who have sex with men, transgender, gender non-conforming, or nonbinary people</w:t>
      </w:r>
      <w:r w:rsidR="00C55EC5">
        <w:rPr>
          <w:rFonts w:ascii="Calibri" w:eastAsia="Calibri" w:hAnsi="Calibri" w:cs="Calibri"/>
          <w:color w:val="141414"/>
          <w:sz w:val="22"/>
          <w:szCs w:val="22"/>
        </w:rPr>
        <w:t xml:space="preserve"> </w:t>
      </w:r>
      <w:r w:rsidR="00BD5A6F">
        <w:rPr>
          <w:rFonts w:ascii="Calibri" w:eastAsia="Calibri" w:hAnsi="Calibri" w:cs="Calibri"/>
          <w:color w:val="141414"/>
          <w:sz w:val="22"/>
          <w:szCs w:val="22"/>
        </w:rPr>
        <w:t>(including adolescents who fall into any of the aforementioned categories)</w:t>
      </w:r>
      <w:r w:rsidR="00BD5A6F" w:rsidRPr="007F6C0C">
        <w:rPr>
          <w:rFonts w:ascii="Calibri" w:eastAsia="Calibri" w:hAnsi="Calibri" w:cs="Calibri"/>
          <w:color w:val="141414"/>
          <w:sz w:val="22"/>
          <w:szCs w:val="22"/>
        </w:rPr>
        <w:t xml:space="preserve"> </w:t>
      </w:r>
      <w:proofErr w:type="gramStart"/>
      <w:r w:rsidRPr="007F6C0C">
        <w:rPr>
          <w:rFonts w:ascii="Calibri" w:eastAsia="Calibri" w:hAnsi="Calibri" w:cs="Calibri"/>
          <w:color w:val="141414"/>
          <w:sz w:val="22"/>
          <w:szCs w:val="22"/>
        </w:rPr>
        <w:t>who</w:t>
      </w:r>
      <w:proofErr w:type="gramEnd"/>
      <w:r w:rsidRPr="007F6C0C">
        <w:rPr>
          <w:rFonts w:ascii="Calibri" w:eastAsia="Calibri" w:hAnsi="Calibri" w:cs="Calibri"/>
          <w:color w:val="141414"/>
          <w:sz w:val="22"/>
          <w:szCs w:val="22"/>
        </w:rPr>
        <w:t xml:space="preserve">  </w:t>
      </w:r>
    </w:p>
    <w:p w14:paraId="752686A4" w14:textId="77777777"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Have had a diagnosis of or have sought testing for one or more sexually transmitted diseases (i.e., chancroid, chlamydia, gonorrhea, or syphilis) in the past </w:t>
      </w:r>
      <w:proofErr w:type="gramStart"/>
      <w:r w:rsidRPr="366FBEB7">
        <w:rPr>
          <w:rFonts w:ascii="Calibri" w:eastAsia="Calibri" w:hAnsi="Calibri" w:cs="Calibri"/>
          <w:color w:val="141414"/>
          <w:sz w:val="22"/>
          <w:szCs w:val="22"/>
        </w:rPr>
        <w:t>year</w:t>
      </w:r>
      <w:proofErr w:type="gramEnd"/>
      <w:r w:rsidRPr="366FBEB7">
        <w:rPr>
          <w:rFonts w:ascii="Calibri" w:eastAsia="Calibri" w:hAnsi="Calibri" w:cs="Calibri"/>
          <w:color w:val="141414"/>
          <w:sz w:val="22"/>
          <w:szCs w:val="22"/>
        </w:rPr>
        <w:t xml:space="preserve"> </w:t>
      </w:r>
    </w:p>
    <w:p w14:paraId="62082A2D" w14:textId="77777777"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Are living with HIV </w:t>
      </w:r>
      <w:proofErr w:type="gramStart"/>
      <w:r w:rsidRPr="366FBEB7">
        <w:rPr>
          <w:rFonts w:ascii="Calibri" w:eastAsia="Calibri" w:hAnsi="Calibri" w:cs="Calibri"/>
          <w:color w:val="141414"/>
          <w:sz w:val="22"/>
          <w:szCs w:val="22"/>
        </w:rPr>
        <w:t>infection</w:t>
      </w:r>
      <w:proofErr w:type="gramEnd"/>
      <w:r w:rsidRPr="366FBEB7">
        <w:rPr>
          <w:rFonts w:ascii="Calibri" w:eastAsia="Calibri" w:hAnsi="Calibri" w:cs="Calibri"/>
          <w:color w:val="141414"/>
          <w:sz w:val="22"/>
          <w:szCs w:val="22"/>
        </w:rPr>
        <w:t xml:space="preserve"> </w:t>
      </w:r>
    </w:p>
    <w:p w14:paraId="6E46F010" w14:textId="77777777"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Are on or are eligible to be on HIV </w:t>
      </w:r>
      <w:proofErr w:type="spellStart"/>
      <w:r w:rsidRPr="366FBEB7">
        <w:rPr>
          <w:rFonts w:ascii="Calibri" w:eastAsia="Calibri" w:hAnsi="Calibri" w:cs="Calibri"/>
          <w:color w:val="141414"/>
          <w:sz w:val="22"/>
          <w:szCs w:val="22"/>
        </w:rPr>
        <w:t>PrEP</w:t>
      </w:r>
      <w:proofErr w:type="spellEnd"/>
      <w:r w:rsidRPr="366FBEB7">
        <w:rPr>
          <w:rFonts w:ascii="Calibri" w:eastAsia="Calibri" w:hAnsi="Calibri" w:cs="Calibri"/>
          <w:color w:val="141414"/>
          <w:sz w:val="22"/>
          <w:szCs w:val="22"/>
        </w:rPr>
        <w:t xml:space="preserve"> </w:t>
      </w:r>
    </w:p>
    <w:p w14:paraId="32748F59" w14:textId="77777777"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Have recently had more than one sex partner </w:t>
      </w:r>
    </w:p>
    <w:p w14:paraId="3CAC14C9" w14:textId="77777777"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People who:</w:t>
      </w:r>
    </w:p>
    <w:p w14:paraId="30A6397D" w14:textId="77777777"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Have had sex at a private or commercial sex venue (e.g., sex party, bathhouse) </w:t>
      </w:r>
    </w:p>
    <w:p w14:paraId="73F83B69" w14:textId="43A3F593" w:rsidR="00C8242C" w:rsidRDefault="0531703A" w:rsidP="00C8242C">
      <w:pPr>
        <w:pStyle w:val="ListParagraph"/>
        <w:numPr>
          <w:ilvl w:val="1"/>
          <w:numId w:val="8"/>
        </w:numPr>
        <w:rPr>
          <w:rFonts w:ascii="Calibri" w:eastAsia="Calibri" w:hAnsi="Calibri" w:cs="Calibri"/>
          <w:color w:val="141414"/>
          <w:sz w:val="22"/>
          <w:szCs w:val="22"/>
        </w:rPr>
      </w:pPr>
      <w:r w:rsidRPr="366FBEB7">
        <w:rPr>
          <w:rFonts w:ascii="Calibri" w:eastAsia="Calibri" w:hAnsi="Calibri" w:cs="Calibri"/>
          <w:color w:val="141414"/>
          <w:sz w:val="22"/>
          <w:szCs w:val="22"/>
        </w:rPr>
        <w:t xml:space="preserve">Have had sex in association with a large public event (e.g., rave, circuit party) in a geographic area where mpox transmission is </w:t>
      </w:r>
      <w:proofErr w:type="gramStart"/>
      <w:r w:rsidRPr="366FBEB7">
        <w:rPr>
          <w:rFonts w:ascii="Calibri" w:eastAsia="Calibri" w:hAnsi="Calibri" w:cs="Calibri"/>
          <w:color w:val="141414"/>
          <w:sz w:val="22"/>
          <w:szCs w:val="22"/>
        </w:rPr>
        <w:t>occurring</w:t>
      </w:r>
      <w:proofErr w:type="gramEnd"/>
      <w:r w:rsidRPr="366FBEB7">
        <w:rPr>
          <w:rFonts w:ascii="Calibri" w:eastAsia="Calibri" w:hAnsi="Calibri" w:cs="Calibri"/>
          <w:color w:val="141414"/>
          <w:sz w:val="22"/>
          <w:szCs w:val="22"/>
        </w:rPr>
        <w:t xml:space="preserve"> </w:t>
      </w:r>
    </w:p>
    <w:p w14:paraId="150C2488" w14:textId="77777777"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 xml:space="preserve">Sexual partners of people with the above risks </w:t>
      </w:r>
    </w:p>
    <w:p w14:paraId="0DE232C7" w14:textId="6141C0B1" w:rsidR="00C8242C" w:rsidRDefault="00C8242C" w:rsidP="00C8242C">
      <w:pPr>
        <w:pStyle w:val="ListParagraph"/>
        <w:numPr>
          <w:ilvl w:val="0"/>
          <w:numId w:val="9"/>
        </w:numPr>
        <w:rPr>
          <w:rFonts w:ascii="Calibri" w:eastAsia="Calibri" w:hAnsi="Calibri" w:cs="Calibri"/>
          <w:color w:val="141414"/>
          <w:sz w:val="22"/>
          <w:szCs w:val="22"/>
        </w:rPr>
      </w:pPr>
      <w:r w:rsidRPr="007F6C0C">
        <w:rPr>
          <w:rFonts w:ascii="Calibri" w:eastAsia="Calibri" w:hAnsi="Calibri" w:cs="Calibri"/>
          <w:color w:val="141414"/>
          <w:sz w:val="22"/>
          <w:szCs w:val="22"/>
        </w:rPr>
        <w:t xml:space="preserve">People who anticipate experiencing the above risks </w:t>
      </w:r>
    </w:p>
    <w:p w14:paraId="328A339F" w14:textId="77777777" w:rsidR="0049522A" w:rsidRDefault="0049522A" w:rsidP="0049522A">
      <w:pPr>
        <w:pStyle w:val="ListParagraph"/>
        <w:ind w:left="360"/>
        <w:rPr>
          <w:rFonts w:ascii="Calibri" w:eastAsia="Calibri" w:hAnsi="Calibri" w:cs="Calibri"/>
          <w:color w:val="141414"/>
          <w:sz w:val="22"/>
          <w:szCs w:val="22"/>
        </w:rPr>
      </w:pPr>
    </w:p>
    <w:p w14:paraId="7B8219E2" w14:textId="4125E0D4" w:rsidR="00C8242C" w:rsidRPr="007F6C0C" w:rsidRDefault="00C8242C" w:rsidP="00C8242C">
      <w:pPr>
        <w:rPr>
          <w:rFonts w:ascii="Calibri" w:eastAsia="Calibri" w:hAnsi="Calibri" w:cs="Calibri"/>
          <w:color w:val="141414"/>
          <w:sz w:val="22"/>
          <w:szCs w:val="22"/>
        </w:rPr>
      </w:pPr>
      <w:r w:rsidRPr="663B9C3F">
        <w:rPr>
          <w:rFonts w:ascii="Calibri" w:eastAsia="Calibri" w:hAnsi="Calibri" w:cs="Calibri"/>
          <w:color w:val="141414"/>
          <w:sz w:val="22"/>
          <w:szCs w:val="22"/>
        </w:rPr>
        <w:t xml:space="preserve">When </w:t>
      </w:r>
      <w:r w:rsidR="0049522A" w:rsidRPr="663B9C3F">
        <w:rPr>
          <w:rFonts w:ascii="Calibri" w:eastAsia="Calibri" w:hAnsi="Calibri" w:cs="Calibri"/>
          <w:color w:val="141414"/>
          <w:sz w:val="22"/>
          <w:szCs w:val="22"/>
        </w:rPr>
        <w:t>an individual at risk</w:t>
      </w:r>
      <w:r w:rsidRPr="663B9C3F">
        <w:rPr>
          <w:rFonts w:ascii="Calibri" w:eastAsia="Calibri" w:hAnsi="Calibri" w:cs="Calibri"/>
          <w:color w:val="141414"/>
          <w:sz w:val="22"/>
          <w:szCs w:val="22"/>
        </w:rPr>
        <w:t xml:space="preserve"> request</w:t>
      </w:r>
      <w:r w:rsidR="0049522A" w:rsidRPr="663B9C3F">
        <w:rPr>
          <w:rFonts w:ascii="Calibri" w:eastAsia="Calibri" w:hAnsi="Calibri" w:cs="Calibri"/>
          <w:color w:val="141414"/>
          <w:sz w:val="22"/>
          <w:szCs w:val="22"/>
        </w:rPr>
        <w:t>s</w:t>
      </w:r>
      <w:r w:rsidRPr="663B9C3F">
        <w:rPr>
          <w:rFonts w:ascii="Calibri" w:eastAsia="Calibri" w:hAnsi="Calibri" w:cs="Calibri"/>
          <w:color w:val="141414"/>
          <w:sz w:val="22"/>
          <w:szCs w:val="22"/>
        </w:rPr>
        <w:t xml:space="preserve"> vaccine, </w:t>
      </w:r>
      <w:r w:rsidR="0049522A" w:rsidRPr="663B9C3F">
        <w:rPr>
          <w:rFonts w:ascii="Calibri" w:eastAsia="Calibri" w:hAnsi="Calibri" w:cs="Calibri"/>
          <w:color w:val="141414"/>
          <w:sz w:val="22"/>
          <w:szCs w:val="22"/>
        </w:rPr>
        <w:t>they</w:t>
      </w:r>
      <w:r w:rsidRPr="663B9C3F">
        <w:rPr>
          <w:rFonts w:ascii="Calibri" w:eastAsia="Calibri" w:hAnsi="Calibri" w:cs="Calibri"/>
          <w:color w:val="141414"/>
          <w:sz w:val="22"/>
          <w:szCs w:val="22"/>
        </w:rPr>
        <w:t xml:space="preserve"> will not be asked which of these criteria applies. It is sufficient to say that </w:t>
      </w:r>
      <w:r w:rsidR="0049522A" w:rsidRPr="663B9C3F">
        <w:rPr>
          <w:rFonts w:ascii="Calibri" w:eastAsia="Calibri" w:hAnsi="Calibri" w:cs="Calibri"/>
          <w:color w:val="141414"/>
          <w:sz w:val="22"/>
          <w:szCs w:val="22"/>
        </w:rPr>
        <w:t>they</w:t>
      </w:r>
      <w:r w:rsidRPr="663B9C3F">
        <w:rPr>
          <w:rFonts w:ascii="Calibri" w:eastAsia="Calibri" w:hAnsi="Calibri" w:cs="Calibri"/>
          <w:color w:val="141414"/>
          <w:sz w:val="22"/>
          <w:szCs w:val="22"/>
        </w:rPr>
        <w:t xml:space="preserve"> consider </w:t>
      </w:r>
      <w:r w:rsidR="0049522A" w:rsidRPr="663B9C3F">
        <w:rPr>
          <w:rFonts w:ascii="Calibri" w:eastAsia="Calibri" w:hAnsi="Calibri" w:cs="Calibri"/>
          <w:color w:val="141414"/>
          <w:sz w:val="22"/>
          <w:szCs w:val="22"/>
        </w:rPr>
        <w:t>them</w:t>
      </w:r>
      <w:r w:rsidRPr="663B9C3F">
        <w:rPr>
          <w:rFonts w:ascii="Calibri" w:eastAsia="Calibri" w:hAnsi="Calibri" w:cs="Calibri"/>
          <w:color w:val="141414"/>
          <w:sz w:val="22"/>
          <w:szCs w:val="22"/>
        </w:rPr>
        <w:t>sel</w:t>
      </w:r>
      <w:r w:rsidR="0049522A" w:rsidRPr="663B9C3F">
        <w:rPr>
          <w:rFonts w:ascii="Calibri" w:eastAsia="Calibri" w:hAnsi="Calibri" w:cs="Calibri"/>
          <w:color w:val="141414"/>
          <w:sz w:val="22"/>
          <w:szCs w:val="22"/>
        </w:rPr>
        <w:t>ves</w:t>
      </w:r>
      <w:r w:rsidRPr="663B9C3F">
        <w:rPr>
          <w:rFonts w:ascii="Calibri" w:eastAsia="Calibri" w:hAnsi="Calibri" w:cs="Calibri"/>
          <w:color w:val="141414"/>
          <w:sz w:val="22"/>
          <w:szCs w:val="22"/>
        </w:rPr>
        <w:t xml:space="preserve"> to be at risk for </w:t>
      </w:r>
      <w:r w:rsidR="6D9C339F" w:rsidRPr="663B9C3F">
        <w:rPr>
          <w:rFonts w:ascii="Calibri" w:eastAsia="Calibri" w:hAnsi="Calibri" w:cs="Calibri"/>
          <w:color w:val="141414"/>
          <w:sz w:val="22"/>
          <w:szCs w:val="22"/>
        </w:rPr>
        <w:t>mpox</w:t>
      </w:r>
      <w:r w:rsidRPr="663B9C3F">
        <w:rPr>
          <w:rFonts w:ascii="Calibri" w:eastAsia="Calibri" w:hAnsi="Calibri" w:cs="Calibri"/>
          <w:color w:val="141414"/>
          <w:sz w:val="22"/>
          <w:szCs w:val="22"/>
        </w:rPr>
        <w:t xml:space="preserve">. </w:t>
      </w:r>
    </w:p>
    <w:p w14:paraId="4927F2C7" w14:textId="1F82C4D7" w:rsidR="00C8242C" w:rsidRDefault="00C8242C" w:rsidP="00C8242C">
      <w:pPr>
        <w:rPr>
          <w:rFonts w:asciiTheme="minorHAnsi" w:hAnsiTheme="minorHAnsi" w:cstheme="minorHAnsi"/>
          <w:sz w:val="22"/>
          <w:szCs w:val="22"/>
        </w:rPr>
      </w:pPr>
    </w:p>
    <w:p w14:paraId="66937E35" w14:textId="2D87EAB4" w:rsidR="00BB424C" w:rsidRPr="009205B8" w:rsidRDefault="00BB424C" w:rsidP="00BB424C">
      <w:pPr>
        <w:rPr>
          <w:rFonts w:asciiTheme="minorHAnsi" w:hAnsiTheme="minorHAnsi" w:cstheme="minorHAnsi"/>
          <w:sz w:val="22"/>
          <w:szCs w:val="22"/>
        </w:rPr>
      </w:pPr>
      <w:r>
        <w:rPr>
          <w:rFonts w:asciiTheme="minorHAnsi" w:hAnsiTheme="minorHAnsi" w:cstheme="minorHAnsi"/>
          <w:sz w:val="22"/>
          <w:szCs w:val="22"/>
        </w:rPr>
        <w:t xml:space="preserve">General information about mpox vaccination for healthcare professionals is available here: </w:t>
      </w:r>
      <w:hyperlink r:id="rId23" w:history="1">
        <w:r w:rsidRPr="00BB424C">
          <w:rPr>
            <w:rStyle w:val="Hyperlink"/>
            <w:rFonts w:asciiTheme="minorHAnsi" w:hAnsiTheme="minorHAnsi" w:cstheme="minorHAnsi"/>
            <w:sz w:val="22"/>
            <w:szCs w:val="22"/>
          </w:rPr>
          <w:t>https://www.cdc.gov/poxvirus/mpox/clinicians/vaccines/vaccine-basics-healthcare.html</w:t>
        </w:r>
      </w:hyperlink>
      <w:r w:rsidR="006B62AF">
        <w:rPr>
          <w:rFonts w:asciiTheme="minorHAnsi" w:hAnsiTheme="minorHAnsi" w:cstheme="minorHAnsi"/>
          <w:sz w:val="22"/>
          <w:szCs w:val="22"/>
        </w:rPr>
        <w:t>.</w:t>
      </w:r>
    </w:p>
    <w:p w14:paraId="435DA16D" w14:textId="77777777" w:rsidR="00BB424C" w:rsidRDefault="00BB424C" w:rsidP="00BB424C">
      <w:pPr>
        <w:rPr>
          <w:rFonts w:asciiTheme="minorHAnsi" w:hAnsiTheme="minorHAnsi" w:cstheme="minorBidi"/>
          <w:sz w:val="22"/>
          <w:szCs w:val="22"/>
        </w:rPr>
      </w:pPr>
      <w:r w:rsidRPr="64FC99F8">
        <w:rPr>
          <w:rFonts w:asciiTheme="minorHAnsi" w:hAnsiTheme="minorHAnsi" w:cstheme="minorBidi"/>
          <w:sz w:val="22"/>
          <w:szCs w:val="22"/>
        </w:rPr>
        <w:t xml:space="preserve">Current information about who is eligible to receive vaccine and where to access it </w:t>
      </w:r>
      <w:r>
        <w:rPr>
          <w:rFonts w:asciiTheme="minorHAnsi" w:hAnsiTheme="minorHAnsi" w:cstheme="minorBidi"/>
          <w:sz w:val="22"/>
          <w:szCs w:val="22"/>
        </w:rPr>
        <w:t xml:space="preserve">in Massachusetts </w:t>
      </w:r>
      <w:r w:rsidRPr="64FC99F8">
        <w:rPr>
          <w:rFonts w:asciiTheme="minorHAnsi" w:hAnsiTheme="minorHAnsi" w:cstheme="minorBidi"/>
          <w:sz w:val="22"/>
          <w:szCs w:val="22"/>
        </w:rPr>
        <w:t xml:space="preserve">is available on the DPH website here: </w:t>
      </w:r>
      <w:hyperlink r:id="rId24" w:history="1">
        <w:r w:rsidRPr="00C742CE">
          <w:rPr>
            <w:rStyle w:val="Hyperlink"/>
            <w:rFonts w:asciiTheme="minorHAnsi" w:hAnsiTheme="minorHAnsi" w:cstheme="minorBidi"/>
            <w:sz w:val="22"/>
            <w:szCs w:val="22"/>
          </w:rPr>
          <w:t>https://www.mass.gov/info-details/mpox-vaccination</w:t>
        </w:r>
      </w:hyperlink>
      <w:r>
        <w:rPr>
          <w:rFonts w:asciiTheme="minorHAnsi" w:hAnsiTheme="minorHAnsi" w:cstheme="minorBidi"/>
          <w:sz w:val="22"/>
          <w:szCs w:val="22"/>
        </w:rPr>
        <w:t>.</w:t>
      </w:r>
    </w:p>
    <w:p w14:paraId="43D30751" w14:textId="77777777" w:rsidR="00C8242C" w:rsidRDefault="00C8242C" w:rsidP="00D16009">
      <w:pPr>
        <w:shd w:val="clear" w:color="auto" w:fill="FFFFFF" w:themeFill="background1"/>
        <w:rPr>
          <w:rFonts w:asciiTheme="minorHAnsi" w:hAnsiTheme="minorHAnsi" w:cstheme="minorBidi"/>
          <w:b/>
          <w:bCs/>
          <w:color w:val="000000" w:themeColor="text1"/>
          <w:sz w:val="22"/>
          <w:szCs w:val="22"/>
        </w:rPr>
      </w:pPr>
    </w:p>
    <w:p w14:paraId="26437C42" w14:textId="77777777" w:rsidR="00D16009" w:rsidRPr="00A132F7" w:rsidRDefault="00D16009" w:rsidP="00D16009">
      <w:pPr>
        <w:shd w:val="clear" w:color="auto" w:fill="FFFFFF"/>
        <w:spacing w:before="100" w:beforeAutospacing="1"/>
        <w:rPr>
          <w:rFonts w:asciiTheme="minorHAnsi" w:hAnsiTheme="minorHAnsi" w:cstheme="minorHAnsi"/>
          <w:b/>
          <w:bCs/>
          <w:color w:val="000000"/>
          <w:sz w:val="22"/>
          <w:szCs w:val="22"/>
          <w:u w:val="single"/>
        </w:rPr>
      </w:pPr>
      <w:r w:rsidRPr="00A132F7">
        <w:rPr>
          <w:rFonts w:asciiTheme="minorHAnsi" w:hAnsiTheme="minorHAnsi" w:cstheme="minorHAnsi"/>
          <w:b/>
          <w:bCs/>
          <w:color w:val="000000"/>
          <w:sz w:val="22"/>
          <w:szCs w:val="22"/>
          <w:u w:val="single"/>
        </w:rPr>
        <w:t>Additional information is available on the CDC website:</w:t>
      </w:r>
    </w:p>
    <w:p w14:paraId="0602AC99" w14:textId="77777777" w:rsidR="00D16009" w:rsidRDefault="00190579" w:rsidP="00D16009">
      <w:pPr>
        <w:pStyle w:val="ListParagraph"/>
        <w:numPr>
          <w:ilvl w:val="0"/>
          <w:numId w:val="11"/>
        </w:numPr>
        <w:shd w:val="clear" w:color="auto" w:fill="FFFFFF"/>
        <w:spacing w:before="100" w:beforeAutospacing="1"/>
        <w:rPr>
          <w:rFonts w:asciiTheme="minorHAnsi" w:hAnsiTheme="minorHAnsi" w:cstheme="minorHAnsi"/>
          <w:color w:val="000000"/>
          <w:sz w:val="22"/>
          <w:szCs w:val="22"/>
        </w:rPr>
      </w:pPr>
      <w:hyperlink r:id="rId25" w:anchor="interim" w:history="1">
        <w:r w:rsidR="00D16009" w:rsidRPr="00A132F7">
          <w:rPr>
            <w:rStyle w:val="Hyperlink"/>
            <w:rFonts w:asciiTheme="minorHAnsi" w:hAnsiTheme="minorHAnsi" w:cstheme="minorHAnsi"/>
            <w:sz w:val="22"/>
            <w:szCs w:val="22"/>
          </w:rPr>
          <w:t>Interim Clinical Considerations for Use of JYNNEOS</w:t>
        </w:r>
      </w:hyperlink>
      <w:r w:rsidR="00D16009" w:rsidRPr="00A132F7">
        <w:rPr>
          <w:rFonts w:asciiTheme="minorHAnsi" w:hAnsiTheme="minorHAnsi" w:cstheme="minorHAnsi"/>
          <w:color w:val="000000"/>
          <w:sz w:val="22"/>
          <w:szCs w:val="22"/>
        </w:rPr>
        <w:t xml:space="preserve"> </w:t>
      </w:r>
    </w:p>
    <w:p w14:paraId="2FA41B09" w14:textId="77777777" w:rsidR="00D16009" w:rsidRPr="00B266C5" w:rsidRDefault="00190579" w:rsidP="00D16009">
      <w:pPr>
        <w:pStyle w:val="ListParagraph"/>
        <w:numPr>
          <w:ilvl w:val="0"/>
          <w:numId w:val="11"/>
        </w:numPr>
        <w:shd w:val="clear" w:color="auto" w:fill="FFFFFF"/>
        <w:spacing w:before="100" w:beforeAutospacing="1"/>
        <w:rPr>
          <w:rFonts w:asciiTheme="minorHAnsi" w:hAnsiTheme="minorHAnsi" w:cstheme="minorHAnsi"/>
          <w:sz w:val="22"/>
          <w:szCs w:val="22"/>
        </w:rPr>
      </w:pPr>
      <w:hyperlink r:id="rId26" w:history="1">
        <w:r w:rsidR="00D16009" w:rsidRPr="00A132F7">
          <w:rPr>
            <w:rStyle w:val="Hyperlink"/>
            <w:rFonts w:asciiTheme="minorHAnsi" w:hAnsiTheme="minorHAnsi" w:cstheme="minorHAnsi"/>
            <w:sz w:val="22"/>
            <w:szCs w:val="22"/>
          </w:rPr>
          <w:t>Video on Administering JYNNEOS Intradermally</w:t>
        </w:r>
      </w:hyperlink>
    </w:p>
    <w:p w14:paraId="45ADFD9D" w14:textId="77777777" w:rsidR="00D16009" w:rsidRPr="00B266C5" w:rsidRDefault="00190579" w:rsidP="00D16009">
      <w:pPr>
        <w:pStyle w:val="ListParagraph"/>
        <w:numPr>
          <w:ilvl w:val="0"/>
          <w:numId w:val="11"/>
        </w:numPr>
        <w:shd w:val="clear" w:color="auto" w:fill="FFFFFF"/>
        <w:spacing w:before="100" w:beforeAutospacing="1"/>
        <w:rPr>
          <w:rFonts w:asciiTheme="minorHAnsi" w:hAnsiTheme="minorHAnsi" w:cstheme="minorHAnsi"/>
          <w:sz w:val="22"/>
          <w:szCs w:val="22"/>
        </w:rPr>
      </w:pPr>
      <w:hyperlink r:id="rId27" w:history="1">
        <w:r w:rsidR="00D16009" w:rsidRPr="00F001BC">
          <w:rPr>
            <w:rStyle w:val="Hyperlink"/>
            <w:rFonts w:asciiTheme="minorHAnsi" w:hAnsiTheme="minorHAnsi" w:cstheme="minorHAnsi"/>
            <w:sz w:val="22"/>
            <w:szCs w:val="22"/>
          </w:rPr>
          <w:t>Intradermal Vaccine Preparation and Administration Summary</w:t>
        </w:r>
      </w:hyperlink>
    </w:p>
    <w:p w14:paraId="3EE7459B" w14:textId="77777777" w:rsidR="00D16009" w:rsidRPr="00B266C5" w:rsidRDefault="00190579" w:rsidP="00D16009">
      <w:pPr>
        <w:pStyle w:val="ListParagraph"/>
        <w:numPr>
          <w:ilvl w:val="0"/>
          <w:numId w:val="11"/>
        </w:numPr>
        <w:shd w:val="clear" w:color="auto" w:fill="FFFFFF"/>
        <w:spacing w:before="100" w:beforeAutospacing="1"/>
        <w:rPr>
          <w:rFonts w:asciiTheme="minorHAnsi" w:hAnsiTheme="minorHAnsi" w:cstheme="minorHAnsi"/>
          <w:sz w:val="22"/>
          <w:szCs w:val="22"/>
        </w:rPr>
      </w:pPr>
      <w:hyperlink r:id="rId28" w:history="1">
        <w:r w:rsidR="00D16009" w:rsidRPr="00BD63DA">
          <w:rPr>
            <w:rStyle w:val="Hyperlink"/>
            <w:rFonts w:asciiTheme="minorHAnsi" w:hAnsiTheme="minorHAnsi" w:cstheme="minorHAnsi"/>
            <w:sz w:val="22"/>
            <w:szCs w:val="22"/>
          </w:rPr>
          <w:t>Vaccine Administration Errors and Deviations</w:t>
        </w:r>
      </w:hyperlink>
    </w:p>
    <w:p w14:paraId="49660F6B" w14:textId="77777777" w:rsidR="00D16009" w:rsidRPr="00B266C5" w:rsidRDefault="00190579" w:rsidP="00D16009">
      <w:pPr>
        <w:pStyle w:val="ListParagraph"/>
        <w:numPr>
          <w:ilvl w:val="0"/>
          <w:numId w:val="11"/>
        </w:numPr>
        <w:shd w:val="clear" w:color="auto" w:fill="FFFFFF"/>
        <w:spacing w:before="100" w:beforeAutospacing="1"/>
        <w:rPr>
          <w:rFonts w:asciiTheme="minorHAnsi" w:hAnsiTheme="minorHAnsi" w:cstheme="minorHAnsi"/>
          <w:sz w:val="22"/>
          <w:szCs w:val="22"/>
        </w:rPr>
      </w:pPr>
      <w:hyperlink r:id="rId29" w:history="1">
        <w:r w:rsidR="00D16009" w:rsidRPr="00BD63DA">
          <w:rPr>
            <w:rStyle w:val="Hyperlink"/>
            <w:rFonts w:asciiTheme="minorHAnsi" w:hAnsiTheme="minorHAnsi" w:cstheme="minorHAnsi"/>
            <w:sz w:val="22"/>
            <w:szCs w:val="22"/>
          </w:rPr>
          <w:t>Vaccine Administration Considerations for Specific Populations</w:t>
        </w:r>
      </w:hyperlink>
    </w:p>
    <w:p w14:paraId="6B6A59FB" w14:textId="77777777" w:rsidR="00D16009" w:rsidRPr="001A0E95" w:rsidRDefault="00190579" w:rsidP="00D16009">
      <w:pPr>
        <w:pStyle w:val="ListParagraph"/>
        <w:numPr>
          <w:ilvl w:val="0"/>
          <w:numId w:val="11"/>
        </w:numPr>
        <w:shd w:val="clear" w:color="auto" w:fill="FFFFFF"/>
        <w:spacing w:before="100" w:beforeAutospacing="1"/>
        <w:rPr>
          <w:rFonts w:asciiTheme="minorHAnsi" w:hAnsiTheme="minorHAnsi" w:cstheme="minorHAnsi"/>
          <w:sz w:val="22"/>
          <w:szCs w:val="22"/>
        </w:rPr>
      </w:pPr>
      <w:hyperlink r:id="rId30" w:history="1">
        <w:r w:rsidR="00D16009" w:rsidRPr="00A132F7">
          <w:rPr>
            <w:rStyle w:val="Hyperlink"/>
            <w:rFonts w:asciiTheme="minorHAnsi" w:hAnsiTheme="minorHAnsi" w:cstheme="minorHAnsi"/>
            <w:sz w:val="22"/>
            <w:szCs w:val="22"/>
          </w:rPr>
          <w:t>FDA EUA Fact Sheet for Providers</w:t>
        </w:r>
      </w:hyperlink>
    </w:p>
    <w:p w14:paraId="1312C4B9" w14:textId="77777777" w:rsidR="00052053" w:rsidRPr="00052053" w:rsidRDefault="00190579" w:rsidP="00052053">
      <w:pPr>
        <w:pStyle w:val="ListParagraph"/>
        <w:numPr>
          <w:ilvl w:val="0"/>
          <w:numId w:val="11"/>
        </w:numPr>
        <w:shd w:val="clear" w:color="auto" w:fill="FFFFFF"/>
        <w:spacing w:before="100" w:beforeAutospacing="1"/>
        <w:rPr>
          <w:rStyle w:val="Hyperlink"/>
          <w:rFonts w:asciiTheme="minorHAnsi" w:hAnsiTheme="minorHAnsi" w:cstheme="minorHAnsi"/>
          <w:color w:val="auto"/>
          <w:sz w:val="22"/>
          <w:szCs w:val="22"/>
          <w:u w:val="none"/>
        </w:rPr>
      </w:pPr>
      <w:hyperlink r:id="rId31" w:history="1">
        <w:r w:rsidR="00D16009" w:rsidRPr="00BD63DA">
          <w:rPr>
            <w:rStyle w:val="Hyperlink"/>
            <w:rFonts w:asciiTheme="minorHAnsi" w:hAnsiTheme="minorHAnsi" w:cstheme="minorHAnsi"/>
            <w:sz w:val="22"/>
            <w:szCs w:val="22"/>
          </w:rPr>
          <w:t>FDA EUA Fact Sheet for Patients and Caregivers</w:t>
        </w:r>
      </w:hyperlink>
    </w:p>
    <w:p w14:paraId="2C550A58" w14:textId="6735B94E" w:rsidR="00033154" w:rsidRPr="00052053" w:rsidRDefault="00190579" w:rsidP="00052053">
      <w:pPr>
        <w:pStyle w:val="ListParagraph"/>
        <w:numPr>
          <w:ilvl w:val="0"/>
          <w:numId w:val="11"/>
        </w:numPr>
        <w:shd w:val="clear" w:color="auto" w:fill="FFFFFF"/>
        <w:spacing w:before="100" w:beforeAutospacing="1"/>
        <w:rPr>
          <w:rFonts w:asciiTheme="minorHAnsi" w:hAnsiTheme="minorHAnsi" w:cstheme="minorHAnsi"/>
          <w:sz w:val="22"/>
          <w:szCs w:val="22"/>
        </w:rPr>
      </w:pPr>
      <w:hyperlink r:id="rId32" w:history="1">
        <w:r w:rsidR="00D16009" w:rsidRPr="00052053">
          <w:rPr>
            <w:rStyle w:val="Hyperlink"/>
            <w:rFonts w:asciiTheme="minorHAnsi" w:hAnsiTheme="minorHAnsi" w:cstheme="minorHAnsi"/>
            <w:sz w:val="22"/>
            <w:szCs w:val="22"/>
          </w:rPr>
          <w:t>JYNNEOS Vaccine Information Statement</w:t>
        </w:r>
      </w:hyperlink>
      <w:r w:rsidR="00D16009" w:rsidRPr="00052053">
        <w:rPr>
          <w:rFonts w:asciiTheme="minorHAnsi" w:eastAsia="Arial Unicode MS" w:hAnsiTheme="minorHAnsi" w:cstheme="minorHAnsi"/>
          <w:color w:val="000000"/>
          <w:sz w:val="22"/>
          <w:szCs w:val="22"/>
          <w:u w:color="000000"/>
          <w14:textOutline w14:w="12700" w14:cap="flat" w14:cmpd="sng" w14:algn="ctr">
            <w14:noFill/>
            <w14:prstDash w14:val="solid"/>
            <w14:miter w14:lim="100000"/>
          </w14:textOutline>
        </w:rPr>
        <w:t xml:space="preserve"> </w:t>
      </w:r>
    </w:p>
    <w:p w14:paraId="11E47C0F" w14:textId="77777777" w:rsidR="005F55F9" w:rsidRDefault="005F55F9" w:rsidP="00FA6A8C"/>
    <w:p w14:paraId="57455108" w14:textId="77777777" w:rsidR="005F55F9" w:rsidRPr="009908FF" w:rsidRDefault="005F55F9" w:rsidP="0072610D"/>
    <w:sectPr w:rsidR="005F55F9"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C0B"/>
    <w:multiLevelType w:val="hybridMultilevel"/>
    <w:tmpl w:val="BFFE1C16"/>
    <w:lvl w:ilvl="0" w:tplc="6222314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A0CFA"/>
    <w:multiLevelType w:val="hybridMultilevel"/>
    <w:tmpl w:val="2C4C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84F26"/>
    <w:multiLevelType w:val="hybridMultilevel"/>
    <w:tmpl w:val="6FF2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74093"/>
    <w:multiLevelType w:val="hybridMultilevel"/>
    <w:tmpl w:val="019A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A07D3"/>
    <w:multiLevelType w:val="hybridMultilevel"/>
    <w:tmpl w:val="9CA26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FF3DA7"/>
    <w:multiLevelType w:val="hybridMultilevel"/>
    <w:tmpl w:val="C09E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93BA2"/>
    <w:multiLevelType w:val="hybridMultilevel"/>
    <w:tmpl w:val="ED30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7FCE"/>
    <w:multiLevelType w:val="hybridMultilevel"/>
    <w:tmpl w:val="9CD06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9768A"/>
    <w:multiLevelType w:val="hybridMultilevel"/>
    <w:tmpl w:val="CAA4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3E3BA"/>
    <w:multiLevelType w:val="hybridMultilevel"/>
    <w:tmpl w:val="E4727C8A"/>
    <w:lvl w:ilvl="0" w:tplc="3020B91C">
      <w:start w:val="1"/>
      <w:numFmt w:val="bullet"/>
      <w:lvlText w:val=""/>
      <w:lvlJc w:val="left"/>
      <w:pPr>
        <w:ind w:left="720" w:hanging="360"/>
      </w:pPr>
      <w:rPr>
        <w:rFonts w:ascii="Symbol" w:hAnsi="Symbol" w:hint="default"/>
      </w:rPr>
    </w:lvl>
    <w:lvl w:ilvl="1" w:tplc="EF261904">
      <w:start w:val="1"/>
      <w:numFmt w:val="bullet"/>
      <w:lvlText w:val="o"/>
      <w:lvlJc w:val="left"/>
      <w:pPr>
        <w:ind w:left="1440" w:hanging="360"/>
      </w:pPr>
      <w:rPr>
        <w:rFonts w:ascii="Courier New" w:hAnsi="Courier New" w:hint="default"/>
      </w:rPr>
    </w:lvl>
    <w:lvl w:ilvl="2" w:tplc="363E7008">
      <w:start w:val="1"/>
      <w:numFmt w:val="bullet"/>
      <w:lvlText w:val=""/>
      <w:lvlJc w:val="left"/>
      <w:pPr>
        <w:ind w:left="2160" w:hanging="360"/>
      </w:pPr>
      <w:rPr>
        <w:rFonts w:ascii="Wingdings" w:hAnsi="Wingdings" w:hint="default"/>
      </w:rPr>
    </w:lvl>
    <w:lvl w:ilvl="3" w:tplc="7AC8B3F0">
      <w:start w:val="1"/>
      <w:numFmt w:val="bullet"/>
      <w:lvlText w:val=""/>
      <w:lvlJc w:val="left"/>
      <w:pPr>
        <w:ind w:left="2880" w:hanging="360"/>
      </w:pPr>
      <w:rPr>
        <w:rFonts w:ascii="Symbol" w:hAnsi="Symbol" w:hint="default"/>
      </w:rPr>
    </w:lvl>
    <w:lvl w:ilvl="4" w:tplc="77CE9AA2">
      <w:start w:val="1"/>
      <w:numFmt w:val="bullet"/>
      <w:lvlText w:val="o"/>
      <w:lvlJc w:val="left"/>
      <w:pPr>
        <w:ind w:left="3600" w:hanging="360"/>
      </w:pPr>
      <w:rPr>
        <w:rFonts w:ascii="Courier New" w:hAnsi="Courier New" w:hint="default"/>
      </w:rPr>
    </w:lvl>
    <w:lvl w:ilvl="5" w:tplc="B288B2C4">
      <w:start w:val="1"/>
      <w:numFmt w:val="bullet"/>
      <w:lvlText w:val=""/>
      <w:lvlJc w:val="left"/>
      <w:pPr>
        <w:ind w:left="4320" w:hanging="360"/>
      </w:pPr>
      <w:rPr>
        <w:rFonts w:ascii="Wingdings" w:hAnsi="Wingdings" w:hint="default"/>
      </w:rPr>
    </w:lvl>
    <w:lvl w:ilvl="6" w:tplc="889C2BA0">
      <w:start w:val="1"/>
      <w:numFmt w:val="bullet"/>
      <w:lvlText w:val=""/>
      <w:lvlJc w:val="left"/>
      <w:pPr>
        <w:ind w:left="5040" w:hanging="360"/>
      </w:pPr>
      <w:rPr>
        <w:rFonts w:ascii="Symbol" w:hAnsi="Symbol" w:hint="default"/>
      </w:rPr>
    </w:lvl>
    <w:lvl w:ilvl="7" w:tplc="22D49B8A">
      <w:start w:val="1"/>
      <w:numFmt w:val="bullet"/>
      <w:lvlText w:val="o"/>
      <w:lvlJc w:val="left"/>
      <w:pPr>
        <w:ind w:left="5760" w:hanging="360"/>
      </w:pPr>
      <w:rPr>
        <w:rFonts w:ascii="Courier New" w:hAnsi="Courier New" w:hint="default"/>
      </w:rPr>
    </w:lvl>
    <w:lvl w:ilvl="8" w:tplc="9ED84316">
      <w:start w:val="1"/>
      <w:numFmt w:val="bullet"/>
      <w:lvlText w:val=""/>
      <w:lvlJc w:val="left"/>
      <w:pPr>
        <w:ind w:left="6480" w:hanging="360"/>
      </w:pPr>
      <w:rPr>
        <w:rFonts w:ascii="Wingdings" w:hAnsi="Wingdings" w:hint="default"/>
      </w:rPr>
    </w:lvl>
  </w:abstractNum>
  <w:abstractNum w:abstractNumId="10" w15:restartNumberingAfterBreak="0">
    <w:nsid w:val="660464A0"/>
    <w:multiLevelType w:val="hybridMultilevel"/>
    <w:tmpl w:val="76CCFD14"/>
    <w:lvl w:ilvl="0" w:tplc="8F2CF956">
      <w:start w:val="1"/>
      <w:numFmt w:val="decimal"/>
      <w:lvlText w:val="%1."/>
      <w:lvlJc w:val="left"/>
      <w:pPr>
        <w:ind w:left="720" w:hanging="360"/>
      </w:pPr>
    </w:lvl>
    <w:lvl w:ilvl="1" w:tplc="F41C8B68">
      <w:start w:val="1"/>
      <w:numFmt w:val="lowerLetter"/>
      <w:lvlText w:val="%2."/>
      <w:lvlJc w:val="left"/>
      <w:pPr>
        <w:ind w:left="1440" w:hanging="360"/>
      </w:pPr>
    </w:lvl>
    <w:lvl w:ilvl="2" w:tplc="9C781006">
      <w:start w:val="1"/>
      <w:numFmt w:val="lowerRoman"/>
      <w:lvlText w:val="%3."/>
      <w:lvlJc w:val="right"/>
      <w:pPr>
        <w:ind w:left="2160" w:hanging="180"/>
      </w:pPr>
    </w:lvl>
    <w:lvl w:ilvl="3" w:tplc="0BDC39BA">
      <w:start w:val="1"/>
      <w:numFmt w:val="decimal"/>
      <w:lvlText w:val="%4."/>
      <w:lvlJc w:val="left"/>
      <w:pPr>
        <w:ind w:left="2880" w:hanging="360"/>
      </w:pPr>
    </w:lvl>
    <w:lvl w:ilvl="4" w:tplc="1F5C9802">
      <w:start w:val="1"/>
      <w:numFmt w:val="lowerLetter"/>
      <w:lvlText w:val="%5."/>
      <w:lvlJc w:val="left"/>
      <w:pPr>
        <w:ind w:left="3600" w:hanging="360"/>
      </w:pPr>
    </w:lvl>
    <w:lvl w:ilvl="5" w:tplc="FFE82AC6">
      <w:start w:val="1"/>
      <w:numFmt w:val="lowerRoman"/>
      <w:lvlText w:val="%6."/>
      <w:lvlJc w:val="right"/>
      <w:pPr>
        <w:ind w:left="4320" w:hanging="180"/>
      </w:pPr>
    </w:lvl>
    <w:lvl w:ilvl="6" w:tplc="6B7E5BE8">
      <w:start w:val="1"/>
      <w:numFmt w:val="decimal"/>
      <w:lvlText w:val="%7."/>
      <w:lvlJc w:val="left"/>
      <w:pPr>
        <w:ind w:left="5040" w:hanging="360"/>
      </w:pPr>
    </w:lvl>
    <w:lvl w:ilvl="7" w:tplc="6270F202">
      <w:start w:val="1"/>
      <w:numFmt w:val="lowerLetter"/>
      <w:lvlText w:val="%8."/>
      <w:lvlJc w:val="left"/>
      <w:pPr>
        <w:ind w:left="5760" w:hanging="360"/>
      </w:pPr>
    </w:lvl>
    <w:lvl w:ilvl="8" w:tplc="CB949528">
      <w:start w:val="1"/>
      <w:numFmt w:val="lowerRoman"/>
      <w:lvlText w:val="%9."/>
      <w:lvlJc w:val="right"/>
      <w:pPr>
        <w:ind w:left="6480" w:hanging="180"/>
      </w:pPr>
    </w:lvl>
  </w:abstractNum>
  <w:abstractNum w:abstractNumId="11" w15:restartNumberingAfterBreak="0">
    <w:nsid w:val="68E563D8"/>
    <w:multiLevelType w:val="hybridMultilevel"/>
    <w:tmpl w:val="28C202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46564CF"/>
    <w:multiLevelType w:val="hybridMultilevel"/>
    <w:tmpl w:val="AF749ED4"/>
    <w:lvl w:ilvl="0" w:tplc="CA2C9B66">
      <w:start w:val="1"/>
      <w:numFmt w:val="decimal"/>
      <w:lvlText w:val="%1."/>
      <w:lvlJc w:val="left"/>
      <w:pPr>
        <w:ind w:left="720" w:hanging="360"/>
      </w:pPr>
    </w:lvl>
    <w:lvl w:ilvl="1" w:tplc="FD507E62">
      <w:start w:val="1"/>
      <w:numFmt w:val="decimal"/>
      <w:lvlText w:val="%2."/>
      <w:lvlJc w:val="left"/>
      <w:pPr>
        <w:ind w:left="1440" w:hanging="360"/>
      </w:pPr>
    </w:lvl>
    <w:lvl w:ilvl="2" w:tplc="F252E1AC">
      <w:start w:val="1"/>
      <w:numFmt w:val="lowerRoman"/>
      <w:lvlText w:val="%3."/>
      <w:lvlJc w:val="right"/>
      <w:pPr>
        <w:ind w:left="2160" w:hanging="180"/>
      </w:pPr>
    </w:lvl>
    <w:lvl w:ilvl="3" w:tplc="FE5CDD74">
      <w:start w:val="1"/>
      <w:numFmt w:val="decimal"/>
      <w:lvlText w:val="%4."/>
      <w:lvlJc w:val="left"/>
      <w:pPr>
        <w:ind w:left="2880" w:hanging="360"/>
      </w:pPr>
    </w:lvl>
    <w:lvl w:ilvl="4" w:tplc="41CC8C58">
      <w:start w:val="1"/>
      <w:numFmt w:val="lowerLetter"/>
      <w:lvlText w:val="%5."/>
      <w:lvlJc w:val="left"/>
      <w:pPr>
        <w:ind w:left="3600" w:hanging="360"/>
      </w:pPr>
    </w:lvl>
    <w:lvl w:ilvl="5" w:tplc="9ACE3570">
      <w:start w:val="1"/>
      <w:numFmt w:val="lowerRoman"/>
      <w:lvlText w:val="%6."/>
      <w:lvlJc w:val="right"/>
      <w:pPr>
        <w:ind w:left="4320" w:hanging="180"/>
      </w:pPr>
    </w:lvl>
    <w:lvl w:ilvl="6" w:tplc="7FFECCAC">
      <w:start w:val="1"/>
      <w:numFmt w:val="decimal"/>
      <w:lvlText w:val="%7."/>
      <w:lvlJc w:val="left"/>
      <w:pPr>
        <w:ind w:left="5040" w:hanging="360"/>
      </w:pPr>
    </w:lvl>
    <w:lvl w:ilvl="7" w:tplc="6730F49C">
      <w:start w:val="1"/>
      <w:numFmt w:val="lowerLetter"/>
      <w:lvlText w:val="%8."/>
      <w:lvlJc w:val="left"/>
      <w:pPr>
        <w:ind w:left="5760" w:hanging="360"/>
      </w:pPr>
    </w:lvl>
    <w:lvl w:ilvl="8" w:tplc="99526EAC">
      <w:start w:val="1"/>
      <w:numFmt w:val="lowerRoman"/>
      <w:lvlText w:val="%9."/>
      <w:lvlJc w:val="right"/>
      <w:pPr>
        <w:ind w:left="6480" w:hanging="180"/>
      </w:pPr>
    </w:lvl>
  </w:abstractNum>
  <w:num w:numId="1" w16cid:durableId="318191876">
    <w:abstractNumId w:val="10"/>
  </w:num>
  <w:num w:numId="2" w16cid:durableId="1917089179">
    <w:abstractNumId w:val="12"/>
  </w:num>
  <w:num w:numId="3" w16cid:durableId="575163694">
    <w:abstractNumId w:val="9"/>
  </w:num>
  <w:num w:numId="4" w16cid:durableId="1667392880">
    <w:abstractNumId w:val="5"/>
  </w:num>
  <w:num w:numId="5" w16cid:durableId="1218006960">
    <w:abstractNumId w:val="0"/>
  </w:num>
  <w:num w:numId="6" w16cid:durableId="279804174">
    <w:abstractNumId w:val="3"/>
  </w:num>
  <w:num w:numId="7" w16cid:durableId="1877814431">
    <w:abstractNumId w:val="2"/>
  </w:num>
  <w:num w:numId="8" w16cid:durableId="28725050">
    <w:abstractNumId w:val="11"/>
  </w:num>
  <w:num w:numId="9" w16cid:durableId="1399522867">
    <w:abstractNumId w:val="4"/>
  </w:num>
  <w:num w:numId="10" w16cid:durableId="1933852221">
    <w:abstractNumId w:val="7"/>
  </w:num>
  <w:num w:numId="11" w16cid:durableId="1306810580">
    <w:abstractNumId w:val="1"/>
  </w:num>
  <w:num w:numId="12" w16cid:durableId="1496913818">
    <w:abstractNumId w:val="8"/>
  </w:num>
  <w:num w:numId="13" w16cid:durableId="832333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36F"/>
    <w:rsid w:val="0000218B"/>
    <w:rsid w:val="00002282"/>
    <w:rsid w:val="0000458F"/>
    <w:rsid w:val="00010DFD"/>
    <w:rsid w:val="00026F06"/>
    <w:rsid w:val="00033154"/>
    <w:rsid w:val="00034573"/>
    <w:rsid w:val="00042048"/>
    <w:rsid w:val="000428C7"/>
    <w:rsid w:val="0004492A"/>
    <w:rsid w:val="00052053"/>
    <w:rsid w:val="000537DA"/>
    <w:rsid w:val="00053A0E"/>
    <w:rsid w:val="00066946"/>
    <w:rsid w:val="00074BA6"/>
    <w:rsid w:val="000874CD"/>
    <w:rsid w:val="0009366C"/>
    <w:rsid w:val="00095CD3"/>
    <w:rsid w:val="000A1DE1"/>
    <w:rsid w:val="000A6BA5"/>
    <w:rsid w:val="000B0914"/>
    <w:rsid w:val="000B0BDA"/>
    <w:rsid w:val="000B7D96"/>
    <w:rsid w:val="000C321F"/>
    <w:rsid w:val="000C5672"/>
    <w:rsid w:val="000D2156"/>
    <w:rsid w:val="000D6FC7"/>
    <w:rsid w:val="000F315B"/>
    <w:rsid w:val="00102308"/>
    <w:rsid w:val="001078DC"/>
    <w:rsid w:val="001125C0"/>
    <w:rsid w:val="00125703"/>
    <w:rsid w:val="00130912"/>
    <w:rsid w:val="001324C9"/>
    <w:rsid w:val="00137051"/>
    <w:rsid w:val="0015268B"/>
    <w:rsid w:val="00155378"/>
    <w:rsid w:val="0015695D"/>
    <w:rsid w:val="00165F02"/>
    <w:rsid w:val="00170069"/>
    <w:rsid w:val="00172B19"/>
    <w:rsid w:val="001778EA"/>
    <w:rsid w:val="00177C77"/>
    <w:rsid w:val="0018067F"/>
    <w:rsid w:val="00190579"/>
    <w:rsid w:val="001906C7"/>
    <w:rsid w:val="00190F6F"/>
    <w:rsid w:val="001A353E"/>
    <w:rsid w:val="001A6CEC"/>
    <w:rsid w:val="001B6693"/>
    <w:rsid w:val="001C0356"/>
    <w:rsid w:val="001C56D0"/>
    <w:rsid w:val="001D074B"/>
    <w:rsid w:val="001D1508"/>
    <w:rsid w:val="001E5D69"/>
    <w:rsid w:val="002012E8"/>
    <w:rsid w:val="0020252E"/>
    <w:rsid w:val="00210542"/>
    <w:rsid w:val="00213A24"/>
    <w:rsid w:val="0021698C"/>
    <w:rsid w:val="0022010D"/>
    <w:rsid w:val="0023433E"/>
    <w:rsid w:val="00234897"/>
    <w:rsid w:val="00234C17"/>
    <w:rsid w:val="002368B9"/>
    <w:rsid w:val="00242497"/>
    <w:rsid w:val="0025722F"/>
    <w:rsid w:val="002573F8"/>
    <w:rsid w:val="00260D54"/>
    <w:rsid w:val="002624F8"/>
    <w:rsid w:val="0026796C"/>
    <w:rsid w:val="00271267"/>
    <w:rsid w:val="00271399"/>
    <w:rsid w:val="002718BF"/>
    <w:rsid w:val="0027514E"/>
    <w:rsid w:val="00276957"/>
    <w:rsid w:val="00276DCC"/>
    <w:rsid w:val="0028038D"/>
    <w:rsid w:val="00280B2E"/>
    <w:rsid w:val="0028426B"/>
    <w:rsid w:val="00284DF9"/>
    <w:rsid w:val="00294180"/>
    <w:rsid w:val="00297269"/>
    <w:rsid w:val="002A061F"/>
    <w:rsid w:val="002A0718"/>
    <w:rsid w:val="002A132F"/>
    <w:rsid w:val="002A250B"/>
    <w:rsid w:val="002A4BC2"/>
    <w:rsid w:val="002A6220"/>
    <w:rsid w:val="002C72FC"/>
    <w:rsid w:val="002D1C21"/>
    <w:rsid w:val="002E01B8"/>
    <w:rsid w:val="002F0AB9"/>
    <w:rsid w:val="002F14C0"/>
    <w:rsid w:val="002F40E0"/>
    <w:rsid w:val="002F6741"/>
    <w:rsid w:val="00301022"/>
    <w:rsid w:val="003113F8"/>
    <w:rsid w:val="00325103"/>
    <w:rsid w:val="00325AEF"/>
    <w:rsid w:val="0032618C"/>
    <w:rsid w:val="0034455F"/>
    <w:rsid w:val="003534FB"/>
    <w:rsid w:val="003561FB"/>
    <w:rsid w:val="00365AF3"/>
    <w:rsid w:val="003714B5"/>
    <w:rsid w:val="00375EAD"/>
    <w:rsid w:val="003802CD"/>
    <w:rsid w:val="00382BAE"/>
    <w:rsid w:val="00385812"/>
    <w:rsid w:val="003907A1"/>
    <w:rsid w:val="00392D0B"/>
    <w:rsid w:val="00393507"/>
    <w:rsid w:val="003972BC"/>
    <w:rsid w:val="003A2B23"/>
    <w:rsid w:val="003A7AFC"/>
    <w:rsid w:val="003B37C5"/>
    <w:rsid w:val="003C53D4"/>
    <w:rsid w:val="003C60EF"/>
    <w:rsid w:val="003D1C1A"/>
    <w:rsid w:val="003D210B"/>
    <w:rsid w:val="003D4BE3"/>
    <w:rsid w:val="003D7433"/>
    <w:rsid w:val="003F0EC1"/>
    <w:rsid w:val="004022E9"/>
    <w:rsid w:val="00402FCB"/>
    <w:rsid w:val="00403C61"/>
    <w:rsid w:val="00406C81"/>
    <w:rsid w:val="0041470F"/>
    <w:rsid w:val="00415E0B"/>
    <w:rsid w:val="004301BD"/>
    <w:rsid w:val="00441E5A"/>
    <w:rsid w:val="00443C7C"/>
    <w:rsid w:val="00452905"/>
    <w:rsid w:val="00457A15"/>
    <w:rsid w:val="00465541"/>
    <w:rsid w:val="004813AC"/>
    <w:rsid w:val="00485934"/>
    <w:rsid w:val="00493D19"/>
    <w:rsid w:val="0049522A"/>
    <w:rsid w:val="004A2342"/>
    <w:rsid w:val="004A3845"/>
    <w:rsid w:val="004A4E5F"/>
    <w:rsid w:val="004A57DF"/>
    <w:rsid w:val="004B37A0"/>
    <w:rsid w:val="004B5CFB"/>
    <w:rsid w:val="004C3500"/>
    <w:rsid w:val="004C7B10"/>
    <w:rsid w:val="004D6B39"/>
    <w:rsid w:val="004E065D"/>
    <w:rsid w:val="004E0C3F"/>
    <w:rsid w:val="004F104E"/>
    <w:rsid w:val="004F6FA3"/>
    <w:rsid w:val="00512956"/>
    <w:rsid w:val="00513810"/>
    <w:rsid w:val="00513F2D"/>
    <w:rsid w:val="00514A84"/>
    <w:rsid w:val="005164EC"/>
    <w:rsid w:val="00523237"/>
    <w:rsid w:val="00527CC6"/>
    <w:rsid w:val="00530145"/>
    <w:rsid w:val="00536EF9"/>
    <w:rsid w:val="005376B2"/>
    <w:rsid w:val="005448AA"/>
    <w:rsid w:val="005454D0"/>
    <w:rsid w:val="005461FA"/>
    <w:rsid w:val="00546524"/>
    <w:rsid w:val="00575ED4"/>
    <w:rsid w:val="005932A8"/>
    <w:rsid w:val="00595F7E"/>
    <w:rsid w:val="005A0328"/>
    <w:rsid w:val="005A1A8D"/>
    <w:rsid w:val="005A1F79"/>
    <w:rsid w:val="005D4B4E"/>
    <w:rsid w:val="005D6358"/>
    <w:rsid w:val="005E2830"/>
    <w:rsid w:val="005F55F9"/>
    <w:rsid w:val="0060294B"/>
    <w:rsid w:val="0060366C"/>
    <w:rsid w:val="00615217"/>
    <w:rsid w:val="00616ABD"/>
    <w:rsid w:val="00620818"/>
    <w:rsid w:val="00622E80"/>
    <w:rsid w:val="00631387"/>
    <w:rsid w:val="0063155E"/>
    <w:rsid w:val="0063418D"/>
    <w:rsid w:val="006444DA"/>
    <w:rsid w:val="00647664"/>
    <w:rsid w:val="00650622"/>
    <w:rsid w:val="00666C70"/>
    <w:rsid w:val="00673C82"/>
    <w:rsid w:val="00676D60"/>
    <w:rsid w:val="00677A90"/>
    <w:rsid w:val="0068743C"/>
    <w:rsid w:val="006A3483"/>
    <w:rsid w:val="006B2D52"/>
    <w:rsid w:val="006B62AF"/>
    <w:rsid w:val="006C2BAC"/>
    <w:rsid w:val="006C688C"/>
    <w:rsid w:val="006D06D9"/>
    <w:rsid w:val="006D2031"/>
    <w:rsid w:val="006D41C1"/>
    <w:rsid w:val="006D77A6"/>
    <w:rsid w:val="00702109"/>
    <w:rsid w:val="00722CD5"/>
    <w:rsid w:val="0072351C"/>
    <w:rsid w:val="0072610D"/>
    <w:rsid w:val="0073673C"/>
    <w:rsid w:val="00741AE4"/>
    <w:rsid w:val="007514E3"/>
    <w:rsid w:val="007558D3"/>
    <w:rsid w:val="00757006"/>
    <w:rsid w:val="007605E7"/>
    <w:rsid w:val="00767FE4"/>
    <w:rsid w:val="00775E54"/>
    <w:rsid w:val="007760AA"/>
    <w:rsid w:val="007778B2"/>
    <w:rsid w:val="00777DED"/>
    <w:rsid w:val="00782E1A"/>
    <w:rsid w:val="00783603"/>
    <w:rsid w:val="00784060"/>
    <w:rsid w:val="00785356"/>
    <w:rsid w:val="00791147"/>
    <w:rsid w:val="00791F0B"/>
    <w:rsid w:val="00794025"/>
    <w:rsid w:val="007B3F4B"/>
    <w:rsid w:val="007B7347"/>
    <w:rsid w:val="007D10F3"/>
    <w:rsid w:val="007D618E"/>
    <w:rsid w:val="007E2B07"/>
    <w:rsid w:val="007F3CDB"/>
    <w:rsid w:val="00805DA6"/>
    <w:rsid w:val="008377F1"/>
    <w:rsid w:val="0084068B"/>
    <w:rsid w:val="00855FF2"/>
    <w:rsid w:val="00856386"/>
    <w:rsid w:val="00867D3F"/>
    <w:rsid w:val="008779A4"/>
    <w:rsid w:val="008823E8"/>
    <w:rsid w:val="00884E6B"/>
    <w:rsid w:val="00885730"/>
    <w:rsid w:val="00891E4E"/>
    <w:rsid w:val="008B0C97"/>
    <w:rsid w:val="008B44C8"/>
    <w:rsid w:val="008C1A53"/>
    <w:rsid w:val="008C741C"/>
    <w:rsid w:val="008E431A"/>
    <w:rsid w:val="00902F19"/>
    <w:rsid w:val="00904B71"/>
    <w:rsid w:val="009222E5"/>
    <w:rsid w:val="00930B26"/>
    <w:rsid w:val="00944F3E"/>
    <w:rsid w:val="00944FD4"/>
    <w:rsid w:val="009450B0"/>
    <w:rsid w:val="009464B7"/>
    <w:rsid w:val="00951F39"/>
    <w:rsid w:val="009630BA"/>
    <w:rsid w:val="00964955"/>
    <w:rsid w:val="009650E6"/>
    <w:rsid w:val="00965123"/>
    <w:rsid w:val="00966523"/>
    <w:rsid w:val="009730E5"/>
    <w:rsid w:val="00983937"/>
    <w:rsid w:val="009865A6"/>
    <w:rsid w:val="009908FF"/>
    <w:rsid w:val="00991006"/>
    <w:rsid w:val="00992927"/>
    <w:rsid w:val="00992BC8"/>
    <w:rsid w:val="0099433C"/>
    <w:rsid w:val="00995505"/>
    <w:rsid w:val="009966A3"/>
    <w:rsid w:val="009A6478"/>
    <w:rsid w:val="009B13AB"/>
    <w:rsid w:val="009B48F3"/>
    <w:rsid w:val="009C38F2"/>
    <w:rsid w:val="009C4428"/>
    <w:rsid w:val="009D48CD"/>
    <w:rsid w:val="009D7BC7"/>
    <w:rsid w:val="009F7982"/>
    <w:rsid w:val="00A02321"/>
    <w:rsid w:val="00A10664"/>
    <w:rsid w:val="00A1364D"/>
    <w:rsid w:val="00A37C07"/>
    <w:rsid w:val="00A5131C"/>
    <w:rsid w:val="00A54FB2"/>
    <w:rsid w:val="00A65101"/>
    <w:rsid w:val="00A75717"/>
    <w:rsid w:val="00A92C53"/>
    <w:rsid w:val="00A93151"/>
    <w:rsid w:val="00AA0D59"/>
    <w:rsid w:val="00AB00B5"/>
    <w:rsid w:val="00AD431C"/>
    <w:rsid w:val="00AE28B8"/>
    <w:rsid w:val="00AE4B3D"/>
    <w:rsid w:val="00AF181E"/>
    <w:rsid w:val="00B02810"/>
    <w:rsid w:val="00B123A7"/>
    <w:rsid w:val="00B161A4"/>
    <w:rsid w:val="00B21269"/>
    <w:rsid w:val="00B230AD"/>
    <w:rsid w:val="00B33BC4"/>
    <w:rsid w:val="00B35657"/>
    <w:rsid w:val="00B403BF"/>
    <w:rsid w:val="00B51FA6"/>
    <w:rsid w:val="00B5354F"/>
    <w:rsid w:val="00B568A3"/>
    <w:rsid w:val="00B608D9"/>
    <w:rsid w:val="00B62441"/>
    <w:rsid w:val="00B62568"/>
    <w:rsid w:val="00B62594"/>
    <w:rsid w:val="00B70322"/>
    <w:rsid w:val="00B828D1"/>
    <w:rsid w:val="00BA3EDE"/>
    <w:rsid w:val="00BA4055"/>
    <w:rsid w:val="00BA41C1"/>
    <w:rsid w:val="00BA7FB6"/>
    <w:rsid w:val="00BB2B1C"/>
    <w:rsid w:val="00BB2FC1"/>
    <w:rsid w:val="00BB424C"/>
    <w:rsid w:val="00BB49A4"/>
    <w:rsid w:val="00BC14F0"/>
    <w:rsid w:val="00BC21F6"/>
    <w:rsid w:val="00BD5A6F"/>
    <w:rsid w:val="00BF4DF2"/>
    <w:rsid w:val="00C01F60"/>
    <w:rsid w:val="00C12F03"/>
    <w:rsid w:val="00C20A56"/>
    <w:rsid w:val="00C20BFE"/>
    <w:rsid w:val="00C2297D"/>
    <w:rsid w:val="00C248ED"/>
    <w:rsid w:val="00C33C03"/>
    <w:rsid w:val="00C46D29"/>
    <w:rsid w:val="00C55EC5"/>
    <w:rsid w:val="00C7478E"/>
    <w:rsid w:val="00C74997"/>
    <w:rsid w:val="00C8242C"/>
    <w:rsid w:val="00C841CE"/>
    <w:rsid w:val="00C90EB0"/>
    <w:rsid w:val="00C922BC"/>
    <w:rsid w:val="00CA2CF4"/>
    <w:rsid w:val="00CA55F9"/>
    <w:rsid w:val="00CB13FE"/>
    <w:rsid w:val="00CB689C"/>
    <w:rsid w:val="00CC1778"/>
    <w:rsid w:val="00CC45C4"/>
    <w:rsid w:val="00CD2EAB"/>
    <w:rsid w:val="00CD6D10"/>
    <w:rsid w:val="00CE3B96"/>
    <w:rsid w:val="00CE575B"/>
    <w:rsid w:val="00CF3DE8"/>
    <w:rsid w:val="00D0168A"/>
    <w:rsid w:val="00D0493F"/>
    <w:rsid w:val="00D11404"/>
    <w:rsid w:val="00D11D18"/>
    <w:rsid w:val="00D16009"/>
    <w:rsid w:val="00D3308D"/>
    <w:rsid w:val="00D36B02"/>
    <w:rsid w:val="00D56F91"/>
    <w:rsid w:val="00D5E7F2"/>
    <w:rsid w:val="00D6135E"/>
    <w:rsid w:val="00D66184"/>
    <w:rsid w:val="00D75074"/>
    <w:rsid w:val="00D83BF6"/>
    <w:rsid w:val="00D86527"/>
    <w:rsid w:val="00D8671C"/>
    <w:rsid w:val="00D91390"/>
    <w:rsid w:val="00D91D35"/>
    <w:rsid w:val="00DA57C3"/>
    <w:rsid w:val="00DA70C0"/>
    <w:rsid w:val="00DB2F28"/>
    <w:rsid w:val="00DC2C3E"/>
    <w:rsid w:val="00DC2E69"/>
    <w:rsid w:val="00DC3855"/>
    <w:rsid w:val="00DD348B"/>
    <w:rsid w:val="00DE62EF"/>
    <w:rsid w:val="00DF3543"/>
    <w:rsid w:val="00E01BCE"/>
    <w:rsid w:val="00E0491C"/>
    <w:rsid w:val="00E17E97"/>
    <w:rsid w:val="00E242A8"/>
    <w:rsid w:val="00E274B8"/>
    <w:rsid w:val="00E30B05"/>
    <w:rsid w:val="00E32390"/>
    <w:rsid w:val="00E32D84"/>
    <w:rsid w:val="00E54815"/>
    <w:rsid w:val="00E55203"/>
    <w:rsid w:val="00E569A7"/>
    <w:rsid w:val="00E64050"/>
    <w:rsid w:val="00E72685"/>
    <w:rsid w:val="00E72707"/>
    <w:rsid w:val="00E90935"/>
    <w:rsid w:val="00EA43A3"/>
    <w:rsid w:val="00EB2DF3"/>
    <w:rsid w:val="00EB7588"/>
    <w:rsid w:val="00EC76E4"/>
    <w:rsid w:val="00ED4725"/>
    <w:rsid w:val="00EE190F"/>
    <w:rsid w:val="00EE6D4D"/>
    <w:rsid w:val="00EF0E0A"/>
    <w:rsid w:val="00EF0FCF"/>
    <w:rsid w:val="00F03EA2"/>
    <w:rsid w:val="00F0586E"/>
    <w:rsid w:val="00F072C0"/>
    <w:rsid w:val="00F21C41"/>
    <w:rsid w:val="00F32BFC"/>
    <w:rsid w:val="00F43932"/>
    <w:rsid w:val="00F43ACD"/>
    <w:rsid w:val="00F46A0E"/>
    <w:rsid w:val="00F53C6C"/>
    <w:rsid w:val="00F624EE"/>
    <w:rsid w:val="00F7365F"/>
    <w:rsid w:val="00F756AB"/>
    <w:rsid w:val="00F863A4"/>
    <w:rsid w:val="00F911D9"/>
    <w:rsid w:val="00F91FB3"/>
    <w:rsid w:val="00F93C5A"/>
    <w:rsid w:val="00F968AA"/>
    <w:rsid w:val="00FA575E"/>
    <w:rsid w:val="00FA6A8C"/>
    <w:rsid w:val="00FB08B4"/>
    <w:rsid w:val="00FC04CB"/>
    <w:rsid w:val="00FC6B42"/>
    <w:rsid w:val="00FD21CD"/>
    <w:rsid w:val="00FE7E36"/>
    <w:rsid w:val="00FF02AA"/>
    <w:rsid w:val="00FF20EB"/>
    <w:rsid w:val="01958E43"/>
    <w:rsid w:val="01F0325B"/>
    <w:rsid w:val="02A92DD3"/>
    <w:rsid w:val="03A1B75D"/>
    <w:rsid w:val="03A3CEB3"/>
    <w:rsid w:val="03B7132F"/>
    <w:rsid w:val="046B9403"/>
    <w:rsid w:val="04F0284B"/>
    <w:rsid w:val="04FFC3E1"/>
    <w:rsid w:val="0531703A"/>
    <w:rsid w:val="0686E7D5"/>
    <w:rsid w:val="06CDE602"/>
    <w:rsid w:val="078EFE38"/>
    <w:rsid w:val="07B5319D"/>
    <w:rsid w:val="0800E4CB"/>
    <w:rsid w:val="08028383"/>
    <w:rsid w:val="0939F904"/>
    <w:rsid w:val="09EF151E"/>
    <w:rsid w:val="09FB4440"/>
    <w:rsid w:val="09FC0E00"/>
    <w:rsid w:val="0A2BB48E"/>
    <w:rsid w:val="0A4491FD"/>
    <w:rsid w:val="0A66A254"/>
    <w:rsid w:val="0A7CCA38"/>
    <w:rsid w:val="0ABFE2DF"/>
    <w:rsid w:val="0B12AA62"/>
    <w:rsid w:val="0B407313"/>
    <w:rsid w:val="0B86306C"/>
    <w:rsid w:val="0B889C6F"/>
    <w:rsid w:val="0BAEA5FA"/>
    <w:rsid w:val="0BB3AB74"/>
    <w:rsid w:val="0C18262F"/>
    <w:rsid w:val="0C7D8C02"/>
    <w:rsid w:val="0C801214"/>
    <w:rsid w:val="0C8AF7CE"/>
    <w:rsid w:val="0CA72244"/>
    <w:rsid w:val="0CA856D6"/>
    <w:rsid w:val="0DC6359E"/>
    <w:rsid w:val="0E26C82F"/>
    <w:rsid w:val="0E838F32"/>
    <w:rsid w:val="0EC9629D"/>
    <w:rsid w:val="0ECEB563"/>
    <w:rsid w:val="0F6304A3"/>
    <w:rsid w:val="0F828327"/>
    <w:rsid w:val="0FD21F0D"/>
    <w:rsid w:val="100DDDDB"/>
    <w:rsid w:val="10522443"/>
    <w:rsid w:val="10966380"/>
    <w:rsid w:val="10C22CF1"/>
    <w:rsid w:val="10C664D9"/>
    <w:rsid w:val="10D28C7C"/>
    <w:rsid w:val="10F9F543"/>
    <w:rsid w:val="10FFB9A3"/>
    <w:rsid w:val="113F9E09"/>
    <w:rsid w:val="115C772E"/>
    <w:rsid w:val="116FC69F"/>
    <w:rsid w:val="11A68AA5"/>
    <w:rsid w:val="11FA2703"/>
    <w:rsid w:val="12B59F14"/>
    <w:rsid w:val="12E98FD3"/>
    <w:rsid w:val="12F0FC4A"/>
    <w:rsid w:val="133FB425"/>
    <w:rsid w:val="13801D77"/>
    <w:rsid w:val="14319605"/>
    <w:rsid w:val="14B41F43"/>
    <w:rsid w:val="14CA4963"/>
    <w:rsid w:val="14DF2C93"/>
    <w:rsid w:val="152C4E4A"/>
    <w:rsid w:val="1557BF7C"/>
    <w:rsid w:val="15B66D35"/>
    <w:rsid w:val="15DE8C71"/>
    <w:rsid w:val="160DCBFD"/>
    <w:rsid w:val="168325BA"/>
    <w:rsid w:val="169B2060"/>
    <w:rsid w:val="16C7416F"/>
    <w:rsid w:val="17614E27"/>
    <w:rsid w:val="179561D8"/>
    <w:rsid w:val="1820EF92"/>
    <w:rsid w:val="1862D2BB"/>
    <w:rsid w:val="187597A9"/>
    <w:rsid w:val="187A23E2"/>
    <w:rsid w:val="187FBC98"/>
    <w:rsid w:val="18B4C334"/>
    <w:rsid w:val="18F944EA"/>
    <w:rsid w:val="198C52BC"/>
    <w:rsid w:val="199C0244"/>
    <w:rsid w:val="19B19C8A"/>
    <w:rsid w:val="19ED77FE"/>
    <w:rsid w:val="1A268653"/>
    <w:rsid w:val="1AC99A6C"/>
    <w:rsid w:val="1AED04AE"/>
    <w:rsid w:val="1B2A59C9"/>
    <w:rsid w:val="1BA4EACD"/>
    <w:rsid w:val="1C18E79B"/>
    <w:rsid w:val="1C306A27"/>
    <w:rsid w:val="1C426C4A"/>
    <w:rsid w:val="1C5B2C04"/>
    <w:rsid w:val="1C7F96A3"/>
    <w:rsid w:val="1D0958F9"/>
    <w:rsid w:val="1D263197"/>
    <w:rsid w:val="1D94DE8B"/>
    <w:rsid w:val="1D9947BE"/>
    <w:rsid w:val="1E2E3E9F"/>
    <w:rsid w:val="1E311FB8"/>
    <w:rsid w:val="1E894173"/>
    <w:rsid w:val="1E8E379F"/>
    <w:rsid w:val="1EDA6F88"/>
    <w:rsid w:val="1EDE6B9C"/>
    <w:rsid w:val="1FB8F553"/>
    <w:rsid w:val="209EE3FD"/>
    <w:rsid w:val="20C2FFB2"/>
    <w:rsid w:val="2119EE1F"/>
    <w:rsid w:val="211FC283"/>
    <w:rsid w:val="214F1502"/>
    <w:rsid w:val="21646213"/>
    <w:rsid w:val="222EF10B"/>
    <w:rsid w:val="2235D0B5"/>
    <w:rsid w:val="22427D1D"/>
    <w:rsid w:val="2270F8AE"/>
    <w:rsid w:val="229C5B38"/>
    <w:rsid w:val="22AA7D15"/>
    <w:rsid w:val="2356BB3A"/>
    <w:rsid w:val="23D0A010"/>
    <w:rsid w:val="23E159D7"/>
    <w:rsid w:val="2464A096"/>
    <w:rsid w:val="24FE42FA"/>
    <w:rsid w:val="252CC184"/>
    <w:rsid w:val="2565301E"/>
    <w:rsid w:val="25CE8CC1"/>
    <w:rsid w:val="25D02633"/>
    <w:rsid w:val="25F05D55"/>
    <w:rsid w:val="26228625"/>
    <w:rsid w:val="262EB547"/>
    <w:rsid w:val="2637D336"/>
    <w:rsid w:val="2680EAFE"/>
    <w:rsid w:val="271D87BE"/>
    <w:rsid w:val="27ADB8D9"/>
    <w:rsid w:val="27FE1A3B"/>
    <w:rsid w:val="28A1E774"/>
    <w:rsid w:val="28A51239"/>
    <w:rsid w:val="291CEF26"/>
    <w:rsid w:val="29637E0F"/>
    <w:rsid w:val="2A14B2E6"/>
    <w:rsid w:val="2A31A906"/>
    <w:rsid w:val="2AAB84DC"/>
    <w:rsid w:val="2AB70039"/>
    <w:rsid w:val="2AD1F947"/>
    <w:rsid w:val="2AE46199"/>
    <w:rsid w:val="2B2A9CC0"/>
    <w:rsid w:val="2C14D1C8"/>
    <w:rsid w:val="2C1B88AD"/>
    <w:rsid w:val="2C3442EB"/>
    <w:rsid w:val="2C3E2B4B"/>
    <w:rsid w:val="2C47553D"/>
    <w:rsid w:val="2C515FFD"/>
    <w:rsid w:val="2C5AD14E"/>
    <w:rsid w:val="2C91C7A9"/>
    <w:rsid w:val="2CE572D2"/>
    <w:rsid w:val="2D0C60E1"/>
    <w:rsid w:val="2D19AD27"/>
    <w:rsid w:val="2D27A283"/>
    <w:rsid w:val="2D6C10C5"/>
    <w:rsid w:val="2D90B7E9"/>
    <w:rsid w:val="2EB1A714"/>
    <w:rsid w:val="2EC551AA"/>
    <w:rsid w:val="2F16E99D"/>
    <w:rsid w:val="2F53296F"/>
    <w:rsid w:val="2F8EEC8A"/>
    <w:rsid w:val="2FAC6756"/>
    <w:rsid w:val="302FBC8C"/>
    <w:rsid w:val="303EEF5E"/>
    <w:rsid w:val="311CC936"/>
    <w:rsid w:val="32013C14"/>
    <w:rsid w:val="329D6E64"/>
    <w:rsid w:val="32B68928"/>
    <w:rsid w:val="32B696C1"/>
    <w:rsid w:val="3301092D"/>
    <w:rsid w:val="330DBAEE"/>
    <w:rsid w:val="331525D5"/>
    <w:rsid w:val="332700E4"/>
    <w:rsid w:val="33512318"/>
    <w:rsid w:val="335E5869"/>
    <w:rsid w:val="339903E9"/>
    <w:rsid w:val="33AE62A6"/>
    <w:rsid w:val="33D642F1"/>
    <w:rsid w:val="34084768"/>
    <w:rsid w:val="343467C0"/>
    <w:rsid w:val="343A6717"/>
    <w:rsid w:val="344E2831"/>
    <w:rsid w:val="34F38B29"/>
    <w:rsid w:val="353A27BD"/>
    <w:rsid w:val="35AC5004"/>
    <w:rsid w:val="35BA18C6"/>
    <w:rsid w:val="362ED564"/>
    <w:rsid w:val="364CC697"/>
    <w:rsid w:val="366FBEB7"/>
    <w:rsid w:val="367782DF"/>
    <w:rsid w:val="367A4B58"/>
    <w:rsid w:val="368174E6"/>
    <w:rsid w:val="36B62DE6"/>
    <w:rsid w:val="37091B9C"/>
    <w:rsid w:val="372A4743"/>
    <w:rsid w:val="376CEDB0"/>
    <w:rsid w:val="37E93C8E"/>
    <w:rsid w:val="384E3627"/>
    <w:rsid w:val="38F76485"/>
    <w:rsid w:val="39272B89"/>
    <w:rsid w:val="399DAA51"/>
    <w:rsid w:val="39A5BE0C"/>
    <w:rsid w:val="39B915A8"/>
    <w:rsid w:val="3A04CB44"/>
    <w:rsid w:val="3A43313F"/>
    <w:rsid w:val="3A52134E"/>
    <w:rsid w:val="3A99573F"/>
    <w:rsid w:val="3AA6A289"/>
    <w:rsid w:val="3B0B01BC"/>
    <w:rsid w:val="3B53B7B4"/>
    <w:rsid w:val="3B784E1F"/>
    <w:rsid w:val="3B79F084"/>
    <w:rsid w:val="3B89B71F"/>
    <w:rsid w:val="3B9CCC1A"/>
    <w:rsid w:val="3BEDE3AF"/>
    <w:rsid w:val="3C5C4C19"/>
    <w:rsid w:val="3CEBB372"/>
    <w:rsid w:val="3CF5F184"/>
    <w:rsid w:val="3D735E38"/>
    <w:rsid w:val="3D828609"/>
    <w:rsid w:val="3E18DFE9"/>
    <w:rsid w:val="3E4BA95A"/>
    <w:rsid w:val="3E75EE24"/>
    <w:rsid w:val="3E8272AF"/>
    <w:rsid w:val="3EAB9799"/>
    <w:rsid w:val="3F2983FE"/>
    <w:rsid w:val="3F2F3A48"/>
    <w:rsid w:val="3F4083B3"/>
    <w:rsid w:val="3F6B7355"/>
    <w:rsid w:val="3FF3A8DD"/>
    <w:rsid w:val="40130DC3"/>
    <w:rsid w:val="4030CE53"/>
    <w:rsid w:val="403DCC75"/>
    <w:rsid w:val="40D23D85"/>
    <w:rsid w:val="413F1CB2"/>
    <w:rsid w:val="423496D9"/>
    <w:rsid w:val="42CB7E1F"/>
    <w:rsid w:val="431F1A7D"/>
    <w:rsid w:val="432B499F"/>
    <w:rsid w:val="4393E8C0"/>
    <w:rsid w:val="439573EE"/>
    <w:rsid w:val="43972076"/>
    <w:rsid w:val="439C4C00"/>
    <w:rsid w:val="43C2E312"/>
    <w:rsid w:val="444E6420"/>
    <w:rsid w:val="448FD213"/>
    <w:rsid w:val="44D4CC96"/>
    <w:rsid w:val="44F2D88B"/>
    <w:rsid w:val="45F04F1A"/>
    <w:rsid w:val="45F57205"/>
    <w:rsid w:val="4626AFAA"/>
    <w:rsid w:val="46789E24"/>
    <w:rsid w:val="467CB2F6"/>
    <w:rsid w:val="467CBCB5"/>
    <w:rsid w:val="470ACE89"/>
    <w:rsid w:val="47864940"/>
    <w:rsid w:val="47FD0478"/>
    <w:rsid w:val="47FF0CA2"/>
    <w:rsid w:val="4893861B"/>
    <w:rsid w:val="48C91A34"/>
    <w:rsid w:val="48F49563"/>
    <w:rsid w:val="4928B3FA"/>
    <w:rsid w:val="49417D3E"/>
    <w:rsid w:val="498162C6"/>
    <w:rsid w:val="49902490"/>
    <w:rsid w:val="49EACA15"/>
    <w:rsid w:val="4A221202"/>
    <w:rsid w:val="4A85F14B"/>
    <w:rsid w:val="4ABFAA1E"/>
    <w:rsid w:val="4AD69004"/>
    <w:rsid w:val="4AF5EFD3"/>
    <w:rsid w:val="4B7E4849"/>
    <w:rsid w:val="4B8F5293"/>
    <w:rsid w:val="4BB916E5"/>
    <w:rsid w:val="4BBDE263"/>
    <w:rsid w:val="4C54AE12"/>
    <w:rsid w:val="4C726065"/>
    <w:rsid w:val="4C891E03"/>
    <w:rsid w:val="4CDAAFE1"/>
    <w:rsid w:val="4D11AF21"/>
    <w:rsid w:val="4D4E3767"/>
    <w:rsid w:val="4D8C440A"/>
    <w:rsid w:val="4E023D12"/>
    <w:rsid w:val="4E0671AA"/>
    <w:rsid w:val="4E23819B"/>
    <w:rsid w:val="4E46EE4E"/>
    <w:rsid w:val="4EF7C3AD"/>
    <w:rsid w:val="4F02C79F"/>
    <w:rsid w:val="4F2184D1"/>
    <w:rsid w:val="4F3B48B1"/>
    <w:rsid w:val="500A6CDF"/>
    <w:rsid w:val="509E9800"/>
    <w:rsid w:val="51075F5D"/>
    <w:rsid w:val="5119158C"/>
    <w:rsid w:val="512393C4"/>
    <w:rsid w:val="51369CF4"/>
    <w:rsid w:val="513DC3C5"/>
    <w:rsid w:val="51A8918A"/>
    <w:rsid w:val="5258B086"/>
    <w:rsid w:val="52736321"/>
    <w:rsid w:val="5278BC14"/>
    <w:rsid w:val="529E4BA8"/>
    <w:rsid w:val="52B79478"/>
    <w:rsid w:val="52D26D55"/>
    <w:rsid w:val="53371D63"/>
    <w:rsid w:val="535AC42F"/>
    <w:rsid w:val="54339958"/>
    <w:rsid w:val="5484659A"/>
    <w:rsid w:val="54876613"/>
    <w:rsid w:val="54DAD1E5"/>
    <w:rsid w:val="54F7D2FE"/>
    <w:rsid w:val="54FBB598"/>
    <w:rsid w:val="55632013"/>
    <w:rsid w:val="55DAD080"/>
    <w:rsid w:val="55E3C31D"/>
    <w:rsid w:val="5693A35F"/>
    <w:rsid w:val="56B12111"/>
    <w:rsid w:val="56FC34BB"/>
    <w:rsid w:val="578AF5CC"/>
    <w:rsid w:val="57A3CF29"/>
    <w:rsid w:val="58334F0C"/>
    <w:rsid w:val="58373090"/>
    <w:rsid w:val="58EA579B"/>
    <w:rsid w:val="5971484E"/>
    <w:rsid w:val="5A79A0E6"/>
    <w:rsid w:val="5A8B4983"/>
    <w:rsid w:val="5AA1852A"/>
    <w:rsid w:val="5B25669A"/>
    <w:rsid w:val="5B393D39"/>
    <w:rsid w:val="5B50D72E"/>
    <w:rsid w:val="5B5127A6"/>
    <w:rsid w:val="5B869E69"/>
    <w:rsid w:val="5BAA02BA"/>
    <w:rsid w:val="5BE9382D"/>
    <w:rsid w:val="5C2BF4E3"/>
    <w:rsid w:val="5C631D46"/>
    <w:rsid w:val="5C8B744D"/>
    <w:rsid w:val="5C9D76F3"/>
    <w:rsid w:val="5D631EC5"/>
    <w:rsid w:val="5D9D7620"/>
    <w:rsid w:val="5DA37EEB"/>
    <w:rsid w:val="5DA4C0CD"/>
    <w:rsid w:val="5DB6BB23"/>
    <w:rsid w:val="5EB81B53"/>
    <w:rsid w:val="5EFEEF26"/>
    <w:rsid w:val="5FD5C57C"/>
    <w:rsid w:val="5FD7DEB2"/>
    <w:rsid w:val="5FEC5076"/>
    <w:rsid w:val="60D53388"/>
    <w:rsid w:val="60F23D69"/>
    <w:rsid w:val="610FD827"/>
    <w:rsid w:val="620B9B1D"/>
    <w:rsid w:val="636803B9"/>
    <w:rsid w:val="6395D2DD"/>
    <w:rsid w:val="63C319E1"/>
    <w:rsid w:val="64C8FE60"/>
    <w:rsid w:val="64E226BD"/>
    <w:rsid w:val="65672582"/>
    <w:rsid w:val="65B36900"/>
    <w:rsid w:val="65CE9C62"/>
    <w:rsid w:val="662871D7"/>
    <w:rsid w:val="663B9C3F"/>
    <w:rsid w:val="66FA02A0"/>
    <w:rsid w:val="6707E633"/>
    <w:rsid w:val="672CB422"/>
    <w:rsid w:val="67728EE0"/>
    <w:rsid w:val="679B53A5"/>
    <w:rsid w:val="6895DFE7"/>
    <w:rsid w:val="68C56284"/>
    <w:rsid w:val="68C88483"/>
    <w:rsid w:val="69395A7D"/>
    <w:rsid w:val="697BE40E"/>
    <w:rsid w:val="69927B52"/>
    <w:rsid w:val="6A98AA9F"/>
    <w:rsid w:val="6ACDD259"/>
    <w:rsid w:val="6B8C022E"/>
    <w:rsid w:val="6B9A0B3F"/>
    <w:rsid w:val="6C451FED"/>
    <w:rsid w:val="6C5047AD"/>
    <w:rsid w:val="6C86EEFE"/>
    <w:rsid w:val="6C9B6954"/>
    <w:rsid w:val="6CC136B6"/>
    <w:rsid w:val="6D3AD064"/>
    <w:rsid w:val="6D4C8693"/>
    <w:rsid w:val="6D4C951A"/>
    <w:rsid w:val="6D9BF5A6"/>
    <w:rsid w:val="6D9C339F"/>
    <w:rsid w:val="6DB3B690"/>
    <w:rsid w:val="6DC7D338"/>
    <w:rsid w:val="6DED4000"/>
    <w:rsid w:val="6E8971A3"/>
    <w:rsid w:val="6F033BB8"/>
    <w:rsid w:val="6F11BA75"/>
    <w:rsid w:val="6F34908F"/>
    <w:rsid w:val="6F650F69"/>
    <w:rsid w:val="7032AC37"/>
    <w:rsid w:val="70727126"/>
    <w:rsid w:val="70B7D6A1"/>
    <w:rsid w:val="71154C38"/>
    <w:rsid w:val="711A59D3"/>
    <w:rsid w:val="716F2816"/>
    <w:rsid w:val="71F46756"/>
    <w:rsid w:val="71F66A75"/>
    <w:rsid w:val="7253A702"/>
    <w:rsid w:val="72602B40"/>
    <w:rsid w:val="729282F4"/>
    <w:rsid w:val="72B379AB"/>
    <w:rsid w:val="72F50015"/>
    <w:rsid w:val="7334D2FC"/>
    <w:rsid w:val="73BDB7C1"/>
    <w:rsid w:val="73EF7763"/>
    <w:rsid w:val="73F277DC"/>
    <w:rsid w:val="74A07C0B"/>
    <w:rsid w:val="74D7ADD3"/>
    <w:rsid w:val="74D7C3F8"/>
    <w:rsid w:val="754B2C5D"/>
    <w:rsid w:val="76274244"/>
    <w:rsid w:val="76739459"/>
    <w:rsid w:val="76D1C91E"/>
    <w:rsid w:val="76DB1443"/>
    <w:rsid w:val="77458C4E"/>
    <w:rsid w:val="781CA934"/>
    <w:rsid w:val="7836218C"/>
    <w:rsid w:val="78EFBECA"/>
    <w:rsid w:val="79B87995"/>
    <w:rsid w:val="79E650DE"/>
    <w:rsid w:val="79F448DC"/>
    <w:rsid w:val="7A47C169"/>
    <w:rsid w:val="7A67F692"/>
    <w:rsid w:val="7A7BC35B"/>
    <w:rsid w:val="7AD12FBD"/>
    <w:rsid w:val="7AEE0045"/>
    <w:rsid w:val="7B07922D"/>
    <w:rsid w:val="7B0FBD8F"/>
    <w:rsid w:val="7B11D081"/>
    <w:rsid w:val="7B2261C2"/>
    <w:rsid w:val="7B23FB0B"/>
    <w:rsid w:val="7B2DDD1F"/>
    <w:rsid w:val="7B63C48F"/>
    <w:rsid w:val="7B7209F7"/>
    <w:rsid w:val="7B943F84"/>
    <w:rsid w:val="7BC5B7B1"/>
    <w:rsid w:val="7BCEEBB5"/>
    <w:rsid w:val="7C2A6A14"/>
    <w:rsid w:val="7C45C63F"/>
    <w:rsid w:val="7CAB1FD1"/>
    <w:rsid w:val="7E3839F0"/>
    <w:rsid w:val="7E47C341"/>
    <w:rsid w:val="7E792AAF"/>
    <w:rsid w:val="7E7CB382"/>
    <w:rsid w:val="7E958792"/>
    <w:rsid w:val="7F55D757"/>
    <w:rsid w:val="7FAF166B"/>
    <w:rsid w:val="7FF7FB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F04582A8-BDC6-404E-A673-B2EBC137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D16009"/>
    <w:pPr>
      <w:ind w:left="720"/>
      <w:contextualSpacing/>
    </w:pPr>
  </w:style>
  <w:style w:type="character" w:styleId="UnresolvedMention">
    <w:name w:val="Unresolved Mention"/>
    <w:basedOn w:val="DefaultParagraphFont"/>
    <w:uiPriority w:val="99"/>
    <w:semiHidden/>
    <w:unhideWhenUsed/>
    <w:rsid w:val="00066946"/>
    <w:rPr>
      <w:color w:val="605E5C"/>
      <w:shd w:val="clear" w:color="auto" w:fill="E1DFDD"/>
    </w:rPr>
  </w:style>
  <w:style w:type="character" w:styleId="FollowedHyperlink">
    <w:name w:val="FollowedHyperlink"/>
    <w:basedOn w:val="DefaultParagraphFont"/>
    <w:rsid w:val="00D36B02"/>
    <w:rPr>
      <w:color w:val="954F72" w:themeColor="followedHyperlink"/>
      <w:u w:val="singl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EB2DF3"/>
    <w:rPr>
      <w:b/>
      <w:bCs/>
    </w:rPr>
  </w:style>
  <w:style w:type="character" w:customStyle="1" w:styleId="CommentSubjectChar">
    <w:name w:val="Comment Subject Char"/>
    <w:basedOn w:val="CommentTextChar"/>
    <w:link w:val="CommentSubject"/>
    <w:rsid w:val="00EB2DF3"/>
    <w:rPr>
      <w:b/>
      <w:bCs/>
    </w:rPr>
  </w:style>
  <w:style w:type="paragraph" w:styleId="Revision">
    <w:name w:val="Revision"/>
    <w:hidden/>
    <w:uiPriority w:val="99"/>
    <w:semiHidden/>
    <w:rsid w:val="00AF181E"/>
    <w:rPr>
      <w:sz w:val="24"/>
    </w:rPr>
  </w:style>
  <w:style w:type="character" w:styleId="Mention">
    <w:name w:val="Mention"/>
    <w:basedOn w:val="DefaultParagraphFont"/>
    <w:uiPriority w:val="99"/>
    <w:unhideWhenUsed/>
    <w:rsid w:val="0027126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corp.com/tests/140230/mpox-orthopoxvirus-dna-pcr%20" TargetMode="External"/><Relationship Id="rId18" Type="http://schemas.openxmlformats.org/officeDocument/2006/relationships/hyperlink" Target="https://ltd.aruplab.com/Tests/Pub/3005716" TargetMode="External"/><Relationship Id="rId26" Type="http://schemas.openxmlformats.org/officeDocument/2006/relationships/hyperlink" Target="https://www.youtube.com/watch?v=TLv1mR6mECQ" TargetMode="External"/><Relationship Id="rId3" Type="http://schemas.openxmlformats.org/officeDocument/2006/relationships/customXml" Target="../customXml/item3.xml"/><Relationship Id="rId21" Type="http://schemas.openxmlformats.org/officeDocument/2006/relationships/hyperlink" Target="https://www.stomptpoxx.org/mai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instructions-for-specimen-collection-for-orthopoxvirus-testing/download" TargetMode="External"/><Relationship Id="rId17" Type="http://schemas.openxmlformats.org/officeDocument/2006/relationships/hyperlink" Target="https://directory.sonicreferencelab.com/tests?iframe_layout=srl" TargetMode="External"/><Relationship Id="rId25" Type="http://schemas.openxmlformats.org/officeDocument/2006/relationships/hyperlink" Target="https://www.cdc.gov/poxvirus/monkeypox/interim-considerations/jynneos-vaccine.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rectory.sonicreferencelab.com/tests?iframe_layout=srl" TargetMode="External"/><Relationship Id="rId20" Type="http://schemas.openxmlformats.org/officeDocument/2006/relationships/hyperlink" Target="https://www.cdc.gov/poxvirus/mpox/clinicians/Tecovirimat.html" TargetMode="External"/><Relationship Id="rId29" Type="http://schemas.openxmlformats.org/officeDocument/2006/relationships/hyperlink" Target="https://www.cdc.gov/poxvirus/monkeypox/interim-considerations/special-population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poxvirus/monkeypox/clinicians/treatment.html" TargetMode="External"/><Relationship Id="rId24" Type="http://schemas.openxmlformats.org/officeDocument/2006/relationships/hyperlink" Target="https://www.mass.gov/info-details/mpox-vaccination" TargetMode="External"/><Relationship Id="rId32" Type="http://schemas.openxmlformats.org/officeDocument/2006/relationships/hyperlink" Target="https://www.cdc.gov/vaccines/hcp/vis/vis-statements/smallpox-monkeypox.pdf" TargetMode="External"/><Relationship Id="rId5" Type="http://schemas.openxmlformats.org/officeDocument/2006/relationships/numbering" Target="numbering.xml"/><Relationship Id="rId15" Type="http://schemas.openxmlformats.org/officeDocument/2006/relationships/hyperlink" Target="https://www.aegislabs.com/our-services/monkeypox" TargetMode="External"/><Relationship Id="rId23" Type="http://schemas.openxmlformats.org/officeDocument/2006/relationships/hyperlink" Target="https://www.cdc.gov/poxvirus/mpox/clinicians/vaccines/vaccine-basics-healthcare.html" TargetMode="External"/><Relationship Id="rId28" Type="http://schemas.openxmlformats.org/officeDocument/2006/relationships/hyperlink" Target="https://www.cdc.gov/poxvirus/monkeypox/interim-considerations/errors-deviations.html" TargetMode="External"/><Relationship Id="rId10" Type="http://schemas.openxmlformats.org/officeDocument/2006/relationships/hyperlink" Target="https://www.cdc.gov/poxvirus/mpox/clinicians/clinical-recognition.html" TargetMode="External"/><Relationship Id="rId19" Type="http://schemas.openxmlformats.org/officeDocument/2006/relationships/hyperlink" Target="https://www.cdc.gov/poxvirus/monkeypox/clinicians/infection-control-home.html" TargetMode="External"/><Relationship Id="rId31" Type="http://schemas.openxmlformats.org/officeDocument/2006/relationships/hyperlink" Target="https://www.fda.gov/media/160773/downloa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testdirectory.questdiagnostics.com/test/test-detail/12084/monkeypox-virus-dna-qualitative-real-time-pcr?q=monkeypox&amp;cc=MASTER" TargetMode="External"/><Relationship Id="rId22" Type="http://schemas.openxmlformats.org/officeDocument/2006/relationships/hyperlink" Target="https://www.cdc.gov/poxvirus/mpox/clinicians/obtaining-tecovirimat.html" TargetMode="External"/><Relationship Id="rId27" Type="http://schemas.openxmlformats.org/officeDocument/2006/relationships/hyperlink" Target="https://www.cdc.gov/poxvirus/monkeypox/files/interim-considerations/guidance-jynneos-prep-admin-alt-dosing.pdf" TargetMode="External"/><Relationship Id="rId30" Type="http://schemas.openxmlformats.org/officeDocument/2006/relationships/hyperlink" Target="https://www.fda.gov/media/160774/download"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3" ma:contentTypeDescription="Create a new document." ma:contentTypeScope="" ma:versionID="7e9ab2c0b5703f1bdb6b39f260aefa59">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f3dae25cbab7f4e44535ebb26a38e628"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591810b0-a6f7-4310-bd0d-d56b138bcd83"/>
  </ds:schemaRefs>
</ds:datastoreItem>
</file>

<file path=customXml/itemProps3.xml><?xml version="1.0" encoding="utf-8"?>
<ds:datastoreItem xmlns:ds="http://schemas.openxmlformats.org/officeDocument/2006/customXml" ds:itemID="{80904CFE-2E95-430D-A41B-0C884C5EA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C9600-AB83-45E7-87EA-0424ABF2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9</Pages>
  <Words>3378</Words>
  <Characters>22291</Characters>
  <Application>Microsoft Office Word</Application>
  <DocSecurity>4</DocSecurity>
  <Lines>185</Lines>
  <Paragraphs>51</Paragraphs>
  <ScaleCrop>false</ScaleCrop>
  <Company>Commonwealth of Massachusetts</Company>
  <LinksUpToDate>false</LinksUpToDate>
  <CharactersWithSpaces>25618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Perez, Carley W. (DPH)</cp:lastModifiedBy>
  <cp:revision>2</cp:revision>
  <cp:lastPrinted>2015-01-29T23:50:00Z</cp:lastPrinted>
  <dcterms:created xsi:type="dcterms:W3CDTF">2024-04-18T15:17:00Z</dcterms:created>
  <dcterms:modified xsi:type="dcterms:W3CDTF">2024-04-18T15:17:00Z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