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3852" w14:textId="59DAB5A2" w:rsidR="001308EF" w:rsidRPr="001D2CA6" w:rsidRDefault="001308EF" w:rsidP="000235B4">
      <w:pPr>
        <w:rPr>
          <w:rFonts w:eastAsiaTheme="majorEastAsia" w:cstheme="majorBidi"/>
          <w:b/>
          <w:bCs/>
          <w:iCs/>
          <w:sz w:val="28"/>
          <w:szCs w:val="28"/>
          <w:u w:val="single"/>
        </w:rPr>
      </w:pPr>
      <w:r w:rsidRPr="001D2CA6">
        <w:rPr>
          <w:rFonts w:eastAsiaTheme="majorEastAsia" w:cstheme="majorBidi"/>
          <w:b/>
          <w:bCs/>
          <w:iCs/>
          <w:sz w:val="28"/>
          <w:szCs w:val="28"/>
          <w:u w:val="single"/>
        </w:rPr>
        <w:t>Community Cluster Testing</w:t>
      </w:r>
    </w:p>
    <w:p w14:paraId="39E28193" w14:textId="7948777F" w:rsidR="00C63179" w:rsidRPr="00423189" w:rsidRDefault="00AE561F" w:rsidP="000235B4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What is “cluster testing?”</w:t>
      </w:r>
    </w:p>
    <w:p w14:paraId="726B0CD4" w14:textId="16637F1C" w:rsidR="00F42CF7" w:rsidRDefault="000235B4" w:rsidP="00F42CF7">
      <w:pPr>
        <w:pStyle w:val="ListParagraph"/>
        <w:numPr>
          <w:ilvl w:val="0"/>
          <w:numId w:val="45"/>
        </w:numPr>
        <w:spacing w:after="240"/>
      </w:pPr>
      <w:r w:rsidRPr="001115C5">
        <w:t xml:space="preserve">Cluster testing is </w:t>
      </w:r>
      <w:r w:rsidRPr="00F42CF7">
        <w:rPr>
          <w:b/>
          <w:bCs/>
        </w:rPr>
        <w:t>time-limited testing</w:t>
      </w:r>
      <w:r w:rsidRPr="001115C5">
        <w:t xml:space="preserve"> that is deployed </w:t>
      </w:r>
      <w:r w:rsidR="001308EF">
        <w:t>to</w:t>
      </w:r>
      <w:r w:rsidR="00830DDF">
        <w:t xml:space="preserve"> a </w:t>
      </w:r>
      <w:r w:rsidRPr="001115C5">
        <w:t xml:space="preserve">community as a result of an </w:t>
      </w:r>
      <w:r w:rsidRPr="00F42CF7">
        <w:rPr>
          <w:b/>
          <w:bCs/>
        </w:rPr>
        <w:t>active</w:t>
      </w:r>
      <w:r w:rsidR="00FE7B4E" w:rsidRPr="00F42CF7">
        <w:rPr>
          <w:b/>
          <w:bCs/>
        </w:rPr>
        <w:t xml:space="preserve"> and ongoing</w:t>
      </w:r>
      <w:r w:rsidRPr="00F42CF7">
        <w:rPr>
          <w:b/>
          <w:bCs/>
        </w:rPr>
        <w:t xml:space="preserve"> </w:t>
      </w:r>
      <w:r w:rsidR="00CD4F85" w:rsidRPr="00F42CF7">
        <w:rPr>
          <w:b/>
          <w:bCs/>
        </w:rPr>
        <w:t xml:space="preserve">cluster </w:t>
      </w:r>
      <w:r w:rsidRPr="00F42CF7">
        <w:rPr>
          <w:b/>
          <w:bCs/>
        </w:rPr>
        <w:t>outbreak</w:t>
      </w:r>
      <w:r w:rsidRPr="001115C5">
        <w:t>.</w:t>
      </w:r>
      <w:r w:rsidR="00F42CF7">
        <w:t xml:space="preserve"> </w:t>
      </w:r>
    </w:p>
    <w:p w14:paraId="226C5D20" w14:textId="6B95F41C" w:rsidR="001308EF" w:rsidRPr="00423189" w:rsidRDefault="001308EF" w:rsidP="001308EF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Who can request cluster testing?</w:t>
      </w:r>
    </w:p>
    <w:p w14:paraId="5E8EAC14" w14:textId="0785D9AB" w:rsidR="001308EF" w:rsidRPr="001308EF" w:rsidRDefault="001308EF" w:rsidP="001308EF">
      <w:pPr>
        <w:pStyle w:val="ListParagraph"/>
        <w:numPr>
          <w:ilvl w:val="0"/>
          <w:numId w:val="45"/>
        </w:numPr>
        <w:spacing w:after="240"/>
      </w:pPr>
      <w:r>
        <w:t>Cluster</w:t>
      </w:r>
      <w:r w:rsidRPr="001115C5">
        <w:t xml:space="preserve"> testing may</w:t>
      </w:r>
      <w:r w:rsidR="005F6AFB">
        <w:t xml:space="preserve"> </w:t>
      </w:r>
      <w:r w:rsidRPr="001115C5">
        <w:t>be requested by a local board of health</w:t>
      </w:r>
      <w:r>
        <w:t xml:space="preserve"> (LBOH).</w:t>
      </w:r>
    </w:p>
    <w:p w14:paraId="57C50D94" w14:textId="67BD2704" w:rsidR="001308EF" w:rsidRPr="00423189" w:rsidRDefault="001308EF" w:rsidP="00423189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Who cannot request cluster testing?</w:t>
      </w:r>
    </w:p>
    <w:p w14:paraId="3DA6D164" w14:textId="08A0450E" w:rsidR="001308EF" w:rsidRDefault="001308EF" w:rsidP="001308EF">
      <w:pPr>
        <w:pStyle w:val="ListParagraph"/>
        <w:numPr>
          <w:ilvl w:val="0"/>
          <w:numId w:val="43"/>
        </w:numPr>
        <w:spacing w:after="240"/>
      </w:pPr>
      <w:r>
        <w:t>This guidance does not pertain to clusters occurring in Houses of Correction or state-operated programs.</w:t>
      </w:r>
      <w:r w:rsidR="003B1310">
        <w:t xml:space="preserve"> Clusters in these settings should be referred to Amy Kaplan at </w:t>
      </w:r>
      <w:hyperlink r:id="rId8" w:history="1">
        <w:r w:rsidR="003B1310" w:rsidRPr="00A65CE6">
          <w:rPr>
            <w:rStyle w:val="Hyperlink"/>
          </w:rPr>
          <w:t>amy.e.kaplan@mass.gov</w:t>
        </w:r>
      </w:hyperlink>
      <w:r w:rsidR="003B1310">
        <w:t xml:space="preserve">. </w:t>
      </w:r>
    </w:p>
    <w:p w14:paraId="43BBAF03" w14:textId="4C7BB38E" w:rsidR="001308EF" w:rsidRDefault="001308EF" w:rsidP="001308EF">
      <w:pPr>
        <w:pStyle w:val="ListParagraph"/>
        <w:numPr>
          <w:ilvl w:val="0"/>
          <w:numId w:val="43"/>
        </w:numPr>
        <w:spacing w:after="240"/>
      </w:pPr>
      <w:r>
        <w:t xml:space="preserve">Clusters occurring within </w:t>
      </w:r>
      <w:r w:rsidR="001D2CA6">
        <w:t xml:space="preserve">a </w:t>
      </w:r>
      <w:r>
        <w:t xml:space="preserve">private business should be addressed </w:t>
      </w:r>
      <w:r w:rsidR="001D2CA6">
        <w:t xml:space="preserve">by the business owner </w:t>
      </w:r>
      <w:r>
        <w:t xml:space="preserve">with </w:t>
      </w:r>
      <w:hyperlink r:id="rId9" w:anchor="testing-options-for-entities-" w:history="1">
        <w:r w:rsidRPr="00B5691F">
          <w:rPr>
            <w:rStyle w:val="Hyperlink"/>
          </w:rPr>
          <w:t>privately funded testing</w:t>
        </w:r>
      </w:hyperlink>
      <w:r>
        <w:t xml:space="preserve">. </w:t>
      </w:r>
    </w:p>
    <w:p w14:paraId="28B12CFE" w14:textId="7F0B7DBE" w:rsidR="001308EF" w:rsidRDefault="001308EF" w:rsidP="001308EF">
      <w:pPr>
        <w:pStyle w:val="ListParagraph"/>
        <w:numPr>
          <w:ilvl w:val="0"/>
          <w:numId w:val="43"/>
        </w:numPr>
        <w:spacing w:after="240"/>
      </w:pPr>
      <w:r>
        <w:t xml:space="preserve">Municipalities that currently have </w:t>
      </w:r>
      <w:hyperlink r:id="rId10" w:history="1">
        <w:r w:rsidRPr="00B5691F">
          <w:rPr>
            <w:rStyle w:val="Hyperlink"/>
          </w:rPr>
          <w:t>Stop the Spread</w:t>
        </w:r>
      </w:hyperlink>
      <w:r>
        <w:t xml:space="preserve"> testing may request </w:t>
      </w:r>
      <w:r w:rsidR="001D2CA6">
        <w:t>rapid response</w:t>
      </w:r>
      <w:r>
        <w:t xml:space="preserve"> testing for a school-based outbreak (see “School-Based Rapid Response Testing” below), but not for broader community </w:t>
      </w:r>
      <w:r w:rsidR="009D2C21">
        <w:t>testing.</w:t>
      </w:r>
    </w:p>
    <w:p w14:paraId="26B4C947" w14:textId="77777777" w:rsidR="001308EF" w:rsidRPr="00423189" w:rsidRDefault="001308EF" w:rsidP="00423189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How does cluster testing work?</w:t>
      </w:r>
    </w:p>
    <w:p w14:paraId="009A8170" w14:textId="77777777" w:rsidR="001308EF" w:rsidRPr="001115C5" w:rsidRDefault="001308EF" w:rsidP="001308EF">
      <w:pPr>
        <w:pStyle w:val="ListParagraph"/>
        <w:numPr>
          <w:ilvl w:val="0"/>
          <w:numId w:val="44"/>
        </w:numPr>
        <w:spacing w:after="240"/>
      </w:pPr>
      <w:r>
        <w:t xml:space="preserve">Once approved, </w:t>
      </w:r>
      <w:r w:rsidRPr="001115C5">
        <w:t xml:space="preserve">the Department of Public Health will connect </w:t>
      </w:r>
      <w:r>
        <w:t xml:space="preserve">the requesting party </w:t>
      </w:r>
      <w:r w:rsidRPr="001115C5">
        <w:t xml:space="preserve">with a </w:t>
      </w:r>
      <w:r w:rsidRPr="00B5691F">
        <w:rPr>
          <w:b/>
          <w:bCs/>
        </w:rPr>
        <w:t xml:space="preserve">Mobile </w:t>
      </w:r>
      <w:r>
        <w:rPr>
          <w:b/>
          <w:bCs/>
        </w:rPr>
        <w:t>Testing Provider</w:t>
      </w:r>
      <w:r w:rsidRPr="001115C5">
        <w:t xml:space="preserve">, who will coordinate date(s), locations(s), and logistics of </w:t>
      </w:r>
      <w:r>
        <w:t xml:space="preserve">the </w:t>
      </w:r>
      <w:r w:rsidRPr="001115C5">
        <w:t>testing event.</w:t>
      </w:r>
      <w:r w:rsidRPr="00B5691F">
        <w:rPr>
          <w:b/>
          <w:bCs/>
        </w:rPr>
        <w:t xml:space="preserve"> </w:t>
      </w:r>
    </w:p>
    <w:p w14:paraId="0CC2E2BC" w14:textId="7DF4AC4A" w:rsidR="00601709" w:rsidRPr="00D67F62" w:rsidRDefault="001308EF" w:rsidP="00D67F62">
      <w:pPr>
        <w:pStyle w:val="ListParagraph"/>
        <w:numPr>
          <w:ilvl w:val="0"/>
          <w:numId w:val="37"/>
        </w:numPr>
        <w:spacing w:after="240"/>
      </w:pPr>
      <w:r w:rsidRPr="001115C5">
        <w:t xml:space="preserve">The </w:t>
      </w:r>
      <w:r>
        <w:t xml:space="preserve">Mobile </w:t>
      </w:r>
      <w:r w:rsidR="005F6AFB">
        <w:t xml:space="preserve">Testing </w:t>
      </w:r>
      <w:r>
        <w:t>Provider</w:t>
      </w:r>
      <w:r w:rsidRPr="001115C5">
        <w:t xml:space="preserve"> will provide all staff and supplies for the event and will provide </w:t>
      </w:r>
      <w:r>
        <w:t xml:space="preserve">individuals </w:t>
      </w:r>
      <w:r w:rsidRPr="001115C5">
        <w:t>with their test results</w:t>
      </w:r>
      <w:r w:rsidR="00D67F62">
        <w:t xml:space="preserve">; </w:t>
      </w:r>
      <w:r w:rsidR="00D67F62">
        <w:rPr>
          <w:bCs/>
        </w:rPr>
        <w:t>t</w:t>
      </w:r>
      <w:bookmarkStart w:id="0" w:name="_GoBack"/>
      <w:bookmarkEnd w:id="0"/>
      <w:r w:rsidR="00601709" w:rsidRPr="00D67F62">
        <w:rPr>
          <w:bCs/>
        </w:rPr>
        <w:t>he municipality is responsible for publicizing the testing event and notifying relevant community members.</w:t>
      </w:r>
    </w:p>
    <w:p w14:paraId="1EDDCAD7" w14:textId="77777777" w:rsidR="001308EF" w:rsidRPr="00423189" w:rsidRDefault="001308EF" w:rsidP="001308EF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When can a LBOH request cluster testing for a community?</w:t>
      </w:r>
    </w:p>
    <w:p w14:paraId="3DBB4E8E" w14:textId="3DE06631" w:rsidR="001308EF" w:rsidRPr="00B5691F" w:rsidRDefault="001308EF" w:rsidP="001308EF">
      <w:pPr>
        <w:pStyle w:val="ListParagraph"/>
        <w:numPr>
          <w:ilvl w:val="0"/>
          <w:numId w:val="37"/>
        </w:numPr>
        <w:spacing w:after="240"/>
        <w:rPr>
          <w:bCs/>
        </w:rPr>
      </w:pPr>
      <w:r w:rsidRPr="00B5691F">
        <w:rPr>
          <w:bCs/>
        </w:rPr>
        <w:t xml:space="preserve">If you have identified a large COVID-19 cluster </w:t>
      </w:r>
      <w:r w:rsidRPr="00601709">
        <w:rPr>
          <w:b/>
        </w:rPr>
        <w:t>impacting more than 10 households</w:t>
      </w:r>
      <w:r w:rsidRPr="00B5691F">
        <w:rPr>
          <w:bCs/>
        </w:rPr>
        <w:t xml:space="preserve"> and you are concerned that this will spread within the community, you may request cluster testing.</w:t>
      </w:r>
      <w:r w:rsidR="005F6AFB">
        <w:rPr>
          <w:bCs/>
        </w:rPr>
        <w:t xml:space="preserve">  </w:t>
      </w:r>
    </w:p>
    <w:p w14:paraId="5FEBE941" w14:textId="6FBE741B" w:rsidR="001308EF" w:rsidRPr="00423189" w:rsidRDefault="001308EF" w:rsidP="00423189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Who do I contact to request cluster testing?</w:t>
      </w:r>
    </w:p>
    <w:p w14:paraId="302CBC8A" w14:textId="74DDC930" w:rsidR="005F6AFB" w:rsidRPr="00706FC0" w:rsidRDefault="001308EF" w:rsidP="00706FC0">
      <w:pPr>
        <w:pStyle w:val="ListParagraph"/>
        <w:numPr>
          <w:ilvl w:val="0"/>
          <w:numId w:val="37"/>
        </w:numPr>
        <w:spacing w:after="240"/>
        <w:rPr>
          <w:lang w:val="en"/>
        </w:rPr>
      </w:pPr>
      <w:r w:rsidRPr="001115C5">
        <w:t>Contact</w:t>
      </w:r>
      <w:r>
        <w:t xml:space="preserve"> the </w:t>
      </w:r>
      <w:r w:rsidRPr="001D2CA6">
        <w:rPr>
          <w:lang w:val="en"/>
        </w:rPr>
        <w:t xml:space="preserve">on-call epidemiologist in the </w:t>
      </w:r>
      <w:r w:rsidRPr="00830DDF">
        <w:t>Division of Epidemiology</w:t>
      </w:r>
      <w:r>
        <w:t xml:space="preserve"> </w:t>
      </w:r>
      <w:r w:rsidRPr="001D2CA6">
        <w:rPr>
          <w:lang w:val="en"/>
        </w:rPr>
        <w:t xml:space="preserve">at the Department of Public Health by calling the 24/7 Epidemiology Line at </w:t>
      </w:r>
      <w:r w:rsidRPr="001D2CA6">
        <w:rPr>
          <w:b/>
          <w:bCs/>
          <w:lang w:val="en"/>
        </w:rPr>
        <w:t>617-983-6800</w:t>
      </w:r>
      <w:r w:rsidRPr="001D2CA6">
        <w:rPr>
          <w:lang w:val="en"/>
        </w:rPr>
        <w:t xml:space="preserve">. </w:t>
      </w:r>
      <w:r w:rsidR="005F6AFB">
        <w:rPr>
          <w:lang w:val="en"/>
        </w:rPr>
        <w:t>A state epidemiologist will work with you to determine if the situation is consistent with these guidelines.</w:t>
      </w:r>
    </w:p>
    <w:p w14:paraId="5A4EF4CB" w14:textId="3093C657" w:rsidR="001308EF" w:rsidRPr="00423189" w:rsidRDefault="001308EF" w:rsidP="00423189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 xml:space="preserve">What other options are there to expand testing in my community? </w:t>
      </w:r>
    </w:p>
    <w:p w14:paraId="6305BA99" w14:textId="127E346D" w:rsidR="001D2CA6" w:rsidRPr="00423189" w:rsidRDefault="001308EF" w:rsidP="001308EF">
      <w:pPr>
        <w:pStyle w:val="ListParagraph"/>
        <w:numPr>
          <w:ilvl w:val="0"/>
          <w:numId w:val="37"/>
        </w:numPr>
      </w:pPr>
      <w:r>
        <w:t xml:space="preserve">The COVID Command Center has published detailed </w:t>
      </w:r>
      <w:hyperlink r:id="rId11" w:history="1">
        <w:r w:rsidRPr="00F82368">
          <w:rPr>
            <w:rStyle w:val="Hyperlink"/>
          </w:rPr>
          <w:t>guidance</w:t>
        </w:r>
      </w:hyperlink>
      <w:r>
        <w:t xml:space="preserve"> on how to stand up a testing site.</w:t>
      </w:r>
    </w:p>
    <w:p w14:paraId="3F49D82B" w14:textId="77777777" w:rsidR="005F6AFB" w:rsidRDefault="005F6AFB" w:rsidP="001308EF">
      <w:pPr>
        <w:rPr>
          <w:rFonts w:eastAsiaTheme="majorEastAsia" w:cstheme="majorBidi"/>
          <w:b/>
          <w:bCs/>
          <w:iCs/>
          <w:sz w:val="28"/>
          <w:szCs w:val="28"/>
          <w:u w:val="single"/>
        </w:rPr>
      </w:pPr>
    </w:p>
    <w:p w14:paraId="0BD97CAA" w14:textId="43670A5F" w:rsidR="001308EF" w:rsidRPr="001D2CA6" w:rsidRDefault="001308EF" w:rsidP="001308EF">
      <w:pPr>
        <w:rPr>
          <w:rFonts w:eastAsiaTheme="majorEastAsia" w:cstheme="majorBidi"/>
          <w:b/>
          <w:bCs/>
          <w:iCs/>
          <w:sz w:val="28"/>
          <w:szCs w:val="28"/>
          <w:u w:val="single"/>
        </w:rPr>
      </w:pPr>
      <w:r w:rsidRPr="001D2CA6">
        <w:rPr>
          <w:rFonts w:eastAsiaTheme="majorEastAsia" w:cstheme="majorBidi"/>
          <w:b/>
          <w:bCs/>
          <w:iCs/>
          <w:sz w:val="28"/>
          <w:szCs w:val="28"/>
          <w:u w:val="single"/>
        </w:rPr>
        <w:lastRenderedPageBreak/>
        <w:t xml:space="preserve">School-Based Rapid Response Testing  </w:t>
      </w:r>
    </w:p>
    <w:p w14:paraId="5E9D06ED" w14:textId="3676EFC7" w:rsidR="001308EF" w:rsidRPr="00423189" w:rsidRDefault="001308EF" w:rsidP="001308EF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What is “rapid response testing?”</w:t>
      </w:r>
    </w:p>
    <w:p w14:paraId="3ABB57B7" w14:textId="747772B0" w:rsidR="000235B4" w:rsidRPr="001115C5" w:rsidRDefault="00F42CF7" w:rsidP="00F42CF7">
      <w:pPr>
        <w:pStyle w:val="ListParagraph"/>
        <w:numPr>
          <w:ilvl w:val="0"/>
          <w:numId w:val="45"/>
        </w:numPr>
        <w:spacing w:after="240"/>
      </w:pPr>
      <w:r>
        <w:t xml:space="preserve">In the context of school-based testing, </w:t>
      </w:r>
      <w:r w:rsidR="001308EF">
        <w:t>cluster testing</w:t>
      </w:r>
      <w:r>
        <w:t xml:space="preserve"> is referred to as “rapid response.”</w:t>
      </w:r>
    </w:p>
    <w:p w14:paraId="5757CE9D" w14:textId="69D5E5A0" w:rsidR="001308EF" w:rsidRPr="00423189" w:rsidRDefault="001308EF" w:rsidP="001308EF">
      <w:pPr>
        <w:rPr>
          <w:rFonts w:eastAsiaTheme="majorEastAsia" w:cstheme="majorBidi"/>
          <w:i/>
          <w:sz w:val="26"/>
          <w:szCs w:val="26"/>
        </w:rPr>
      </w:pPr>
      <w:r w:rsidRPr="00423189">
        <w:rPr>
          <w:rFonts w:eastAsiaTheme="majorEastAsia" w:cstheme="majorBidi"/>
          <w:i/>
          <w:sz w:val="26"/>
          <w:szCs w:val="26"/>
        </w:rPr>
        <w:t>Who can request rapid response testing?</w:t>
      </w:r>
    </w:p>
    <w:p w14:paraId="7648865F" w14:textId="2A6ABC13" w:rsidR="001308EF" w:rsidRPr="001308EF" w:rsidRDefault="001308EF" w:rsidP="00830DDF">
      <w:pPr>
        <w:pStyle w:val="ListParagraph"/>
        <w:numPr>
          <w:ilvl w:val="0"/>
          <w:numId w:val="45"/>
        </w:numPr>
        <w:spacing w:after="240"/>
      </w:pPr>
      <w:r>
        <w:t>Rapid response</w:t>
      </w:r>
      <w:r w:rsidRPr="001115C5">
        <w:t xml:space="preserve"> testing may be requested by a local board of health</w:t>
      </w:r>
      <w:r>
        <w:t xml:space="preserve"> (LBOH) or</w:t>
      </w:r>
      <w:r w:rsidRPr="001115C5">
        <w:t xml:space="preserve"> school official</w:t>
      </w:r>
      <w:r>
        <w:t>.</w:t>
      </w:r>
    </w:p>
    <w:p w14:paraId="3996D46F" w14:textId="74EEC5A4" w:rsidR="00FD36C8" w:rsidRPr="00423189" w:rsidRDefault="00FD36C8" w:rsidP="00FD36C8">
      <w:pPr>
        <w:spacing w:after="240"/>
        <w:rPr>
          <w:i/>
          <w:sz w:val="26"/>
          <w:szCs w:val="26"/>
        </w:rPr>
      </w:pPr>
      <w:r w:rsidRPr="00423189">
        <w:rPr>
          <w:i/>
          <w:sz w:val="26"/>
          <w:szCs w:val="26"/>
        </w:rPr>
        <w:t xml:space="preserve">When can a school request </w:t>
      </w:r>
      <w:hyperlink r:id="rId12" w:history="1">
        <w:r w:rsidRPr="00423189">
          <w:rPr>
            <w:rStyle w:val="Hyperlink"/>
            <w:i/>
            <w:sz w:val="26"/>
            <w:szCs w:val="26"/>
          </w:rPr>
          <w:t>rapid response testing</w:t>
        </w:r>
      </w:hyperlink>
      <w:r w:rsidRPr="00423189">
        <w:rPr>
          <w:i/>
          <w:sz w:val="26"/>
          <w:szCs w:val="26"/>
        </w:rPr>
        <w:t xml:space="preserve">? </w:t>
      </w:r>
    </w:p>
    <w:p w14:paraId="57C33BBF" w14:textId="5F97CECB" w:rsidR="00FD36C8" w:rsidRDefault="00FD36C8" w:rsidP="00FD36C8">
      <w:pPr>
        <w:rPr>
          <w:szCs w:val="24"/>
        </w:rPr>
      </w:pPr>
      <w:r>
        <w:rPr>
          <w:szCs w:val="24"/>
        </w:rPr>
        <w:t xml:space="preserve">The following describes minimum conditions, as determined by the </w:t>
      </w:r>
      <w:r w:rsidR="00B414F6">
        <w:rPr>
          <w:szCs w:val="24"/>
        </w:rPr>
        <w:t xml:space="preserve">COVID Command Center or the </w:t>
      </w:r>
      <w:r>
        <w:rPr>
          <w:szCs w:val="24"/>
        </w:rPr>
        <w:t xml:space="preserve">Department of Public Health, when a </w:t>
      </w:r>
      <w:r w:rsidR="00B5691F">
        <w:rPr>
          <w:szCs w:val="24"/>
        </w:rPr>
        <w:t>M</w:t>
      </w:r>
      <w:r>
        <w:rPr>
          <w:szCs w:val="24"/>
        </w:rPr>
        <w:t xml:space="preserve">obile </w:t>
      </w:r>
      <w:r w:rsidR="00B5691F">
        <w:rPr>
          <w:szCs w:val="24"/>
        </w:rPr>
        <w:t>R</w:t>
      </w:r>
      <w:r>
        <w:rPr>
          <w:szCs w:val="24"/>
        </w:rPr>
        <w:t xml:space="preserve">apid </w:t>
      </w:r>
      <w:r w:rsidR="00B5691F">
        <w:rPr>
          <w:szCs w:val="24"/>
        </w:rPr>
        <w:t>R</w:t>
      </w:r>
      <w:r>
        <w:rPr>
          <w:szCs w:val="24"/>
        </w:rPr>
        <w:t xml:space="preserve">esponse </w:t>
      </w:r>
      <w:r w:rsidR="00B5691F">
        <w:rPr>
          <w:szCs w:val="24"/>
        </w:rPr>
        <w:t>T</w:t>
      </w:r>
      <w:r>
        <w:rPr>
          <w:szCs w:val="24"/>
        </w:rPr>
        <w:t>eam may be deployed.</w:t>
      </w:r>
      <w:r w:rsidR="00B5691F">
        <w:rPr>
          <w:szCs w:val="24"/>
        </w:rPr>
        <w:t xml:space="preserve"> One of the following conditions must be met:</w:t>
      </w:r>
    </w:p>
    <w:p w14:paraId="77D7E573" w14:textId="1E0F0EC2" w:rsidR="00FD36C8" w:rsidRDefault="00FD36C8" w:rsidP="00B5691F">
      <w:pPr>
        <w:numPr>
          <w:ilvl w:val="0"/>
          <w:numId w:val="39"/>
        </w:numPr>
        <w:snapToGrid w:val="0"/>
        <w:spacing w:line="240" w:lineRule="auto"/>
        <w:textAlignment w:val="center"/>
        <w:rPr>
          <w:bCs/>
          <w:szCs w:val="24"/>
        </w:rPr>
      </w:pPr>
      <w:r>
        <w:rPr>
          <w:bCs/>
          <w:szCs w:val="24"/>
        </w:rPr>
        <w:t>Within a 14-day period, if two or more individuals within a single classroom test positive for COVID-19 and transmission/exposure is likely to have occurred in the classroom, a mobile rapid response unit may be deployed</w:t>
      </w:r>
      <w:r w:rsidR="00BF0B96">
        <w:rPr>
          <w:bCs/>
          <w:szCs w:val="24"/>
        </w:rPr>
        <w:t xml:space="preserve"> to test </w:t>
      </w:r>
      <w:r>
        <w:rPr>
          <w:bCs/>
          <w:szCs w:val="24"/>
        </w:rPr>
        <w:t xml:space="preserve">all asymptomatic individuals </w:t>
      </w:r>
      <w:r>
        <w:rPr>
          <w:bCs/>
          <w:szCs w:val="24"/>
          <w:u w:val="single"/>
        </w:rPr>
        <w:t>within that classroom</w:t>
      </w:r>
      <w:r>
        <w:rPr>
          <w:bCs/>
          <w:szCs w:val="24"/>
        </w:rPr>
        <w:t>.</w:t>
      </w:r>
    </w:p>
    <w:p w14:paraId="308A6F87" w14:textId="77777777" w:rsidR="00FD36C8" w:rsidRDefault="00FD36C8" w:rsidP="00B5691F">
      <w:pPr>
        <w:numPr>
          <w:ilvl w:val="0"/>
          <w:numId w:val="39"/>
        </w:numPr>
        <w:snapToGrid w:val="0"/>
        <w:spacing w:line="240" w:lineRule="auto"/>
        <w:textAlignment w:val="center"/>
        <w:rPr>
          <w:bCs/>
          <w:szCs w:val="24"/>
        </w:rPr>
      </w:pPr>
      <w:r>
        <w:rPr>
          <w:bCs/>
          <w:szCs w:val="24"/>
        </w:rPr>
        <w:t xml:space="preserve">Within a 14-day period, if 3 or more individuals or 3 percent, whichever is greater, of a given grade or cohort test positive for COVID-19 and transmission/exposure likely occurred in the school, a mobile rapid response unit may be deployed for </w:t>
      </w:r>
      <w:r>
        <w:rPr>
          <w:bCs/>
          <w:szCs w:val="24"/>
          <w:u w:val="single"/>
        </w:rPr>
        <w:t>all asymptomatic individuals in that grade or cohort</w:t>
      </w:r>
      <w:r>
        <w:rPr>
          <w:bCs/>
          <w:szCs w:val="24"/>
        </w:rPr>
        <w:t xml:space="preserve">. </w:t>
      </w:r>
    </w:p>
    <w:p w14:paraId="49E56688" w14:textId="5A169F85" w:rsidR="00FD36C8" w:rsidRDefault="00FD36C8" w:rsidP="00B5691F">
      <w:pPr>
        <w:numPr>
          <w:ilvl w:val="0"/>
          <w:numId w:val="39"/>
        </w:numPr>
        <w:snapToGrid w:val="0"/>
        <w:spacing w:line="240" w:lineRule="auto"/>
        <w:textAlignment w:val="center"/>
        <w:rPr>
          <w:bCs/>
          <w:szCs w:val="24"/>
        </w:rPr>
      </w:pPr>
      <w:r>
        <w:rPr>
          <w:bCs/>
          <w:szCs w:val="24"/>
        </w:rPr>
        <w:t xml:space="preserve">Within a 14-day period, if more than 3 percent of a school tests positive for COVID-19 and transmission/exposure likely occurred in the school, a mobile testing </w:t>
      </w:r>
      <w:r w:rsidR="00BF0B96">
        <w:rPr>
          <w:bCs/>
          <w:szCs w:val="24"/>
        </w:rPr>
        <w:t xml:space="preserve">unit </w:t>
      </w:r>
      <w:r>
        <w:rPr>
          <w:bCs/>
          <w:szCs w:val="24"/>
        </w:rPr>
        <w:t xml:space="preserve">may be deployed </w:t>
      </w:r>
      <w:r>
        <w:rPr>
          <w:bCs/>
          <w:szCs w:val="24"/>
          <w:u w:val="single"/>
        </w:rPr>
        <w:t xml:space="preserve">for the entire school population </w:t>
      </w:r>
      <w:r w:rsidR="00BF0B96">
        <w:rPr>
          <w:bCs/>
          <w:szCs w:val="24"/>
          <w:u w:val="single"/>
        </w:rPr>
        <w:t xml:space="preserve">who are </w:t>
      </w:r>
      <w:r>
        <w:rPr>
          <w:bCs/>
          <w:szCs w:val="24"/>
          <w:u w:val="single"/>
        </w:rPr>
        <w:t>asymptomatic.</w:t>
      </w:r>
    </w:p>
    <w:p w14:paraId="634F8549" w14:textId="1999428F" w:rsidR="00FD36C8" w:rsidRPr="00B5691F" w:rsidRDefault="00FD36C8" w:rsidP="00FD36C8">
      <w:pPr>
        <w:numPr>
          <w:ilvl w:val="0"/>
          <w:numId w:val="39"/>
        </w:numPr>
        <w:snapToGrid w:val="0"/>
        <w:spacing w:line="240" w:lineRule="auto"/>
        <w:textAlignment w:val="center"/>
        <w:rPr>
          <w:bCs/>
          <w:szCs w:val="24"/>
        </w:rPr>
      </w:pPr>
      <w:r>
        <w:rPr>
          <w:bCs/>
          <w:szCs w:val="24"/>
        </w:rPr>
        <w:t xml:space="preserve">Within a 14-day period, if 2 or more individuals within the same </w:t>
      </w:r>
      <w:r w:rsidR="00BF0B96">
        <w:rPr>
          <w:bCs/>
          <w:szCs w:val="24"/>
        </w:rPr>
        <w:t xml:space="preserve">school </w:t>
      </w:r>
      <w:r>
        <w:rPr>
          <w:bCs/>
          <w:szCs w:val="24"/>
        </w:rPr>
        <w:t xml:space="preserve">bus test positive COVID-19 and transmission/exposure likely occurred on the bus, a mobile rapid response unit may be deployed for </w:t>
      </w:r>
      <w:r>
        <w:rPr>
          <w:bCs/>
          <w:szCs w:val="24"/>
          <w:u w:val="single"/>
        </w:rPr>
        <w:t xml:space="preserve">all asymptomatic individuals </w:t>
      </w:r>
      <w:r w:rsidR="00BF0B96">
        <w:rPr>
          <w:bCs/>
          <w:szCs w:val="24"/>
          <w:u w:val="single"/>
        </w:rPr>
        <w:t xml:space="preserve">who traveled on </w:t>
      </w:r>
      <w:r>
        <w:rPr>
          <w:bCs/>
          <w:szCs w:val="24"/>
          <w:u w:val="single"/>
        </w:rPr>
        <w:t>that bus</w:t>
      </w:r>
      <w:r>
        <w:rPr>
          <w:bCs/>
          <w:szCs w:val="24"/>
        </w:rPr>
        <w:t xml:space="preserve">. </w:t>
      </w:r>
    </w:p>
    <w:p w14:paraId="77D6A986" w14:textId="4D4F1D72" w:rsidR="000471EB" w:rsidRPr="00423189" w:rsidRDefault="00F82368" w:rsidP="00217622">
      <w:pPr>
        <w:pStyle w:val="Heading1"/>
        <w:spacing w:before="0" w:after="240"/>
        <w:rPr>
          <w:b w:val="0"/>
          <w:bCs w:val="0"/>
          <w:color w:val="auto"/>
          <w:sz w:val="26"/>
          <w:szCs w:val="26"/>
        </w:rPr>
      </w:pPr>
      <w:r w:rsidRPr="00423189">
        <w:rPr>
          <w:b w:val="0"/>
          <w:bCs w:val="0"/>
          <w:color w:val="auto"/>
          <w:sz w:val="26"/>
          <w:szCs w:val="26"/>
        </w:rPr>
        <w:t xml:space="preserve">Who do I contact to request </w:t>
      </w:r>
      <w:r w:rsidR="001308EF" w:rsidRPr="00423189">
        <w:rPr>
          <w:b w:val="0"/>
          <w:bCs w:val="0"/>
          <w:color w:val="auto"/>
          <w:sz w:val="26"/>
          <w:szCs w:val="26"/>
        </w:rPr>
        <w:t>rapid response</w:t>
      </w:r>
      <w:r w:rsidRPr="00423189">
        <w:rPr>
          <w:b w:val="0"/>
          <w:bCs w:val="0"/>
          <w:color w:val="auto"/>
          <w:sz w:val="26"/>
          <w:szCs w:val="26"/>
        </w:rPr>
        <w:t xml:space="preserve"> testing</w:t>
      </w:r>
      <w:r w:rsidR="00AE561F" w:rsidRPr="00423189">
        <w:rPr>
          <w:b w:val="0"/>
          <w:bCs w:val="0"/>
          <w:color w:val="auto"/>
          <w:sz w:val="26"/>
          <w:szCs w:val="26"/>
        </w:rPr>
        <w:t>?</w:t>
      </w:r>
    </w:p>
    <w:p w14:paraId="37E0C84B" w14:textId="279B32F4" w:rsidR="00F82368" w:rsidRPr="001D2CA6" w:rsidRDefault="00217622" w:rsidP="001D2CA6">
      <w:pPr>
        <w:pStyle w:val="ListParagraph"/>
        <w:numPr>
          <w:ilvl w:val="0"/>
          <w:numId w:val="45"/>
        </w:numPr>
        <w:rPr>
          <w:lang w:val="en"/>
        </w:rPr>
      </w:pPr>
      <w:r w:rsidRPr="001115C5">
        <w:t>Contact</w:t>
      </w:r>
      <w:r w:rsidR="00F82368">
        <w:t xml:space="preserve"> the </w:t>
      </w:r>
      <w:r w:rsidR="00F82368" w:rsidRPr="001D2CA6">
        <w:rPr>
          <w:lang w:val="en"/>
        </w:rPr>
        <w:t xml:space="preserve">on-call epidemiologist in the </w:t>
      </w:r>
      <w:r w:rsidR="00F82368" w:rsidRPr="00830DDF">
        <w:t>Division of Epidemiology</w:t>
      </w:r>
      <w:r w:rsidR="00B5691F">
        <w:t xml:space="preserve"> </w:t>
      </w:r>
      <w:r w:rsidR="00F82368" w:rsidRPr="001D2CA6">
        <w:rPr>
          <w:lang w:val="en"/>
        </w:rPr>
        <w:t xml:space="preserve">at the Department of Public Health </w:t>
      </w:r>
      <w:r w:rsidR="00B414F6" w:rsidRPr="001D2CA6">
        <w:rPr>
          <w:lang w:val="en"/>
        </w:rPr>
        <w:t xml:space="preserve">by calling the 24/7 Epidemiology Line </w:t>
      </w:r>
      <w:r w:rsidR="00F82368" w:rsidRPr="001D2CA6">
        <w:rPr>
          <w:lang w:val="en"/>
        </w:rPr>
        <w:t xml:space="preserve">at </w:t>
      </w:r>
      <w:r w:rsidR="00F82368" w:rsidRPr="001D2CA6">
        <w:rPr>
          <w:b/>
          <w:bCs/>
          <w:lang w:val="en"/>
        </w:rPr>
        <w:t>617-983-6800</w:t>
      </w:r>
      <w:r w:rsidR="00F82368" w:rsidRPr="001D2CA6">
        <w:rPr>
          <w:lang w:val="en"/>
        </w:rPr>
        <w:t xml:space="preserve">. </w:t>
      </w:r>
    </w:p>
    <w:p w14:paraId="7BADB350" w14:textId="77777777" w:rsidR="00F7465A" w:rsidRPr="001115C5" w:rsidRDefault="00F7465A" w:rsidP="0031151D">
      <w:pPr>
        <w:pStyle w:val="Heading1"/>
        <w:spacing w:before="0" w:after="240"/>
        <w:rPr>
          <w:b w:val="0"/>
          <w:bCs w:val="0"/>
          <w:i w:val="0"/>
          <w:iCs/>
          <w:color w:val="auto"/>
        </w:rPr>
      </w:pPr>
    </w:p>
    <w:p w14:paraId="7E4BBBB0" w14:textId="77777777" w:rsidR="0031151D" w:rsidRPr="001115C5" w:rsidRDefault="0031151D" w:rsidP="0031151D">
      <w:pPr>
        <w:ind w:left="360"/>
      </w:pPr>
    </w:p>
    <w:sectPr w:rsidR="0031151D" w:rsidRPr="001115C5" w:rsidSect="00706FC0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2491" w14:textId="77777777" w:rsidR="004A32EC" w:rsidRDefault="004A32EC" w:rsidP="00D177F1">
      <w:pPr>
        <w:spacing w:after="0" w:line="240" w:lineRule="auto"/>
      </w:pPr>
      <w:r>
        <w:separator/>
      </w:r>
    </w:p>
  </w:endnote>
  <w:endnote w:type="continuationSeparator" w:id="0">
    <w:p w14:paraId="7C9E0932" w14:textId="77777777" w:rsidR="004A32EC" w:rsidRDefault="004A32EC" w:rsidP="00D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Body)">
    <w:altName w:val="Arial"/>
    <w:charset w:val="0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E4CE" w14:textId="77777777" w:rsidR="004A32EC" w:rsidRDefault="004A32EC" w:rsidP="00D177F1">
      <w:pPr>
        <w:spacing w:after="0" w:line="240" w:lineRule="auto"/>
      </w:pPr>
      <w:r>
        <w:separator/>
      </w:r>
    </w:p>
  </w:footnote>
  <w:footnote w:type="continuationSeparator" w:id="0">
    <w:p w14:paraId="12586DEC" w14:textId="77777777" w:rsidR="004A32EC" w:rsidRDefault="004A32EC" w:rsidP="00D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729" w14:textId="63F00610" w:rsidR="00327856" w:rsidRPr="001308EF" w:rsidRDefault="001308EF" w:rsidP="00706FC0">
    <w:pPr>
      <w:pStyle w:val="Heading1"/>
      <w:spacing w:before="0"/>
      <w:rPr>
        <w:b w:val="0"/>
        <w:bCs w:val="0"/>
        <w:i w:val="0"/>
        <w:iCs/>
        <w:color w:val="auto"/>
        <w:sz w:val="22"/>
        <w:szCs w:val="22"/>
      </w:rPr>
    </w:pPr>
    <w:r w:rsidRPr="001308EF">
      <w:rPr>
        <w:b w:val="0"/>
        <w:bCs w:val="0"/>
        <w:i w:val="0"/>
        <w:iCs/>
        <w:color w:val="auto"/>
        <w:sz w:val="22"/>
        <w:szCs w:val="22"/>
      </w:rPr>
      <w:t>Cluster and Rapid Response Testing FAQ --</w:t>
    </w:r>
    <w:r w:rsidR="00327856" w:rsidRPr="001308EF">
      <w:rPr>
        <w:b w:val="0"/>
        <w:bCs w:val="0"/>
        <w:i w:val="0"/>
        <w:iCs/>
        <w:color w:val="auto"/>
        <w:sz w:val="22"/>
        <w:szCs w:val="22"/>
      </w:rPr>
      <w:t xml:space="preserve">Updated </w:t>
    </w:r>
    <w:r w:rsidR="00F82368" w:rsidRPr="001308EF">
      <w:rPr>
        <w:b w:val="0"/>
        <w:bCs w:val="0"/>
        <w:i w:val="0"/>
        <w:iCs/>
        <w:color w:val="auto"/>
        <w:sz w:val="22"/>
        <w:szCs w:val="22"/>
      </w:rPr>
      <w:t xml:space="preserve">December </w:t>
    </w:r>
    <w:r w:rsidR="00706FC0">
      <w:rPr>
        <w:b w:val="0"/>
        <w:bCs w:val="0"/>
        <w:i w:val="0"/>
        <w:iCs/>
        <w:color w:val="auto"/>
        <w:sz w:val="22"/>
        <w:szCs w:val="22"/>
      </w:rPr>
      <w:t>14</w:t>
    </w:r>
    <w:r w:rsidR="00327856" w:rsidRPr="001308EF">
      <w:rPr>
        <w:b w:val="0"/>
        <w:bCs w:val="0"/>
        <w:i w:val="0"/>
        <w:iCs/>
        <w:color w:val="auto"/>
        <w:sz w:val="22"/>
        <w:szCs w:val="22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C07"/>
    <w:multiLevelType w:val="hybridMultilevel"/>
    <w:tmpl w:val="41E4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62A"/>
    <w:multiLevelType w:val="hybridMultilevel"/>
    <w:tmpl w:val="131EAFD4"/>
    <w:lvl w:ilvl="0" w:tplc="3E7C8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A6B5C"/>
    <w:multiLevelType w:val="hybridMultilevel"/>
    <w:tmpl w:val="F892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77C"/>
    <w:multiLevelType w:val="hybridMultilevel"/>
    <w:tmpl w:val="86AE4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159A2"/>
    <w:multiLevelType w:val="hybridMultilevel"/>
    <w:tmpl w:val="80CE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3C26"/>
    <w:multiLevelType w:val="hybridMultilevel"/>
    <w:tmpl w:val="603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6D29"/>
    <w:multiLevelType w:val="hybridMultilevel"/>
    <w:tmpl w:val="3432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4AB8"/>
    <w:multiLevelType w:val="multilevel"/>
    <w:tmpl w:val="643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B4344"/>
    <w:multiLevelType w:val="hybridMultilevel"/>
    <w:tmpl w:val="F2AC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51CD"/>
    <w:multiLevelType w:val="hybridMultilevel"/>
    <w:tmpl w:val="CC5A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495"/>
    <w:multiLevelType w:val="multilevel"/>
    <w:tmpl w:val="8C80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EF6BB6"/>
    <w:multiLevelType w:val="multilevel"/>
    <w:tmpl w:val="80B03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643818"/>
    <w:multiLevelType w:val="hybridMultilevel"/>
    <w:tmpl w:val="4ECAF4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C0293C"/>
    <w:multiLevelType w:val="hybridMultilevel"/>
    <w:tmpl w:val="200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35D32"/>
    <w:multiLevelType w:val="hybridMultilevel"/>
    <w:tmpl w:val="907C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443"/>
    <w:multiLevelType w:val="hybridMultilevel"/>
    <w:tmpl w:val="43DE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3C60"/>
    <w:multiLevelType w:val="hybridMultilevel"/>
    <w:tmpl w:val="8B2A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14328"/>
    <w:multiLevelType w:val="hybridMultilevel"/>
    <w:tmpl w:val="46CE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36627"/>
    <w:multiLevelType w:val="hybridMultilevel"/>
    <w:tmpl w:val="0A9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520FB"/>
    <w:multiLevelType w:val="hybridMultilevel"/>
    <w:tmpl w:val="92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92306"/>
    <w:multiLevelType w:val="hybridMultilevel"/>
    <w:tmpl w:val="D70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046C1"/>
    <w:multiLevelType w:val="multilevel"/>
    <w:tmpl w:val="306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52953"/>
    <w:multiLevelType w:val="hybridMultilevel"/>
    <w:tmpl w:val="CA60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39DC"/>
    <w:multiLevelType w:val="hybridMultilevel"/>
    <w:tmpl w:val="7DC4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DD5"/>
    <w:multiLevelType w:val="hybridMultilevel"/>
    <w:tmpl w:val="61C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70BB9"/>
    <w:multiLevelType w:val="hybridMultilevel"/>
    <w:tmpl w:val="DBA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01706"/>
    <w:multiLevelType w:val="hybridMultilevel"/>
    <w:tmpl w:val="B61CBE02"/>
    <w:lvl w:ilvl="0" w:tplc="19C05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72A0C"/>
    <w:multiLevelType w:val="hybridMultilevel"/>
    <w:tmpl w:val="95D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7A42"/>
    <w:multiLevelType w:val="hybridMultilevel"/>
    <w:tmpl w:val="29BE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E70D0"/>
    <w:multiLevelType w:val="hybridMultilevel"/>
    <w:tmpl w:val="8568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B6410"/>
    <w:multiLevelType w:val="multilevel"/>
    <w:tmpl w:val="EDAC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3B07CA"/>
    <w:multiLevelType w:val="hybridMultilevel"/>
    <w:tmpl w:val="D27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74B7F"/>
    <w:multiLevelType w:val="hybridMultilevel"/>
    <w:tmpl w:val="23748F10"/>
    <w:lvl w:ilvl="0" w:tplc="2CF0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843F8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BA2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0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0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2E7F37"/>
    <w:multiLevelType w:val="multilevel"/>
    <w:tmpl w:val="9D52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5F27F2"/>
    <w:multiLevelType w:val="hybridMultilevel"/>
    <w:tmpl w:val="8778810A"/>
    <w:lvl w:ilvl="0" w:tplc="C7CA0C7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2E1C28"/>
    <w:multiLevelType w:val="hybridMultilevel"/>
    <w:tmpl w:val="9C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07E15"/>
    <w:multiLevelType w:val="multilevel"/>
    <w:tmpl w:val="95D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7D7DE6"/>
    <w:multiLevelType w:val="hybridMultilevel"/>
    <w:tmpl w:val="E464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1DD0"/>
    <w:multiLevelType w:val="hybridMultilevel"/>
    <w:tmpl w:val="9594BCD6"/>
    <w:lvl w:ilvl="0" w:tplc="CF80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36"/>
  </w:num>
  <w:num w:numId="8">
    <w:abstractNumId w:val="22"/>
  </w:num>
  <w:num w:numId="9">
    <w:abstractNumId w:val="1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8"/>
  </w:num>
  <w:num w:numId="13">
    <w:abstractNumId w:val="8"/>
  </w:num>
  <w:num w:numId="14">
    <w:abstractNumId w:val="23"/>
  </w:num>
  <w:num w:numId="15">
    <w:abstractNumId w:val="26"/>
  </w:num>
  <w:num w:numId="16">
    <w:abstractNumId w:val="34"/>
  </w:num>
  <w:num w:numId="17">
    <w:abstractNumId w:val="5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7"/>
  </w:num>
  <w:num w:numId="25">
    <w:abstractNumId w:val="16"/>
  </w:num>
  <w:num w:numId="26">
    <w:abstractNumId w:val="18"/>
  </w:num>
  <w:num w:numId="27">
    <w:abstractNumId w:val="3"/>
  </w:num>
  <w:num w:numId="28">
    <w:abstractNumId w:val="19"/>
  </w:num>
  <w:num w:numId="29">
    <w:abstractNumId w:val="6"/>
  </w:num>
  <w:num w:numId="30">
    <w:abstractNumId w:val="38"/>
  </w:num>
  <w:num w:numId="31">
    <w:abstractNumId w:val="32"/>
  </w:num>
  <w:num w:numId="32">
    <w:abstractNumId w:val="37"/>
  </w:num>
  <w:num w:numId="33">
    <w:abstractNumId w:val="1"/>
  </w:num>
  <w:num w:numId="34">
    <w:abstractNumId w:val="24"/>
  </w:num>
  <w:num w:numId="35">
    <w:abstractNumId w:val="35"/>
  </w:num>
  <w:num w:numId="36">
    <w:abstractNumId w:val="9"/>
  </w:num>
  <w:num w:numId="37">
    <w:abstractNumId w:val="20"/>
  </w:num>
  <w:num w:numId="38">
    <w:abstractNumId w:val="1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3"/>
  </w:num>
  <w:num w:numId="44">
    <w:abstractNumId w:val="2"/>
  </w:num>
  <w:num w:numId="45">
    <w:abstractNumId w:val="2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F1"/>
    <w:rsid w:val="00002CB6"/>
    <w:rsid w:val="000235B4"/>
    <w:rsid w:val="000471EB"/>
    <w:rsid w:val="00060383"/>
    <w:rsid w:val="00061BC4"/>
    <w:rsid w:val="000E09F3"/>
    <w:rsid w:val="000F5615"/>
    <w:rsid w:val="00102EDC"/>
    <w:rsid w:val="001115C5"/>
    <w:rsid w:val="00116739"/>
    <w:rsid w:val="001308EF"/>
    <w:rsid w:val="00131711"/>
    <w:rsid w:val="001432CF"/>
    <w:rsid w:val="00144A46"/>
    <w:rsid w:val="00147477"/>
    <w:rsid w:val="0019227B"/>
    <w:rsid w:val="00195494"/>
    <w:rsid w:val="001A622B"/>
    <w:rsid w:val="001D1B81"/>
    <w:rsid w:val="001D2CA6"/>
    <w:rsid w:val="001E0E7A"/>
    <w:rsid w:val="001F29D5"/>
    <w:rsid w:val="001F46E5"/>
    <w:rsid w:val="00217622"/>
    <w:rsid w:val="002307F4"/>
    <w:rsid w:val="00294CAD"/>
    <w:rsid w:val="002A61B2"/>
    <w:rsid w:val="002E628D"/>
    <w:rsid w:val="0031151D"/>
    <w:rsid w:val="00327856"/>
    <w:rsid w:val="003423D3"/>
    <w:rsid w:val="003B1310"/>
    <w:rsid w:val="003C2A56"/>
    <w:rsid w:val="003F4DD5"/>
    <w:rsid w:val="00422729"/>
    <w:rsid w:val="00423189"/>
    <w:rsid w:val="004509BF"/>
    <w:rsid w:val="004A32EC"/>
    <w:rsid w:val="004C443F"/>
    <w:rsid w:val="004F0CD8"/>
    <w:rsid w:val="004F4552"/>
    <w:rsid w:val="00502D8F"/>
    <w:rsid w:val="00507E03"/>
    <w:rsid w:val="00544226"/>
    <w:rsid w:val="005472DC"/>
    <w:rsid w:val="00571FF7"/>
    <w:rsid w:val="005A142C"/>
    <w:rsid w:val="005A5747"/>
    <w:rsid w:val="005A5E4B"/>
    <w:rsid w:val="005B7273"/>
    <w:rsid w:val="005F6AFB"/>
    <w:rsid w:val="00601709"/>
    <w:rsid w:val="006074E0"/>
    <w:rsid w:val="00612402"/>
    <w:rsid w:val="006249FD"/>
    <w:rsid w:val="00627575"/>
    <w:rsid w:val="006503A5"/>
    <w:rsid w:val="00687285"/>
    <w:rsid w:val="00692924"/>
    <w:rsid w:val="006B0053"/>
    <w:rsid w:val="006C0E50"/>
    <w:rsid w:val="006C3BFA"/>
    <w:rsid w:val="006C4C82"/>
    <w:rsid w:val="006E1FAA"/>
    <w:rsid w:val="0070026D"/>
    <w:rsid w:val="00706FC0"/>
    <w:rsid w:val="007155D7"/>
    <w:rsid w:val="00756629"/>
    <w:rsid w:val="00757DB1"/>
    <w:rsid w:val="007601FF"/>
    <w:rsid w:val="007B15C3"/>
    <w:rsid w:val="007F1F30"/>
    <w:rsid w:val="007F72C5"/>
    <w:rsid w:val="008048CB"/>
    <w:rsid w:val="00823C60"/>
    <w:rsid w:val="00826949"/>
    <w:rsid w:val="00830DDF"/>
    <w:rsid w:val="0085500B"/>
    <w:rsid w:val="008613EB"/>
    <w:rsid w:val="00865CCB"/>
    <w:rsid w:val="008709C4"/>
    <w:rsid w:val="008B6028"/>
    <w:rsid w:val="008E56B2"/>
    <w:rsid w:val="009073C0"/>
    <w:rsid w:val="00930881"/>
    <w:rsid w:val="00961732"/>
    <w:rsid w:val="0096431F"/>
    <w:rsid w:val="00972866"/>
    <w:rsid w:val="00997B4B"/>
    <w:rsid w:val="009D2C21"/>
    <w:rsid w:val="009D447F"/>
    <w:rsid w:val="00A40FE1"/>
    <w:rsid w:val="00A52082"/>
    <w:rsid w:val="00A6340E"/>
    <w:rsid w:val="00A86645"/>
    <w:rsid w:val="00AB6893"/>
    <w:rsid w:val="00AC0E70"/>
    <w:rsid w:val="00AC4105"/>
    <w:rsid w:val="00AD497E"/>
    <w:rsid w:val="00AE561F"/>
    <w:rsid w:val="00AF259D"/>
    <w:rsid w:val="00B03FD4"/>
    <w:rsid w:val="00B0655D"/>
    <w:rsid w:val="00B078F7"/>
    <w:rsid w:val="00B414F6"/>
    <w:rsid w:val="00B4444E"/>
    <w:rsid w:val="00B46199"/>
    <w:rsid w:val="00B520AE"/>
    <w:rsid w:val="00B5691F"/>
    <w:rsid w:val="00B64768"/>
    <w:rsid w:val="00B763A7"/>
    <w:rsid w:val="00B952AD"/>
    <w:rsid w:val="00B96CEF"/>
    <w:rsid w:val="00BA7730"/>
    <w:rsid w:val="00BC38F1"/>
    <w:rsid w:val="00BC487B"/>
    <w:rsid w:val="00BD064B"/>
    <w:rsid w:val="00BD6A8C"/>
    <w:rsid w:val="00BE5628"/>
    <w:rsid w:val="00BF0B96"/>
    <w:rsid w:val="00BF65AE"/>
    <w:rsid w:val="00C0522C"/>
    <w:rsid w:val="00C20606"/>
    <w:rsid w:val="00C52FE3"/>
    <w:rsid w:val="00C63179"/>
    <w:rsid w:val="00CC7B26"/>
    <w:rsid w:val="00CD4F85"/>
    <w:rsid w:val="00D035E5"/>
    <w:rsid w:val="00D137A0"/>
    <w:rsid w:val="00D15849"/>
    <w:rsid w:val="00D177F1"/>
    <w:rsid w:val="00D261A1"/>
    <w:rsid w:val="00D5451D"/>
    <w:rsid w:val="00D67F62"/>
    <w:rsid w:val="00D70A2D"/>
    <w:rsid w:val="00D72977"/>
    <w:rsid w:val="00DA6C99"/>
    <w:rsid w:val="00E01244"/>
    <w:rsid w:val="00E26BF8"/>
    <w:rsid w:val="00E57DA2"/>
    <w:rsid w:val="00EC4B85"/>
    <w:rsid w:val="00EC7BC2"/>
    <w:rsid w:val="00EE0324"/>
    <w:rsid w:val="00F0156C"/>
    <w:rsid w:val="00F0556D"/>
    <w:rsid w:val="00F42B14"/>
    <w:rsid w:val="00F42CF7"/>
    <w:rsid w:val="00F55036"/>
    <w:rsid w:val="00F7348C"/>
    <w:rsid w:val="00F7465A"/>
    <w:rsid w:val="00F82368"/>
    <w:rsid w:val="00FB5316"/>
    <w:rsid w:val="00FD36C8"/>
    <w:rsid w:val="00FD37AC"/>
    <w:rsid w:val="00FE7B4E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CA78"/>
  <w15:docId w15:val="{A936DD81-EEE3-4C36-BEFF-39B54F8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7F1"/>
  </w:style>
  <w:style w:type="paragraph" w:styleId="Heading1">
    <w:name w:val="heading 1"/>
    <w:basedOn w:val="Normal"/>
    <w:next w:val="Normal"/>
    <w:link w:val="Heading1Char"/>
    <w:uiPriority w:val="9"/>
    <w:qFormat/>
    <w:rsid w:val="00D177F1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F1"/>
  </w:style>
  <w:style w:type="paragraph" w:styleId="Footer">
    <w:name w:val="footer"/>
    <w:basedOn w:val="Normal"/>
    <w:link w:val="FooterChar"/>
    <w:uiPriority w:val="99"/>
    <w:unhideWhenUsed/>
    <w:rsid w:val="00D1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F1"/>
  </w:style>
  <w:style w:type="character" w:customStyle="1" w:styleId="Heading1Char">
    <w:name w:val="Heading 1 Char"/>
    <w:basedOn w:val="DefaultParagraphFont"/>
    <w:link w:val="Heading1"/>
    <w:uiPriority w:val="9"/>
    <w:rsid w:val="00D177F1"/>
    <w:rPr>
      <w:rFonts w:eastAsiaTheme="majorEastAsia" w:cstheme="majorBidi"/>
      <w:b/>
      <w:bCs/>
      <w:i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7F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77F1"/>
    <w:rPr>
      <w:b/>
      <w:bCs/>
    </w:rPr>
  </w:style>
  <w:style w:type="character" w:styleId="Emphasis">
    <w:name w:val="Emphasis"/>
    <w:basedOn w:val="DefaultParagraphFont"/>
    <w:uiPriority w:val="20"/>
    <w:qFormat/>
    <w:rsid w:val="00D177F1"/>
    <w:rPr>
      <w:i/>
      <w:iCs/>
    </w:rPr>
  </w:style>
  <w:style w:type="paragraph" w:styleId="NoSpacing">
    <w:name w:val="No Spacing"/>
    <w:uiPriority w:val="1"/>
    <w:qFormat/>
    <w:rsid w:val="00D177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77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7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F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177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77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77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77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77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F1"/>
    <w:pPr>
      <w:outlineLvl w:val="9"/>
    </w:pPr>
  </w:style>
  <w:style w:type="paragraph" w:styleId="ListParagraph">
    <w:name w:val="List Paragraph"/>
    <w:basedOn w:val="Normal"/>
    <w:uiPriority w:val="34"/>
    <w:qFormat/>
    <w:rsid w:val="00D177F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1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CEF"/>
    <w:rPr>
      <w:color w:val="0563C1"/>
      <w:u w:val="single"/>
    </w:rPr>
  </w:style>
  <w:style w:type="character" w:customStyle="1" w:styleId="00BodyChar">
    <w:name w:val="00 Body Char"/>
    <w:basedOn w:val="DefaultParagraphFont"/>
    <w:link w:val="00Body"/>
    <w:locked/>
    <w:rsid w:val="00D15849"/>
    <w:rPr>
      <w:rFonts w:ascii="Arial (Body)" w:hAnsi="Arial (Body)"/>
    </w:rPr>
  </w:style>
  <w:style w:type="paragraph" w:customStyle="1" w:styleId="00Body">
    <w:name w:val="00 Body"/>
    <w:basedOn w:val="Normal"/>
    <w:link w:val="00BodyChar"/>
    <w:rsid w:val="00D15849"/>
    <w:pPr>
      <w:spacing w:before="180" w:after="180" w:line="264" w:lineRule="auto"/>
    </w:pPr>
    <w:rPr>
      <w:rFonts w:ascii="Arial (Body)" w:hAnsi="Arial (Body)"/>
    </w:rPr>
  </w:style>
  <w:style w:type="character" w:styleId="FollowedHyperlink">
    <w:name w:val="FollowedHyperlink"/>
    <w:basedOn w:val="DefaultParagraphFont"/>
    <w:uiPriority w:val="99"/>
    <w:semiHidden/>
    <w:unhideWhenUsed/>
    <w:rsid w:val="00B763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2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6C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e.kaplan@mass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mass.edu/covid19/on-desktop/mobile-testing-un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guidance-and-faq-for-municipal-testing-programs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info-details/stop-the-sp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vid-19-testing-guid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83E4-0C88-4665-B391-F4AE2A45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Kaplan, Amy E. (EHS)</cp:lastModifiedBy>
  <cp:revision>4</cp:revision>
  <dcterms:created xsi:type="dcterms:W3CDTF">2020-12-15T00:10:00Z</dcterms:created>
  <dcterms:modified xsi:type="dcterms:W3CDTF">2020-12-15T00:13:00Z</dcterms:modified>
</cp:coreProperties>
</file>