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8AB07" w14:textId="77777777" w:rsidR="00097566" w:rsidRDefault="00097566" w:rsidP="00097566">
      <w:pPr>
        <w:rPr>
          <w:rFonts w:ascii="Arial" w:hAnsi="Arial"/>
          <w:sz w:val="36"/>
        </w:rPr>
      </w:pPr>
      <w:r>
        <w:rPr>
          <w:rFonts w:ascii="LinePrinter" w:hAnsi="LinePrinter"/>
          <w:noProof/>
        </w:rPr>
        <w:drawing>
          <wp:inline distT="0" distB="0" distL="0" distR="0" wp14:anchorId="20005D69" wp14:editId="0374F7F3">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t>The Commonwealth of Massachusetts</w:t>
      </w:r>
    </w:p>
    <w:p w14:paraId="6635FBCA" w14:textId="77777777" w:rsidR="00097566" w:rsidRDefault="00097566" w:rsidP="00097566">
      <w:pPr>
        <w:pStyle w:val="ExecOffice"/>
        <w:framePr w:w="0" w:hSpace="0" w:wrap="auto" w:vAnchor="margin" w:hAnchor="text" w:xAlign="left" w:yAlign="inline"/>
      </w:pPr>
      <w:r>
        <w:t>Executive Office of Health and Human Services</w:t>
      </w:r>
    </w:p>
    <w:p w14:paraId="400962D4" w14:textId="77777777" w:rsidR="00097566" w:rsidRDefault="00097566" w:rsidP="00097566">
      <w:pPr>
        <w:pStyle w:val="ExecOffice"/>
        <w:framePr w:w="0" w:hSpace="0" w:wrap="auto" w:vAnchor="margin" w:hAnchor="text" w:xAlign="left" w:yAlign="inline"/>
      </w:pPr>
      <w:r>
        <w:t>Department of Public Health</w:t>
      </w:r>
    </w:p>
    <w:p w14:paraId="43212ED0" w14:textId="77777777" w:rsidR="00097566" w:rsidRDefault="00097566" w:rsidP="00097566">
      <w:pPr>
        <w:pStyle w:val="ExecOffice"/>
        <w:framePr w:w="0" w:hSpace="0" w:wrap="auto" w:vAnchor="margin" w:hAnchor="text" w:xAlign="left" w:yAlign="inline"/>
      </w:pPr>
      <w:r>
        <w:t>250 Washington Street, Boston, MA 02108-4619</w:t>
      </w:r>
    </w:p>
    <w:p w14:paraId="6B0DCC8F" w14:textId="77777777" w:rsidR="00097566" w:rsidRDefault="00097566" w:rsidP="00097566">
      <w:pPr>
        <w:ind w:right="2790"/>
        <w:contextualSpacing/>
        <w:rPr>
          <w:rFonts w:ascii="Arial Rounded MT Bold" w:hAnsi="Arial Rounded MT Bold"/>
          <w:sz w:val="18"/>
          <w:szCs w:val="22"/>
        </w:rPr>
        <w:sectPr w:rsidR="00097566" w:rsidSect="00CF7736">
          <w:headerReference w:type="even" r:id="rId9"/>
          <w:footerReference w:type="default" r:id="rId10"/>
          <w:headerReference w:type="first" r:id="rId11"/>
          <w:pgSz w:w="12240" w:h="15840"/>
          <w:pgMar w:top="536" w:right="1440" w:bottom="1440" w:left="1440" w:header="720" w:footer="288" w:gutter="0"/>
          <w:cols w:space="720"/>
          <w:docGrid w:linePitch="360"/>
        </w:sectPr>
      </w:pPr>
    </w:p>
    <w:p w14:paraId="0B6D727A" w14:textId="77777777" w:rsidR="00097566" w:rsidRDefault="00097566" w:rsidP="00097566">
      <w:pPr>
        <w:ind w:right="2790"/>
        <w:contextualSpacing/>
        <w:rPr>
          <w:rFonts w:ascii="Arial Rounded MT Bold" w:hAnsi="Arial Rounded MT Bold"/>
          <w:sz w:val="18"/>
          <w:szCs w:val="22"/>
        </w:rPr>
      </w:pPr>
    </w:p>
    <w:p w14:paraId="00CD74C9" w14:textId="77777777" w:rsidR="00097566" w:rsidRPr="00554081" w:rsidRDefault="00097566" w:rsidP="0009756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CHARLES D.</w:t>
      </w:r>
      <w:r>
        <w:rPr>
          <w:rFonts w:ascii="Arial Rounded MT Bold" w:hAnsi="Arial Rounded MT Bold"/>
          <w:sz w:val="18"/>
          <w:szCs w:val="22"/>
        </w:rPr>
        <w:t xml:space="preserve"> </w:t>
      </w:r>
      <w:r w:rsidRPr="00554081">
        <w:rPr>
          <w:rFonts w:ascii="Arial Rounded MT Bold" w:hAnsi="Arial Rounded MT Bold"/>
          <w:sz w:val="18"/>
          <w:szCs w:val="22"/>
        </w:rPr>
        <w:t>BAKER</w:t>
      </w:r>
    </w:p>
    <w:p w14:paraId="6505FAEA" w14:textId="77777777" w:rsidR="00097566" w:rsidRDefault="00097566" w:rsidP="00097566">
      <w:pPr>
        <w:pStyle w:val="Weld"/>
        <w:framePr w:hSpace="0" w:wrap="auto" w:vAnchor="margin" w:hAnchor="text" w:xAlign="left" w:yAlign="inline"/>
        <w:ind w:right="2340"/>
      </w:pPr>
      <w:r>
        <w:t>Governor</w:t>
      </w:r>
    </w:p>
    <w:p w14:paraId="3177D02E" w14:textId="77777777" w:rsidR="00097566" w:rsidRDefault="00097566" w:rsidP="00097566">
      <w:pPr>
        <w:ind w:right="2340"/>
        <w:contextualSpacing/>
        <w:jc w:val="center"/>
        <w:rPr>
          <w:sz w:val="16"/>
        </w:rPr>
      </w:pPr>
    </w:p>
    <w:p w14:paraId="5C7A4C9A" w14:textId="77777777" w:rsidR="00097566" w:rsidRPr="00554081" w:rsidRDefault="00097566" w:rsidP="00097566">
      <w:pPr>
        <w:ind w:right="2340"/>
        <w:contextualSpacing/>
        <w:jc w:val="center"/>
        <w:rPr>
          <w:rFonts w:ascii="Arial Rounded MT Bold" w:hAnsi="Arial Rounded MT Bold"/>
          <w:sz w:val="18"/>
          <w:szCs w:val="22"/>
        </w:rPr>
      </w:pPr>
      <w:r w:rsidRPr="00554081">
        <w:rPr>
          <w:rFonts w:ascii="Arial Rounded MT Bold" w:hAnsi="Arial Rounded MT Bold"/>
          <w:sz w:val="18"/>
          <w:szCs w:val="22"/>
        </w:rPr>
        <w:t>KARYN E. POLITO</w:t>
      </w:r>
    </w:p>
    <w:p w14:paraId="5AD98C41" w14:textId="77777777" w:rsidR="00097566" w:rsidRPr="00624404" w:rsidRDefault="00097566" w:rsidP="00097566">
      <w:pPr>
        <w:pStyle w:val="Weld"/>
        <w:framePr w:hSpace="0" w:wrap="auto" w:vAnchor="margin" w:hAnchor="text" w:xAlign="left" w:yAlign="inline"/>
        <w:ind w:right="2340"/>
        <w:rPr>
          <w:rFonts w:ascii="Calibri" w:hAnsi="Calibri" w:cs="Calibri"/>
          <w:szCs w:val="24"/>
        </w:rPr>
      </w:pPr>
      <w:r>
        <w:t>Lieutenant Governor</w:t>
      </w:r>
    </w:p>
    <w:p w14:paraId="66E6916C" w14:textId="77777777" w:rsidR="00097566" w:rsidRDefault="00097566" w:rsidP="00097566">
      <w:pPr>
        <w:pStyle w:val="Weld"/>
        <w:framePr w:hSpace="0" w:wrap="auto" w:vAnchor="margin" w:hAnchor="text" w:xAlign="left" w:yAlign="inline"/>
        <w:ind w:right="2340"/>
        <w:jc w:val="left"/>
      </w:pPr>
    </w:p>
    <w:p w14:paraId="3665C715" w14:textId="77777777" w:rsidR="00097566" w:rsidRDefault="00097566" w:rsidP="00097566">
      <w:pPr>
        <w:pStyle w:val="Weld"/>
        <w:framePr w:hSpace="0" w:wrap="auto" w:vAnchor="margin" w:hAnchor="text" w:xAlign="left" w:yAlign="inline"/>
        <w:ind w:right="2340"/>
        <w:jc w:val="left"/>
      </w:pPr>
    </w:p>
    <w:p w14:paraId="79934B37" w14:textId="77777777" w:rsidR="00097566" w:rsidRDefault="00097566" w:rsidP="00097566">
      <w:pPr>
        <w:pStyle w:val="Weld"/>
        <w:framePr w:hSpace="0" w:wrap="auto" w:vAnchor="margin" w:hAnchor="text" w:xAlign="left" w:yAlign="inline"/>
        <w:ind w:right="2340"/>
        <w:jc w:val="left"/>
      </w:pPr>
    </w:p>
    <w:p w14:paraId="22B96DF9" w14:textId="77777777" w:rsidR="00097566" w:rsidRPr="00554081" w:rsidRDefault="00097566" w:rsidP="00097566">
      <w:pPr>
        <w:ind w:left="1980"/>
        <w:contextualSpacing/>
        <w:jc w:val="center"/>
        <w:rPr>
          <w:rFonts w:ascii="Arial Rounded MT Bold" w:hAnsi="Arial Rounded MT Bold"/>
          <w:sz w:val="18"/>
          <w:szCs w:val="22"/>
        </w:rPr>
      </w:pPr>
      <w:r w:rsidRPr="00554081">
        <w:rPr>
          <w:rFonts w:ascii="Arial Rounded MT Bold" w:hAnsi="Arial Rounded MT Bold"/>
          <w:sz w:val="18"/>
          <w:szCs w:val="22"/>
        </w:rPr>
        <w:t>MARYLOU SUDDERS</w:t>
      </w:r>
    </w:p>
    <w:p w14:paraId="3EBCC000" w14:textId="77777777" w:rsidR="00097566" w:rsidRDefault="00097566" w:rsidP="00097566">
      <w:pPr>
        <w:pStyle w:val="Weld"/>
        <w:framePr w:hSpace="0" w:wrap="auto" w:vAnchor="margin" w:hAnchor="text" w:xAlign="left" w:yAlign="inline"/>
        <w:ind w:left="1980"/>
      </w:pPr>
      <w:r>
        <w:t>Secretary</w:t>
      </w:r>
    </w:p>
    <w:p w14:paraId="6A1E91F8" w14:textId="77777777" w:rsidR="00097566" w:rsidRDefault="00097566" w:rsidP="00097566">
      <w:pPr>
        <w:pStyle w:val="Weld"/>
        <w:framePr w:hSpace="0" w:wrap="auto" w:vAnchor="margin" w:hAnchor="text" w:xAlign="left" w:yAlign="inline"/>
        <w:ind w:left="1980"/>
      </w:pPr>
    </w:p>
    <w:p w14:paraId="31D2CC5C" w14:textId="77777777" w:rsidR="00097566" w:rsidRDefault="00097566" w:rsidP="00097566">
      <w:pPr>
        <w:ind w:left="1980"/>
        <w:contextualSpacing/>
        <w:jc w:val="center"/>
        <w:rPr>
          <w:szCs w:val="16"/>
        </w:rPr>
      </w:pPr>
      <w:r w:rsidRPr="00554081">
        <w:rPr>
          <w:rFonts w:ascii="Arial Rounded MT Bold" w:hAnsi="Arial Rounded MT Bold"/>
          <w:sz w:val="18"/>
          <w:szCs w:val="22"/>
        </w:rPr>
        <w:t>MARGRET R. COOKE</w:t>
      </w:r>
    </w:p>
    <w:p w14:paraId="7EF6A329" w14:textId="77777777" w:rsidR="00097566" w:rsidRPr="00C2477D" w:rsidRDefault="00097566" w:rsidP="00097566">
      <w:pPr>
        <w:pStyle w:val="Weld"/>
        <w:framePr w:hSpace="0" w:wrap="auto" w:vAnchor="margin" w:hAnchor="text" w:xAlign="left" w:yAlign="inline"/>
        <w:ind w:left="1980"/>
      </w:pPr>
      <w:r>
        <w:rPr>
          <w:szCs w:val="14"/>
        </w:rPr>
        <w:t>C</w:t>
      </w:r>
      <w:r w:rsidRPr="00FC6B42">
        <w:rPr>
          <w:szCs w:val="14"/>
        </w:rPr>
        <w:t>ommissioner</w:t>
      </w:r>
    </w:p>
    <w:p w14:paraId="56DE4F82" w14:textId="77777777" w:rsidR="00097566" w:rsidRDefault="00097566" w:rsidP="00097566">
      <w:pPr>
        <w:pStyle w:val="Governor"/>
        <w:framePr w:hSpace="0" w:wrap="auto" w:vAnchor="margin" w:hAnchor="text" w:xAlign="left" w:yAlign="inline"/>
        <w:spacing w:after="0"/>
        <w:ind w:left="1980"/>
        <w:rPr>
          <w:rFonts w:ascii="Arial" w:hAnsi="Arial" w:cs="Arial"/>
          <w:b/>
          <w:szCs w:val="14"/>
        </w:rPr>
      </w:pPr>
    </w:p>
    <w:p w14:paraId="299D128F" w14:textId="77777777" w:rsidR="00097566" w:rsidRDefault="00097566" w:rsidP="00097566">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09DDB3BF" w14:textId="77777777" w:rsidR="00097566" w:rsidRPr="00A763BA" w:rsidRDefault="00097566" w:rsidP="00097566">
      <w:pPr>
        <w:pStyle w:val="Governor"/>
        <w:framePr w:hSpace="0" w:wrap="auto" w:vAnchor="margin" w:hAnchor="text" w:xAlign="left" w:yAlign="inline"/>
        <w:spacing w:after="0"/>
        <w:ind w:left="1980"/>
        <w:rPr>
          <w:sz w:val="16"/>
        </w:rPr>
      </w:pPr>
      <w:hyperlink r:id="rId12" w:history="1">
        <w:r w:rsidRPr="00A51A30">
          <w:rPr>
            <w:rStyle w:val="Hyperlink"/>
            <w:rFonts w:ascii="Arial" w:hAnsi="Arial" w:cs="Arial"/>
            <w:b/>
            <w:szCs w:val="14"/>
            <w:lang w:val="fr-FR"/>
          </w:rPr>
          <w:t>www.mass.gov/dph</w:t>
        </w:r>
      </w:hyperlink>
    </w:p>
    <w:p w14:paraId="194557EB" w14:textId="77777777" w:rsidR="00097566" w:rsidRDefault="00097566" w:rsidP="00097566">
      <w:pPr>
        <w:ind w:right="2340"/>
        <w:sectPr w:rsidR="00097566" w:rsidSect="005B14DC">
          <w:type w:val="continuous"/>
          <w:pgSz w:w="12240" w:h="15840"/>
          <w:pgMar w:top="1440" w:right="1440" w:bottom="1440" w:left="1440" w:header="720" w:footer="720" w:gutter="0"/>
          <w:cols w:num="2" w:space="720"/>
          <w:docGrid w:linePitch="360"/>
        </w:sectPr>
      </w:pPr>
    </w:p>
    <w:p w14:paraId="144A8853" w14:textId="77777777" w:rsidR="00097566" w:rsidRDefault="00097566" w:rsidP="00097566">
      <w:pPr>
        <w:rPr>
          <w:szCs w:val="24"/>
        </w:rPr>
      </w:pPr>
    </w:p>
    <w:p w14:paraId="07CFD6D5" w14:textId="77777777" w:rsidR="00097566" w:rsidRPr="00097566" w:rsidRDefault="00097566" w:rsidP="00CF7736">
      <w:pPr>
        <w:ind w:right="-90"/>
        <w:rPr>
          <w:szCs w:val="24"/>
        </w:rPr>
      </w:pPr>
      <w:r w:rsidRPr="00097566">
        <w:rPr>
          <w:szCs w:val="24"/>
        </w:rPr>
        <w:t>December 19, 2022</w:t>
      </w:r>
    </w:p>
    <w:p w14:paraId="4B715390" w14:textId="77777777" w:rsidR="00097566" w:rsidRPr="00097566" w:rsidRDefault="00097566" w:rsidP="00CF7736">
      <w:pPr>
        <w:ind w:right="-90"/>
        <w:rPr>
          <w:szCs w:val="24"/>
        </w:rPr>
      </w:pPr>
    </w:p>
    <w:p w14:paraId="559F9F44" w14:textId="77777777" w:rsidR="00097566" w:rsidRPr="00097566" w:rsidRDefault="00097566" w:rsidP="00CF7736">
      <w:pPr>
        <w:ind w:right="-90"/>
        <w:rPr>
          <w:szCs w:val="24"/>
        </w:rPr>
      </w:pPr>
      <w:r w:rsidRPr="00097566">
        <w:rPr>
          <w:szCs w:val="24"/>
        </w:rPr>
        <w:t>Donna M. Casey</w:t>
      </w:r>
    </w:p>
    <w:p w14:paraId="71DF0E82" w14:textId="77777777" w:rsidR="00097566" w:rsidRDefault="00097566" w:rsidP="00CF7736">
      <w:pPr>
        <w:ind w:right="-90"/>
        <w:rPr>
          <w:szCs w:val="24"/>
        </w:rPr>
      </w:pPr>
      <w:r w:rsidRPr="00097566">
        <w:rPr>
          <w:szCs w:val="24"/>
        </w:rPr>
        <w:t xml:space="preserve">Senior Vice President, Strategic Business Planning </w:t>
      </w:r>
    </w:p>
    <w:p w14:paraId="67ADD961" w14:textId="42848B41" w:rsidR="00097566" w:rsidRPr="00097566" w:rsidRDefault="00097566" w:rsidP="00CF7736">
      <w:pPr>
        <w:ind w:right="-90"/>
        <w:rPr>
          <w:szCs w:val="24"/>
        </w:rPr>
      </w:pPr>
      <w:r w:rsidRPr="00097566">
        <w:rPr>
          <w:szCs w:val="24"/>
        </w:rPr>
        <w:t>Boston Children's Hospital</w:t>
      </w:r>
    </w:p>
    <w:p w14:paraId="4CF4F98B" w14:textId="77777777" w:rsidR="00097566" w:rsidRDefault="00097566" w:rsidP="00CF7736">
      <w:pPr>
        <w:ind w:right="-90"/>
        <w:rPr>
          <w:szCs w:val="24"/>
        </w:rPr>
      </w:pPr>
      <w:r w:rsidRPr="00097566">
        <w:rPr>
          <w:szCs w:val="24"/>
        </w:rPr>
        <w:t xml:space="preserve">300 Longwood Avenue </w:t>
      </w:r>
    </w:p>
    <w:p w14:paraId="13794ABD" w14:textId="153C7F86" w:rsidR="00097566" w:rsidRPr="00097566" w:rsidRDefault="00097566" w:rsidP="00CF7736">
      <w:pPr>
        <w:ind w:right="-90"/>
        <w:rPr>
          <w:szCs w:val="24"/>
        </w:rPr>
      </w:pPr>
      <w:r w:rsidRPr="00097566">
        <w:rPr>
          <w:szCs w:val="24"/>
        </w:rPr>
        <w:t>BY483</w:t>
      </w:r>
    </w:p>
    <w:p w14:paraId="2F34E8BD" w14:textId="77777777" w:rsidR="00097566" w:rsidRPr="00097566" w:rsidRDefault="00097566" w:rsidP="00CF7736">
      <w:pPr>
        <w:ind w:right="-90"/>
        <w:rPr>
          <w:szCs w:val="24"/>
        </w:rPr>
      </w:pPr>
      <w:r w:rsidRPr="00097566">
        <w:rPr>
          <w:szCs w:val="24"/>
        </w:rPr>
        <w:t>Boston, MA 02115</w:t>
      </w:r>
    </w:p>
    <w:p w14:paraId="1BD1575B" w14:textId="77777777" w:rsidR="00097566" w:rsidRPr="00097566" w:rsidRDefault="00097566" w:rsidP="00CF7736">
      <w:pPr>
        <w:ind w:right="-90"/>
        <w:rPr>
          <w:szCs w:val="24"/>
        </w:rPr>
      </w:pPr>
    </w:p>
    <w:p w14:paraId="4910F67B" w14:textId="2DA7912D" w:rsidR="00097566" w:rsidRPr="00097566" w:rsidRDefault="00097566" w:rsidP="00CF7736">
      <w:pPr>
        <w:ind w:right="-90"/>
        <w:rPr>
          <w:szCs w:val="24"/>
        </w:rPr>
      </w:pPr>
      <w:r w:rsidRPr="00097566">
        <w:rPr>
          <w:szCs w:val="24"/>
        </w:rPr>
        <w:t xml:space="preserve">VIA electronic mail: </w:t>
      </w:r>
      <w:hyperlink r:id="rId13" w:history="1">
        <w:r w:rsidRPr="006559E0">
          <w:rPr>
            <w:rStyle w:val="Hyperlink"/>
            <w:szCs w:val="24"/>
          </w:rPr>
          <w:t>donna.casey@childrens.harvard.edu</w:t>
        </w:r>
      </w:hyperlink>
      <w:r>
        <w:rPr>
          <w:szCs w:val="24"/>
        </w:rPr>
        <w:t xml:space="preserve"> </w:t>
      </w:r>
    </w:p>
    <w:p w14:paraId="2ACC9DE8" w14:textId="77777777" w:rsidR="00097566" w:rsidRPr="00097566" w:rsidRDefault="00097566" w:rsidP="00CF7736">
      <w:pPr>
        <w:ind w:right="-90"/>
        <w:rPr>
          <w:szCs w:val="24"/>
        </w:rPr>
      </w:pPr>
    </w:p>
    <w:p w14:paraId="161862DB" w14:textId="77777777" w:rsidR="00097566" w:rsidRDefault="00097566" w:rsidP="00CF7736">
      <w:pPr>
        <w:ind w:right="-90"/>
        <w:rPr>
          <w:szCs w:val="24"/>
        </w:rPr>
      </w:pPr>
      <w:r w:rsidRPr="00097566">
        <w:rPr>
          <w:szCs w:val="24"/>
        </w:rPr>
        <w:t xml:space="preserve">RE: Notice of Final Action DON Application #BCH-21071411-HE </w:t>
      </w:r>
    </w:p>
    <w:p w14:paraId="352D5E6C" w14:textId="77777777" w:rsidR="00097566" w:rsidRDefault="00097566" w:rsidP="00CF7736">
      <w:pPr>
        <w:ind w:right="-90"/>
        <w:rPr>
          <w:szCs w:val="24"/>
        </w:rPr>
      </w:pPr>
    </w:p>
    <w:p w14:paraId="06D2A33A" w14:textId="288C32D2" w:rsidR="00097566" w:rsidRDefault="00097566" w:rsidP="00CF7736">
      <w:pPr>
        <w:ind w:right="-90"/>
        <w:rPr>
          <w:szCs w:val="24"/>
        </w:rPr>
      </w:pPr>
      <w:r w:rsidRPr="00097566">
        <w:rPr>
          <w:szCs w:val="24"/>
        </w:rPr>
        <w:t>Dear Ms. Casey,</w:t>
      </w:r>
    </w:p>
    <w:p w14:paraId="2586771C" w14:textId="77777777" w:rsidR="00097566" w:rsidRPr="00097566" w:rsidRDefault="00097566" w:rsidP="00CF7736">
      <w:pPr>
        <w:ind w:right="-90"/>
        <w:rPr>
          <w:szCs w:val="24"/>
        </w:rPr>
      </w:pPr>
    </w:p>
    <w:p w14:paraId="59CCA8A8" w14:textId="77777777" w:rsidR="00097566" w:rsidRPr="00097566" w:rsidRDefault="00097566" w:rsidP="00CF7736">
      <w:pPr>
        <w:ind w:right="-90"/>
        <w:rPr>
          <w:szCs w:val="24"/>
        </w:rPr>
      </w:pPr>
      <w:r w:rsidRPr="00097566">
        <w:rPr>
          <w:szCs w:val="24"/>
        </w:rPr>
        <w:t>At their meeting of December 14, 2022, the Commissioner and the Public Health Council;·acting together as the Department, voted pursuant to M.G.L. c.111, §25(c) and the regulations adopted thereunder, to approve the Determination of Need application filed by Children's Medical Center Corporation (CMCC or Applicant) located at 300 Longwood Ave Boston, MA for a Substantial Capital Expenditure and Substantial Change in Service at the Children's Hospital Corporation d/b/a Boston Children's Hospital for the following:</w:t>
      </w:r>
    </w:p>
    <w:p w14:paraId="1B6F24E7" w14:textId="77777777" w:rsidR="00097566" w:rsidRPr="00097566" w:rsidRDefault="00097566" w:rsidP="00CF7736">
      <w:pPr>
        <w:ind w:right="-90"/>
        <w:rPr>
          <w:szCs w:val="24"/>
        </w:rPr>
      </w:pPr>
    </w:p>
    <w:p w14:paraId="69122DCC" w14:textId="77777777" w:rsidR="00CF7736" w:rsidRDefault="00097566" w:rsidP="00CF7736">
      <w:pPr>
        <w:pStyle w:val="ListParagraph"/>
        <w:numPr>
          <w:ilvl w:val="0"/>
          <w:numId w:val="3"/>
        </w:numPr>
        <w:ind w:right="-90"/>
        <w:rPr>
          <w:szCs w:val="24"/>
        </w:rPr>
      </w:pPr>
      <w:r w:rsidRPr="00CF7736">
        <w:rPr>
          <w:b/>
          <w:bCs/>
          <w:szCs w:val="24"/>
        </w:rPr>
        <w:t>Waltham</w:t>
      </w:r>
      <w:r w:rsidRPr="00CF7736">
        <w:rPr>
          <w:szCs w:val="24"/>
        </w:rPr>
        <w:t>: Renovation and expansion of 78,395 gross square feet at an existing site at 9 Hope Avenue, Waltham.</w:t>
      </w:r>
    </w:p>
    <w:p w14:paraId="0AB88E60" w14:textId="77777777" w:rsidR="00CF7736" w:rsidRDefault="00097566" w:rsidP="00CF7736">
      <w:pPr>
        <w:pStyle w:val="ListParagraph"/>
        <w:numPr>
          <w:ilvl w:val="1"/>
          <w:numId w:val="3"/>
        </w:numPr>
        <w:ind w:right="-90"/>
        <w:rPr>
          <w:szCs w:val="24"/>
        </w:rPr>
      </w:pPr>
      <w:r w:rsidRPr="00CF7736">
        <w:rPr>
          <w:szCs w:val="24"/>
        </w:rPr>
        <w:t>the expansion of clinical areas, including existing infusion, sleep disorders, radiology, and behavioral health services, including the establishment of a medical- psychiatric ("med­ psych") partial hospitalization program.</w:t>
      </w:r>
    </w:p>
    <w:p w14:paraId="65FD14F5" w14:textId="77777777" w:rsidR="00CF7736" w:rsidRDefault="00097566" w:rsidP="00CF7736">
      <w:pPr>
        <w:pStyle w:val="ListParagraph"/>
        <w:numPr>
          <w:ilvl w:val="0"/>
          <w:numId w:val="3"/>
        </w:numPr>
        <w:ind w:right="-90"/>
        <w:rPr>
          <w:szCs w:val="24"/>
        </w:rPr>
      </w:pPr>
      <w:r w:rsidRPr="00CF7736">
        <w:rPr>
          <w:b/>
          <w:bCs/>
          <w:szCs w:val="24"/>
        </w:rPr>
        <w:t>Needham</w:t>
      </w:r>
      <w:r w:rsidRPr="00CF7736">
        <w:rPr>
          <w:szCs w:val="24"/>
        </w:rPr>
        <w:t>: a new site that involves new construction of an ~224,000 gross square foot facility at 380 First Avenue, Needham. The proposed facility would include:</w:t>
      </w:r>
    </w:p>
    <w:p w14:paraId="38D7EB67" w14:textId="77777777" w:rsidR="00CF7736" w:rsidRDefault="00097566" w:rsidP="00CF7736">
      <w:pPr>
        <w:pStyle w:val="ListParagraph"/>
        <w:numPr>
          <w:ilvl w:val="1"/>
          <w:numId w:val="3"/>
        </w:numPr>
        <w:ind w:right="-90"/>
        <w:rPr>
          <w:szCs w:val="24"/>
        </w:rPr>
      </w:pPr>
      <w:r w:rsidRPr="00CF7736">
        <w:rPr>
          <w:szCs w:val="24"/>
        </w:rPr>
        <w:t xml:space="preserve">eight operating rooms (4 new, 4 relocated from Lexington) for ambulatory </w:t>
      </w:r>
      <w:proofErr w:type="gramStart"/>
      <w:r w:rsidRPr="00CF7736">
        <w:rPr>
          <w:szCs w:val="24"/>
        </w:rPr>
        <w:t>surgery;</w:t>
      </w:r>
      <w:proofErr w:type="gramEnd"/>
    </w:p>
    <w:p w14:paraId="3D168A2E" w14:textId="77777777" w:rsidR="00CF7736" w:rsidRDefault="00097566" w:rsidP="00CF7736">
      <w:pPr>
        <w:pStyle w:val="ListParagraph"/>
        <w:numPr>
          <w:ilvl w:val="1"/>
          <w:numId w:val="3"/>
        </w:numPr>
        <w:ind w:right="-90"/>
        <w:rPr>
          <w:szCs w:val="24"/>
        </w:rPr>
      </w:pPr>
      <w:r w:rsidRPr="00CF7736">
        <w:rPr>
          <w:szCs w:val="24"/>
        </w:rPr>
        <w:t>hospital outpatient space to inclu.de phlebotomy, physical and occupational therapy, ophthalmology, and diagnostic radiology; and</w:t>
      </w:r>
    </w:p>
    <w:p w14:paraId="1669BC6D" w14:textId="77777777" w:rsidR="00CF7736" w:rsidRDefault="00097566" w:rsidP="00CF7736">
      <w:pPr>
        <w:pStyle w:val="ListParagraph"/>
        <w:numPr>
          <w:ilvl w:val="1"/>
          <w:numId w:val="3"/>
        </w:numPr>
        <w:ind w:right="-90"/>
        <w:rPr>
          <w:szCs w:val="24"/>
        </w:rPr>
      </w:pPr>
      <w:r w:rsidRPr="00CF7736">
        <w:rPr>
          <w:szCs w:val="24"/>
        </w:rPr>
        <w:t>one MRI unit.</w:t>
      </w:r>
    </w:p>
    <w:p w14:paraId="17E7DDF9" w14:textId="53E5E225" w:rsidR="00097566" w:rsidRPr="00CF7736" w:rsidRDefault="00097566" w:rsidP="00CF7736">
      <w:pPr>
        <w:pStyle w:val="ListParagraph"/>
        <w:numPr>
          <w:ilvl w:val="0"/>
          <w:numId w:val="3"/>
        </w:numPr>
        <w:ind w:right="-90"/>
        <w:rPr>
          <w:szCs w:val="24"/>
        </w:rPr>
      </w:pPr>
      <w:r w:rsidRPr="00CF7736">
        <w:rPr>
          <w:b/>
          <w:bCs/>
          <w:szCs w:val="24"/>
        </w:rPr>
        <w:lastRenderedPageBreak/>
        <w:t>Weymouth</w:t>
      </w:r>
      <w:r w:rsidRPr="00CF7736">
        <w:rPr>
          <w:szCs w:val="24"/>
        </w:rPr>
        <w:t>: a new site that involves new construction, of ~33,862 gross square feet at 200 Libbey Parkway, Weymouth.</w:t>
      </w:r>
      <w:r w:rsidR="00857E26">
        <w:rPr>
          <w:rStyle w:val="FootnoteReference"/>
          <w:szCs w:val="24"/>
        </w:rPr>
        <w:footnoteReference w:id="1"/>
      </w:r>
      <w:r w:rsidRPr="00CF7736">
        <w:rPr>
          <w:szCs w:val="24"/>
        </w:rPr>
        <w:t xml:space="preserve"> This facility would include diagnostic and therapeutic outpatient hospital services, including audiology, speech therapy, vision function testing, phlebotomy, </w:t>
      </w:r>
      <w:proofErr w:type="gramStart"/>
      <w:r w:rsidRPr="00CF7736">
        <w:rPr>
          <w:szCs w:val="24"/>
        </w:rPr>
        <w:t>echocardiography</w:t>
      </w:r>
      <w:proofErr w:type="gramEnd"/>
      <w:r w:rsidRPr="00CF7736">
        <w:rPr>
          <w:szCs w:val="24"/>
        </w:rPr>
        <w:t xml:space="preserve"> and radiology, including one MRI Unit</w:t>
      </w:r>
      <w:r w:rsidR="00857E26">
        <w:rPr>
          <w:szCs w:val="24"/>
        </w:rPr>
        <w:t>.</w:t>
      </w:r>
      <w:r w:rsidR="00857E26">
        <w:rPr>
          <w:rStyle w:val="FootnoteReference"/>
          <w:szCs w:val="24"/>
        </w:rPr>
        <w:footnoteReference w:id="2"/>
      </w:r>
    </w:p>
    <w:p w14:paraId="353B5926" w14:textId="77777777" w:rsidR="00097566" w:rsidRPr="00097566" w:rsidRDefault="00097566" w:rsidP="00CF7736">
      <w:pPr>
        <w:ind w:right="-90"/>
        <w:rPr>
          <w:szCs w:val="24"/>
        </w:rPr>
      </w:pPr>
    </w:p>
    <w:p w14:paraId="40D7C96B" w14:textId="77777777" w:rsidR="00097566" w:rsidRPr="00097566" w:rsidRDefault="00097566" w:rsidP="00CF7736">
      <w:pPr>
        <w:ind w:right="-90"/>
        <w:rPr>
          <w:szCs w:val="24"/>
        </w:rPr>
      </w:pPr>
      <w:r w:rsidRPr="00097566">
        <w:rPr>
          <w:szCs w:val="24"/>
        </w:rPr>
        <w:t>This Notice of Final Action incorporates by reference the Staff Report, and the Public Health Council proceedings concerning this application, all of which are incorporated herein by reference.</w:t>
      </w:r>
    </w:p>
    <w:p w14:paraId="3156D3B5" w14:textId="77777777" w:rsidR="00097566" w:rsidRPr="00097566" w:rsidRDefault="00097566" w:rsidP="00CF7736">
      <w:pPr>
        <w:ind w:right="-90"/>
        <w:rPr>
          <w:szCs w:val="24"/>
        </w:rPr>
      </w:pPr>
    </w:p>
    <w:p w14:paraId="277B67F8" w14:textId="6C8667B6" w:rsidR="00097566" w:rsidRPr="00097566" w:rsidRDefault="00097566" w:rsidP="00CF7736">
      <w:pPr>
        <w:ind w:right="-90"/>
        <w:rPr>
          <w:szCs w:val="24"/>
        </w:rPr>
      </w:pPr>
      <w:r w:rsidRPr="00097566">
        <w:rPr>
          <w:szCs w:val="24"/>
        </w:rPr>
        <w:t xml:space="preserve">This Determination of Need Application was reviewed pursuant to M.G.L. c. 111, § 25(c), and the regulatory provisions of 105 CMR 100.000 et seq. Based upon a review of the materials, the Department found that the Applicant has met each </w:t>
      </w:r>
      <w:proofErr w:type="spellStart"/>
      <w:r w:rsidRPr="00097566">
        <w:rPr>
          <w:szCs w:val="24"/>
        </w:rPr>
        <w:t>DoN</w:t>
      </w:r>
      <w:proofErr w:type="spellEnd"/>
      <w:r w:rsidRPr="00097566">
        <w:rPr>
          <w:szCs w:val="24"/>
        </w:rPr>
        <w:t xml:space="preserve"> factor with conditions and approves this Determination of Need application for a substantial capital expenditure for the Proposed Project of</w:t>
      </w:r>
      <w:r w:rsidR="00CF7736">
        <w:rPr>
          <w:szCs w:val="24"/>
        </w:rPr>
        <w:t xml:space="preserve"> </w:t>
      </w:r>
      <w:r w:rsidRPr="00097566">
        <w:rPr>
          <w:szCs w:val="24"/>
        </w:rPr>
        <w:t>$434,691,000.00. The total required Community Health Initiative (CHI) contribution is $21,734,550.00.</w:t>
      </w:r>
    </w:p>
    <w:p w14:paraId="44504C2B" w14:textId="77777777" w:rsidR="00097566" w:rsidRPr="00097566" w:rsidRDefault="00097566" w:rsidP="00CF7736">
      <w:pPr>
        <w:ind w:right="-90"/>
        <w:rPr>
          <w:szCs w:val="24"/>
        </w:rPr>
      </w:pPr>
    </w:p>
    <w:p w14:paraId="5786D481" w14:textId="77777777" w:rsidR="00097566" w:rsidRPr="00097566" w:rsidRDefault="00097566" w:rsidP="00CF7736">
      <w:pPr>
        <w:ind w:right="-90"/>
        <w:rPr>
          <w:szCs w:val="24"/>
        </w:rPr>
      </w:pPr>
      <w:r w:rsidRPr="00097566">
        <w:rPr>
          <w:szCs w:val="24"/>
        </w:rPr>
        <w:t>In compliance with the provisions of 105 CMR 100.310 A (2) and (11) the Holder shall submit an acknowledgment of receipt to the Department (attached) and include a written attestation of participation or intent to participate in MassHealth.</w:t>
      </w:r>
    </w:p>
    <w:p w14:paraId="6A932C42" w14:textId="77777777" w:rsidR="00097566" w:rsidRPr="00097566" w:rsidRDefault="00097566" w:rsidP="00CF7736">
      <w:pPr>
        <w:ind w:right="-90"/>
        <w:rPr>
          <w:szCs w:val="24"/>
        </w:rPr>
      </w:pPr>
    </w:p>
    <w:p w14:paraId="2B15C030" w14:textId="42C614C6" w:rsidR="00097566" w:rsidRDefault="00097566" w:rsidP="00857E26">
      <w:pPr>
        <w:ind w:right="-90"/>
        <w:rPr>
          <w:szCs w:val="24"/>
        </w:rPr>
      </w:pPr>
      <w:r w:rsidRPr="00097566">
        <w:rPr>
          <w:szCs w:val="24"/>
        </w:rPr>
        <w:t xml:space="preserve">In compliance with 105 CMR 100.310(A)(12), which requires a report to the Department, at a minimum on an annual basis, including the measures related to achievement of the </w:t>
      </w:r>
      <w:proofErr w:type="spellStart"/>
      <w:r w:rsidRPr="00097566">
        <w:rPr>
          <w:szCs w:val="24"/>
        </w:rPr>
        <w:t>DoN</w:t>
      </w:r>
      <w:proofErr w:type="spellEnd"/>
      <w:r w:rsidRPr="00097566">
        <w:rPr>
          <w:szCs w:val="24"/>
        </w:rPr>
        <w:t xml:space="preserve"> factors for a period of five years from completion of the Proposed Project, the Holder shall address its assertions with respect to all the factors.</w:t>
      </w:r>
    </w:p>
    <w:p w14:paraId="4417D05D" w14:textId="77777777" w:rsidR="00857E26" w:rsidRPr="00097566" w:rsidRDefault="00857E26" w:rsidP="00857E26">
      <w:pPr>
        <w:ind w:right="-90"/>
        <w:rPr>
          <w:szCs w:val="24"/>
        </w:rPr>
      </w:pPr>
    </w:p>
    <w:p w14:paraId="27A7CFEE" w14:textId="77777777" w:rsidR="00857E26" w:rsidRPr="00857E26" w:rsidRDefault="00097566" w:rsidP="00857E26">
      <w:pPr>
        <w:ind w:right="-90"/>
        <w:rPr>
          <w:b/>
          <w:bCs/>
          <w:szCs w:val="24"/>
        </w:rPr>
      </w:pPr>
      <w:r w:rsidRPr="00857E26">
        <w:rPr>
          <w:b/>
          <w:bCs/>
          <w:szCs w:val="24"/>
        </w:rPr>
        <w:t xml:space="preserve">Other Conditions to the </w:t>
      </w:r>
      <w:proofErr w:type="spellStart"/>
      <w:r w:rsidRPr="00857E26">
        <w:rPr>
          <w:b/>
          <w:bCs/>
          <w:szCs w:val="24"/>
        </w:rPr>
        <w:t>DoN</w:t>
      </w:r>
      <w:proofErr w:type="spellEnd"/>
      <w:r w:rsidRPr="00857E26">
        <w:rPr>
          <w:b/>
          <w:bCs/>
          <w:szCs w:val="24"/>
        </w:rPr>
        <w:t xml:space="preserve"> </w:t>
      </w:r>
    </w:p>
    <w:p w14:paraId="24585401" w14:textId="77777777" w:rsidR="00857E26" w:rsidRPr="00857E26" w:rsidRDefault="00857E26" w:rsidP="00857E26">
      <w:pPr>
        <w:ind w:right="-90"/>
        <w:rPr>
          <w:b/>
          <w:bCs/>
          <w:szCs w:val="24"/>
        </w:rPr>
      </w:pPr>
    </w:p>
    <w:p w14:paraId="7C7AAD9A" w14:textId="6BE0A64A" w:rsidR="00097566" w:rsidRPr="00857E26" w:rsidRDefault="00097566" w:rsidP="00857E26">
      <w:pPr>
        <w:ind w:right="-90"/>
        <w:rPr>
          <w:b/>
          <w:bCs/>
          <w:szCs w:val="24"/>
        </w:rPr>
      </w:pPr>
      <w:r w:rsidRPr="00857E26">
        <w:rPr>
          <w:b/>
          <w:bCs/>
          <w:szCs w:val="24"/>
        </w:rPr>
        <w:t>Condition 1- CHI</w:t>
      </w:r>
    </w:p>
    <w:p w14:paraId="418F775E" w14:textId="77777777" w:rsidR="00857E26" w:rsidRDefault="00097566" w:rsidP="00857E26">
      <w:pPr>
        <w:pStyle w:val="ListParagraph"/>
        <w:numPr>
          <w:ilvl w:val="0"/>
          <w:numId w:val="8"/>
        </w:numPr>
        <w:ind w:right="-90"/>
        <w:rPr>
          <w:szCs w:val="24"/>
        </w:rPr>
      </w:pPr>
      <w:r w:rsidRPr="00857E26">
        <w:rPr>
          <w:szCs w:val="24"/>
        </w:rPr>
        <w:t>Of the total required CHI contribution of $21,734,550.00</w:t>
      </w:r>
    </w:p>
    <w:p w14:paraId="325EC611" w14:textId="1E80782F" w:rsidR="00097566" w:rsidRPr="00857E26" w:rsidRDefault="00097566" w:rsidP="00857E26">
      <w:pPr>
        <w:pStyle w:val="ListParagraph"/>
        <w:numPr>
          <w:ilvl w:val="1"/>
          <w:numId w:val="8"/>
        </w:numPr>
        <w:ind w:right="-90"/>
        <w:rPr>
          <w:szCs w:val="24"/>
        </w:rPr>
      </w:pPr>
      <w:r w:rsidRPr="00857E26">
        <w:rPr>
          <w:szCs w:val="24"/>
        </w:rPr>
        <w:t>$5,324,964.75 will be directed to the CHI Statewide Initiative</w:t>
      </w:r>
    </w:p>
    <w:p w14:paraId="78E15B6E" w14:textId="5240F0BB" w:rsidR="00097566" w:rsidRPr="00857E26" w:rsidRDefault="00097566" w:rsidP="00857E26">
      <w:pPr>
        <w:pStyle w:val="ListParagraph"/>
        <w:numPr>
          <w:ilvl w:val="1"/>
          <w:numId w:val="8"/>
        </w:numPr>
        <w:ind w:right="-90"/>
        <w:rPr>
          <w:szCs w:val="24"/>
        </w:rPr>
      </w:pPr>
      <w:r w:rsidRPr="00857E26">
        <w:rPr>
          <w:szCs w:val="24"/>
        </w:rPr>
        <w:t xml:space="preserve">$15,974,894.25 will be dedicated to local approaches to the </w:t>
      </w:r>
      <w:proofErr w:type="spellStart"/>
      <w:r w:rsidRPr="00857E26">
        <w:rPr>
          <w:szCs w:val="24"/>
        </w:rPr>
        <w:t>DoN</w:t>
      </w:r>
      <w:proofErr w:type="spellEnd"/>
      <w:r w:rsidRPr="00857E26">
        <w:rPr>
          <w:szCs w:val="24"/>
        </w:rPr>
        <w:t xml:space="preserve"> Health Priorities</w:t>
      </w:r>
    </w:p>
    <w:p w14:paraId="787D8252" w14:textId="5D2BB116" w:rsidR="00097566" w:rsidRPr="00857E26" w:rsidRDefault="00097566" w:rsidP="00857E26">
      <w:pPr>
        <w:pStyle w:val="ListParagraph"/>
        <w:numPr>
          <w:ilvl w:val="1"/>
          <w:numId w:val="8"/>
        </w:numPr>
        <w:ind w:right="-90"/>
        <w:rPr>
          <w:szCs w:val="24"/>
        </w:rPr>
      </w:pPr>
      <w:r w:rsidRPr="00857E26">
        <w:rPr>
          <w:szCs w:val="24"/>
        </w:rPr>
        <w:t>$434,691.00 will be designated as the Administrative Allowance</w:t>
      </w:r>
    </w:p>
    <w:p w14:paraId="01FD6B45" w14:textId="77777777" w:rsidR="00097566" w:rsidRPr="00097566" w:rsidRDefault="00097566" w:rsidP="00857E26">
      <w:pPr>
        <w:ind w:right="-90"/>
        <w:rPr>
          <w:szCs w:val="24"/>
        </w:rPr>
      </w:pPr>
    </w:p>
    <w:p w14:paraId="2D63E77F" w14:textId="19C52116" w:rsidR="00857E26" w:rsidRPr="00857E26" w:rsidRDefault="00097566" w:rsidP="001A441E">
      <w:pPr>
        <w:pStyle w:val="ListParagraph"/>
        <w:numPr>
          <w:ilvl w:val="0"/>
          <w:numId w:val="8"/>
        </w:numPr>
        <w:ind w:right="-90"/>
        <w:rPr>
          <w:szCs w:val="24"/>
        </w:rPr>
      </w:pPr>
      <w:r w:rsidRPr="00857E26">
        <w:rPr>
          <w:szCs w:val="24"/>
        </w:rPr>
        <w:t>To comply with the Holder's obligation to contribute to the Statewide CHI Initiative, the Holder must submit a check for $5,324,964.75 to Health Resources in Action (the fiscal agent for the CHI Statewide Initiative).</w:t>
      </w:r>
    </w:p>
    <w:p w14:paraId="5A141542" w14:textId="69A85509" w:rsidR="00097566" w:rsidRPr="00857E26" w:rsidRDefault="00097566" w:rsidP="001A441E">
      <w:pPr>
        <w:pStyle w:val="ListParagraph"/>
        <w:numPr>
          <w:ilvl w:val="1"/>
          <w:numId w:val="9"/>
        </w:numPr>
        <w:ind w:right="-90"/>
        <w:rPr>
          <w:szCs w:val="24"/>
        </w:rPr>
      </w:pPr>
      <w:r w:rsidRPr="00857E26">
        <w:rPr>
          <w:szCs w:val="24"/>
        </w:rPr>
        <w:t xml:space="preserve">The Holder must submit the funds to </w:t>
      </w:r>
      <w:proofErr w:type="spellStart"/>
      <w:r w:rsidRPr="00857E26">
        <w:rPr>
          <w:szCs w:val="24"/>
        </w:rPr>
        <w:t>HRiA</w:t>
      </w:r>
      <w:proofErr w:type="spellEnd"/>
      <w:r w:rsidRPr="00857E26">
        <w:rPr>
          <w:szCs w:val="24"/>
        </w:rPr>
        <w:t xml:space="preserve"> within 30 days from the date of the Notice of Approval. co</w:t>
      </w:r>
    </w:p>
    <w:p w14:paraId="4F805D9E" w14:textId="3A930D67" w:rsidR="00097566" w:rsidRPr="00857E26" w:rsidRDefault="00097566" w:rsidP="001A441E">
      <w:pPr>
        <w:pStyle w:val="ListParagraph"/>
        <w:numPr>
          <w:ilvl w:val="1"/>
          <w:numId w:val="9"/>
        </w:numPr>
        <w:ind w:right="-90"/>
        <w:rPr>
          <w:szCs w:val="24"/>
        </w:rPr>
      </w:pPr>
      <w:r w:rsidRPr="00857E26">
        <w:rPr>
          <w:szCs w:val="24"/>
        </w:rPr>
        <w:t>The Holder must promptly notify DPH (CHI contact staff) when the payment has been made.</w:t>
      </w:r>
    </w:p>
    <w:p w14:paraId="0A944BAC" w14:textId="77777777" w:rsidR="00097566" w:rsidRPr="00097566" w:rsidRDefault="00097566" w:rsidP="001A441E">
      <w:pPr>
        <w:ind w:right="-90"/>
        <w:rPr>
          <w:szCs w:val="24"/>
        </w:rPr>
      </w:pPr>
    </w:p>
    <w:p w14:paraId="1B860EAD" w14:textId="3E831653" w:rsidR="00097566" w:rsidRPr="00097566" w:rsidRDefault="00097566" w:rsidP="001A441E">
      <w:pPr>
        <w:ind w:left="60" w:right="-90"/>
        <w:rPr>
          <w:szCs w:val="24"/>
        </w:rPr>
      </w:pPr>
    </w:p>
    <w:p w14:paraId="00EDB14F" w14:textId="45FC46DE" w:rsidR="00097566" w:rsidRPr="00097566" w:rsidRDefault="00097566" w:rsidP="001A441E">
      <w:pPr>
        <w:ind w:left="60" w:right="-90"/>
        <w:rPr>
          <w:szCs w:val="24"/>
        </w:rPr>
      </w:pPr>
    </w:p>
    <w:p w14:paraId="39B7C87D" w14:textId="7A378EE2" w:rsidR="00097566" w:rsidRPr="00857E26" w:rsidRDefault="00097566" w:rsidP="001A441E">
      <w:pPr>
        <w:pStyle w:val="ListParagraph"/>
        <w:numPr>
          <w:ilvl w:val="0"/>
          <w:numId w:val="8"/>
        </w:numPr>
        <w:ind w:right="-90"/>
        <w:rPr>
          <w:szCs w:val="24"/>
        </w:rPr>
      </w:pPr>
      <w:r w:rsidRPr="00857E26">
        <w:rPr>
          <w:szCs w:val="24"/>
        </w:rPr>
        <w:lastRenderedPageBreak/>
        <w:t>The Holder shall continue to follow federal requirements for conducting triennial CHNAs. In developing CHNAs, Holder will continue to include the geography of each satellite location and make good faith efforts to collaborate with other area hospitals, as well as existing collaboratives and coalitions therein.</w:t>
      </w:r>
    </w:p>
    <w:p w14:paraId="5A93445E" w14:textId="77777777" w:rsidR="00097566" w:rsidRPr="00097566" w:rsidRDefault="00097566" w:rsidP="00097566">
      <w:pPr>
        <w:rPr>
          <w:szCs w:val="24"/>
        </w:rPr>
      </w:pPr>
    </w:p>
    <w:p w14:paraId="5EB2B119" w14:textId="77777777" w:rsidR="00097566" w:rsidRPr="00097566" w:rsidRDefault="00097566" w:rsidP="00097566">
      <w:pPr>
        <w:rPr>
          <w:szCs w:val="24"/>
        </w:rPr>
      </w:pPr>
      <w:r w:rsidRPr="00097566">
        <w:rPr>
          <w:szCs w:val="24"/>
        </w:rPr>
        <w:t>Payment should be sent to:</w:t>
      </w:r>
    </w:p>
    <w:p w14:paraId="5816517C" w14:textId="77777777" w:rsidR="001A441E" w:rsidRDefault="00097566" w:rsidP="00097566">
      <w:pPr>
        <w:rPr>
          <w:szCs w:val="24"/>
        </w:rPr>
      </w:pPr>
      <w:r w:rsidRPr="00097566">
        <w:rPr>
          <w:szCs w:val="24"/>
        </w:rPr>
        <w:t xml:space="preserve">Health Resources in Action, </w:t>
      </w:r>
      <w:proofErr w:type="gramStart"/>
      <w:r w:rsidRPr="00097566">
        <w:rPr>
          <w:szCs w:val="24"/>
        </w:rPr>
        <w:t xml:space="preserve">Inc.( </w:t>
      </w:r>
      <w:proofErr w:type="spellStart"/>
      <w:r w:rsidRPr="00097566">
        <w:rPr>
          <w:szCs w:val="24"/>
        </w:rPr>
        <w:t>HRiA</w:t>
      </w:r>
      <w:proofErr w:type="spellEnd"/>
      <w:proofErr w:type="gramEnd"/>
      <w:r w:rsidRPr="00097566">
        <w:rPr>
          <w:szCs w:val="24"/>
        </w:rPr>
        <w:t xml:space="preserve">) </w:t>
      </w:r>
    </w:p>
    <w:p w14:paraId="0840FBF4" w14:textId="7F721ED8" w:rsidR="00097566" w:rsidRPr="00097566" w:rsidRDefault="00097566" w:rsidP="00097566">
      <w:pPr>
        <w:rPr>
          <w:szCs w:val="24"/>
        </w:rPr>
      </w:pPr>
      <w:r w:rsidRPr="00097566">
        <w:rPr>
          <w:szCs w:val="24"/>
        </w:rPr>
        <w:t>2 Boylston Street, 4th Floor</w:t>
      </w:r>
    </w:p>
    <w:p w14:paraId="3165EEF7" w14:textId="77777777" w:rsidR="001A441E" w:rsidRDefault="00097566" w:rsidP="00097566">
      <w:pPr>
        <w:rPr>
          <w:szCs w:val="24"/>
        </w:rPr>
      </w:pPr>
      <w:r w:rsidRPr="00097566">
        <w:rPr>
          <w:szCs w:val="24"/>
        </w:rPr>
        <w:t xml:space="preserve">Boston, MA 02116 </w:t>
      </w:r>
    </w:p>
    <w:p w14:paraId="400E7A62" w14:textId="6B40D630" w:rsidR="00097566" w:rsidRPr="00097566" w:rsidRDefault="00097566" w:rsidP="00097566">
      <w:pPr>
        <w:rPr>
          <w:szCs w:val="24"/>
        </w:rPr>
      </w:pPr>
      <w:r w:rsidRPr="00097566">
        <w:rPr>
          <w:szCs w:val="24"/>
        </w:rPr>
        <w:t>Attn: Ms. Bora Toro</w:t>
      </w:r>
    </w:p>
    <w:p w14:paraId="0679EB08" w14:textId="77777777" w:rsidR="00097566" w:rsidRPr="00097566" w:rsidRDefault="00097566" w:rsidP="00097566">
      <w:pPr>
        <w:rPr>
          <w:szCs w:val="24"/>
        </w:rPr>
      </w:pPr>
    </w:p>
    <w:p w14:paraId="0E3A34D4" w14:textId="5C7AACD8" w:rsidR="00097566" w:rsidRDefault="00097566" w:rsidP="00097566">
      <w:pPr>
        <w:rPr>
          <w:szCs w:val="24"/>
        </w:rPr>
      </w:pPr>
      <w:r w:rsidRPr="001A441E">
        <w:rPr>
          <w:b/>
          <w:bCs/>
          <w:szCs w:val="24"/>
        </w:rPr>
        <w:t>Condition 2</w:t>
      </w:r>
      <w:r w:rsidRPr="00097566">
        <w:rPr>
          <w:szCs w:val="24"/>
        </w:rPr>
        <w:t xml:space="preserve"> - Before licensing the final 2 ORs at Needham, the Holder must demonstrate need to open the ORs. Data submitted must include:</w:t>
      </w:r>
    </w:p>
    <w:p w14:paraId="6945CFE1" w14:textId="77777777" w:rsidR="001A441E" w:rsidRPr="00097566" w:rsidRDefault="001A441E" w:rsidP="00097566">
      <w:pPr>
        <w:rPr>
          <w:szCs w:val="24"/>
        </w:rPr>
      </w:pPr>
    </w:p>
    <w:p w14:paraId="6A094EDA" w14:textId="67CF2384" w:rsidR="00097566" w:rsidRPr="001A441E" w:rsidRDefault="00097566" w:rsidP="001A441E">
      <w:pPr>
        <w:pStyle w:val="ListParagraph"/>
        <w:numPr>
          <w:ilvl w:val="0"/>
          <w:numId w:val="11"/>
        </w:numPr>
        <w:ind w:left="720" w:hanging="360"/>
        <w:rPr>
          <w:szCs w:val="24"/>
        </w:rPr>
      </w:pPr>
      <w:r w:rsidRPr="001A441E">
        <w:rPr>
          <w:szCs w:val="24"/>
        </w:rPr>
        <w:t>BCH satellite (combined) and Longwood OR utilization rate, by specialty</w:t>
      </w:r>
    </w:p>
    <w:p w14:paraId="0222F6FD" w14:textId="79716A4B" w:rsidR="00097566" w:rsidRPr="001A441E" w:rsidRDefault="00097566" w:rsidP="001A441E">
      <w:pPr>
        <w:pStyle w:val="ListParagraph"/>
        <w:numPr>
          <w:ilvl w:val="0"/>
          <w:numId w:val="11"/>
        </w:numPr>
        <w:ind w:left="720" w:hanging="360"/>
        <w:rPr>
          <w:szCs w:val="24"/>
        </w:rPr>
      </w:pPr>
      <w:r w:rsidRPr="001A441E">
        <w:rPr>
          <w:szCs w:val="24"/>
        </w:rPr>
        <w:t xml:space="preserve">With respect to BCH Systemwide Ambulatory Surgical Case Backlog, the number of </w:t>
      </w:r>
      <w:proofErr w:type="spellStart"/>
      <w:r w:rsidRPr="001A441E">
        <w:rPr>
          <w:szCs w:val="24"/>
        </w:rPr>
        <w:t>unbooked</w:t>
      </w:r>
      <w:proofErr w:type="spellEnd"/>
      <w:r w:rsidRPr="001A441E">
        <w:rPr>
          <w:szCs w:val="24"/>
        </w:rPr>
        <w:t xml:space="preserve"> cases and the months to clear the backlog by specialty:</w:t>
      </w:r>
    </w:p>
    <w:p w14:paraId="1269E9B5" w14:textId="1E008F90" w:rsidR="00097566" w:rsidRPr="001A441E" w:rsidRDefault="00097566" w:rsidP="001A441E">
      <w:pPr>
        <w:pStyle w:val="ListParagraph"/>
        <w:numPr>
          <w:ilvl w:val="0"/>
          <w:numId w:val="14"/>
        </w:numPr>
        <w:ind w:left="1800" w:hanging="360"/>
        <w:rPr>
          <w:szCs w:val="24"/>
        </w:rPr>
      </w:pPr>
      <w:r w:rsidRPr="001A441E">
        <w:rPr>
          <w:szCs w:val="24"/>
        </w:rPr>
        <w:t>Orthopedic Surgery/Sports Medicine</w:t>
      </w:r>
    </w:p>
    <w:p w14:paraId="0437752A" w14:textId="70DD8349" w:rsidR="00097566" w:rsidRPr="001A441E" w:rsidRDefault="00097566" w:rsidP="001A441E">
      <w:pPr>
        <w:pStyle w:val="ListParagraph"/>
        <w:numPr>
          <w:ilvl w:val="0"/>
          <w:numId w:val="14"/>
        </w:numPr>
        <w:ind w:left="1800" w:hanging="360"/>
        <w:rPr>
          <w:szCs w:val="24"/>
        </w:rPr>
      </w:pPr>
      <w:r w:rsidRPr="001A441E">
        <w:rPr>
          <w:szCs w:val="24"/>
        </w:rPr>
        <w:t>Urology</w:t>
      </w:r>
    </w:p>
    <w:p w14:paraId="5E967D69" w14:textId="5F344260" w:rsidR="00097566" w:rsidRPr="001A441E" w:rsidRDefault="00097566" w:rsidP="001A441E">
      <w:pPr>
        <w:pStyle w:val="ListParagraph"/>
        <w:numPr>
          <w:ilvl w:val="0"/>
          <w:numId w:val="14"/>
        </w:numPr>
        <w:ind w:left="1800" w:hanging="360"/>
        <w:rPr>
          <w:szCs w:val="24"/>
        </w:rPr>
      </w:pPr>
      <w:r w:rsidRPr="001A441E">
        <w:rPr>
          <w:szCs w:val="24"/>
        </w:rPr>
        <w:t>ORL</w:t>
      </w:r>
    </w:p>
    <w:p w14:paraId="4E5604FA" w14:textId="37335DF8" w:rsidR="00097566" w:rsidRPr="001A441E" w:rsidRDefault="00097566" w:rsidP="001A441E">
      <w:pPr>
        <w:pStyle w:val="ListParagraph"/>
        <w:numPr>
          <w:ilvl w:val="0"/>
          <w:numId w:val="14"/>
        </w:numPr>
        <w:ind w:left="1800" w:hanging="360"/>
        <w:rPr>
          <w:szCs w:val="24"/>
        </w:rPr>
      </w:pPr>
      <w:r w:rsidRPr="001A441E">
        <w:rPr>
          <w:szCs w:val="24"/>
        </w:rPr>
        <w:t>Ophthalmology</w:t>
      </w:r>
    </w:p>
    <w:p w14:paraId="5509D0DF" w14:textId="742AAD62" w:rsidR="00097566" w:rsidRPr="001A441E" w:rsidRDefault="00097566" w:rsidP="001A441E">
      <w:pPr>
        <w:pStyle w:val="ListParagraph"/>
        <w:numPr>
          <w:ilvl w:val="0"/>
          <w:numId w:val="14"/>
        </w:numPr>
        <w:ind w:left="1800" w:hanging="360"/>
        <w:rPr>
          <w:szCs w:val="24"/>
        </w:rPr>
      </w:pPr>
      <w:r w:rsidRPr="001A441E">
        <w:rPr>
          <w:szCs w:val="24"/>
        </w:rPr>
        <w:t>Gastroenterology</w:t>
      </w:r>
    </w:p>
    <w:p w14:paraId="749EE3FC" w14:textId="4EB323F3" w:rsidR="00097566" w:rsidRPr="001A441E" w:rsidRDefault="00097566" w:rsidP="001A441E">
      <w:pPr>
        <w:pStyle w:val="ListParagraph"/>
        <w:numPr>
          <w:ilvl w:val="0"/>
          <w:numId w:val="14"/>
        </w:numPr>
        <w:ind w:left="1800" w:hanging="360"/>
        <w:rPr>
          <w:szCs w:val="24"/>
        </w:rPr>
      </w:pPr>
      <w:r w:rsidRPr="001A441E">
        <w:rPr>
          <w:szCs w:val="24"/>
        </w:rPr>
        <w:t>Plastics</w:t>
      </w:r>
    </w:p>
    <w:p w14:paraId="0E9D26BF" w14:textId="1B4BB781" w:rsidR="00097566" w:rsidRPr="001A441E" w:rsidRDefault="00097566" w:rsidP="001A441E">
      <w:pPr>
        <w:pStyle w:val="ListParagraph"/>
        <w:numPr>
          <w:ilvl w:val="0"/>
          <w:numId w:val="14"/>
        </w:numPr>
        <w:ind w:left="1800" w:hanging="360"/>
        <w:rPr>
          <w:szCs w:val="24"/>
        </w:rPr>
      </w:pPr>
      <w:r w:rsidRPr="001A441E">
        <w:rPr>
          <w:szCs w:val="24"/>
        </w:rPr>
        <w:t>Dental</w:t>
      </w:r>
    </w:p>
    <w:p w14:paraId="3DE42BF4" w14:textId="50245E22" w:rsidR="00097566" w:rsidRPr="001A441E" w:rsidRDefault="00097566" w:rsidP="001A441E">
      <w:pPr>
        <w:pStyle w:val="ListParagraph"/>
        <w:numPr>
          <w:ilvl w:val="0"/>
          <w:numId w:val="14"/>
        </w:numPr>
        <w:ind w:left="1800" w:hanging="360"/>
        <w:rPr>
          <w:szCs w:val="24"/>
        </w:rPr>
      </w:pPr>
      <w:r w:rsidRPr="001A441E">
        <w:rPr>
          <w:szCs w:val="24"/>
        </w:rPr>
        <w:t>General Surgery</w:t>
      </w:r>
    </w:p>
    <w:p w14:paraId="7576FCD0" w14:textId="7A8FD5AE" w:rsidR="00097566" w:rsidRPr="001A441E" w:rsidRDefault="00097566" w:rsidP="001A441E">
      <w:pPr>
        <w:pStyle w:val="ListParagraph"/>
        <w:numPr>
          <w:ilvl w:val="0"/>
          <w:numId w:val="14"/>
        </w:numPr>
        <w:ind w:left="1800" w:hanging="360"/>
        <w:rPr>
          <w:szCs w:val="24"/>
        </w:rPr>
      </w:pPr>
      <w:r w:rsidRPr="001A441E">
        <w:rPr>
          <w:szCs w:val="24"/>
        </w:rPr>
        <w:t>Dermatology</w:t>
      </w:r>
    </w:p>
    <w:p w14:paraId="70CDBB35" w14:textId="10655D3D" w:rsidR="00097566" w:rsidRPr="001A441E" w:rsidRDefault="00097566" w:rsidP="001A441E">
      <w:pPr>
        <w:pStyle w:val="ListParagraph"/>
        <w:numPr>
          <w:ilvl w:val="0"/>
          <w:numId w:val="14"/>
        </w:numPr>
        <w:ind w:left="1800" w:hanging="360"/>
        <w:rPr>
          <w:szCs w:val="24"/>
        </w:rPr>
      </w:pPr>
      <w:r w:rsidRPr="001A441E">
        <w:rPr>
          <w:szCs w:val="24"/>
        </w:rPr>
        <w:t>GYN</w:t>
      </w:r>
    </w:p>
    <w:p w14:paraId="1F93E601" w14:textId="0D06C7EB" w:rsidR="00097566" w:rsidRPr="001A441E" w:rsidRDefault="00097566" w:rsidP="001A441E">
      <w:pPr>
        <w:pStyle w:val="ListParagraph"/>
        <w:numPr>
          <w:ilvl w:val="0"/>
          <w:numId w:val="14"/>
        </w:numPr>
        <w:ind w:left="1800" w:hanging="360"/>
        <w:rPr>
          <w:szCs w:val="24"/>
        </w:rPr>
      </w:pPr>
      <w:r w:rsidRPr="001A441E">
        <w:rPr>
          <w:szCs w:val="24"/>
        </w:rPr>
        <w:t>Pain</w:t>
      </w:r>
    </w:p>
    <w:p w14:paraId="07EB70AF" w14:textId="77777777" w:rsidR="00097566" w:rsidRPr="00097566" w:rsidRDefault="00097566" w:rsidP="00097566">
      <w:pPr>
        <w:rPr>
          <w:szCs w:val="24"/>
        </w:rPr>
      </w:pPr>
    </w:p>
    <w:p w14:paraId="6E4EA584" w14:textId="6063728D" w:rsidR="00097566" w:rsidRDefault="00097566" w:rsidP="00097566">
      <w:pPr>
        <w:rPr>
          <w:szCs w:val="24"/>
        </w:rPr>
      </w:pPr>
      <w:r w:rsidRPr="001A441E">
        <w:rPr>
          <w:b/>
          <w:bCs/>
          <w:szCs w:val="24"/>
        </w:rPr>
        <w:t>Condition 3</w:t>
      </w:r>
      <w:r w:rsidRPr="00097566">
        <w:rPr>
          <w:szCs w:val="24"/>
        </w:rPr>
        <w:t xml:space="preserve"> - To ensure the Proposed Project is addressing ambulatory surgical patient panel need by reducing existing capacity constraints at BCH Longwood, one year after receiving the Notice of </w:t>
      </w:r>
      <w:proofErr w:type="spellStart"/>
      <w:r w:rsidRPr="00097566">
        <w:rPr>
          <w:szCs w:val="24"/>
        </w:rPr>
        <w:t>DoN</w:t>
      </w:r>
      <w:proofErr w:type="spellEnd"/>
      <w:r w:rsidRPr="00097566">
        <w:rPr>
          <w:szCs w:val="24"/>
        </w:rPr>
        <w:t>, the Holder must provide as baseline data the below metrics and begin reporting the following information as part of an annual report required by 105 CMR 100.310 (A)(12):</w:t>
      </w:r>
    </w:p>
    <w:p w14:paraId="0930AE18" w14:textId="77777777" w:rsidR="00F310CB" w:rsidRDefault="00F310CB" w:rsidP="00097566">
      <w:pPr>
        <w:rPr>
          <w:szCs w:val="24"/>
        </w:rPr>
      </w:pPr>
    </w:p>
    <w:p w14:paraId="009025E5" w14:textId="77777777" w:rsidR="00F310CB" w:rsidRDefault="00097566" w:rsidP="00F310CB">
      <w:pPr>
        <w:rPr>
          <w:szCs w:val="24"/>
        </w:rPr>
      </w:pPr>
      <w:r w:rsidRPr="00097566">
        <w:rPr>
          <w:szCs w:val="24"/>
        </w:rPr>
        <w:t>With respect to surgical procedures at BCH Longwood:</w:t>
      </w:r>
    </w:p>
    <w:p w14:paraId="6D429370" w14:textId="77777777" w:rsidR="00F310CB" w:rsidRDefault="00F310CB" w:rsidP="00F310CB">
      <w:pPr>
        <w:rPr>
          <w:szCs w:val="24"/>
        </w:rPr>
      </w:pPr>
    </w:p>
    <w:p w14:paraId="6AD1BBA3" w14:textId="350A754B" w:rsidR="00097566" w:rsidRPr="00F310CB" w:rsidRDefault="00097566" w:rsidP="00F310CB">
      <w:pPr>
        <w:pStyle w:val="ListParagraph"/>
        <w:numPr>
          <w:ilvl w:val="0"/>
          <w:numId w:val="19"/>
        </w:numPr>
        <w:ind w:left="720" w:hanging="360"/>
        <w:rPr>
          <w:szCs w:val="24"/>
        </w:rPr>
      </w:pPr>
      <w:r w:rsidRPr="00F310CB">
        <w:rPr>
          <w:szCs w:val="24"/>
        </w:rPr>
        <w:t>Acuity by case mix index</w:t>
      </w:r>
    </w:p>
    <w:p w14:paraId="0B183BE7" w14:textId="23FDAFF2" w:rsidR="00097566" w:rsidRPr="00F310CB" w:rsidRDefault="00097566" w:rsidP="00F310CB">
      <w:pPr>
        <w:pStyle w:val="ListParagraph"/>
        <w:numPr>
          <w:ilvl w:val="0"/>
          <w:numId w:val="19"/>
        </w:numPr>
        <w:ind w:left="720" w:hanging="360"/>
        <w:rPr>
          <w:szCs w:val="24"/>
        </w:rPr>
      </w:pPr>
      <w:r w:rsidRPr="00F310CB">
        <w:rPr>
          <w:szCs w:val="24"/>
        </w:rPr>
        <w:t>Average minutes per surgical case</w:t>
      </w:r>
    </w:p>
    <w:p w14:paraId="3BBEBEBF" w14:textId="77777777" w:rsidR="00097566" w:rsidRPr="00097566" w:rsidRDefault="00097566" w:rsidP="00097566">
      <w:pPr>
        <w:rPr>
          <w:szCs w:val="24"/>
        </w:rPr>
      </w:pPr>
    </w:p>
    <w:p w14:paraId="1FA87736" w14:textId="77777777" w:rsidR="00097566" w:rsidRPr="00097566" w:rsidRDefault="00097566" w:rsidP="00097566">
      <w:pPr>
        <w:rPr>
          <w:szCs w:val="24"/>
        </w:rPr>
      </w:pPr>
    </w:p>
    <w:p w14:paraId="4A838693" w14:textId="77777777" w:rsidR="00F310CB" w:rsidRDefault="00097566" w:rsidP="00F310CB">
      <w:pPr>
        <w:rPr>
          <w:szCs w:val="24"/>
        </w:rPr>
      </w:pPr>
      <w:r w:rsidRPr="00F310CB">
        <w:rPr>
          <w:b/>
          <w:bCs/>
          <w:szCs w:val="24"/>
        </w:rPr>
        <w:t>Condition 4</w:t>
      </w:r>
      <w:r w:rsidRPr="00097566">
        <w:rPr>
          <w:szCs w:val="24"/>
        </w:rPr>
        <w:t>- To ensure the Proposed Project is ensuring access to care for MassHealth patients with FY2019 as baseline data, the below metrics shall be reported after the sites open as part of an annual report required by 105 CMR 100.310 (A)(12):</w:t>
      </w:r>
    </w:p>
    <w:p w14:paraId="3A37653D" w14:textId="77777777" w:rsidR="00F310CB" w:rsidRDefault="00F310CB" w:rsidP="00F310CB">
      <w:pPr>
        <w:rPr>
          <w:szCs w:val="24"/>
        </w:rPr>
      </w:pPr>
    </w:p>
    <w:p w14:paraId="4BC58209" w14:textId="32CE9503" w:rsidR="00097566" w:rsidRPr="00F310CB" w:rsidRDefault="00097566" w:rsidP="00F310CB">
      <w:pPr>
        <w:pStyle w:val="ListParagraph"/>
        <w:numPr>
          <w:ilvl w:val="0"/>
          <w:numId w:val="22"/>
        </w:numPr>
        <w:ind w:left="720" w:hanging="360"/>
        <w:rPr>
          <w:szCs w:val="24"/>
        </w:rPr>
      </w:pPr>
      <w:r w:rsidRPr="00F310CB">
        <w:rPr>
          <w:szCs w:val="24"/>
        </w:rPr>
        <w:t>Payer mix by site and service for Needham, Weymouth, and Waltham</w:t>
      </w:r>
    </w:p>
    <w:p w14:paraId="731A7E90" w14:textId="7646FC44" w:rsidR="00097566" w:rsidRPr="00F310CB" w:rsidRDefault="00097566" w:rsidP="00F310CB">
      <w:pPr>
        <w:pStyle w:val="ListParagraph"/>
        <w:numPr>
          <w:ilvl w:val="0"/>
          <w:numId w:val="22"/>
        </w:numPr>
        <w:ind w:left="720" w:hanging="360"/>
        <w:rPr>
          <w:szCs w:val="24"/>
        </w:rPr>
      </w:pPr>
      <w:r w:rsidRPr="00F310CB">
        <w:rPr>
          <w:szCs w:val="24"/>
        </w:rPr>
        <w:t>Payer mix by HSA and service</w:t>
      </w:r>
    </w:p>
    <w:p w14:paraId="3AD7847B" w14:textId="77777777" w:rsidR="00F310CB" w:rsidRDefault="00F310CB" w:rsidP="00097566">
      <w:pPr>
        <w:rPr>
          <w:szCs w:val="24"/>
        </w:rPr>
        <w:sectPr w:rsidR="00F310CB" w:rsidSect="00CF7736">
          <w:type w:val="continuous"/>
          <w:pgSz w:w="12240" w:h="15840"/>
          <w:pgMar w:top="1440" w:right="1440" w:bottom="540" w:left="1440" w:header="540" w:footer="223" w:gutter="0"/>
          <w:cols w:space="720"/>
          <w:docGrid w:linePitch="360"/>
        </w:sectPr>
      </w:pPr>
    </w:p>
    <w:p w14:paraId="5A765EB6" w14:textId="7902279D" w:rsidR="00097566" w:rsidRDefault="00097566" w:rsidP="00097566">
      <w:pPr>
        <w:rPr>
          <w:szCs w:val="24"/>
        </w:rPr>
      </w:pPr>
      <w:r w:rsidRPr="00097566">
        <w:rPr>
          <w:szCs w:val="24"/>
        </w:rPr>
        <w:t xml:space="preserve">The </w:t>
      </w:r>
      <w:proofErr w:type="spellStart"/>
      <w:r w:rsidRPr="00097566">
        <w:rPr>
          <w:szCs w:val="24"/>
        </w:rPr>
        <w:t>DoN</w:t>
      </w:r>
      <w:proofErr w:type="spellEnd"/>
      <w:r w:rsidRPr="00097566">
        <w:rPr>
          <w:szCs w:val="24"/>
        </w:rPr>
        <w:t xml:space="preserve"> program shall review the data received from BCH in accordance with Conditions 3 and 4 and any material decrease in measures 3a and 3b, or in the MassHealth payer mix for measures 4a and 4b shall be considered a Referral Indicator.</w:t>
      </w:r>
    </w:p>
    <w:p w14:paraId="62B6B66F" w14:textId="77777777" w:rsidR="00F310CB" w:rsidRPr="00097566" w:rsidRDefault="00F310CB" w:rsidP="00097566">
      <w:pPr>
        <w:rPr>
          <w:szCs w:val="24"/>
        </w:rPr>
      </w:pPr>
    </w:p>
    <w:p w14:paraId="0A1C4476" w14:textId="77777777" w:rsidR="00097566" w:rsidRPr="00097566" w:rsidRDefault="00097566" w:rsidP="00097566">
      <w:pPr>
        <w:rPr>
          <w:szCs w:val="24"/>
        </w:rPr>
      </w:pPr>
      <w:r w:rsidRPr="00097566">
        <w:rPr>
          <w:szCs w:val="24"/>
        </w:rPr>
        <w:t xml:space="preserve">If the </w:t>
      </w:r>
      <w:proofErr w:type="spellStart"/>
      <w:r w:rsidRPr="00097566">
        <w:rPr>
          <w:szCs w:val="24"/>
        </w:rPr>
        <w:t>DoN</w:t>
      </w:r>
      <w:proofErr w:type="spellEnd"/>
      <w:r w:rsidRPr="00097566">
        <w:rPr>
          <w:szCs w:val="24"/>
        </w:rPr>
        <w:t xml:space="preserve"> Program finds any one or more of the Referral Indicators, the matter shall be referred to the Public Health Council (PHC) for review to determine whether CMCC is in violation of one or more of the conditions and thus out of compliance with the terms of this Notice of </w:t>
      </w:r>
      <w:proofErr w:type="spellStart"/>
      <w:r w:rsidRPr="00097566">
        <w:rPr>
          <w:szCs w:val="24"/>
        </w:rPr>
        <w:t>DoN</w:t>
      </w:r>
      <w:proofErr w:type="spellEnd"/>
      <w:r w:rsidRPr="00097566">
        <w:rPr>
          <w:szCs w:val="24"/>
        </w:rPr>
        <w:t>.</w:t>
      </w:r>
    </w:p>
    <w:p w14:paraId="797B1C42" w14:textId="77777777" w:rsidR="00097566" w:rsidRPr="00097566" w:rsidRDefault="00097566" w:rsidP="00097566">
      <w:pPr>
        <w:rPr>
          <w:szCs w:val="24"/>
        </w:rPr>
      </w:pPr>
    </w:p>
    <w:p w14:paraId="02F8156E" w14:textId="77777777" w:rsidR="00097566" w:rsidRPr="00097566" w:rsidRDefault="00097566" w:rsidP="00097566">
      <w:pPr>
        <w:rPr>
          <w:szCs w:val="24"/>
        </w:rPr>
      </w:pPr>
      <w:r w:rsidRPr="00097566">
        <w:rPr>
          <w:szCs w:val="24"/>
        </w:rPr>
        <w:lastRenderedPageBreak/>
        <w:t>Upon referral to the PHC based upon any one or more of the Referral Indicators, CMCC shall have an opportunity to show cause why the PHC shall not find one or more of the Referral Indicators.</w:t>
      </w:r>
    </w:p>
    <w:p w14:paraId="025ABD69" w14:textId="77777777" w:rsidR="00097566" w:rsidRPr="00097566" w:rsidRDefault="00097566" w:rsidP="00097566">
      <w:pPr>
        <w:rPr>
          <w:szCs w:val="24"/>
        </w:rPr>
      </w:pPr>
    </w:p>
    <w:p w14:paraId="6E210B35" w14:textId="77777777" w:rsidR="00097566" w:rsidRPr="00097566" w:rsidRDefault="00097566" w:rsidP="00097566">
      <w:pPr>
        <w:rPr>
          <w:szCs w:val="24"/>
        </w:rPr>
      </w:pPr>
      <w:r w:rsidRPr="00097566">
        <w:rPr>
          <w:szCs w:val="24"/>
        </w:rPr>
        <w:t xml:space="preserve">Ongoing compliance with the conditions and all terms of the </w:t>
      </w:r>
      <w:proofErr w:type="spellStart"/>
      <w:r w:rsidRPr="00097566">
        <w:rPr>
          <w:szCs w:val="24"/>
        </w:rPr>
        <w:t>DoN</w:t>
      </w:r>
      <w:proofErr w:type="spellEnd"/>
      <w:r w:rsidRPr="00097566">
        <w:rPr>
          <w:szCs w:val="24"/>
        </w:rPr>
        <w:t xml:space="preserve"> is, pursuant to the Regulation, a precondition to the filing of any future </w:t>
      </w:r>
      <w:proofErr w:type="spellStart"/>
      <w:r w:rsidRPr="00097566">
        <w:rPr>
          <w:szCs w:val="24"/>
        </w:rPr>
        <w:t>DoN</w:t>
      </w:r>
      <w:proofErr w:type="spellEnd"/>
      <w:r w:rsidRPr="00097566">
        <w:rPr>
          <w:szCs w:val="24"/>
        </w:rPr>
        <w:t xml:space="preserve"> by the Holder.</w:t>
      </w:r>
    </w:p>
    <w:p w14:paraId="04B7EB96" w14:textId="77777777" w:rsidR="00097566" w:rsidRPr="00097566" w:rsidRDefault="00097566" w:rsidP="00097566">
      <w:pPr>
        <w:rPr>
          <w:szCs w:val="24"/>
        </w:rPr>
      </w:pPr>
    </w:p>
    <w:p w14:paraId="1ED584BA" w14:textId="77777777" w:rsidR="00097566" w:rsidRPr="00097566" w:rsidRDefault="00097566" w:rsidP="00097566">
      <w:pPr>
        <w:rPr>
          <w:szCs w:val="24"/>
        </w:rPr>
      </w:pPr>
      <w:r w:rsidRPr="00097566">
        <w:rPr>
          <w:szCs w:val="24"/>
        </w:rPr>
        <w:t>Sincerely,</w:t>
      </w:r>
    </w:p>
    <w:p w14:paraId="04CA9185" w14:textId="77777777" w:rsidR="00F310CB" w:rsidRDefault="00F310CB" w:rsidP="00097566">
      <w:pPr>
        <w:rPr>
          <w:szCs w:val="24"/>
        </w:rPr>
      </w:pPr>
    </w:p>
    <w:p w14:paraId="4DCDCA5D" w14:textId="6D9D115C" w:rsidR="00F310CB" w:rsidRDefault="00F310CB" w:rsidP="00097566">
      <w:pPr>
        <w:rPr>
          <w:szCs w:val="24"/>
        </w:rPr>
      </w:pPr>
      <w:r>
        <w:rPr>
          <w:szCs w:val="24"/>
        </w:rPr>
        <w:t>[signature on file]</w:t>
      </w:r>
    </w:p>
    <w:p w14:paraId="3DAFEC19" w14:textId="77777777" w:rsidR="00F310CB" w:rsidRDefault="00F310CB" w:rsidP="00097566">
      <w:pPr>
        <w:rPr>
          <w:szCs w:val="24"/>
        </w:rPr>
      </w:pPr>
    </w:p>
    <w:p w14:paraId="5759D39E" w14:textId="6A3D5409" w:rsidR="00097566" w:rsidRPr="00097566" w:rsidRDefault="00097566" w:rsidP="00097566">
      <w:pPr>
        <w:rPr>
          <w:szCs w:val="24"/>
        </w:rPr>
      </w:pPr>
      <w:r w:rsidRPr="00097566">
        <w:rPr>
          <w:szCs w:val="24"/>
        </w:rPr>
        <w:t>Dennis Renaud</w:t>
      </w:r>
    </w:p>
    <w:p w14:paraId="2C184625" w14:textId="77777777" w:rsidR="00097566" w:rsidRPr="00097566" w:rsidRDefault="00097566" w:rsidP="00097566">
      <w:pPr>
        <w:rPr>
          <w:szCs w:val="24"/>
        </w:rPr>
      </w:pPr>
      <w:r w:rsidRPr="00097566">
        <w:rPr>
          <w:szCs w:val="24"/>
        </w:rPr>
        <w:t>Director, Determination of Need Program</w:t>
      </w:r>
    </w:p>
    <w:p w14:paraId="3A47B0F7" w14:textId="77777777" w:rsidR="00097566" w:rsidRPr="00097566" w:rsidRDefault="00097566" w:rsidP="00097566">
      <w:pPr>
        <w:rPr>
          <w:szCs w:val="24"/>
        </w:rPr>
      </w:pPr>
    </w:p>
    <w:p w14:paraId="6B5CBE0F" w14:textId="77777777" w:rsidR="00097566" w:rsidRPr="00097566" w:rsidRDefault="00097566" w:rsidP="00097566">
      <w:pPr>
        <w:rPr>
          <w:szCs w:val="24"/>
        </w:rPr>
      </w:pPr>
      <w:r w:rsidRPr="00097566">
        <w:rPr>
          <w:szCs w:val="24"/>
        </w:rPr>
        <w:t>cc:</w:t>
      </w:r>
    </w:p>
    <w:p w14:paraId="49D082AB" w14:textId="77777777" w:rsidR="00F310CB" w:rsidRDefault="00097566" w:rsidP="00097566">
      <w:pPr>
        <w:rPr>
          <w:szCs w:val="24"/>
        </w:rPr>
      </w:pPr>
      <w:r w:rsidRPr="00097566">
        <w:rPr>
          <w:szCs w:val="24"/>
        </w:rPr>
        <w:t xml:space="preserve">Elizabeth D. Kelley, Director, Bureau of Health Care Safety and Quality </w:t>
      </w:r>
    </w:p>
    <w:p w14:paraId="0EE34C49" w14:textId="77777777" w:rsidR="00F310CB" w:rsidRDefault="00097566" w:rsidP="00097566">
      <w:pPr>
        <w:rPr>
          <w:szCs w:val="24"/>
        </w:rPr>
      </w:pPr>
      <w:r w:rsidRPr="00097566">
        <w:rPr>
          <w:szCs w:val="24"/>
        </w:rPr>
        <w:t xml:space="preserve">Stephen Davis, Division of Health Care Facility Licensure and Certification </w:t>
      </w:r>
    </w:p>
    <w:p w14:paraId="2B3A0C88" w14:textId="77777777" w:rsidR="00F310CB" w:rsidRDefault="00097566" w:rsidP="00097566">
      <w:pPr>
        <w:rPr>
          <w:szCs w:val="24"/>
        </w:rPr>
      </w:pPr>
      <w:r w:rsidRPr="00097566">
        <w:rPr>
          <w:szCs w:val="24"/>
        </w:rPr>
        <w:t xml:space="preserve">Daniel Gent, Division of Health Care Facility Licensure and Certification </w:t>
      </w:r>
    </w:p>
    <w:p w14:paraId="5FF4267B" w14:textId="40F251D4" w:rsidR="00097566" w:rsidRPr="00097566" w:rsidRDefault="00097566" w:rsidP="00097566">
      <w:pPr>
        <w:rPr>
          <w:szCs w:val="24"/>
        </w:rPr>
      </w:pPr>
      <w:r w:rsidRPr="00097566">
        <w:rPr>
          <w:szCs w:val="24"/>
        </w:rPr>
        <w:t>Rebecca Rodman, General Counsel's Office</w:t>
      </w:r>
    </w:p>
    <w:p w14:paraId="34751F37" w14:textId="77777777" w:rsidR="00097566" w:rsidRPr="00097566" w:rsidRDefault="00097566" w:rsidP="00097566">
      <w:pPr>
        <w:rPr>
          <w:szCs w:val="24"/>
        </w:rPr>
      </w:pPr>
      <w:r w:rsidRPr="00097566">
        <w:rPr>
          <w:szCs w:val="24"/>
        </w:rPr>
        <w:t>Samuel Louis, Office of Health Equity</w:t>
      </w:r>
    </w:p>
    <w:p w14:paraId="210743D7" w14:textId="77777777" w:rsidR="00F310CB" w:rsidRDefault="00097566" w:rsidP="00097566">
      <w:pPr>
        <w:rPr>
          <w:szCs w:val="24"/>
        </w:rPr>
      </w:pPr>
      <w:r w:rsidRPr="00097566">
        <w:rPr>
          <w:szCs w:val="24"/>
        </w:rPr>
        <w:t xml:space="preserve">Jennica Allen, Division of Community Health Planning and 68Engagement </w:t>
      </w:r>
    </w:p>
    <w:p w14:paraId="1EBB2B89" w14:textId="77777777" w:rsidR="00525399" w:rsidRDefault="00097566" w:rsidP="00097566">
      <w:pPr>
        <w:rPr>
          <w:szCs w:val="24"/>
        </w:rPr>
      </w:pPr>
      <w:r w:rsidRPr="00097566">
        <w:rPr>
          <w:szCs w:val="24"/>
        </w:rPr>
        <w:t xml:space="preserve">Elizabeth Maffei, Division of Community Health Planning and Engagement </w:t>
      </w:r>
    </w:p>
    <w:p w14:paraId="4C3F164C" w14:textId="77777777" w:rsidR="00525399" w:rsidRDefault="00097566" w:rsidP="00097566">
      <w:pPr>
        <w:rPr>
          <w:szCs w:val="24"/>
        </w:rPr>
      </w:pPr>
      <w:r w:rsidRPr="00097566">
        <w:rPr>
          <w:szCs w:val="24"/>
        </w:rPr>
        <w:t xml:space="preserve">Katelyn Teague, Division of Community Health Planning and Engagement </w:t>
      </w:r>
    </w:p>
    <w:p w14:paraId="0C3B555A" w14:textId="0D81EBC8" w:rsidR="00097566" w:rsidRPr="00097566" w:rsidRDefault="00097566" w:rsidP="00097566">
      <w:pPr>
        <w:rPr>
          <w:szCs w:val="24"/>
        </w:rPr>
      </w:pPr>
      <w:r w:rsidRPr="00097566">
        <w:rPr>
          <w:szCs w:val="24"/>
        </w:rPr>
        <w:t>Elizabeth Almanzor, Center for Health Information Analysis</w:t>
      </w:r>
    </w:p>
    <w:p w14:paraId="65E60647" w14:textId="77777777" w:rsidR="00525399" w:rsidRDefault="00097566" w:rsidP="00097566">
      <w:pPr>
        <w:rPr>
          <w:szCs w:val="24"/>
        </w:rPr>
      </w:pPr>
      <w:r w:rsidRPr="00097566">
        <w:rPr>
          <w:szCs w:val="24"/>
        </w:rPr>
        <w:t xml:space="preserve">Katherine Mills, Health Policy Commission </w:t>
      </w:r>
    </w:p>
    <w:p w14:paraId="5B462566" w14:textId="2B4735C1" w:rsidR="00097566" w:rsidRPr="00097566" w:rsidRDefault="00097566" w:rsidP="00097566">
      <w:pPr>
        <w:rPr>
          <w:szCs w:val="24"/>
        </w:rPr>
      </w:pPr>
      <w:r w:rsidRPr="00097566">
        <w:rPr>
          <w:szCs w:val="24"/>
        </w:rPr>
        <w:t>Eric Gold, Attorney General's Office</w:t>
      </w:r>
    </w:p>
    <w:p w14:paraId="2D15B3BD" w14:textId="77777777" w:rsidR="00097566" w:rsidRPr="00097566" w:rsidRDefault="00097566" w:rsidP="00097566">
      <w:pPr>
        <w:rPr>
          <w:szCs w:val="24"/>
        </w:rPr>
      </w:pPr>
      <w:r w:rsidRPr="00097566">
        <w:rPr>
          <w:szCs w:val="24"/>
        </w:rPr>
        <w:t xml:space="preserve">Pavel </w:t>
      </w:r>
      <w:proofErr w:type="spellStart"/>
      <w:r w:rsidRPr="00097566">
        <w:rPr>
          <w:szCs w:val="24"/>
        </w:rPr>
        <w:t>Terpelets</w:t>
      </w:r>
      <w:proofErr w:type="spellEnd"/>
      <w:r w:rsidRPr="00097566">
        <w:rPr>
          <w:szCs w:val="24"/>
        </w:rPr>
        <w:t>, MassHealth</w:t>
      </w:r>
    </w:p>
    <w:p w14:paraId="3E246D70" w14:textId="77777777" w:rsidR="00525399" w:rsidRDefault="00097566" w:rsidP="00097566">
      <w:pPr>
        <w:rPr>
          <w:szCs w:val="24"/>
        </w:rPr>
      </w:pPr>
      <w:r w:rsidRPr="00097566">
        <w:rPr>
          <w:szCs w:val="24"/>
        </w:rPr>
        <w:t xml:space="preserve">Christopher King, Executive Office of </w:t>
      </w:r>
      <w:proofErr w:type="gramStart"/>
      <w:r w:rsidRPr="00097566">
        <w:rPr>
          <w:szCs w:val="24"/>
        </w:rPr>
        <w:t>Health</w:t>
      </w:r>
      <w:proofErr w:type="gramEnd"/>
      <w:r w:rsidRPr="00097566">
        <w:rPr>
          <w:szCs w:val="24"/>
        </w:rPr>
        <w:t xml:space="preserve"> and Human Services </w:t>
      </w:r>
    </w:p>
    <w:p w14:paraId="5AC49594" w14:textId="77777777" w:rsidR="00525399" w:rsidRDefault="00097566" w:rsidP="00097566">
      <w:pPr>
        <w:rPr>
          <w:szCs w:val="24"/>
        </w:rPr>
      </w:pPr>
      <w:r w:rsidRPr="00097566">
        <w:rPr>
          <w:szCs w:val="24"/>
        </w:rPr>
        <w:t xml:space="preserve">Tomaso Calicchio, Executive Office of </w:t>
      </w:r>
      <w:proofErr w:type="gramStart"/>
      <w:r w:rsidRPr="00097566">
        <w:rPr>
          <w:szCs w:val="24"/>
        </w:rPr>
        <w:t>Health</w:t>
      </w:r>
      <w:proofErr w:type="gramEnd"/>
      <w:r w:rsidRPr="00097566">
        <w:rPr>
          <w:szCs w:val="24"/>
        </w:rPr>
        <w:t xml:space="preserve"> and Human Services </w:t>
      </w:r>
    </w:p>
    <w:p w14:paraId="3DF934AF" w14:textId="77777777" w:rsidR="00525399" w:rsidRDefault="00097566" w:rsidP="00097566">
      <w:pPr>
        <w:rPr>
          <w:szCs w:val="24"/>
        </w:rPr>
      </w:pPr>
      <w:r w:rsidRPr="00097566">
        <w:rPr>
          <w:szCs w:val="24"/>
        </w:rPr>
        <w:t xml:space="preserve">Hai Nguyen, Executive Office of </w:t>
      </w:r>
      <w:proofErr w:type="gramStart"/>
      <w:r w:rsidRPr="00097566">
        <w:rPr>
          <w:szCs w:val="24"/>
        </w:rPr>
        <w:t>Health</w:t>
      </w:r>
      <w:proofErr w:type="gramEnd"/>
      <w:r w:rsidRPr="00097566">
        <w:rPr>
          <w:szCs w:val="24"/>
        </w:rPr>
        <w:t xml:space="preserve"> and Human Services </w:t>
      </w:r>
    </w:p>
    <w:p w14:paraId="3522EFB3" w14:textId="77777777" w:rsidR="00525399" w:rsidRDefault="00097566" w:rsidP="00097566">
      <w:pPr>
        <w:rPr>
          <w:szCs w:val="24"/>
        </w:rPr>
      </w:pPr>
      <w:r w:rsidRPr="00097566">
        <w:rPr>
          <w:szCs w:val="24"/>
        </w:rPr>
        <w:t xml:space="preserve">Karina Mejias, Executive Office of </w:t>
      </w:r>
      <w:proofErr w:type="gramStart"/>
      <w:r w:rsidRPr="00097566">
        <w:rPr>
          <w:szCs w:val="24"/>
        </w:rPr>
        <w:t>Health</w:t>
      </w:r>
      <w:proofErr w:type="gramEnd"/>
      <w:r w:rsidRPr="00097566">
        <w:rPr>
          <w:szCs w:val="24"/>
        </w:rPr>
        <w:t xml:space="preserve"> and Human Services </w:t>
      </w:r>
    </w:p>
    <w:p w14:paraId="299E5BE1" w14:textId="1C66F71E" w:rsidR="002E4815" w:rsidRDefault="00097566" w:rsidP="00097566">
      <w:r w:rsidRPr="00097566">
        <w:rPr>
          <w:szCs w:val="24"/>
        </w:rPr>
        <w:t xml:space="preserve">Priscilla Portis, Executive Office of </w:t>
      </w:r>
      <w:proofErr w:type="gramStart"/>
      <w:r w:rsidRPr="00097566">
        <w:rPr>
          <w:szCs w:val="24"/>
        </w:rPr>
        <w:t>Health</w:t>
      </w:r>
      <w:proofErr w:type="gramEnd"/>
      <w:r w:rsidRPr="00097566">
        <w:rPr>
          <w:szCs w:val="24"/>
        </w:rPr>
        <w:t xml:space="preserve"> and Human Services</w:t>
      </w:r>
    </w:p>
    <w:sectPr w:rsidR="002E4815" w:rsidSect="00F310CB">
      <w:pgSz w:w="12240" w:h="15840"/>
      <w:pgMar w:top="1440" w:right="1440" w:bottom="540" w:left="1440" w:header="540" w:footer="2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1F402" w14:textId="77777777" w:rsidR="00CF7736" w:rsidRDefault="00CF7736" w:rsidP="00CF7736">
      <w:r>
        <w:separator/>
      </w:r>
    </w:p>
  </w:endnote>
  <w:endnote w:type="continuationSeparator" w:id="0">
    <w:p w14:paraId="29CD6EEC" w14:textId="77777777" w:rsidR="00CF7736" w:rsidRDefault="00CF7736" w:rsidP="00CF7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0F1A" w14:textId="77777777" w:rsidR="00000A7F" w:rsidRDefault="00525399">
    <w:pPr>
      <w:pStyle w:val="Footer"/>
      <w:jc w:val="center"/>
    </w:pPr>
    <w:r>
      <w:fldChar w:fldCharType="begin"/>
    </w:r>
    <w:r>
      <w:instrText xml:space="preserve"> PAGE   \* MERGEFORMAT </w:instrText>
    </w:r>
    <w:r>
      <w:fldChar w:fldCharType="separate"/>
    </w:r>
    <w:r>
      <w:rPr>
        <w:noProof/>
      </w:rPr>
      <w:t>2</w:t>
    </w:r>
    <w:r>
      <w:rPr>
        <w:noProof/>
      </w:rPr>
      <w:fldChar w:fldCharType="end"/>
    </w:r>
  </w:p>
  <w:p w14:paraId="7E3E2ADD" w14:textId="77777777" w:rsidR="00000A7F" w:rsidRDefault="00525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DDF0" w14:textId="77777777" w:rsidR="00CF7736" w:rsidRDefault="00CF7736" w:rsidP="00CF7736">
      <w:r>
        <w:separator/>
      </w:r>
    </w:p>
  </w:footnote>
  <w:footnote w:type="continuationSeparator" w:id="0">
    <w:p w14:paraId="417D15F3" w14:textId="77777777" w:rsidR="00CF7736" w:rsidRDefault="00CF7736" w:rsidP="00CF7736">
      <w:r>
        <w:continuationSeparator/>
      </w:r>
    </w:p>
  </w:footnote>
  <w:footnote w:id="1">
    <w:p w14:paraId="32AFFA86" w14:textId="77777777" w:rsidR="00857E26" w:rsidRDefault="00857E26" w:rsidP="00857E26">
      <w:pPr>
        <w:pStyle w:val="FootnoteText"/>
      </w:pPr>
      <w:r>
        <w:rPr>
          <w:rStyle w:val="FootnoteReference"/>
        </w:rPr>
        <w:footnoteRef/>
      </w:r>
      <w:r>
        <w:t xml:space="preserve"> </w:t>
      </w:r>
      <w:r>
        <w:t>The Weymouth Facility is in part a relocation of services currently being provided in Weymouth by the Applicant's</w:t>
      </w:r>
    </w:p>
    <w:p w14:paraId="23C4B8DF" w14:textId="242ABF06" w:rsidR="00857E26" w:rsidRDefault="00857E26" w:rsidP="00857E26">
      <w:pPr>
        <w:pStyle w:val="FootnoteText"/>
      </w:pPr>
      <w:r>
        <w:t>physicians.</w:t>
      </w:r>
    </w:p>
  </w:footnote>
  <w:footnote w:id="2">
    <w:p w14:paraId="352180DB" w14:textId="282BEF68" w:rsidR="00857E26" w:rsidRDefault="00857E26" w:rsidP="00857E26">
      <w:pPr>
        <w:pStyle w:val="FootnoteText"/>
      </w:pPr>
      <w:r>
        <w:rPr>
          <w:rStyle w:val="FootnoteReference"/>
        </w:rPr>
        <w:footnoteRef/>
      </w:r>
      <w:r>
        <w:t xml:space="preserve"> </w:t>
      </w:r>
      <w:r>
        <w:t>Such diagnostic and therapeutic hospital services will be co-located with physician office space relocated from 541 Main</w:t>
      </w:r>
      <w:r>
        <w:t xml:space="preserve"> </w:t>
      </w:r>
      <w:r>
        <w:t>Street in Weymouth, the lease for which space is expiring in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EF748" w14:textId="77777777" w:rsidR="00000A7F" w:rsidRDefault="00525399">
    <w:pPr>
      <w:pStyle w:val="Header"/>
    </w:pPr>
    <w:r>
      <w:rPr>
        <w:noProof/>
      </w:rPr>
      <w:pict w14:anchorId="7806F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7216;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FA17" w14:textId="77777777" w:rsidR="00000A7F" w:rsidRDefault="00525399">
    <w:pPr>
      <w:pStyle w:val="Header"/>
    </w:pPr>
    <w:r>
      <w:rPr>
        <w:noProof/>
      </w:rPr>
      <w:pict w14:anchorId="3E98CC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6192;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143D2"/>
    <w:multiLevelType w:val="hybridMultilevel"/>
    <w:tmpl w:val="1E307758"/>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3396E"/>
    <w:multiLevelType w:val="hybridMultilevel"/>
    <w:tmpl w:val="C824ACE0"/>
    <w:lvl w:ilvl="0" w:tplc="0EEA686C">
      <w:start w:val="2"/>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D7055F"/>
    <w:multiLevelType w:val="hybridMultilevel"/>
    <w:tmpl w:val="7A0EEC6A"/>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25B33"/>
    <w:multiLevelType w:val="hybridMultilevel"/>
    <w:tmpl w:val="5686C7B0"/>
    <w:lvl w:ilvl="0" w:tplc="0EEA686C">
      <w:start w:val="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D0593"/>
    <w:multiLevelType w:val="hybridMultilevel"/>
    <w:tmpl w:val="C56EA5B6"/>
    <w:lvl w:ilvl="0" w:tplc="72C69FDC">
      <w:numFmt w:val="bullet"/>
      <w:lvlText w:val="•"/>
      <w:lvlJc w:val="left"/>
      <w:pPr>
        <w:ind w:left="1080" w:hanging="720"/>
      </w:pPr>
      <w:rPr>
        <w:rFonts w:ascii="Times New Roman" w:eastAsia="Times New Roman" w:hAnsi="Times New Roman" w:cs="Times New Roman" w:hint="default"/>
      </w:rPr>
    </w:lvl>
    <w:lvl w:ilvl="1" w:tplc="3B8CF826">
      <w:numFmt w:val="bullet"/>
      <w:lvlText w:val=""/>
      <w:lvlJc w:val="left"/>
      <w:pPr>
        <w:ind w:left="1800" w:hanging="720"/>
      </w:pPr>
      <w:rPr>
        <w:rFonts w:ascii="Symbol" w:eastAsia="Times New Roman" w:hAnsi="Symbol" w:cs="Times New Roman"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613B4"/>
    <w:multiLevelType w:val="hybridMultilevel"/>
    <w:tmpl w:val="FBFCB9F4"/>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014F97"/>
    <w:multiLevelType w:val="hybridMultilevel"/>
    <w:tmpl w:val="55643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E2BDD"/>
    <w:multiLevelType w:val="hybridMultilevel"/>
    <w:tmpl w:val="D9146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10955"/>
    <w:multiLevelType w:val="hybridMultilevel"/>
    <w:tmpl w:val="3618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C1EB2"/>
    <w:multiLevelType w:val="hybridMultilevel"/>
    <w:tmpl w:val="77B49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12F53"/>
    <w:multiLevelType w:val="hybridMultilevel"/>
    <w:tmpl w:val="C7A6D758"/>
    <w:lvl w:ilvl="0" w:tplc="FFFFFFFF">
      <w:start w:val="1"/>
      <w:numFmt w:val="decimal"/>
      <w:lvlText w:val="%1."/>
      <w:lvlJc w:val="left"/>
      <w:pPr>
        <w:ind w:left="720" w:hanging="360"/>
      </w:pPr>
    </w:lvl>
    <w:lvl w:ilvl="1" w:tplc="04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1206F1"/>
    <w:multiLevelType w:val="hybridMultilevel"/>
    <w:tmpl w:val="8CE824D4"/>
    <w:lvl w:ilvl="0" w:tplc="3C40C120">
      <w:start w:val="1"/>
      <w:numFmt w:val="decimal"/>
      <w:lvlText w:val="%1."/>
      <w:lvlJc w:val="left"/>
      <w:pPr>
        <w:ind w:left="1080" w:hanging="720"/>
      </w:pPr>
      <w:rPr>
        <w:rFonts w:hint="default"/>
      </w:rPr>
    </w:lvl>
    <w:lvl w:ilvl="1" w:tplc="56BE0C6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527EA"/>
    <w:multiLevelType w:val="hybridMultilevel"/>
    <w:tmpl w:val="7152F56C"/>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275B8"/>
    <w:multiLevelType w:val="hybridMultilevel"/>
    <w:tmpl w:val="A9A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736DF"/>
    <w:multiLevelType w:val="hybridMultilevel"/>
    <w:tmpl w:val="A0A8F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7627F"/>
    <w:multiLevelType w:val="hybridMultilevel"/>
    <w:tmpl w:val="D51AF85C"/>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6019D"/>
    <w:multiLevelType w:val="hybridMultilevel"/>
    <w:tmpl w:val="1C847854"/>
    <w:lvl w:ilvl="0" w:tplc="8D0A26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876062"/>
    <w:multiLevelType w:val="hybridMultilevel"/>
    <w:tmpl w:val="AA2A77C8"/>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CC1D66"/>
    <w:multiLevelType w:val="hybridMultilevel"/>
    <w:tmpl w:val="7214E2AE"/>
    <w:lvl w:ilvl="0" w:tplc="50C4E6B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05BD1"/>
    <w:multiLevelType w:val="hybridMultilevel"/>
    <w:tmpl w:val="52FE6512"/>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8709E"/>
    <w:multiLevelType w:val="hybridMultilevel"/>
    <w:tmpl w:val="15A6CD18"/>
    <w:lvl w:ilvl="0" w:tplc="8D0A26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526416"/>
    <w:multiLevelType w:val="hybridMultilevel"/>
    <w:tmpl w:val="CFC2E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526144">
    <w:abstractNumId w:val="6"/>
  </w:num>
  <w:num w:numId="2" w16cid:durableId="198203405">
    <w:abstractNumId w:val="4"/>
  </w:num>
  <w:num w:numId="3" w16cid:durableId="289363363">
    <w:abstractNumId w:val="8"/>
  </w:num>
  <w:num w:numId="4" w16cid:durableId="843007699">
    <w:abstractNumId w:val="14"/>
  </w:num>
  <w:num w:numId="5" w16cid:durableId="862984423">
    <w:abstractNumId w:val="11"/>
  </w:num>
  <w:num w:numId="6" w16cid:durableId="868639317">
    <w:abstractNumId w:val="18"/>
  </w:num>
  <w:num w:numId="7" w16cid:durableId="1893225591">
    <w:abstractNumId w:val="7"/>
  </w:num>
  <w:num w:numId="8" w16cid:durableId="1733890576">
    <w:abstractNumId w:val="9"/>
  </w:num>
  <w:num w:numId="9" w16cid:durableId="1320236124">
    <w:abstractNumId w:val="10"/>
  </w:num>
  <w:num w:numId="10" w16cid:durableId="1421482748">
    <w:abstractNumId w:val="21"/>
  </w:num>
  <w:num w:numId="11" w16cid:durableId="1812938497">
    <w:abstractNumId w:val="5"/>
  </w:num>
  <w:num w:numId="12" w16cid:durableId="520359927">
    <w:abstractNumId w:val="13"/>
  </w:num>
  <w:num w:numId="13" w16cid:durableId="404689984">
    <w:abstractNumId w:val="3"/>
  </w:num>
  <w:num w:numId="14" w16cid:durableId="1507092190">
    <w:abstractNumId w:val="1"/>
  </w:num>
  <w:num w:numId="15" w16cid:durableId="1630353256">
    <w:abstractNumId w:val="17"/>
  </w:num>
  <w:num w:numId="16" w16cid:durableId="405610297">
    <w:abstractNumId w:val="20"/>
  </w:num>
  <w:num w:numId="17" w16cid:durableId="1562475036">
    <w:abstractNumId w:val="16"/>
  </w:num>
  <w:num w:numId="18" w16cid:durableId="547693820">
    <w:abstractNumId w:val="2"/>
  </w:num>
  <w:num w:numId="19" w16cid:durableId="387537564">
    <w:abstractNumId w:val="19"/>
  </w:num>
  <w:num w:numId="20" w16cid:durableId="124782273">
    <w:abstractNumId w:val="15"/>
  </w:num>
  <w:num w:numId="21" w16cid:durableId="462622948">
    <w:abstractNumId w:val="12"/>
  </w:num>
  <w:num w:numId="22" w16cid:durableId="1954437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66"/>
    <w:rsid w:val="00097566"/>
    <w:rsid w:val="001A441E"/>
    <w:rsid w:val="002E4815"/>
    <w:rsid w:val="00525399"/>
    <w:rsid w:val="00857E26"/>
    <w:rsid w:val="00CF7736"/>
    <w:rsid w:val="00F3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1B4C"/>
  <w15:chartTrackingRefBased/>
  <w15:docId w15:val="{10499E04-3D6B-4FD6-B1DE-56CB3E57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56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97566"/>
    <w:pPr>
      <w:framePr w:w="6927" w:hSpace="187" w:wrap="notBeside" w:vAnchor="text" w:hAnchor="page" w:x="3594" w:y="1"/>
      <w:jc w:val="center"/>
    </w:pPr>
    <w:rPr>
      <w:rFonts w:ascii="Arial" w:hAnsi="Arial"/>
      <w:sz w:val="28"/>
    </w:rPr>
  </w:style>
  <w:style w:type="paragraph" w:customStyle="1" w:styleId="Weld">
    <w:name w:val="Weld"/>
    <w:basedOn w:val="Normal"/>
    <w:rsid w:val="00097566"/>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97566"/>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097566"/>
    <w:rPr>
      <w:color w:val="0000FF"/>
      <w:u w:val="single"/>
    </w:rPr>
  </w:style>
  <w:style w:type="paragraph" w:styleId="Header">
    <w:name w:val="header"/>
    <w:basedOn w:val="Normal"/>
    <w:link w:val="HeaderChar"/>
    <w:rsid w:val="00097566"/>
    <w:pPr>
      <w:tabs>
        <w:tab w:val="center" w:pos="4680"/>
        <w:tab w:val="right" w:pos="9360"/>
      </w:tabs>
    </w:pPr>
  </w:style>
  <w:style w:type="character" w:customStyle="1" w:styleId="HeaderChar">
    <w:name w:val="Header Char"/>
    <w:basedOn w:val="DefaultParagraphFont"/>
    <w:link w:val="Header"/>
    <w:rsid w:val="00097566"/>
    <w:rPr>
      <w:rFonts w:ascii="Times New Roman" w:eastAsia="Times New Roman" w:hAnsi="Times New Roman" w:cs="Times New Roman"/>
      <w:sz w:val="24"/>
      <w:szCs w:val="20"/>
    </w:rPr>
  </w:style>
  <w:style w:type="paragraph" w:styleId="Footer">
    <w:name w:val="footer"/>
    <w:basedOn w:val="Normal"/>
    <w:link w:val="FooterChar"/>
    <w:uiPriority w:val="99"/>
    <w:rsid w:val="00097566"/>
    <w:pPr>
      <w:tabs>
        <w:tab w:val="center" w:pos="4680"/>
        <w:tab w:val="right" w:pos="9360"/>
      </w:tabs>
    </w:pPr>
  </w:style>
  <w:style w:type="character" w:customStyle="1" w:styleId="FooterChar">
    <w:name w:val="Footer Char"/>
    <w:basedOn w:val="DefaultParagraphFont"/>
    <w:link w:val="Footer"/>
    <w:uiPriority w:val="99"/>
    <w:rsid w:val="00097566"/>
    <w:rPr>
      <w:rFonts w:ascii="Times New Roman" w:eastAsia="Times New Roman" w:hAnsi="Times New Roman" w:cs="Times New Roman"/>
      <w:sz w:val="24"/>
      <w:szCs w:val="20"/>
    </w:rPr>
  </w:style>
  <w:style w:type="paragraph" w:styleId="BodyText">
    <w:name w:val="Body Text"/>
    <w:basedOn w:val="Normal"/>
    <w:link w:val="BodyTextChar"/>
    <w:uiPriority w:val="1"/>
    <w:qFormat/>
    <w:rsid w:val="00097566"/>
    <w:pPr>
      <w:widowControl w:val="0"/>
      <w:autoSpaceDE w:val="0"/>
      <w:autoSpaceDN w:val="0"/>
    </w:pPr>
    <w:rPr>
      <w:rFonts w:ascii="Calibri" w:eastAsia="Calibri" w:hAnsi="Calibri" w:cs="Calibri"/>
      <w:szCs w:val="24"/>
    </w:rPr>
  </w:style>
  <w:style w:type="character" w:customStyle="1" w:styleId="BodyTextChar">
    <w:name w:val="Body Text Char"/>
    <w:basedOn w:val="DefaultParagraphFont"/>
    <w:link w:val="BodyText"/>
    <w:uiPriority w:val="1"/>
    <w:rsid w:val="00097566"/>
    <w:rPr>
      <w:rFonts w:ascii="Calibri" w:eastAsia="Calibri" w:hAnsi="Calibri" w:cs="Calibri"/>
      <w:sz w:val="24"/>
      <w:szCs w:val="24"/>
    </w:rPr>
  </w:style>
  <w:style w:type="character" w:styleId="UnresolvedMention">
    <w:name w:val="Unresolved Mention"/>
    <w:basedOn w:val="DefaultParagraphFont"/>
    <w:uiPriority w:val="99"/>
    <w:semiHidden/>
    <w:unhideWhenUsed/>
    <w:rsid w:val="00097566"/>
    <w:rPr>
      <w:color w:val="605E5C"/>
      <w:shd w:val="clear" w:color="auto" w:fill="E1DFDD"/>
    </w:rPr>
  </w:style>
  <w:style w:type="paragraph" w:styleId="ListParagraph">
    <w:name w:val="List Paragraph"/>
    <w:basedOn w:val="Normal"/>
    <w:uiPriority w:val="34"/>
    <w:qFormat/>
    <w:rsid w:val="00097566"/>
    <w:pPr>
      <w:ind w:left="720"/>
      <w:contextualSpacing/>
    </w:pPr>
  </w:style>
  <w:style w:type="paragraph" w:styleId="FootnoteText">
    <w:name w:val="footnote text"/>
    <w:basedOn w:val="Normal"/>
    <w:link w:val="FootnoteTextChar"/>
    <w:uiPriority w:val="99"/>
    <w:semiHidden/>
    <w:unhideWhenUsed/>
    <w:rsid w:val="00857E26"/>
    <w:rPr>
      <w:sz w:val="20"/>
    </w:rPr>
  </w:style>
  <w:style w:type="character" w:customStyle="1" w:styleId="FootnoteTextChar">
    <w:name w:val="Footnote Text Char"/>
    <w:basedOn w:val="DefaultParagraphFont"/>
    <w:link w:val="FootnoteText"/>
    <w:uiPriority w:val="99"/>
    <w:semiHidden/>
    <w:rsid w:val="00857E2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7E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nna.casey@childrens.harva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E11BC-2AF0-46A6-A974-2EC7F7C8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2022-12-21T14:43:00Z</dcterms:created>
  <dcterms:modified xsi:type="dcterms:W3CDTF">2022-12-21T15:35:00Z</dcterms:modified>
</cp:coreProperties>
</file>