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59A576D2" w14:textId="77777777" w:rsidR="00EB7588" w:rsidRDefault="000537DA" w:rsidP="000F315B">
      <w:pPr>
        <w:pStyle w:val="ExecOffice"/>
        <w:framePr w:w="6926" w:wrap="notBeside" w:vAnchor="page" w:x="2884" w:y="711"/>
      </w:pPr>
      <w:r>
        <w:t>Department of Public Health</w:t>
      </w:r>
    </w:p>
    <w:p w14:paraId="2672D03A" w14:textId="17C3CE95" w:rsidR="00EB7588" w:rsidRDefault="00EB7588" w:rsidP="000F315B">
      <w:pPr>
        <w:pStyle w:val="ExecOffice"/>
        <w:framePr w:w="6926" w:wrap="notBeside" w:vAnchor="page" w:x="2884" w:y="711"/>
      </w:pPr>
      <w:r>
        <w:t>Bureau of Infectious Disease and Laboratory Sciences</w:t>
      </w:r>
    </w:p>
    <w:p w14:paraId="0958205A" w14:textId="09648753" w:rsidR="006D06D9" w:rsidRDefault="00EB7588" w:rsidP="000F315B">
      <w:pPr>
        <w:pStyle w:val="ExecOffice"/>
        <w:framePr w:w="6926" w:wrap="notBeside" w:vAnchor="page" w:x="2884" w:y="711"/>
      </w:pPr>
      <w:r>
        <w:t>305 South Street</w:t>
      </w:r>
      <w:r w:rsidR="000537DA">
        <w:t xml:space="preserve">, </w:t>
      </w:r>
      <w:r>
        <w:t>Jamaica Plain</w:t>
      </w:r>
      <w:r w:rsidR="000537DA">
        <w:t>, MA 021</w:t>
      </w:r>
      <w:r>
        <w:t>30</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68DA6A87" w:rsidR="009908FF" w:rsidRDefault="00CB3283" w:rsidP="0072610D">
      <w:r>
        <w:rPr>
          <w:rFonts w:ascii="Arial" w:hAnsi="Arial"/>
          <w:noProof/>
          <w:sz w:val="36"/>
        </w:rPr>
        <mc:AlternateContent>
          <mc:Choice Requires="wps">
            <w:drawing>
              <wp:anchor distT="0" distB="0" distL="114300" distR="114300" simplePos="0" relativeHeight="251660288" behindDoc="0" locked="0" layoutInCell="1" allowOverlap="1" wp14:anchorId="3199EB9A" wp14:editId="62CF113B">
                <wp:simplePos x="0" y="0"/>
                <wp:positionH relativeFrom="margin">
                  <wp:posOffset>1301750</wp:posOffset>
                </wp:positionH>
                <wp:positionV relativeFrom="paragraph">
                  <wp:posOffset>685695</wp:posOffset>
                </wp:positionV>
                <wp:extent cx="3333750" cy="738835"/>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0" cy="738835"/>
                        </a:xfrm>
                        <a:prstGeom prst="rect">
                          <a:avLst/>
                        </a:prstGeom>
                        <a:solidFill>
                          <a:srgbClr val="FFFFFF"/>
                        </a:solidFill>
                        <a:ln>
                          <a:noFill/>
                        </a:ln>
                      </wps:spPr>
                      <wps:txbx>
                        <w:txbxContent>
                          <w:p w14:paraId="29337E42" w14:textId="77777777" w:rsidR="00CB3283" w:rsidRPr="00511BE1" w:rsidRDefault="00CB3283" w:rsidP="00CB3283">
                            <w:pPr>
                              <w:pStyle w:val="ExecOffice"/>
                              <w:rPr>
                                <w:rFonts w:cs="Arial"/>
                                <w:sz w:val="22"/>
                                <w:szCs w:val="22"/>
                              </w:rPr>
                            </w:pPr>
                            <w:r w:rsidRPr="00511BE1">
                              <w:rPr>
                                <w:rFonts w:cs="Arial"/>
                                <w:sz w:val="22"/>
                                <w:szCs w:val="22"/>
                              </w:rPr>
                              <w:t>Immunization</w:t>
                            </w:r>
                            <w:r>
                              <w:rPr>
                                <w:rFonts w:cs="Arial"/>
                                <w:sz w:val="22"/>
                                <w:szCs w:val="22"/>
                              </w:rPr>
                              <w:t xml:space="preserve"> Division</w:t>
                            </w:r>
                          </w:p>
                          <w:p w14:paraId="377F714F" w14:textId="1969B47A" w:rsidR="00CB3283" w:rsidRPr="00511BE1" w:rsidRDefault="00CB3283" w:rsidP="00CB3283">
                            <w:pPr>
                              <w:pStyle w:val="ExecOffice"/>
                              <w:rPr>
                                <w:rFonts w:cs="Arial"/>
                                <w:sz w:val="22"/>
                                <w:szCs w:val="22"/>
                              </w:rPr>
                            </w:pPr>
                            <w:r w:rsidRPr="00511BE1">
                              <w:rPr>
                                <w:rFonts w:cs="Arial"/>
                                <w:sz w:val="22"/>
                                <w:szCs w:val="22"/>
                              </w:rPr>
                              <w:t xml:space="preserve">Tel: (617) 983-6800 </w:t>
                            </w:r>
                          </w:p>
                          <w:p w14:paraId="2F2ABA8B" w14:textId="77777777" w:rsidR="00CB3283" w:rsidRPr="00511BE1" w:rsidRDefault="00CB3283" w:rsidP="00CB3283">
                            <w:pPr>
                              <w:pStyle w:val="ExecOffice"/>
                              <w:rPr>
                                <w:rFonts w:cs="Arial"/>
                                <w:sz w:val="22"/>
                                <w:szCs w:val="22"/>
                              </w:rPr>
                            </w:pPr>
                            <w:r w:rsidRPr="00511BE1">
                              <w:rPr>
                                <w:rFonts w:cs="Arial"/>
                                <w:sz w:val="22"/>
                                <w:szCs w:val="22"/>
                              </w:rPr>
                              <w:t xml:space="preserve">Fax: (617) 983-6840 </w:t>
                            </w:r>
                          </w:p>
                          <w:p w14:paraId="15432DFB" w14:textId="77777777" w:rsidR="00CB3283" w:rsidRDefault="00CB3283" w:rsidP="00CB3283">
                            <w:pPr>
                              <w:jc w:val="center"/>
                            </w:pPr>
                            <w:hyperlink r:id="rId9" w:history="1">
                              <w:r w:rsidRPr="00511BE1">
                                <w:rPr>
                                  <w:rStyle w:val="Hyperlink"/>
                                  <w:rFonts w:ascii="Arial" w:hAnsi="Arial" w:cs="Arial"/>
                                  <w:sz w:val="22"/>
                                  <w:szCs w:val="22"/>
                                </w:rPr>
                                <w:t>www.mass.gov/dph/imm</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99EB9A" id="_x0000_t202" coordsize="21600,21600" o:spt="202" path="m,l,21600r21600,l21600,xe">
                <v:stroke joinstyle="miter"/>
                <v:path gradientshapeok="t" o:connecttype="rect"/>
              </v:shapetype>
              <v:shape id="Text Box 4" o:spid="_x0000_s1026" type="#_x0000_t202" style="position:absolute;margin-left:102.5pt;margin-top:54pt;width:262.5pt;height:58.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" stroked="f">
                <v:textbox>
                  <w:txbxContent>
                    <w:p w14:paraId="29337E42" w14:textId="77777777" w:rsidR="00CB3283" w:rsidRPr="00511BE1" w:rsidRDefault="00CB3283" w:rsidP="00CB3283">
                      <w:pPr>
                        <w:pStyle w:val="ExecOffice"/>
                        <w:rPr>
                          <w:rFonts w:cs="Arial"/>
                          <w:sz w:val="22"/>
                          <w:szCs w:val="22"/>
                        </w:rPr>
                      </w:pPr>
                      <w:r w:rsidRPr="00511BE1">
                        <w:rPr>
                          <w:rFonts w:cs="Arial"/>
                          <w:sz w:val="22"/>
                          <w:szCs w:val="22"/>
                        </w:rPr>
                        <w:t>Immunization</w:t>
                      </w:r>
                      <w:r>
                        <w:rPr>
                          <w:rFonts w:cs="Arial"/>
                          <w:sz w:val="22"/>
                          <w:szCs w:val="22"/>
                        </w:rPr>
                        <w:t xml:space="preserve"> Division</w:t>
                      </w:r>
                    </w:p>
                    <w:p w14:paraId="377F714F" w14:textId="1969B47A" w:rsidR="00CB3283" w:rsidRPr="00511BE1" w:rsidRDefault="00CB3283" w:rsidP="00CB3283">
                      <w:pPr>
                        <w:pStyle w:val="ExecOffice"/>
                        <w:rPr>
                          <w:rFonts w:cs="Arial"/>
                          <w:sz w:val="22"/>
                          <w:szCs w:val="22"/>
                        </w:rPr>
                      </w:pPr>
                      <w:r w:rsidRPr="00511BE1">
                        <w:rPr>
                          <w:rFonts w:cs="Arial"/>
                          <w:sz w:val="22"/>
                          <w:szCs w:val="22"/>
                        </w:rPr>
                        <w:t xml:space="preserve">Tel: (617) 983-6800 </w:t>
                      </w:r>
                    </w:p>
                    <w:p w14:paraId="2F2ABA8B" w14:textId="77777777" w:rsidR="00CB3283" w:rsidRPr="00511BE1" w:rsidRDefault="00CB3283" w:rsidP="00CB3283">
                      <w:pPr>
                        <w:pStyle w:val="ExecOffice"/>
                        <w:rPr>
                          <w:rFonts w:cs="Arial"/>
                          <w:sz w:val="22"/>
                          <w:szCs w:val="22"/>
                        </w:rPr>
                      </w:pPr>
                      <w:r w:rsidRPr="00511BE1">
                        <w:rPr>
                          <w:rFonts w:cs="Arial"/>
                          <w:sz w:val="22"/>
                          <w:szCs w:val="22"/>
                        </w:rPr>
                        <w:t xml:space="preserve">Fax: (617) 983-6840 </w:t>
                      </w:r>
                    </w:p>
                    <w:p w14:paraId="15432DFB" w14:textId="77777777" w:rsidR="00CB3283" w:rsidRDefault="00CB3283" w:rsidP="00CB3283">
                      <w:pPr>
                        <w:jc w:val="center"/>
                      </w:pPr>
                      <w:hyperlink r:id="rId10" w:history="1">
                        <w:r w:rsidRPr="00511BE1">
                          <w:rPr>
                            <w:rStyle w:val="Hyperlink"/>
                            <w:rFonts w:ascii="Arial" w:hAnsi="Arial" w:cs="Arial"/>
                            <w:sz w:val="22"/>
                            <w:szCs w:val="22"/>
                          </w:rPr>
                          <w:t>www.mass.gov/dph/imm</w:t>
                        </w:r>
                      </w:hyperlink>
                    </w:p>
                  </w:txbxContent>
                </v:textbox>
                <w10:wrap anchorx="margin"/>
              </v:shape>
            </w:pict>
          </mc:Fallback>
        </mc:AlternateContent>
      </w:r>
      <w:r w:rsidR="000B7D96">
        <w:rPr>
          <w:noProof/>
        </w:rPr>
        <mc:AlternateContent>
          <mc:Choice Requires="wps">
            <w:drawing>
              <wp:anchor distT="0" distB="0" distL="114300" distR="114300" simplePos="0" relativeHeight="251658240" behindDoc="0" locked="0" layoutInCell="1" allowOverlap="1" wp14:anchorId="593B8E20" wp14:editId="4805EAA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66075756" w14:textId="1443C461" w:rsidR="002D1C21" w:rsidRDefault="008A7FED" w:rsidP="0000218B">
                            <w:pPr>
                              <w:pStyle w:val="Governor"/>
                            </w:pPr>
                            <w:r w:rsidRPr="00280BFB">
                              <w:rPr>
                                <w:sz w:val="16"/>
                                <w:szCs w:val="16"/>
                              </w:rPr>
                              <w:t>KIAME MAHANIAH, MD, MBA</w:t>
                            </w:r>
                            <w:r w:rsidRPr="00530145" w:rsidDel="00B311D7">
                              <w:rPr>
                                <w:sz w:val="16"/>
                                <w:szCs w:val="16"/>
                              </w:rPr>
                              <w:t xml:space="preserve"> </w:t>
                            </w:r>
                            <w:r w:rsidR="009D48CD">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93B8E20" id="Text Box 2" o:spid="_x0000_s1027"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" stroked="f">
                <v:textbox style="mso-fit-shape-to-text:t">
                  <w:txbxContent>
                    <w:p w14:paraId="0CBD0671" w14:textId="77777777" w:rsidR="00FC6B42" w:rsidRDefault="00FC6B42" w:rsidP="00FC6B42">
                      <w:pPr>
                        <w:pStyle w:val="Governor"/>
                        <w:spacing w:after="0"/>
                        <w:rPr>
                          <w:sz w:val="16"/>
                        </w:rPr>
                      </w:pPr>
                    </w:p>
                    <w:p w14:paraId="66075756" w14:textId="1443C461" w:rsidR="002D1C21" w:rsidRDefault="008A7FED" w:rsidP="0000218B">
                      <w:pPr>
                        <w:pStyle w:val="Governor"/>
                      </w:pPr>
                      <w:r w:rsidRPr="00280BFB">
                        <w:rPr>
                          <w:sz w:val="16"/>
                          <w:szCs w:val="16"/>
                        </w:rPr>
                        <w:t>KIAME MAHANIAH, MD, MBA</w:t>
                      </w:r>
                      <w:r w:rsidRPr="00530145" w:rsidDel="00B311D7">
                        <w:rPr>
                          <w:sz w:val="16"/>
                          <w:szCs w:val="16"/>
                        </w:rPr>
                        <w:t xml:space="preserve"> </w:t>
                      </w:r>
                      <w:r w:rsidR="009D48CD">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sidR="000B7D96">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8"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r w:rsidR="006B7EA1">
        <w:tab/>
      </w:r>
    </w:p>
    <w:p w14:paraId="33866557" w14:textId="7A79FDA8" w:rsidR="00FC6B42" w:rsidRDefault="00FC6B42" w:rsidP="0072610D"/>
    <w:p w14:paraId="45EA865C" w14:textId="0A7C67A4" w:rsidR="00FC6B42" w:rsidRDefault="00FC6B42" w:rsidP="0072610D"/>
    <w:p w14:paraId="51314366" w14:textId="3EAB1CD5" w:rsidR="00033154" w:rsidRDefault="00033154" w:rsidP="0072610D"/>
    <w:p w14:paraId="69F380EF" w14:textId="15209660" w:rsidR="00033154" w:rsidRDefault="00033154" w:rsidP="0072610D"/>
    <w:p w14:paraId="679085B6" w14:textId="77777777" w:rsidR="002E7834" w:rsidRDefault="002E7834" w:rsidP="0072610D"/>
    <w:p w14:paraId="02D10695" w14:textId="20E57871" w:rsidR="00653647" w:rsidRPr="00160EB0" w:rsidRDefault="00653647" w:rsidP="002E7834">
      <w:pPr>
        <w:rPr>
          <w:szCs w:val="24"/>
        </w:rPr>
      </w:pPr>
      <w:r w:rsidRPr="00160EB0">
        <w:rPr>
          <w:szCs w:val="24"/>
        </w:rPr>
        <w:t>To:</w:t>
      </w:r>
      <w:r w:rsidR="0019759D" w:rsidRPr="00160EB0">
        <w:rPr>
          <w:szCs w:val="24"/>
        </w:rPr>
        <w:tab/>
      </w:r>
      <w:r w:rsidRPr="00160EB0">
        <w:rPr>
          <w:szCs w:val="24"/>
        </w:rPr>
        <w:t>College Health Service Directors</w:t>
      </w:r>
    </w:p>
    <w:p w14:paraId="52337728" w14:textId="77777777" w:rsidR="006F2E33" w:rsidRPr="00160EB0" w:rsidRDefault="006F2E33" w:rsidP="002E7834">
      <w:pPr>
        <w:rPr>
          <w:szCs w:val="24"/>
        </w:rPr>
      </w:pPr>
    </w:p>
    <w:p w14:paraId="27F62BCA" w14:textId="1E4A4A30" w:rsidR="00653647" w:rsidRPr="00160EB0" w:rsidRDefault="00653647" w:rsidP="002E7834">
      <w:pPr>
        <w:rPr>
          <w:szCs w:val="24"/>
        </w:rPr>
      </w:pPr>
      <w:r w:rsidRPr="00160EB0">
        <w:rPr>
          <w:szCs w:val="24"/>
        </w:rPr>
        <w:t>From:</w:t>
      </w:r>
      <w:r w:rsidR="0019759D" w:rsidRPr="00160EB0">
        <w:rPr>
          <w:szCs w:val="24"/>
        </w:rPr>
        <w:tab/>
      </w:r>
      <w:r w:rsidRPr="00160EB0">
        <w:rPr>
          <w:szCs w:val="24"/>
        </w:rPr>
        <w:t>Pejman Talebian, MA, MPH, Director</w:t>
      </w:r>
    </w:p>
    <w:p w14:paraId="29FABDED" w14:textId="7F56954B" w:rsidR="00653647" w:rsidRPr="00160EB0" w:rsidRDefault="00653647" w:rsidP="0019759D">
      <w:pPr>
        <w:ind w:left="720"/>
        <w:rPr>
          <w:szCs w:val="24"/>
        </w:rPr>
      </w:pPr>
      <w:r w:rsidRPr="00160EB0">
        <w:rPr>
          <w:szCs w:val="24"/>
        </w:rPr>
        <w:t>Immunization Division</w:t>
      </w:r>
    </w:p>
    <w:p w14:paraId="3A15216A" w14:textId="77777777" w:rsidR="006F2E33" w:rsidRPr="00160EB0" w:rsidRDefault="006F2E33" w:rsidP="002E7834">
      <w:pPr>
        <w:rPr>
          <w:szCs w:val="24"/>
        </w:rPr>
      </w:pPr>
    </w:p>
    <w:p w14:paraId="1354F9E7" w14:textId="37BDA554" w:rsidR="00653647" w:rsidRPr="00160EB0" w:rsidRDefault="00653647" w:rsidP="002E7834">
      <w:pPr>
        <w:rPr>
          <w:szCs w:val="24"/>
        </w:rPr>
      </w:pPr>
      <w:r w:rsidRPr="00160EB0">
        <w:rPr>
          <w:szCs w:val="24"/>
        </w:rPr>
        <w:t>Re:</w:t>
      </w:r>
      <w:r w:rsidR="0019759D" w:rsidRPr="00160EB0">
        <w:rPr>
          <w:szCs w:val="24"/>
        </w:rPr>
        <w:tab/>
      </w:r>
      <w:r w:rsidR="008A7FED" w:rsidRPr="00160EB0">
        <w:rPr>
          <w:szCs w:val="24"/>
        </w:rPr>
        <w:t>2025</w:t>
      </w:r>
      <w:r w:rsidRPr="00160EB0">
        <w:rPr>
          <w:szCs w:val="24"/>
        </w:rPr>
        <w:t>-</w:t>
      </w:r>
      <w:r w:rsidR="008A7FED" w:rsidRPr="00160EB0">
        <w:rPr>
          <w:szCs w:val="24"/>
        </w:rPr>
        <w:t xml:space="preserve">2026 </w:t>
      </w:r>
      <w:r w:rsidRPr="00160EB0">
        <w:rPr>
          <w:szCs w:val="24"/>
        </w:rPr>
        <w:t>College Immunization Survey</w:t>
      </w:r>
    </w:p>
    <w:p w14:paraId="08839E3F" w14:textId="77777777" w:rsidR="006F2E33" w:rsidRPr="00160EB0" w:rsidRDefault="006F2E33" w:rsidP="002E7834">
      <w:pPr>
        <w:rPr>
          <w:szCs w:val="24"/>
        </w:rPr>
      </w:pPr>
    </w:p>
    <w:p w14:paraId="249DCA07" w14:textId="55135867" w:rsidR="00C73DBA" w:rsidRPr="00160EB0" w:rsidRDefault="00653647" w:rsidP="0019759D">
      <w:pPr>
        <w:tabs>
          <w:tab w:val="left" w:pos="720"/>
        </w:tabs>
        <w:rPr>
          <w:szCs w:val="24"/>
        </w:rPr>
      </w:pPr>
      <w:r w:rsidRPr="00160EB0">
        <w:rPr>
          <w:szCs w:val="24"/>
        </w:rPr>
        <w:t>Date:</w:t>
      </w:r>
      <w:r w:rsidR="0019759D" w:rsidRPr="00160EB0">
        <w:rPr>
          <w:szCs w:val="24"/>
        </w:rPr>
        <w:tab/>
      </w:r>
      <w:r w:rsidRPr="00160EB0">
        <w:rPr>
          <w:szCs w:val="24"/>
        </w:rPr>
        <w:t xml:space="preserve">September </w:t>
      </w:r>
      <w:r w:rsidR="008A7FED" w:rsidRPr="00160EB0">
        <w:rPr>
          <w:szCs w:val="24"/>
        </w:rPr>
        <w:t>2025</w:t>
      </w:r>
    </w:p>
    <w:p w14:paraId="72E74E0E" w14:textId="77777777" w:rsidR="00C73DBA" w:rsidRPr="00160EB0" w:rsidRDefault="00C73DBA" w:rsidP="002E7834">
      <w:pPr>
        <w:pBdr>
          <w:bottom w:val="single" w:sz="12" w:space="1" w:color="auto"/>
        </w:pBdr>
        <w:rPr>
          <w:szCs w:val="24"/>
        </w:rPr>
      </w:pPr>
    </w:p>
    <w:p w14:paraId="4AA286BF" w14:textId="77777777" w:rsidR="00C73DBA" w:rsidRPr="00160EB0" w:rsidRDefault="00C73DBA" w:rsidP="002E7834">
      <w:pPr>
        <w:rPr>
          <w:szCs w:val="24"/>
        </w:rPr>
      </w:pPr>
    </w:p>
    <w:p w14:paraId="60EDBAC2" w14:textId="2BC34CE7" w:rsidR="00C15427" w:rsidRPr="00160EB0" w:rsidRDefault="00C15427" w:rsidP="00C15427">
      <w:pPr>
        <w:rPr>
          <w:szCs w:val="24"/>
        </w:rPr>
      </w:pPr>
      <w:r w:rsidRPr="00160EB0">
        <w:rPr>
          <w:szCs w:val="24"/>
        </w:rPr>
        <w:t xml:space="preserve">The annual public and private </w:t>
      </w:r>
      <w:r w:rsidRPr="00160EB0">
        <w:rPr>
          <w:b/>
          <w:bCs/>
          <w:szCs w:val="24"/>
        </w:rPr>
        <w:t>College Immunization Survey</w:t>
      </w:r>
      <w:r w:rsidRPr="00160EB0">
        <w:rPr>
          <w:szCs w:val="24"/>
        </w:rPr>
        <w:t xml:space="preserve"> is conducted by the Massachusetts Department of Public Health (MDPH) Immunization Division. </w:t>
      </w:r>
      <w:r w:rsidR="009A61CC" w:rsidRPr="00160EB0">
        <w:rPr>
          <w:szCs w:val="24"/>
        </w:rPr>
        <w:t>This survey requests</w:t>
      </w:r>
      <w:r w:rsidR="00351852" w:rsidRPr="00160EB0">
        <w:rPr>
          <w:szCs w:val="24"/>
        </w:rPr>
        <w:t xml:space="preserve"> </w:t>
      </w:r>
      <w:r w:rsidR="009A61CC" w:rsidRPr="00160EB0">
        <w:rPr>
          <w:szCs w:val="24"/>
        </w:rPr>
        <w:t>immunization information for college students enrolled at your institution.</w:t>
      </w:r>
      <w:r w:rsidR="002068E3" w:rsidRPr="00160EB0">
        <w:rPr>
          <w:szCs w:val="24"/>
        </w:rPr>
        <w:t xml:space="preserve"> </w:t>
      </w:r>
      <w:r w:rsidRPr="00160EB0">
        <w:rPr>
          <w:szCs w:val="24"/>
        </w:rPr>
        <w:t xml:space="preserve">The purpose of this survey is to identify </w:t>
      </w:r>
      <w:r w:rsidR="00751211" w:rsidRPr="00160EB0">
        <w:rPr>
          <w:szCs w:val="24"/>
        </w:rPr>
        <w:t>students</w:t>
      </w:r>
      <w:r w:rsidRPr="00160EB0">
        <w:rPr>
          <w:szCs w:val="24"/>
        </w:rPr>
        <w:t xml:space="preserve"> </w:t>
      </w:r>
      <w:r w:rsidR="00751211" w:rsidRPr="00160EB0">
        <w:rPr>
          <w:szCs w:val="24"/>
        </w:rPr>
        <w:t xml:space="preserve">attending college </w:t>
      </w:r>
      <w:r w:rsidRPr="00160EB0">
        <w:rPr>
          <w:szCs w:val="24"/>
        </w:rPr>
        <w:t xml:space="preserve">who are not protected against vaccine-preventable diseases and to ensure that they are properly immunized according to state requirements. These data are publicly available on the </w:t>
      </w:r>
      <w:hyperlink r:id="rId11" w:anchor="college-data-" w:history="1">
        <w:r w:rsidRPr="00160EB0">
          <w:rPr>
            <w:rStyle w:val="Hyperlink"/>
            <w:szCs w:val="24"/>
          </w:rPr>
          <w:t>Immunization Division website</w:t>
        </w:r>
      </w:hyperlink>
      <w:r w:rsidRPr="00160EB0">
        <w:rPr>
          <w:szCs w:val="24"/>
        </w:rPr>
        <w:t>.</w:t>
      </w:r>
    </w:p>
    <w:p w14:paraId="143CE5EB" w14:textId="77777777" w:rsidR="00C15427" w:rsidRPr="00160EB0" w:rsidRDefault="00C15427" w:rsidP="002E7834">
      <w:pPr>
        <w:rPr>
          <w:b/>
          <w:bCs/>
          <w:szCs w:val="24"/>
          <w:u w:val="single"/>
        </w:rPr>
      </w:pPr>
    </w:p>
    <w:p w14:paraId="25CA2779" w14:textId="7E6A0D89" w:rsidR="00653647" w:rsidRPr="00160EB0" w:rsidRDefault="0018432D" w:rsidP="002E7834">
      <w:pPr>
        <w:rPr>
          <w:b/>
          <w:bCs/>
          <w:szCs w:val="24"/>
          <w:u w:val="single"/>
        </w:rPr>
      </w:pPr>
      <w:r w:rsidRPr="00160EB0">
        <w:rPr>
          <w:b/>
          <w:bCs/>
          <w:szCs w:val="24"/>
          <w:u w:val="single"/>
        </w:rPr>
        <w:t xml:space="preserve">School </w:t>
      </w:r>
      <w:r w:rsidR="00653647" w:rsidRPr="00160EB0">
        <w:rPr>
          <w:b/>
          <w:bCs/>
          <w:szCs w:val="24"/>
          <w:u w:val="single"/>
        </w:rPr>
        <w:t>Immunization Requirements</w:t>
      </w:r>
    </w:p>
    <w:p w14:paraId="766D2055" w14:textId="011266E7" w:rsidR="009A0A12" w:rsidRPr="00160EB0" w:rsidRDefault="00653647" w:rsidP="002E7834">
      <w:pPr>
        <w:rPr>
          <w:szCs w:val="24"/>
        </w:rPr>
      </w:pPr>
      <w:r w:rsidRPr="00160EB0">
        <w:rPr>
          <w:szCs w:val="24"/>
        </w:rPr>
        <w:t>The following vaccines are required for these students regardless of how much time they spend physically on campus:</w:t>
      </w:r>
    </w:p>
    <w:p w14:paraId="44881684" w14:textId="05A8732C" w:rsidR="002923AC" w:rsidRPr="00160EB0" w:rsidRDefault="002923AC" w:rsidP="00861E48">
      <w:pPr>
        <w:pStyle w:val="ListParagraph"/>
        <w:numPr>
          <w:ilvl w:val="0"/>
          <w:numId w:val="15"/>
        </w:numPr>
        <w:spacing w:after="0" w:line="240" w:lineRule="auto"/>
        <w:ind w:left="360"/>
        <w:rPr>
          <w:rFonts w:ascii="Times New Roman" w:hAnsi="Times New Roman" w:cs="Times New Roman"/>
          <w:sz w:val="24"/>
          <w:szCs w:val="24"/>
        </w:rPr>
      </w:pPr>
      <w:r w:rsidRPr="00160EB0">
        <w:rPr>
          <w:rFonts w:ascii="Times New Roman" w:hAnsi="Times New Roman" w:cs="Times New Roman"/>
          <w:sz w:val="24"/>
          <w:szCs w:val="24"/>
        </w:rPr>
        <w:t>All full-time undergraduate and graduate students under 30 years of age</w:t>
      </w:r>
    </w:p>
    <w:p w14:paraId="7641A62F" w14:textId="6B9F7130" w:rsidR="002923AC" w:rsidRPr="00160EB0" w:rsidRDefault="002923AC" w:rsidP="002923AC">
      <w:pPr>
        <w:pStyle w:val="ListParagraph"/>
        <w:numPr>
          <w:ilvl w:val="0"/>
          <w:numId w:val="15"/>
        </w:numPr>
        <w:spacing w:after="0" w:line="240" w:lineRule="auto"/>
        <w:ind w:left="360"/>
        <w:rPr>
          <w:rFonts w:ascii="Times New Roman" w:hAnsi="Times New Roman" w:cs="Times New Roman"/>
          <w:sz w:val="24"/>
          <w:szCs w:val="24"/>
        </w:rPr>
      </w:pPr>
      <w:r w:rsidRPr="00160EB0">
        <w:rPr>
          <w:rFonts w:ascii="Times New Roman" w:hAnsi="Times New Roman" w:cs="Times New Roman"/>
          <w:sz w:val="24"/>
          <w:szCs w:val="24"/>
        </w:rPr>
        <w:t>All full-time and part-time health science students (regardless of age)</w:t>
      </w:r>
    </w:p>
    <w:p w14:paraId="3F4153ED" w14:textId="71FE2E15" w:rsidR="002923AC" w:rsidRPr="00160EB0" w:rsidRDefault="002923AC" w:rsidP="002923AC">
      <w:pPr>
        <w:pStyle w:val="ListParagraph"/>
        <w:numPr>
          <w:ilvl w:val="0"/>
          <w:numId w:val="15"/>
        </w:numPr>
        <w:spacing w:after="0" w:line="240" w:lineRule="auto"/>
        <w:ind w:left="360"/>
        <w:rPr>
          <w:rFonts w:ascii="Times New Roman" w:hAnsi="Times New Roman" w:cs="Times New Roman"/>
          <w:sz w:val="24"/>
          <w:szCs w:val="24"/>
        </w:rPr>
      </w:pPr>
      <w:r w:rsidRPr="00160EB0">
        <w:rPr>
          <w:rFonts w:ascii="Times New Roman" w:hAnsi="Times New Roman" w:cs="Times New Roman"/>
          <w:sz w:val="24"/>
          <w:szCs w:val="24"/>
        </w:rPr>
        <w:t>All full-time and part-time students attending a postsecondary institution in Massachusetts while on a student or other visa, including a student attending or visiting classes or programs as part of an academic visitation or exchange program</w:t>
      </w:r>
    </w:p>
    <w:p w14:paraId="7CC6A6B5" w14:textId="77777777" w:rsidR="003B38A4" w:rsidRPr="00160EB0" w:rsidRDefault="003B38A4" w:rsidP="003B38A4">
      <w:pPr>
        <w:rPr>
          <w:szCs w:val="24"/>
        </w:rPr>
      </w:pPr>
    </w:p>
    <w:p w14:paraId="73F90CC7" w14:textId="3FDE0205" w:rsidR="00F9158F" w:rsidRPr="00160EB0" w:rsidRDefault="00653647" w:rsidP="00506FCC">
      <w:pPr>
        <w:pStyle w:val="ListParagraph"/>
        <w:numPr>
          <w:ilvl w:val="0"/>
          <w:numId w:val="16"/>
        </w:numPr>
        <w:spacing w:after="0" w:line="240" w:lineRule="auto"/>
        <w:ind w:left="360"/>
        <w:rPr>
          <w:rFonts w:ascii="Times New Roman" w:hAnsi="Times New Roman" w:cs="Times New Roman"/>
          <w:sz w:val="24"/>
          <w:szCs w:val="24"/>
        </w:rPr>
      </w:pPr>
      <w:r w:rsidRPr="00160EB0">
        <w:rPr>
          <w:rFonts w:ascii="Times New Roman" w:hAnsi="Times New Roman" w:cs="Times New Roman"/>
          <w:sz w:val="24"/>
          <w:szCs w:val="24"/>
        </w:rPr>
        <w:t>2 doses of MMR vaccine</w:t>
      </w:r>
    </w:p>
    <w:p w14:paraId="28AD9687" w14:textId="326A1FBC" w:rsidR="00F9158F" w:rsidRPr="00160EB0" w:rsidRDefault="00653647" w:rsidP="00506FCC">
      <w:pPr>
        <w:pStyle w:val="ListParagraph"/>
        <w:numPr>
          <w:ilvl w:val="0"/>
          <w:numId w:val="16"/>
        </w:numPr>
        <w:spacing w:after="0" w:line="240" w:lineRule="auto"/>
        <w:ind w:left="360"/>
        <w:rPr>
          <w:rFonts w:ascii="Times New Roman" w:hAnsi="Times New Roman" w:cs="Times New Roman"/>
          <w:sz w:val="24"/>
          <w:szCs w:val="24"/>
        </w:rPr>
      </w:pPr>
      <w:r w:rsidRPr="00160EB0">
        <w:rPr>
          <w:rFonts w:ascii="Times New Roman" w:hAnsi="Times New Roman" w:cs="Times New Roman"/>
          <w:sz w:val="24"/>
          <w:szCs w:val="24"/>
        </w:rPr>
        <w:t>1 dose of Tdap vaccine</w:t>
      </w:r>
      <w:r w:rsidR="00506FCC" w:rsidRPr="00160EB0">
        <w:rPr>
          <w:rFonts w:ascii="Times New Roman" w:hAnsi="Times New Roman" w:cs="Times New Roman"/>
          <w:sz w:val="24"/>
          <w:szCs w:val="24"/>
        </w:rPr>
        <w:t xml:space="preserve"> (following a complete DTaP series)</w:t>
      </w:r>
    </w:p>
    <w:p w14:paraId="10E72AA2" w14:textId="77777777" w:rsidR="00160EB0" w:rsidRPr="00160EB0" w:rsidRDefault="00653647" w:rsidP="00160EB0">
      <w:pPr>
        <w:pStyle w:val="ListParagraph"/>
        <w:numPr>
          <w:ilvl w:val="0"/>
          <w:numId w:val="16"/>
        </w:numPr>
        <w:spacing w:after="0" w:line="240" w:lineRule="auto"/>
        <w:ind w:left="360"/>
        <w:rPr>
          <w:rFonts w:ascii="Times New Roman" w:hAnsi="Times New Roman" w:cs="Times New Roman"/>
          <w:sz w:val="24"/>
          <w:szCs w:val="24"/>
        </w:rPr>
      </w:pPr>
      <w:r w:rsidRPr="00160EB0">
        <w:rPr>
          <w:rFonts w:ascii="Times New Roman" w:hAnsi="Times New Roman" w:cs="Times New Roman"/>
          <w:sz w:val="24"/>
          <w:szCs w:val="24"/>
        </w:rPr>
        <w:t>3 doses of hepatitis B vaccine</w:t>
      </w:r>
    </w:p>
    <w:p w14:paraId="7FAEACAB" w14:textId="6EBF68C2" w:rsidR="00160EB0" w:rsidRPr="00956F86" w:rsidRDefault="00160EB0" w:rsidP="00160EB0">
      <w:pPr>
        <w:pStyle w:val="ListParagraph"/>
        <w:numPr>
          <w:ilvl w:val="0"/>
          <w:numId w:val="16"/>
        </w:numPr>
        <w:spacing w:after="0" w:line="240" w:lineRule="auto"/>
        <w:ind w:left="360"/>
        <w:rPr>
          <w:rFonts w:ascii="Times New Roman" w:hAnsi="Times New Roman" w:cs="Times New Roman"/>
          <w:sz w:val="24"/>
          <w:szCs w:val="24"/>
        </w:rPr>
      </w:pPr>
      <w:r w:rsidRPr="00956F86">
        <w:rPr>
          <w:rFonts w:ascii="Times New Roman" w:hAnsi="Times New Roman" w:cs="Times New Roman"/>
          <w:sz w:val="24"/>
          <w:szCs w:val="24"/>
        </w:rPr>
        <w:t>2 doses of varicella (chickenpox) vaccine or physician-certified history of chickenpox disease</w:t>
      </w:r>
    </w:p>
    <w:p w14:paraId="09E9D89F" w14:textId="09838391" w:rsidR="008C3833" w:rsidRPr="00160EB0" w:rsidRDefault="00653647" w:rsidP="00506FCC">
      <w:pPr>
        <w:pStyle w:val="ListParagraph"/>
        <w:numPr>
          <w:ilvl w:val="0"/>
          <w:numId w:val="16"/>
        </w:numPr>
        <w:spacing w:after="0" w:line="240" w:lineRule="auto"/>
        <w:ind w:left="360"/>
        <w:rPr>
          <w:rFonts w:ascii="Times New Roman" w:hAnsi="Times New Roman" w:cs="Times New Roman"/>
          <w:sz w:val="24"/>
          <w:szCs w:val="24"/>
        </w:rPr>
      </w:pPr>
      <w:r w:rsidRPr="00160EB0">
        <w:rPr>
          <w:rFonts w:ascii="Times New Roman" w:hAnsi="Times New Roman" w:cs="Times New Roman"/>
          <w:sz w:val="24"/>
          <w:szCs w:val="24"/>
        </w:rPr>
        <w:t>1 dose of MenACWY vaccine</w:t>
      </w:r>
      <w:r w:rsidR="00506FCC" w:rsidRPr="00160EB0">
        <w:rPr>
          <w:rFonts w:ascii="Times New Roman" w:hAnsi="Times New Roman" w:cs="Times New Roman"/>
          <w:sz w:val="24"/>
          <w:szCs w:val="24"/>
        </w:rPr>
        <w:t xml:space="preserve"> if given on or after the 16th birthday</w:t>
      </w:r>
    </w:p>
    <w:p w14:paraId="496810A7" w14:textId="77777777" w:rsidR="003B38A4" w:rsidRPr="00160EB0" w:rsidRDefault="003B38A4" w:rsidP="002E7834">
      <w:pPr>
        <w:rPr>
          <w:szCs w:val="24"/>
        </w:rPr>
      </w:pPr>
    </w:p>
    <w:p w14:paraId="5385AD8F" w14:textId="77777777" w:rsidR="00DA503A" w:rsidRPr="00160EB0" w:rsidRDefault="00DA503A" w:rsidP="00DA503A">
      <w:pPr>
        <w:rPr>
          <w:b/>
          <w:bCs/>
          <w:szCs w:val="24"/>
          <w:u w:val="single"/>
        </w:rPr>
      </w:pPr>
      <w:r w:rsidRPr="00160EB0">
        <w:rPr>
          <w:b/>
          <w:bCs/>
          <w:szCs w:val="24"/>
          <w:u w:val="single"/>
        </w:rPr>
        <w:t>Recommended Vaccines</w:t>
      </w:r>
    </w:p>
    <w:p w14:paraId="4A60352B" w14:textId="77777777" w:rsidR="00DA503A" w:rsidRPr="00160EB0" w:rsidRDefault="00DA503A" w:rsidP="00DA503A">
      <w:pPr>
        <w:rPr>
          <w:szCs w:val="24"/>
        </w:rPr>
      </w:pPr>
      <w:r w:rsidRPr="00160EB0">
        <w:rPr>
          <w:szCs w:val="24"/>
        </w:rPr>
        <w:t>The following vaccines are strongly recommended to reduce transmission of communicable disease:</w:t>
      </w:r>
    </w:p>
    <w:p w14:paraId="67E493E0" w14:textId="77777777" w:rsidR="00DA503A" w:rsidRPr="00160EB0" w:rsidRDefault="00DA503A" w:rsidP="00DA503A">
      <w:pPr>
        <w:pStyle w:val="ListParagraph"/>
        <w:numPr>
          <w:ilvl w:val="0"/>
          <w:numId w:val="18"/>
        </w:numPr>
        <w:spacing w:after="0" w:line="240" w:lineRule="auto"/>
        <w:ind w:left="360"/>
        <w:rPr>
          <w:rFonts w:ascii="Times New Roman" w:hAnsi="Times New Roman" w:cs="Times New Roman"/>
          <w:sz w:val="24"/>
          <w:szCs w:val="24"/>
        </w:rPr>
      </w:pPr>
      <w:r w:rsidRPr="00160EB0">
        <w:rPr>
          <w:rFonts w:ascii="Times New Roman" w:hAnsi="Times New Roman" w:cs="Times New Roman"/>
          <w:sz w:val="24"/>
          <w:szCs w:val="24"/>
        </w:rPr>
        <w:lastRenderedPageBreak/>
        <w:t>1 dose of influenza vaccine for the current influenza season</w:t>
      </w:r>
    </w:p>
    <w:p w14:paraId="5441AF08" w14:textId="652A4448" w:rsidR="00DA503A" w:rsidRPr="00956F86" w:rsidRDefault="00DA503A" w:rsidP="00422B02">
      <w:pPr>
        <w:pStyle w:val="ListParagraph"/>
        <w:numPr>
          <w:ilvl w:val="0"/>
          <w:numId w:val="18"/>
        </w:numPr>
        <w:spacing w:after="0" w:line="240" w:lineRule="auto"/>
        <w:ind w:left="360"/>
        <w:rPr>
          <w:rFonts w:ascii="Times New Roman" w:hAnsi="Times New Roman" w:cs="Times New Roman"/>
          <w:sz w:val="24"/>
          <w:szCs w:val="24"/>
        </w:rPr>
      </w:pPr>
      <w:r w:rsidRPr="00160EB0">
        <w:rPr>
          <w:rFonts w:ascii="Times New Roman" w:hAnsi="Times New Roman" w:cs="Times New Roman"/>
          <w:sz w:val="24"/>
          <w:szCs w:val="24"/>
        </w:rPr>
        <w:t>1 dose of updated COVID-19 vaccine</w:t>
      </w:r>
    </w:p>
    <w:p w14:paraId="4733C2AA" w14:textId="6AAC04D0" w:rsidR="001C4490" w:rsidRPr="00160EB0" w:rsidRDefault="001C4490" w:rsidP="001C4490">
      <w:pPr>
        <w:pStyle w:val="ListParagraph"/>
        <w:numPr>
          <w:ilvl w:val="0"/>
          <w:numId w:val="18"/>
        </w:numPr>
        <w:spacing w:after="0" w:line="240" w:lineRule="auto"/>
        <w:ind w:left="360"/>
        <w:rPr>
          <w:rFonts w:ascii="Times New Roman" w:hAnsi="Times New Roman" w:cs="Times New Roman"/>
          <w:sz w:val="24"/>
          <w:szCs w:val="24"/>
        </w:rPr>
      </w:pPr>
      <w:r w:rsidRPr="00160EB0">
        <w:rPr>
          <w:rFonts w:ascii="Times New Roman" w:hAnsi="Times New Roman" w:cs="Times New Roman"/>
          <w:sz w:val="24"/>
          <w:szCs w:val="24"/>
        </w:rPr>
        <w:t>2 or 3 doses of HPV vaccine (depending on the age the vaccine series was started)</w:t>
      </w:r>
    </w:p>
    <w:p w14:paraId="3CC58911" w14:textId="77777777" w:rsidR="00DA503A" w:rsidRPr="00160EB0" w:rsidRDefault="00DA503A" w:rsidP="002E7834">
      <w:pPr>
        <w:rPr>
          <w:szCs w:val="24"/>
        </w:rPr>
      </w:pPr>
    </w:p>
    <w:p w14:paraId="02F1EB01" w14:textId="1B37A957" w:rsidR="00E92ABE" w:rsidRPr="00160EB0" w:rsidRDefault="00E92ABE" w:rsidP="002E7834">
      <w:pPr>
        <w:rPr>
          <w:szCs w:val="24"/>
        </w:rPr>
      </w:pPr>
      <w:r w:rsidRPr="00160EB0">
        <w:rPr>
          <w:szCs w:val="24"/>
        </w:rPr>
        <w:t xml:space="preserve">For additional details, see the MDPH </w:t>
      </w:r>
      <w:hyperlink r:id="rId12" w:history="1">
        <w:r w:rsidR="00160EB0" w:rsidRPr="00160EB0">
          <w:rPr>
            <w:rStyle w:val="Hyperlink"/>
            <w:szCs w:val="24"/>
          </w:rPr>
          <w:t>2025-2026 School Immunization Requirements</w:t>
        </w:r>
      </w:hyperlink>
      <w:r w:rsidRPr="00160EB0">
        <w:rPr>
          <w:szCs w:val="24"/>
        </w:rPr>
        <w:t xml:space="preserve"> document.</w:t>
      </w:r>
    </w:p>
    <w:p w14:paraId="439A0E4D" w14:textId="77777777" w:rsidR="002D5AF7" w:rsidRDefault="002D5AF7" w:rsidP="002D5AF7">
      <w:pPr>
        <w:rPr>
          <w:b/>
          <w:bCs/>
          <w:szCs w:val="24"/>
          <w:u w:val="single"/>
        </w:rPr>
      </w:pPr>
    </w:p>
    <w:p w14:paraId="3EFE2246" w14:textId="45AAC6D1" w:rsidR="002D5AF7" w:rsidRDefault="002D5AF7" w:rsidP="002D5AF7">
      <w:pPr>
        <w:rPr>
          <w:szCs w:val="24"/>
        </w:rPr>
      </w:pPr>
      <w:r w:rsidRPr="00EF4DC2">
        <w:rPr>
          <w:b/>
          <w:bCs/>
          <w:szCs w:val="24"/>
          <w:u w:val="single"/>
        </w:rPr>
        <w:t>Survey Deadline</w:t>
      </w:r>
      <w:r w:rsidRPr="00160EB0">
        <w:rPr>
          <w:szCs w:val="24"/>
        </w:rPr>
        <w:t xml:space="preserve"> </w:t>
      </w:r>
    </w:p>
    <w:p w14:paraId="0C4ADA71" w14:textId="77777777" w:rsidR="002D5AF7" w:rsidRDefault="002D5AF7" w:rsidP="002D5AF7">
      <w:pPr>
        <w:rPr>
          <w:b/>
          <w:bCs/>
          <w:szCs w:val="24"/>
        </w:rPr>
      </w:pPr>
      <w:r w:rsidRPr="00160EB0">
        <w:rPr>
          <w:szCs w:val="24"/>
        </w:rPr>
        <w:t xml:space="preserve">Your efforts in completing this survey contribute to protecting our students from vaccine-preventable diseases. </w:t>
      </w:r>
      <w:r w:rsidRPr="00EF4DC2">
        <w:rPr>
          <w:szCs w:val="24"/>
        </w:rPr>
        <w:t xml:space="preserve">The </w:t>
      </w:r>
      <w:r>
        <w:rPr>
          <w:szCs w:val="24"/>
        </w:rPr>
        <w:t xml:space="preserve">College </w:t>
      </w:r>
      <w:r w:rsidRPr="00EF4DC2">
        <w:rPr>
          <w:szCs w:val="24"/>
        </w:rPr>
        <w:t xml:space="preserve">Immunization Survey is due by </w:t>
      </w:r>
      <w:r w:rsidRPr="00B648AB">
        <w:rPr>
          <w:b/>
          <w:bCs/>
          <w:szCs w:val="24"/>
        </w:rPr>
        <w:t>Friday, January 23, 2026.</w:t>
      </w:r>
      <w:r>
        <w:rPr>
          <w:b/>
          <w:bCs/>
          <w:szCs w:val="24"/>
        </w:rPr>
        <w:t xml:space="preserve"> </w:t>
      </w:r>
    </w:p>
    <w:p w14:paraId="08861F20" w14:textId="77777777" w:rsidR="002D5AF7" w:rsidRDefault="002D5AF7" w:rsidP="002D5AF7">
      <w:pPr>
        <w:rPr>
          <w:b/>
          <w:bCs/>
          <w:szCs w:val="24"/>
        </w:rPr>
      </w:pPr>
    </w:p>
    <w:p w14:paraId="142865CD" w14:textId="1E6B3092" w:rsidR="002D5AF7" w:rsidRPr="00160EB0" w:rsidRDefault="002D5AF7" w:rsidP="002D5AF7">
      <w:pPr>
        <w:rPr>
          <w:szCs w:val="24"/>
        </w:rPr>
      </w:pPr>
      <w:r>
        <w:rPr>
          <w:szCs w:val="24"/>
        </w:rPr>
        <w:t>Refer to</w:t>
      </w:r>
      <w:r w:rsidRPr="00160EB0">
        <w:rPr>
          <w:szCs w:val="24"/>
        </w:rPr>
        <w:t xml:space="preserve"> the </w:t>
      </w:r>
      <w:hyperlink r:id="rId13" w:anchor="college-survey-" w:history="1">
        <w:r w:rsidRPr="00160EB0">
          <w:rPr>
            <w:rStyle w:val="Hyperlink"/>
            <w:szCs w:val="24"/>
          </w:rPr>
          <w:t>survey worksheets and instructions</w:t>
        </w:r>
      </w:hyperlink>
      <w:r w:rsidRPr="00160EB0">
        <w:rPr>
          <w:szCs w:val="24"/>
        </w:rPr>
        <w:t xml:space="preserve"> to help complete the survey accurately. Please retain copies of the survey and worksheets to facilitate follow-up on students not fully immunized. You may be chosen for a randomized audit of immunization records or be called to review your records by MDPH Immunization Division staff. If you have any questions, please email the MDPH Data Assessment Unit at </w:t>
      </w:r>
      <w:hyperlink r:id="rId14" w:history="1">
        <w:r w:rsidRPr="00160EB0">
          <w:rPr>
            <w:rStyle w:val="Hyperlink"/>
            <w:szCs w:val="24"/>
          </w:rPr>
          <w:t>ImmAssessmentUnit@mass.gov</w:t>
        </w:r>
      </w:hyperlink>
      <w:r w:rsidRPr="00160EB0">
        <w:rPr>
          <w:szCs w:val="24"/>
        </w:rPr>
        <w:t>.</w:t>
      </w:r>
    </w:p>
    <w:p w14:paraId="18306E41" w14:textId="77777777" w:rsidR="00E92ABE" w:rsidRPr="00160EB0" w:rsidRDefault="00E92ABE" w:rsidP="002E7834">
      <w:pPr>
        <w:rPr>
          <w:szCs w:val="24"/>
        </w:rPr>
      </w:pPr>
    </w:p>
    <w:p w14:paraId="5ED2B159" w14:textId="77777777" w:rsidR="00653647" w:rsidRPr="00160EB0" w:rsidRDefault="00653647" w:rsidP="002E7834">
      <w:pPr>
        <w:rPr>
          <w:b/>
          <w:bCs/>
          <w:szCs w:val="24"/>
          <w:u w:val="single"/>
        </w:rPr>
      </w:pPr>
      <w:r w:rsidRPr="00160EB0">
        <w:rPr>
          <w:b/>
          <w:bCs/>
          <w:szCs w:val="24"/>
          <w:u w:val="single"/>
        </w:rPr>
        <w:t>Meningococcal Vaccine and Postsecondary Students</w:t>
      </w:r>
    </w:p>
    <w:p w14:paraId="53EA7BF9" w14:textId="77777777" w:rsidR="00653647" w:rsidRPr="00160EB0" w:rsidRDefault="00653647" w:rsidP="002E7834">
      <w:pPr>
        <w:rPr>
          <w:szCs w:val="24"/>
        </w:rPr>
      </w:pPr>
      <w:r w:rsidRPr="00160EB0">
        <w:rPr>
          <w:szCs w:val="24"/>
        </w:rPr>
        <w:t>All post-secondary institutions must distribute the appropriate MDPH-developed documents based on student status (e.g., full-time, part-time).</w:t>
      </w:r>
    </w:p>
    <w:p w14:paraId="7DA11BC7" w14:textId="77777777" w:rsidR="00D245E0" w:rsidRPr="00160EB0" w:rsidRDefault="00D245E0" w:rsidP="002E7834">
      <w:pPr>
        <w:rPr>
          <w:szCs w:val="24"/>
        </w:rPr>
      </w:pPr>
    </w:p>
    <w:p w14:paraId="65A2D4B9" w14:textId="1245A4FA" w:rsidR="00653647" w:rsidRPr="00160EB0" w:rsidRDefault="00653647" w:rsidP="002E7834">
      <w:pPr>
        <w:rPr>
          <w:szCs w:val="24"/>
        </w:rPr>
      </w:pPr>
      <w:r w:rsidRPr="00160EB0">
        <w:rPr>
          <w:szCs w:val="24"/>
        </w:rPr>
        <w:t>Full-time students 21 years of age and younger. Newly enrolled full-time students 21 years of age and younger at postsecondary institutions must receive the document titled Information about Meningococcal Disease, Meningococcal Vaccines, Vaccination Requirements and the Waiver for Students at Colleges and Residential Schools and comply with the meningococcal vaccination requirements or have a medical or religious exemption or sign the waiver (</w:t>
      </w:r>
      <w:hyperlink r:id="rId15" w:history="1">
        <w:r w:rsidRPr="00160EB0">
          <w:rPr>
            <w:rStyle w:val="Hyperlink"/>
            <w:szCs w:val="24"/>
          </w:rPr>
          <w:t>105 CMR 220.700</w:t>
        </w:r>
      </w:hyperlink>
      <w:r w:rsidR="00DD15F9" w:rsidRPr="00160EB0">
        <w:rPr>
          <w:szCs w:val="24"/>
        </w:rPr>
        <w:t>).</w:t>
      </w:r>
    </w:p>
    <w:p w14:paraId="421AB527" w14:textId="77777777" w:rsidR="00D245E0" w:rsidRPr="00160EB0" w:rsidRDefault="00D245E0" w:rsidP="002E7834">
      <w:pPr>
        <w:rPr>
          <w:szCs w:val="24"/>
        </w:rPr>
      </w:pPr>
    </w:p>
    <w:p w14:paraId="3F29A170" w14:textId="23C03CA8" w:rsidR="008F6591" w:rsidRPr="00160EB0" w:rsidRDefault="00653647" w:rsidP="002E7834">
      <w:pPr>
        <w:rPr>
          <w:szCs w:val="24"/>
        </w:rPr>
      </w:pPr>
      <w:r w:rsidRPr="00160EB0">
        <w:rPr>
          <w:szCs w:val="24"/>
        </w:rPr>
        <w:t>Newly enrolled part-time students and newly enrolled full-time students 22 years of age and older must receive the document titled Meningococcal Disease and College Students (</w:t>
      </w:r>
      <w:hyperlink r:id="rId16" w:history="1">
        <w:r w:rsidRPr="00160EB0">
          <w:rPr>
            <w:rStyle w:val="Hyperlink"/>
            <w:szCs w:val="24"/>
          </w:rPr>
          <w:t>105 CMR 221.300</w:t>
        </w:r>
      </w:hyperlink>
      <w:r w:rsidRPr="00160EB0">
        <w:rPr>
          <w:szCs w:val="24"/>
        </w:rPr>
        <w:t>).</w:t>
      </w:r>
    </w:p>
    <w:p w14:paraId="4BEC17AA" w14:textId="77777777" w:rsidR="006F2E33" w:rsidRPr="00160EB0" w:rsidRDefault="006F2E33" w:rsidP="002E7834">
      <w:pPr>
        <w:rPr>
          <w:szCs w:val="24"/>
        </w:rPr>
      </w:pPr>
    </w:p>
    <w:p w14:paraId="056C4A6C" w14:textId="77777777" w:rsidR="00B87AEC" w:rsidRPr="00160EB0" w:rsidRDefault="00B87AEC" w:rsidP="00B87AEC">
      <w:pPr>
        <w:rPr>
          <w:b/>
          <w:bCs/>
          <w:szCs w:val="24"/>
          <w:u w:val="single"/>
        </w:rPr>
      </w:pPr>
      <w:r w:rsidRPr="00160EB0">
        <w:rPr>
          <w:b/>
          <w:bCs/>
          <w:szCs w:val="24"/>
          <w:u w:val="single"/>
        </w:rPr>
        <w:t>Immunization Survey Results</w:t>
      </w:r>
    </w:p>
    <w:p w14:paraId="27EE9665" w14:textId="4761624C" w:rsidR="00B87AEC" w:rsidRPr="00160EB0" w:rsidRDefault="00B87AEC" w:rsidP="00B87AEC">
      <w:pPr>
        <w:rPr>
          <w:szCs w:val="24"/>
        </w:rPr>
      </w:pPr>
      <w:r w:rsidRPr="00160EB0">
        <w:rPr>
          <w:szCs w:val="24"/>
        </w:rPr>
        <w:t xml:space="preserve">In </w:t>
      </w:r>
      <w:r w:rsidR="00C41CBF" w:rsidRPr="00160EB0">
        <w:rPr>
          <w:szCs w:val="24"/>
        </w:rPr>
        <w:t>202</w:t>
      </w:r>
      <w:r w:rsidR="00C41CBF">
        <w:rPr>
          <w:szCs w:val="24"/>
        </w:rPr>
        <w:t>4</w:t>
      </w:r>
      <w:r w:rsidRPr="00160EB0">
        <w:rPr>
          <w:szCs w:val="24"/>
        </w:rPr>
        <w:t>-</w:t>
      </w:r>
      <w:r w:rsidR="00C41CBF" w:rsidRPr="00160EB0">
        <w:rPr>
          <w:szCs w:val="24"/>
        </w:rPr>
        <w:t>202</w:t>
      </w:r>
      <w:r w:rsidR="00C41CBF">
        <w:rPr>
          <w:szCs w:val="24"/>
        </w:rPr>
        <w:t>5</w:t>
      </w:r>
      <w:r w:rsidRPr="00160EB0">
        <w:rPr>
          <w:szCs w:val="24"/>
        </w:rPr>
        <w:t xml:space="preserve">, the immunization records of </w:t>
      </w:r>
      <w:r w:rsidR="00C41CBF" w:rsidRPr="00C41CBF">
        <w:rPr>
          <w:szCs w:val="24"/>
        </w:rPr>
        <w:t>262,483</w:t>
      </w:r>
      <w:r w:rsidR="00C41CBF">
        <w:rPr>
          <w:szCs w:val="24"/>
        </w:rPr>
        <w:t xml:space="preserve"> </w:t>
      </w:r>
      <w:r w:rsidR="00610ED1" w:rsidRPr="00160EB0">
        <w:rPr>
          <w:szCs w:val="24"/>
        </w:rPr>
        <w:t xml:space="preserve">college students </w:t>
      </w:r>
      <w:r w:rsidRPr="00160EB0">
        <w:rPr>
          <w:szCs w:val="24"/>
        </w:rPr>
        <w:t xml:space="preserve">from </w:t>
      </w:r>
      <w:r w:rsidR="00C41CBF">
        <w:rPr>
          <w:szCs w:val="24"/>
        </w:rPr>
        <w:t>91</w:t>
      </w:r>
      <w:r w:rsidR="00C41CBF" w:rsidRPr="00160EB0">
        <w:rPr>
          <w:szCs w:val="24"/>
        </w:rPr>
        <w:t xml:space="preserve"> </w:t>
      </w:r>
      <w:r w:rsidRPr="00160EB0">
        <w:rPr>
          <w:szCs w:val="24"/>
        </w:rPr>
        <w:t xml:space="preserve">schools were reviewed. Immunization rates by school for schools reporting 30 or more </w:t>
      </w:r>
      <w:r w:rsidR="00610ED1" w:rsidRPr="00160EB0">
        <w:rPr>
          <w:szCs w:val="24"/>
        </w:rPr>
        <w:t xml:space="preserve">students </w:t>
      </w:r>
      <w:r w:rsidRPr="00160EB0">
        <w:rPr>
          <w:szCs w:val="24"/>
        </w:rPr>
        <w:t xml:space="preserve">are available on the </w:t>
      </w:r>
      <w:hyperlink r:id="rId17" w:anchor="college-data-" w:history="1">
        <w:r w:rsidRPr="00160EB0">
          <w:rPr>
            <w:rStyle w:val="Hyperlink"/>
            <w:szCs w:val="24"/>
          </w:rPr>
          <w:t>Immunization Division webpage</w:t>
        </w:r>
      </w:hyperlink>
      <w:r w:rsidRPr="00160EB0">
        <w:rPr>
          <w:szCs w:val="24"/>
        </w:rPr>
        <w:t>.</w:t>
      </w:r>
      <w:r w:rsidR="00C41CBF" w:rsidRPr="00C41CBF">
        <w:rPr>
          <w:szCs w:val="24"/>
        </w:rPr>
        <w:t xml:space="preserve"> </w:t>
      </w:r>
      <w:r w:rsidR="00C41CBF">
        <w:rPr>
          <w:szCs w:val="24"/>
        </w:rPr>
        <w:t xml:space="preserve">Historical data can be found on our </w:t>
      </w:r>
      <w:hyperlink r:id="rId18" w:anchor="college-survey-results" w:history="1">
        <w:r w:rsidR="00C41CBF" w:rsidRPr="00467AE9">
          <w:rPr>
            <w:rStyle w:val="Hyperlink"/>
            <w:szCs w:val="24"/>
          </w:rPr>
          <w:t>Immunization Survey Archive</w:t>
        </w:r>
      </w:hyperlink>
      <w:r w:rsidR="00C41CBF">
        <w:rPr>
          <w:szCs w:val="24"/>
        </w:rPr>
        <w:t xml:space="preserve"> page.</w:t>
      </w:r>
    </w:p>
    <w:p w14:paraId="070C72BE" w14:textId="77777777" w:rsidR="00B87AEC" w:rsidRPr="00160EB0" w:rsidRDefault="00B87AEC" w:rsidP="00B87AEC">
      <w:pPr>
        <w:rPr>
          <w:szCs w:val="24"/>
        </w:rPr>
      </w:pPr>
    </w:p>
    <w:p w14:paraId="039A9288" w14:textId="717A058E" w:rsidR="00B87AEC" w:rsidRPr="00160EB0" w:rsidRDefault="00B87AEC" w:rsidP="009B4792">
      <w:pPr>
        <w:ind w:right="-180"/>
        <w:rPr>
          <w:b/>
          <w:bCs/>
          <w:szCs w:val="24"/>
        </w:rPr>
      </w:pPr>
      <w:r w:rsidRPr="00160EB0">
        <w:rPr>
          <w:b/>
          <w:bCs/>
          <w:szCs w:val="24"/>
        </w:rPr>
        <w:t xml:space="preserve">Immunization Survey of </w:t>
      </w:r>
      <w:r w:rsidR="005C5C9A" w:rsidRPr="00160EB0">
        <w:rPr>
          <w:b/>
          <w:bCs/>
          <w:szCs w:val="24"/>
        </w:rPr>
        <w:t xml:space="preserve">College </w:t>
      </w:r>
      <w:r w:rsidRPr="00160EB0">
        <w:rPr>
          <w:b/>
          <w:bCs/>
          <w:szCs w:val="24"/>
        </w:rPr>
        <w:t>Students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5"/>
        <w:gridCol w:w="1143"/>
        <w:gridCol w:w="935"/>
        <w:gridCol w:w="1143"/>
        <w:gridCol w:w="935"/>
        <w:gridCol w:w="1455"/>
        <w:gridCol w:w="1352"/>
        <w:gridCol w:w="1352"/>
      </w:tblGrid>
      <w:tr w:rsidR="009B4792" w:rsidRPr="00160EB0" w14:paraId="31B45765" w14:textId="77777777" w:rsidTr="009B4792">
        <w:trPr>
          <w:cantSplit/>
          <w:trHeight w:val="50"/>
          <w:jc w:val="center"/>
        </w:trPr>
        <w:tc>
          <w:tcPr>
            <w:tcW w:w="553" w:type="pct"/>
          </w:tcPr>
          <w:p w14:paraId="5BF42506" w14:textId="77777777" w:rsidR="00B87AEC" w:rsidRPr="00160EB0" w:rsidRDefault="00B87AEC" w:rsidP="00FB0346">
            <w:pPr>
              <w:jc w:val="center"/>
              <w:rPr>
                <w:sz w:val="20"/>
              </w:rPr>
            </w:pPr>
            <w:r w:rsidRPr="00160EB0">
              <w:rPr>
                <w:sz w:val="20"/>
              </w:rPr>
              <w:t>School Year</w:t>
            </w:r>
          </w:p>
        </w:tc>
        <w:tc>
          <w:tcPr>
            <w:tcW w:w="611" w:type="pct"/>
          </w:tcPr>
          <w:p w14:paraId="13320E2D" w14:textId="77777777" w:rsidR="009B4792" w:rsidRDefault="00B87AEC" w:rsidP="00FB0346">
            <w:pPr>
              <w:jc w:val="center"/>
              <w:rPr>
                <w:sz w:val="20"/>
              </w:rPr>
            </w:pPr>
            <w:r w:rsidRPr="00160EB0">
              <w:rPr>
                <w:sz w:val="20"/>
              </w:rPr>
              <w:t xml:space="preserve">No. of </w:t>
            </w:r>
          </w:p>
          <w:p w14:paraId="403D4B2B" w14:textId="17487225" w:rsidR="00B87AEC" w:rsidRPr="00160EB0" w:rsidRDefault="009B4792" w:rsidP="00FB0346">
            <w:pPr>
              <w:jc w:val="center"/>
              <w:rPr>
                <w:sz w:val="20"/>
              </w:rPr>
            </w:pPr>
            <w:r>
              <w:rPr>
                <w:sz w:val="20"/>
              </w:rPr>
              <w:t>Students</w:t>
            </w:r>
          </w:p>
        </w:tc>
        <w:tc>
          <w:tcPr>
            <w:tcW w:w="500" w:type="pct"/>
          </w:tcPr>
          <w:p w14:paraId="0A50B20D" w14:textId="77777777" w:rsidR="0017270E" w:rsidRPr="00160EB0" w:rsidRDefault="00B87AEC" w:rsidP="00FB0346">
            <w:pPr>
              <w:jc w:val="center"/>
              <w:rPr>
                <w:sz w:val="20"/>
              </w:rPr>
            </w:pPr>
            <w:r w:rsidRPr="00160EB0">
              <w:rPr>
                <w:sz w:val="20"/>
              </w:rPr>
              <w:t xml:space="preserve">2 </w:t>
            </w:r>
          </w:p>
          <w:p w14:paraId="0A79915B" w14:textId="3EA2E5A5" w:rsidR="00B87AEC" w:rsidRPr="00160EB0" w:rsidRDefault="00B87AEC" w:rsidP="00FB0346">
            <w:pPr>
              <w:jc w:val="center"/>
              <w:rPr>
                <w:sz w:val="20"/>
              </w:rPr>
            </w:pPr>
            <w:r w:rsidRPr="00160EB0">
              <w:rPr>
                <w:sz w:val="20"/>
              </w:rPr>
              <w:t>MMR</w:t>
            </w:r>
          </w:p>
        </w:tc>
        <w:tc>
          <w:tcPr>
            <w:tcW w:w="611" w:type="pct"/>
          </w:tcPr>
          <w:p w14:paraId="02F52FD6" w14:textId="77777777" w:rsidR="00956F86" w:rsidRDefault="00956F86" w:rsidP="00FB0346">
            <w:pPr>
              <w:jc w:val="center"/>
              <w:rPr>
                <w:sz w:val="20"/>
              </w:rPr>
            </w:pPr>
            <w:r>
              <w:rPr>
                <w:sz w:val="20"/>
              </w:rPr>
              <w:t>1</w:t>
            </w:r>
          </w:p>
          <w:p w14:paraId="0FD418DB" w14:textId="3C0ABCAE" w:rsidR="00B87AEC" w:rsidRPr="00160EB0" w:rsidRDefault="00B87AEC" w:rsidP="00FB0346">
            <w:pPr>
              <w:jc w:val="center"/>
              <w:rPr>
                <w:sz w:val="20"/>
              </w:rPr>
            </w:pPr>
            <w:r w:rsidRPr="00160EB0">
              <w:rPr>
                <w:sz w:val="20"/>
              </w:rPr>
              <w:t>Td/Tdap</w:t>
            </w:r>
          </w:p>
        </w:tc>
        <w:tc>
          <w:tcPr>
            <w:tcW w:w="500" w:type="pct"/>
          </w:tcPr>
          <w:p w14:paraId="0F885753" w14:textId="77777777" w:rsidR="00B87AEC" w:rsidRPr="00160EB0" w:rsidRDefault="00B87AEC" w:rsidP="00FB0346">
            <w:pPr>
              <w:jc w:val="center"/>
              <w:rPr>
                <w:sz w:val="20"/>
              </w:rPr>
            </w:pPr>
            <w:r w:rsidRPr="00160EB0">
              <w:rPr>
                <w:sz w:val="20"/>
              </w:rPr>
              <w:t xml:space="preserve">3 </w:t>
            </w:r>
          </w:p>
          <w:p w14:paraId="2840CC2F" w14:textId="0706160B" w:rsidR="00B87AEC" w:rsidRPr="00160EB0" w:rsidRDefault="00B87AEC" w:rsidP="00FB0346">
            <w:pPr>
              <w:jc w:val="center"/>
              <w:rPr>
                <w:sz w:val="20"/>
              </w:rPr>
            </w:pPr>
            <w:r w:rsidRPr="00160EB0">
              <w:rPr>
                <w:sz w:val="20"/>
              </w:rPr>
              <w:t>Hep B</w:t>
            </w:r>
          </w:p>
        </w:tc>
        <w:tc>
          <w:tcPr>
            <w:tcW w:w="778" w:type="pct"/>
          </w:tcPr>
          <w:p w14:paraId="58E5EF61" w14:textId="1844B5A9" w:rsidR="00B87AEC" w:rsidRPr="00160EB0" w:rsidRDefault="00B87AEC" w:rsidP="00FB0346">
            <w:pPr>
              <w:jc w:val="center"/>
              <w:rPr>
                <w:sz w:val="20"/>
              </w:rPr>
            </w:pPr>
            <w:r w:rsidRPr="00160EB0">
              <w:rPr>
                <w:sz w:val="20"/>
              </w:rPr>
              <w:t>Immunity to Chickenpox</w:t>
            </w:r>
            <w:r w:rsidR="00B731C4" w:rsidRPr="00160EB0">
              <w:rPr>
                <w:sz w:val="20"/>
                <w:vertAlign w:val="superscript"/>
              </w:rPr>
              <w:t>1</w:t>
            </w:r>
          </w:p>
        </w:tc>
        <w:tc>
          <w:tcPr>
            <w:tcW w:w="723" w:type="pct"/>
          </w:tcPr>
          <w:p w14:paraId="65513C2F" w14:textId="77777777" w:rsidR="00B87AEC" w:rsidRPr="00160EB0" w:rsidRDefault="00B87AEC" w:rsidP="00FB0346">
            <w:pPr>
              <w:jc w:val="center"/>
              <w:rPr>
                <w:sz w:val="20"/>
              </w:rPr>
            </w:pPr>
            <w:r w:rsidRPr="00160EB0">
              <w:rPr>
                <w:sz w:val="20"/>
              </w:rPr>
              <w:t>Medical Exemption</w:t>
            </w:r>
          </w:p>
        </w:tc>
        <w:tc>
          <w:tcPr>
            <w:tcW w:w="723" w:type="pct"/>
          </w:tcPr>
          <w:p w14:paraId="787EC0B8" w14:textId="77777777" w:rsidR="00B87AEC" w:rsidRPr="00160EB0" w:rsidRDefault="00B87AEC" w:rsidP="00FB0346">
            <w:pPr>
              <w:jc w:val="center"/>
              <w:rPr>
                <w:sz w:val="20"/>
              </w:rPr>
            </w:pPr>
            <w:r w:rsidRPr="00160EB0">
              <w:rPr>
                <w:sz w:val="20"/>
              </w:rPr>
              <w:t>Religious Exemption</w:t>
            </w:r>
          </w:p>
        </w:tc>
      </w:tr>
      <w:tr w:rsidR="009B4792" w:rsidRPr="00160EB0" w14:paraId="3F3FA4D5" w14:textId="77777777" w:rsidTr="009B4792">
        <w:trPr>
          <w:cantSplit/>
          <w:trHeight w:val="50"/>
          <w:jc w:val="center"/>
        </w:trPr>
        <w:tc>
          <w:tcPr>
            <w:tcW w:w="553" w:type="pct"/>
          </w:tcPr>
          <w:p w14:paraId="7D380CBD" w14:textId="39FED196" w:rsidR="009B4792" w:rsidRPr="00160EB0" w:rsidRDefault="009B4792" w:rsidP="009B4792">
            <w:pPr>
              <w:jc w:val="center"/>
              <w:rPr>
                <w:sz w:val="20"/>
              </w:rPr>
            </w:pPr>
            <w:r>
              <w:rPr>
                <w:sz w:val="20"/>
              </w:rPr>
              <w:t>2024-25</w:t>
            </w:r>
          </w:p>
        </w:tc>
        <w:tc>
          <w:tcPr>
            <w:tcW w:w="611" w:type="pct"/>
          </w:tcPr>
          <w:p w14:paraId="6A4D9D54" w14:textId="62EA04F5" w:rsidR="009B4792" w:rsidRPr="00160EB0" w:rsidRDefault="009B4792" w:rsidP="009B4792">
            <w:pPr>
              <w:jc w:val="center"/>
              <w:rPr>
                <w:sz w:val="20"/>
              </w:rPr>
            </w:pPr>
            <w:r w:rsidRPr="004E5864">
              <w:rPr>
                <w:sz w:val="20"/>
              </w:rPr>
              <w:t>262,483</w:t>
            </w:r>
          </w:p>
        </w:tc>
        <w:tc>
          <w:tcPr>
            <w:tcW w:w="500" w:type="pct"/>
          </w:tcPr>
          <w:p w14:paraId="3E99844B" w14:textId="46CD2164" w:rsidR="009B4792" w:rsidRPr="00160EB0" w:rsidRDefault="009B4792" w:rsidP="009B4792">
            <w:pPr>
              <w:jc w:val="center"/>
              <w:rPr>
                <w:sz w:val="20"/>
              </w:rPr>
            </w:pPr>
            <w:r w:rsidRPr="004E5864">
              <w:rPr>
                <w:sz w:val="20"/>
              </w:rPr>
              <w:t>92.8</w:t>
            </w:r>
            <w:r>
              <w:rPr>
                <w:sz w:val="20"/>
              </w:rPr>
              <w:t>%</w:t>
            </w:r>
          </w:p>
        </w:tc>
        <w:tc>
          <w:tcPr>
            <w:tcW w:w="611" w:type="pct"/>
          </w:tcPr>
          <w:p w14:paraId="227516DA" w14:textId="4686D2DE" w:rsidR="009B4792" w:rsidRDefault="009B4792" w:rsidP="009B4792">
            <w:pPr>
              <w:jc w:val="center"/>
              <w:rPr>
                <w:sz w:val="20"/>
              </w:rPr>
            </w:pPr>
            <w:r w:rsidRPr="004E5864">
              <w:rPr>
                <w:sz w:val="20"/>
              </w:rPr>
              <w:t>91.8</w:t>
            </w:r>
            <w:r>
              <w:rPr>
                <w:sz w:val="20"/>
              </w:rPr>
              <w:t>%</w:t>
            </w:r>
          </w:p>
        </w:tc>
        <w:tc>
          <w:tcPr>
            <w:tcW w:w="500" w:type="pct"/>
          </w:tcPr>
          <w:p w14:paraId="00FA685D" w14:textId="3D546AD0" w:rsidR="009B4792" w:rsidRPr="00160EB0" w:rsidRDefault="009B4792" w:rsidP="009B4792">
            <w:pPr>
              <w:jc w:val="center"/>
              <w:rPr>
                <w:sz w:val="20"/>
              </w:rPr>
            </w:pPr>
            <w:r w:rsidRPr="004E5864">
              <w:rPr>
                <w:sz w:val="20"/>
              </w:rPr>
              <w:t>91.8</w:t>
            </w:r>
            <w:r>
              <w:rPr>
                <w:sz w:val="20"/>
              </w:rPr>
              <w:t>%</w:t>
            </w:r>
          </w:p>
        </w:tc>
        <w:tc>
          <w:tcPr>
            <w:tcW w:w="778" w:type="pct"/>
          </w:tcPr>
          <w:p w14:paraId="21826FFC" w14:textId="6A927112" w:rsidR="009B4792" w:rsidRPr="00160EB0" w:rsidRDefault="009B4792" w:rsidP="009B4792">
            <w:pPr>
              <w:jc w:val="center"/>
              <w:rPr>
                <w:sz w:val="20"/>
              </w:rPr>
            </w:pPr>
            <w:r w:rsidRPr="004E5864">
              <w:rPr>
                <w:sz w:val="20"/>
              </w:rPr>
              <w:t>92.4</w:t>
            </w:r>
            <w:r>
              <w:rPr>
                <w:sz w:val="20"/>
              </w:rPr>
              <w:t>%</w:t>
            </w:r>
          </w:p>
        </w:tc>
        <w:tc>
          <w:tcPr>
            <w:tcW w:w="723" w:type="pct"/>
          </w:tcPr>
          <w:p w14:paraId="240ED2DE" w14:textId="0F08B2A2" w:rsidR="009B4792" w:rsidRPr="00160EB0" w:rsidRDefault="009B4792" w:rsidP="009B4792">
            <w:pPr>
              <w:jc w:val="center"/>
              <w:rPr>
                <w:sz w:val="20"/>
              </w:rPr>
            </w:pPr>
            <w:r w:rsidRPr="004E5864">
              <w:rPr>
                <w:sz w:val="20"/>
              </w:rPr>
              <w:t>0.36</w:t>
            </w:r>
            <w:r>
              <w:rPr>
                <w:sz w:val="20"/>
              </w:rPr>
              <w:t>%</w:t>
            </w:r>
          </w:p>
        </w:tc>
        <w:tc>
          <w:tcPr>
            <w:tcW w:w="723" w:type="pct"/>
          </w:tcPr>
          <w:p w14:paraId="67BC5617" w14:textId="5BB9A453" w:rsidR="009B4792" w:rsidRPr="00160EB0" w:rsidRDefault="009B4792" w:rsidP="009B4792">
            <w:pPr>
              <w:jc w:val="center"/>
              <w:rPr>
                <w:sz w:val="20"/>
              </w:rPr>
            </w:pPr>
            <w:r w:rsidRPr="004E5864">
              <w:rPr>
                <w:sz w:val="20"/>
              </w:rPr>
              <w:t>0.74</w:t>
            </w:r>
            <w:r>
              <w:rPr>
                <w:sz w:val="20"/>
              </w:rPr>
              <w:t>%</w:t>
            </w:r>
          </w:p>
        </w:tc>
      </w:tr>
      <w:tr w:rsidR="009B4792" w:rsidRPr="00160EB0" w14:paraId="06B4B5CB" w14:textId="77777777" w:rsidTr="009B4792">
        <w:trPr>
          <w:cantSplit/>
          <w:trHeight w:val="70"/>
          <w:jc w:val="center"/>
        </w:trPr>
        <w:tc>
          <w:tcPr>
            <w:tcW w:w="553" w:type="pct"/>
          </w:tcPr>
          <w:p w14:paraId="6E897D9A" w14:textId="77777777" w:rsidR="00B731C4" w:rsidRPr="00160EB0" w:rsidRDefault="00B731C4" w:rsidP="00B731C4">
            <w:pPr>
              <w:jc w:val="center"/>
              <w:rPr>
                <w:sz w:val="20"/>
              </w:rPr>
            </w:pPr>
            <w:r w:rsidRPr="00160EB0">
              <w:rPr>
                <w:sz w:val="20"/>
              </w:rPr>
              <w:t>2023-24</w:t>
            </w:r>
          </w:p>
        </w:tc>
        <w:tc>
          <w:tcPr>
            <w:tcW w:w="611" w:type="pct"/>
          </w:tcPr>
          <w:p w14:paraId="2BA47AD4" w14:textId="6B832C81" w:rsidR="00B731C4" w:rsidRPr="00160EB0" w:rsidRDefault="00B731C4" w:rsidP="00B731C4">
            <w:pPr>
              <w:jc w:val="center"/>
              <w:rPr>
                <w:sz w:val="20"/>
              </w:rPr>
            </w:pPr>
            <w:r w:rsidRPr="00160EB0">
              <w:rPr>
                <w:sz w:val="20"/>
              </w:rPr>
              <w:t>247,004</w:t>
            </w:r>
          </w:p>
        </w:tc>
        <w:tc>
          <w:tcPr>
            <w:tcW w:w="500" w:type="pct"/>
          </w:tcPr>
          <w:p w14:paraId="6008D07C" w14:textId="55D37A8C" w:rsidR="00B731C4" w:rsidRPr="00160EB0" w:rsidRDefault="00B731C4" w:rsidP="00B731C4">
            <w:pPr>
              <w:jc w:val="center"/>
              <w:rPr>
                <w:sz w:val="20"/>
              </w:rPr>
            </w:pPr>
            <w:r w:rsidRPr="00160EB0">
              <w:rPr>
                <w:sz w:val="20"/>
              </w:rPr>
              <w:t>90.7</w:t>
            </w:r>
            <w:r w:rsidR="00530638" w:rsidRPr="00160EB0">
              <w:rPr>
                <w:sz w:val="20"/>
              </w:rPr>
              <w:t>%</w:t>
            </w:r>
          </w:p>
        </w:tc>
        <w:tc>
          <w:tcPr>
            <w:tcW w:w="611" w:type="pct"/>
          </w:tcPr>
          <w:p w14:paraId="3A3DA70F" w14:textId="0CFAEFCF" w:rsidR="00B731C4" w:rsidRPr="00160EB0" w:rsidRDefault="00B731C4" w:rsidP="00B731C4">
            <w:pPr>
              <w:jc w:val="center"/>
              <w:rPr>
                <w:sz w:val="20"/>
              </w:rPr>
            </w:pPr>
            <w:r w:rsidRPr="00160EB0">
              <w:rPr>
                <w:sz w:val="20"/>
              </w:rPr>
              <w:t>88.8</w:t>
            </w:r>
            <w:r w:rsidR="00530638" w:rsidRPr="00160EB0">
              <w:rPr>
                <w:sz w:val="20"/>
              </w:rPr>
              <w:t>%</w:t>
            </w:r>
          </w:p>
        </w:tc>
        <w:tc>
          <w:tcPr>
            <w:tcW w:w="500" w:type="pct"/>
          </w:tcPr>
          <w:p w14:paraId="6A3EB048" w14:textId="125BAA2B" w:rsidR="00B731C4" w:rsidRPr="00160EB0" w:rsidRDefault="00B731C4" w:rsidP="00B731C4">
            <w:pPr>
              <w:jc w:val="center"/>
              <w:rPr>
                <w:sz w:val="20"/>
              </w:rPr>
            </w:pPr>
            <w:r w:rsidRPr="00160EB0">
              <w:rPr>
                <w:sz w:val="20"/>
              </w:rPr>
              <w:t>89.8</w:t>
            </w:r>
            <w:r w:rsidR="00530638" w:rsidRPr="00160EB0">
              <w:rPr>
                <w:sz w:val="20"/>
              </w:rPr>
              <w:t>%</w:t>
            </w:r>
          </w:p>
        </w:tc>
        <w:tc>
          <w:tcPr>
            <w:tcW w:w="778" w:type="pct"/>
          </w:tcPr>
          <w:p w14:paraId="01FD9F17" w14:textId="59FEE9E8" w:rsidR="00B731C4" w:rsidRPr="00160EB0" w:rsidRDefault="00B731C4" w:rsidP="00B731C4">
            <w:pPr>
              <w:jc w:val="center"/>
              <w:rPr>
                <w:sz w:val="20"/>
              </w:rPr>
            </w:pPr>
            <w:r w:rsidRPr="00160EB0">
              <w:rPr>
                <w:sz w:val="20"/>
              </w:rPr>
              <w:t>88.2</w:t>
            </w:r>
            <w:r w:rsidR="00530638" w:rsidRPr="00160EB0">
              <w:rPr>
                <w:sz w:val="20"/>
              </w:rPr>
              <w:t>%</w:t>
            </w:r>
          </w:p>
        </w:tc>
        <w:tc>
          <w:tcPr>
            <w:tcW w:w="723" w:type="pct"/>
          </w:tcPr>
          <w:p w14:paraId="43273AE9" w14:textId="79DC41A8" w:rsidR="00B731C4" w:rsidRPr="00160EB0" w:rsidRDefault="00B731C4" w:rsidP="00B731C4">
            <w:pPr>
              <w:jc w:val="center"/>
              <w:rPr>
                <w:sz w:val="20"/>
              </w:rPr>
            </w:pPr>
            <w:r w:rsidRPr="00160EB0">
              <w:rPr>
                <w:sz w:val="20"/>
              </w:rPr>
              <w:t>0.57</w:t>
            </w:r>
            <w:r w:rsidR="00530638" w:rsidRPr="00160EB0">
              <w:rPr>
                <w:sz w:val="20"/>
              </w:rPr>
              <w:t>%</w:t>
            </w:r>
          </w:p>
        </w:tc>
        <w:tc>
          <w:tcPr>
            <w:tcW w:w="723" w:type="pct"/>
          </w:tcPr>
          <w:p w14:paraId="530BCC98" w14:textId="392EB628" w:rsidR="00B731C4" w:rsidRPr="00160EB0" w:rsidRDefault="00B731C4" w:rsidP="00B731C4">
            <w:pPr>
              <w:jc w:val="center"/>
              <w:rPr>
                <w:sz w:val="20"/>
              </w:rPr>
            </w:pPr>
            <w:r w:rsidRPr="00160EB0">
              <w:rPr>
                <w:sz w:val="20"/>
              </w:rPr>
              <w:t>0.33</w:t>
            </w:r>
            <w:r w:rsidR="00530638" w:rsidRPr="00160EB0">
              <w:rPr>
                <w:sz w:val="20"/>
              </w:rPr>
              <w:t>%</w:t>
            </w:r>
          </w:p>
        </w:tc>
      </w:tr>
      <w:tr w:rsidR="009B4792" w:rsidRPr="00160EB0" w14:paraId="4A77A3FF" w14:textId="77777777" w:rsidTr="009B4792">
        <w:trPr>
          <w:cantSplit/>
          <w:trHeight w:val="50"/>
          <w:jc w:val="center"/>
        </w:trPr>
        <w:tc>
          <w:tcPr>
            <w:tcW w:w="553" w:type="pct"/>
          </w:tcPr>
          <w:p w14:paraId="5DAEE6AA" w14:textId="77777777" w:rsidR="00B731C4" w:rsidRPr="00160EB0" w:rsidRDefault="00B731C4" w:rsidP="00B731C4">
            <w:pPr>
              <w:jc w:val="center"/>
              <w:rPr>
                <w:sz w:val="20"/>
              </w:rPr>
            </w:pPr>
            <w:r w:rsidRPr="00160EB0">
              <w:rPr>
                <w:sz w:val="20"/>
              </w:rPr>
              <w:t>2022-23</w:t>
            </w:r>
          </w:p>
        </w:tc>
        <w:tc>
          <w:tcPr>
            <w:tcW w:w="611" w:type="pct"/>
          </w:tcPr>
          <w:p w14:paraId="19D3F142" w14:textId="224F4C6C" w:rsidR="00B731C4" w:rsidRPr="00160EB0" w:rsidRDefault="00B731C4" w:rsidP="00B731C4">
            <w:pPr>
              <w:jc w:val="center"/>
              <w:rPr>
                <w:sz w:val="20"/>
              </w:rPr>
            </w:pPr>
            <w:r w:rsidRPr="00160EB0">
              <w:rPr>
                <w:sz w:val="20"/>
              </w:rPr>
              <w:t>236,489</w:t>
            </w:r>
          </w:p>
        </w:tc>
        <w:tc>
          <w:tcPr>
            <w:tcW w:w="500" w:type="pct"/>
          </w:tcPr>
          <w:p w14:paraId="72DB4139" w14:textId="2D111ED5" w:rsidR="00B731C4" w:rsidRPr="00160EB0" w:rsidRDefault="00B731C4" w:rsidP="00B731C4">
            <w:pPr>
              <w:jc w:val="center"/>
              <w:rPr>
                <w:sz w:val="20"/>
              </w:rPr>
            </w:pPr>
            <w:r w:rsidRPr="00160EB0">
              <w:rPr>
                <w:sz w:val="20"/>
              </w:rPr>
              <w:t>89.6</w:t>
            </w:r>
            <w:r w:rsidR="00530638" w:rsidRPr="00160EB0">
              <w:rPr>
                <w:sz w:val="20"/>
              </w:rPr>
              <w:t>%</w:t>
            </w:r>
          </w:p>
        </w:tc>
        <w:tc>
          <w:tcPr>
            <w:tcW w:w="611" w:type="pct"/>
          </w:tcPr>
          <w:p w14:paraId="2DF8A61E" w14:textId="11CE9618" w:rsidR="00B731C4" w:rsidRPr="00160EB0" w:rsidRDefault="00B731C4" w:rsidP="00B731C4">
            <w:pPr>
              <w:jc w:val="center"/>
              <w:rPr>
                <w:sz w:val="20"/>
              </w:rPr>
            </w:pPr>
            <w:r w:rsidRPr="00160EB0">
              <w:rPr>
                <w:sz w:val="20"/>
              </w:rPr>
              <w:t>89.0</w:t>
            </w:r>
            <w:r w:rsidR="00530638" w:rsidRPr="00160EB0">
              <w:rPr>
                <w:sz w:val="20"/>
              </w:rPr>
              <w:t>%</w:t>
            </w:r>
          </w:p>
        </w:tc>
        <w:tc>
          <w:tcPr>
            <w:tcW w:w="500" w:type="pct"/>
          </w:tcPr>
          <w:p w14:paraId="37099F78" w14:textId="619BE23A" w:rsidR="00B731C4" w:rsidRPr="00160EB0" w:rsidRDefault="00B731C4" w:rsidP="00B731C4">
            <w:pPr>
              <w:jc w:val="center"/>
              <w:rPr>
                <w:sz w:val="20"/>
              </w:rPr>
            </w:pPr>
            <w:r w:rsidRPr="00160EB0">
              <w:rPr>
                <w:sz w:val="20"/>
              </w:rPr>
              <w:t>89.2</w:t>
            </w:r>
            <w:r w:rsidR="00530638" w:rsidRPr="00160EB0">
              <w:rPr>
                <w:sz w:val="20"/>
              </w:rPr>
              <w:t>%</w:t>
            </w:r>
          </w:p>
        </w:tc>
        <w:tc>
          <w:tcPr>
            <w:tcW w:w="778" w:type="pct"/>
          </w:tcPr>
          <w:p w14:paraId="07379EE1" w14:textId="23605A33" w:rsidR="00B731C4" w:rsidRPr="00160EB0" w:rsidRDefault="00B731C4" w:rsidP="00B731C4">
            <w:pPr>
              <w:jc w:val="center"/>
              <w:rPr>
                <w:sz w:val="20"/>
              </w:rPr>
            </w:pPr>
            <w:r w:rsidRPr="00160EB0">
              <w:rPr>
                <w:sz w:val="20"/>
              </w:rPr>
              <w:t>88.7</w:t>
            </w:r>
            <w:r w:rsidR="00530638" w:rsidRPr="00160EB0">
              <w:rPr>
                <w:sz w:val="20"/>
              </w:rPr>
              <w:t>%</w:t>
            </w:r>
          </w:p>
        </w:tc>
        <w:tc>
          <w:tcPr>
            <w:tcW w:w="723" w:type="pct"/>
          </w:tcPr>
          <w:p w14:paraId="7D7DC19F" w14:textId="11CFB1A9" w:rsidR="00B731C4" w:rsidRPr="00160EB0" w:rsidRDefault="00B731C4" w:rsidP="00B731C4">
            <w:pPr>
              <w:jc w:val="center"/>
              <w:rPr>
                <w:sz w:val="20"/>
              </w:rPr>
            </w:pPr>
            <w:r w:rsidRPr="00160EB0">
              <w:rPr>
                <w:sz w:val="20"/>
              </w:rPr>
              <w:t>0.26</w:t>
            </w:r>
            <w:r w:rsidR="00530638" w:rsidRPr="00160EB0">
              <w:rPr>
                <w:sz w:val="20"/>
              </w:rPr>
              <w:t>%</w:t>
            </w:r>
          </w:p>
        </w:tc>
        <w:tc>
          <w:tcPr>
            <w:tcW w:w="723" w:type="pct"/>
          </w:tcPr>
          <w:p w14:paraId="5C79DF48" w14:textId="500EECEE" w:rsidR="00B731C4" w:rsidRPr="00160EB0" w:rsidRDefault="00B731C4" w:rsidP="00B731C4">
            <w:pPr>
              <w:jc w:val="center"/>
              <w:rPr>
                <w:sz w:val="20"/>
              </w:rPr>
            </w:pPr>
            <w:r w:rsidRPr="00160EB0">
              <w:rPr>
                <w:sz w:val="20"/>
              </w:rPr>
              <w:t>0.29</w:t>
            </w:r>
            <w:r w:rsidR="00530638" w:rsidRPr="00160EB0">
              <w:rPr>
                <w:sz w:val="20"/>
              </w:rPr>
              <w:t>%</w:t>
            </w:r>
          </w:p>
        </w:tc>
      </w:tr>
      <w:tr w:rsidR="009B4792" w:rsidRPr="00160EB0" w14:paraId="41D6D150" w14:textId="77777777" w:rsidTr="009B4792">
        <w:trPr>
          <w:cantSplit/>
          <w:trHeight w:val="114"/>
          <w:jc w:val="center"/>
        </w:trPr>
        <w:tc>
          <w:tcPr>
            <w:tcW w:w="553" w:type="pct"/>
          </w:tcPr>
          <w:p w14:paraId="6ADB5B7B" w14:textId="77777777" w:rsidR="00B731C4" w:rsidRPr="00160EB0" w:rsidRDefault="00B731C4" w:rsidP="00B731C4">
            <w:pPr>
              <w:jc w:val="center"/>
              <w:rPr>
                <w:sz w:val="20"/>
              </w:rPr>
            </w:pPr>
            <w:r w:rsidRPr="00160EB0">
              <w:rPr>
                <w:sz w:val="20"/>
              </w:rPr>
              <w:t>2021-22</w:t>
            </w:r>
          </w:p>
        </w:tc>
        <w:tc>
          <w:tcPr>
            <w:tcW w:w="611" w:type="pct"/>
          </w:tcPr>
          <w:p w14:paraId="7C516275" w14:textId="573392F1" w:rsidR="00B731C4" w:rsidRPr="00160EB0" w:rsidRDefault="00B731C4" w:rsidP="00B731C4">
            <w:pPr>
              <w:jc w:val="center"/>
              <w:rPr>
                <w:sz w:val="20"/>
              </w:rPr>
            </w:pPr>
            <w:r w:rsidRPr="00160EB0">
              <w:rPr>
                <w:sz w:val="20"/>
              </w:rPr>
              <w:t>183,343</w:t>
            </w:r>
          </w:p>
        </w:tc>
        <w:tc>
          <w:tcPr>
            <w:tcW w:w="500" w:type="pct"/>
          </w:tcPr>
          <w:p w14:paraId="593B2E8B" w14:textId="04D8A048" w:rsidR="00B731C4" w:rsidRPr="00160EB0" w:rsidRDefault="00B731C4" w:rsidP="00B731C4">
            <w:pPr>
              <w:jc w:val="center"/>
              <w:rPr>
                <w:sz w:val="20"/>
              </w:rPr>
            </w:pPr>
            <w:r w:rsidRPr="00160EB0">
              <w:rPr>
                <w:sz w:val="20"/>
              </w:rPr>
              <w:t>82.5</w:t>
            </w:r>
            <w:r w:rsidR="00530638" w:rsidRPr="00160EB0">
              <w:rPr>
                <w:sz w:val="20"/>
              </w:rPr>
              <w:t>%</w:t>
            </w:r>
          </w:p>
        </w:tc>
        <w:tc>
          <w:tcPr>
            <w:tcW w:w="611" w:type="pct"/>
          </w:tcPr>
          <w:p w14:paraId="0B65A896" w14:textId="3D60CB8B" w:rsidR="00B731C4" w:rsidRPr="00160EB0" w:rsidRDefault="00B731C4" w:rsidP="00B731C4">
            <w:pPr>
              <w:jc w:val="center"/>
              <w:rPr>
                <w:sz w:val="20"/>
              </w:rPr>
            </w:pPr>
            <w:r w:rsidRPr="00160EB0">
              <w:rPr>
                <w:sz w:val="20"/>
              </w:rPr>
              <w:t>82.4</w:t>
            </w:r>
            <w:r w:rsidR="00530638" w:rsidRPr="00160EB0">
              <w:rPr>
                <w:sz w:val="20"/>
              </w:rPr>
              <w:t>%</w:t>
            </w:r>
          </w:p>
        </w:tc>
        <w:tc>
          <w:tcPr>
            <w:tcW w:w="500" w:type="pct"/>
          </w:tcPr>
          <w:p w14:paraId="56013B10" w14:textId="3442A429" w:rsidR="00B731C4" w:rsidRPr="00160EB0" w:rsidRDefault="00B731C4" w:rsidP="00B731C4">
            <w:pPr>
              <w:jc w:val="center"/>
              <w:rPr>
                <w:sz w:val="20"/>
              </w:rPr>
            </w:pPr>
            <w:r w:rsidRPr="00160EB0">
              <w:rPr>
                <w:sz w:val="20"/>
              </w:rPr>
              <w:t>82.6</w:t>
            </w:r>
            <w:r w:rsidR="00530638" w:rsidRPr="00160EB0">
              <w:rPr>
                <w:sz w:val="20"/>
              </w:rPr>
              <w:t>%</w:t>
            </w:r>
          </w:p>
        </w:tc>
        <w:tc>
          <w:tcPr>
            <w:tcW w:w="778" w:type="pct"/>
          </w:tcPr>
          <w:p w14:paraId="0843B3FA" w14:textId="4271261A" w:rsidR="00B731C4" w:rsidRPr="00160EB0" w:rsidRDefault="00B731C4" w:rsidP="00B731C4">
            <w:pPr>
              <w:jc w:val="center"/>
              <w:rPr>
                <w:sz w:val="20"/>
              </w:rPr>
            </w:pPr>
            <w:r w:rsidRPr="00160EB0">
              <w:rPr>
                <w:sz w:val="20"/>
              </w:rPr>
              <w:t>81.9</w:t>
            </w:r>
            <w:r w:rsidR="00530638" w:rsidRPr="00160EB0">
              <w:rPr>
                <w:sz w:val="20"/>
              </w:rPr>
              <w:t>%</w:t>
            </w:r>
          </w:p>
        </w:tc>
        <w:tc>
          <w:tcPr>
            <w:tcW w:w="723" w:type="pct"/>
          </w:tcPr>
          <w:p w14:paraId="720A573B" w14:textId="67DF5BF6" w:rsidR="00B731C4" w:rsidRPr="00160EB0" w:rsidRDefault="00B731C4" w:rsidP="00B731C4">
            <w:pPr>
              <w:jc w:val="center"/>
              <w:rPr>
                <w:sz w:val="20"/>
              </w:rPr>
            </w:pPr>
            <w:r w:rsidRPr="00160EB0">
              <w:rPr>
                <w:sz w:val="20"/>
              </w:rPr>
              <w:t>0.37</w:t>
            </w:r>
            <w:r w:rsidR="00530638" w:rsidRPr="00160EB0">
              <w:rPr>
                <w:sz w:val="20"/>
              </w:rPr>
              <w:t>%</w:t>
            </w:r>
          </w:p>
        </w:tc>
        <w:tc>
          <w:tcPr>
            <w:tcW w:w="723" w:type="pct"/>
          </w:tcPr>
          <w:p w14:paraId="11C15B43" w14:textId="67A43C7A" w:rsidR="00B731C4" w:rsidRPr="00160EB0" w:rsidRDefault="00B731C4" w:rsidP="00B731C4">
            <w:pPr>
              <w:jc w:val="center"/>
              <w:rPr>
                <w:sz w:val="20"/>
              </w:rPr>
            </w:pPr>
            <w:r w:rsidRPr="00160EB0">
              <w:rPr>
                <w:sz w:val="20"/>
              </w:rPr>
              <w:t>0.58</w:t>
            </w:r>
            <w:r w:rsidR="00530638" w:rsidRPr="00160EB0">
              <w:rPr>
                <w:sz w:val="20"/>
              </w:rPr>
              <w:t>%</w:t>
            </w:r>
          </w:p>
        </w:tc>
      </w:tr>
      <w:tr w:rsidR="009B4792" w:rsidRPr="00160EB0" w14:paraId="16048E1D" w14:textId="77777777" w:rsidTr="009B4792">
        <w:trPr>
          <w:cantSplit/>
          <w:trHeight w:val="114"/>
          <w:jc w:val="center"/>
        </w:trPr>
        <w:tc>
          <w:tcPr>
            <w:tcW w:w="553" w:type="pct"/>
          </w:tcPr>
          <w:p w14:paraId="6928B7D6" w14:textId="77777777" w:rsidR="00B731C4" w:rsidRPr="00160EB0" w:rsidRDefault="00B731C4" w:rsidP="00B731C4">
            <w:pPr>
              <w:jc w:val="center"/>
              <w:rPr>
                <w:sz w:val="20"/>
              </w:rPr>
            </w:pPr>
            <w:bookmarkStart w:id="0" w:name="_Hlk47340923"/>
            <w:r w:rsidRPr="00160EB0">
              <w:rPr>
                <w:sz w:val="20"/>
              </w:rPr>
              <w:t>2020-21</w:t>
            </w:r>
          </w:p>
        </w:tc>
        <w:tc>
          <w:tcPr>
            <w:tcW w:w="611" w:type="pct"/>
          </w:tcPr>
          <w:p w14:paraId="5A217B69" w14:textId="7098FADE" w:rsidR="00B731C4" w:rsidRPr="00160EB0" w:rsidRDefault="00B731C4" w:rsidP="00B731C4">
            <w:pPr>
              <w:jc w:val="center"/>
              <w:rPr>
                <w:sz w:val="20"/>
              </w:rPr>
            </w:pPr>
            <w:r w:rsidRPr="00160EB0">
              <w:rPr>
                <w:sz w:val="20"/>
              </w:rPr>
              <w:t>149,370</w:t>
            </w:r>
          </w:p>
        </w:tc>
        <w:tc>
          <w:tcPr>
            <w:tcW w:w="500" w:type="pct"/>
          </w:tcPr>
          <w:p w14:paraId="51884FD9" w14:textId="0589A7E7" w:rsidR="00B731C4" w:rsidRPr="00160EB0" w:rsidRDefault="00B731C4" w:rsidP="00B731C4">
            <w:pPr>
              <w:jc w:val="center"/>
              <w:rPr>
                <w:sz w:val="20"/>
              </w:rPr>
            </w:pPr>
            <w:r w:rsidRPr="00160EB0">
              <w:rPr>
                <w:sz w:val="20"/>
              </w:rPr>
              <w:t>86.9</w:t>
            </w:r>
            <w:r w:rsidR="00530638" w:rsidRPr="00160EB0">
              <w:rPr>
                <w:sz w:val="20"/>
              </w:rPr>
              <w:t>%</w:t>
            </w:r>
          </w:p>
        </w:tc>
        <w:tc>
          <w:tcPr>
            <w:tcW w:w="611" w:type="pct"/>
          </w:tcPr>
          <w:p w14:paraId="4EA6BCE1" w14:textId="456D6F82" w:rsidR="00B731C4" w:rsidRPr="00160EB0" w:rsidRDefault="00B731C4" w:rsidP="00B731C4">
            <w:pPr>
              <w:jc w:val="center"/>
              <w:rPr>
                <w:sz w:val="20"/>
              </w:rPr>
            </w:pPr>
            <w:r w:rsidRPr="00160EB0">
              <w:rPr>
                <w:sz w:val="20"/>
              </w:rPr>
              <w:t>85.8</w:t>
            </w:r>
            <w:r w:rsidR="00530638" w:rsidRPr="00160EB0">
              <w:rPr>
                <w:sz w:val="20"/>
              </w:rPr>
              <w:t>%</w:t>
            </w:r>
          </w:p>
        </w:tc>
        <w:tc>
          <w:tcPr>
            <w:tcW w:w="500" w:type="pct"/>
          </w:tcPr>
          <w:p w14:paraId="6DA8E212" w14:textId="7BA0919B" w:rsidR="00B731C4" w:rsidRPr="00160EB0" w:rsidRDefault="00B731C4" w:rsidP="00B731C4">
            <w:pPr>
              <w:jc w:val="center"/>
              <w:rPr>
                <w:sz w:val="20"/>
              </w:rPr>
            </w:pPr>
            <w:r w:rsidRPr="00160EB0">
              <w:rPr>
                <w:sz w:val="20"/>
              </w:rPr>
              <w:t>86.1</w:t>
            </w:r>
            <w:r w:rsidR="00530638" w:rsidRPr="00160EB0">
              <w:rPr>
                <w:sz w:val="20"/>
              </w:rPr>
              <w:t>%</w:t>
            </w:r>
          </w:p>
        </w:tc>
        <w:tc>
          <w:tcPr>
            <w:tcW w:w="778" w:type="pct"/>
          </w:tcPr>
          <w:p w14:paraId="02F5C0AF" w14:textId="09CF898B" w:rsidR="00B731C4" w:rsidRPr="00160EB0" w:rsidRDefault="00B731C4" w:rsidP="00B731C4">
            <w:pPr>
              <w:jc w:val="center"/>
              <w:rPr>
                <w:sz w:val="20"/>
              </w:rPr>
            </w:pPr>
            <w:r w:rsidRPr="00160EB0">
              <w:rPr>
                <w:sz w:val="20"/>
              </w:rPr>
              <w:t>86.1</w:t>
            </w:r>
            <w:r w:rsidR="00530638" w:rsidRPr="00160EB0">
              <w:rPr>
                <w:sz w:val="20"/>
              </w:rPr>
              <w:t>%</w:t>
            </w:r>
          </w:p>
        </w:tc>
        <w:tc>
          <w:tcPr>
            <w:tcW w:w="723" w:type="pct"/>
          </w:tcPr>
          <w:p w14:paraId="3E79BB67" w14:textId="7ED7D5B6" w:rsidR="00B731C4" w:rsidRPr="00160EB0" w:rsidRDefault="00B731C4" w:rsidP="00B731C4">
            <w:pPr>
              <w:jc w:val="center"/>
              <w:rPr>
                <w:sz w:val="20"/>
              </w:rPr>
            </w:pPr>
            <w:r w:rsidRPr="00160EB0">
              <w:rPr>
                <w:sz w:val="20"/>
              </w:rPr>
              <w:t>0.26</w:t>
            </w:r>
            <w:r w:rsidR="00530638" w:rsidRPr="00160EB0">
              <w:rPr>
                <w:sz w:val="20"/>
              </w:rPr>
              <w:t>%</w:t>
            </w:r>
          </w:p>
        </w:tc>
        <w:tc>
          <w:tcPr>
            <w:tcW w:w="723" w:type="pct"/>
          </w:tcPr>
          <w:p w14:paraId="5F172573" w14:textId="22B1023E" w:rsidR="00B731C4" w:rsidRPr="00160EB0" w:rsidRDefault="00B731C4" w:rsidP="00B731C4">
            <w:pPr>
              <w:jc w:val="center"/>
              <w:rPr>
                <w:sz w:val="20"/>
              </w:rPr>
            </w:pPr>
            <w:r w:rsidRPr="00160EB0">
              <w:rPr>
                <w:sz w:val="20"/>
              </w:rPr>
              <w:t>0.24</w:t>
            </w:r>
            <w:r w:rsidR="00530638" w:rsidRPr="00160EB0">
              <w:rPr>
                <w:sz w:val="20"/>
              </w:rPr>
              <w:t>%</w:t>
            </w:r>
          </w:p>
        </w:tc>
      </w:tr>
    </w:tbl>
    <w:bookmarkEnd w:id="0"/>
    <w:p w14:paraId="5506EAD8" w14:textId="5AAD165A" w:rsidR="00B87AEC" w:rsidRPr="00160EB0" w:rsidRDefault="00B87AEC" w:rsidP="009B4792">
      <w:pPr>
        <w:ind w:right="-180"/>
        <w:rPr>
          <w:sz w:val="16"/>
          <w:szCs w:val="16"/>
        </w:rPr>
      </w:pPr>
      <w:r w:rsidRPr="00160EB0">
        <w:rPr>
          <w:sz w:val="16"/>
          <w:szCs w:val="16"/>
          <w:vertAlign w:val="superscript"/>
        </w:rPr>
        <w:t>1</w:t>
      </w:r>
      <w:r w:rsidRPr="00160EB0">
        <w:rPr>
          <w:sz w:val="16"/>
          <w:szCs w:val="16"/>
        </w:rPr>
        <w:t>Immunity to chickenpox disease includes children with a documented physician-certified reliable history of chickenpox disease</w:t>
      </w:r>
      <w:r w:rsidR="005C5C9A" w:rsidRPr="00160EB0">
        <w:rPr>
          <w:sz w:val="16"/>
          <w:szCs w:val="16"/>
        </w:rPr>
        <w:t>, serologic proof of immunity,</w:t>
      </w:r>
      <w:r w:rsidRPr="00160EB0">
        <w:rPr>
          <w:sz w:val="16"/>
          <w:szCs w:val="16"/>
        </w:rPr>
        <w:t xml:space="preserve"> or 2 doses of varicella vaccine.</w:t>
      </w:r>
    </w:p>
    <w:p w14:paraId="0FA2EA56" w14:textId="77777777" w:rsidR="00B731C4" w:rsidRPr="009B4792" w:rsidRDefault="00B731C4" w:rsidP="00B731C4">
      <w:pPr>
        <w:ind w:left="-180" w:right="-180"/>
        <w:rPr>
          <w:szCs w:val="24"/>
        </w:rPr>
      </w:pPr>
    </w:p>
    <w:p w14:paraId="210FAE13" w14:textId="22F6116B" w:rsidR="00644339" w:rsidRPr="00160EB0" w:rsidRDefault="00644339" w:rsidP="00644339">
      <w:pPr>
        <w:rPr>
          <w:b/>
          <w:bCs/>
          <w:szCs w:val="24"/>
          <w:u w:val="single"/>
        </w:rPr>
      </w:pPr>
      <w:r w:rsidRPr="00160EB0">
        <w:rPr>
          <w:b/>
          <w:bCs/>
          <w:szCs w:val="24"/>
          <w:u w:val="single"/>
        </w:rPr>
        <w:lastRenderedPageBreak/>
        <w:t>Additional Resources and Information</w:t>
      </w:r>
    </w:p>
    <w:p w14:paraId="7195BFD4" w14:textId="4ADF52C4" w:rsidR="00644339" w:rsidRDefault="00644339" w:rsidP="00644339">
      <w:pPr>
        <w:rPr>
          <w:szCs w:val="24"/>
        </w:rPr>
      </w:pPr>
      <w:r w:rsidRPr="00160EB0">
        <w:rPr>
          <w:szCs w:val="24"/>
        </w:rPr>
        <w:t xml:space="preserve">While the rate of religious exemptions has remained relatively steady in recent years, we encourage schools and programs to review their policies and practices regarding exemptions, including the recommendation to have </w:t>
      </w:r>
      <w:r w:rsidR="00FE04BA" w:rsidRPr="00160EB0">
        <w:rPr>
          <w:szCs w:val="24"/>
        </w:rPr>
        <w:t>students</w:t>
      </w:r>
      <w:r w:rsidRPr="00160EB0">
        <w:rPr>
          <w:szCs w:val="24"/>
        </w:rPr>
        <w:t xml:space="preserve"> renew these annually.</w:t>
      </w:r>
    </w:p>
    <w:p w14:paraId="379A3EE5" w14:textId="77777777" w:rsidR="002D5AF7" w:rsidRDefault="002D5AF7" w:rsidP="00644339">
      <w:pPr>
        <w:rPr>
          <w:szCs w:val="24"/>
        </w:rPr>
      </w:pPr>
    </w:p>
    <w:p w14:paraId="076C3B13" w14:textId="32757974" w:rsidR="002D5AF7" w:rsidRPr="0011435E" w:rsidRDefault="002D5AF7" w:rsidP="002D5AF7">
      <w:pPr>
        <w:rPr>
          <w:szCs w:val="24"/>
        </w:rPr>
      </w:pPr>
      <w:r w:rsidRPr="0011435E">
        <w:rPr>
          <w:szCs w:val="24"/>
        </w:rPr>
        <w:t xml:space="preserve">The resources below are available to help </w:t>
      </w:r>
      <w:r>
        <w:rPr>
          <w:szCs w:val="24"/>
        </w:rPr>
        <w:t>improve</w:t>
      </w:r>
      <w:r w:rsidRPr="0011435E">
        <w:rPr>
          <w:szCs w:val="24"/>
        </w:rPr>
        <w:t xml:space="preserve"> communication with </w:t>
      </w:r>
      <w:r>
        <w:rPr>
          <w:szCs w:val="24"/>
        </w:rPr>
        <w:t>vaccine-hesitant students and families:</w:t>
      </w:r>
    </w:p>
    <w:p w14:paraId="5E22FF46" w14:textId="77777777" w:rsidR="002D5AF7" w:rsidRDefault="002D5AF7" w:rsidP="002D5AF7">
      <w:pPr>
        <w:pStyle w:val="ListParagraph"/>
        <w:numPr>
          <w:ilvl w:val="0"/>
          <w:numId w:val="14"/>
        </w:numPr>
        <w:spacing w:after="0" w:line="240" w:lineRule="auto"/>
        <w:ind w:left="360"/>
        <w:rPr>
          <w:rFonts w:ascii="Times New Roman" w:hAnsi="Times New Roman" w:cs="Times New Roman"/>
          <w:sz w:val="24"/>
          <w:szCs w:val="24"/>
        </w:rPr>
      </w:pPr>
      <w:hyperlink r:id="rId19" w:history="1">
        <w:r w:rsidRPr="008C3E09">
          <w:rPr>
            <w:rStyle w:val="Hyperlink"/>
            <w:rFonts w:ascii="Times New Roman" w:hAnsi="Times New Roman" w:cs="Times New Roman"/>
            <w:i/>
            <w:iCs/>
            <w:sz w:val="24"/>
            <w:szCs w:val="24"/>
          </w:rPr>
          <w:t>Personal belief exemptions for vaccination put people at risk. Examine the evidence for yourself</w:t>
        </w:r>
      </w:hyperlink>
    </w:p>
    <w:p w14:paraId="24C847DB" w14:textId="77777777" w:rsidR="002D5AF7" w:rsidRPr="00160EB0" w:rsidRDefault="002D5AF7" w:rsidP="00644339">
      <w:pPr>
        <w:rPr>
          <w:szCs w:val="24"/>
        </w:rPr>
      </w:pPr>
    </w:p>
    <w:p w14:paraId="4F9E564D" w14:textId="72F82338" w:rsidR="00644339" w:rsidRPr="00160EB0" w:rsidRDefault="00644339" w:rsidP="00644339">
      <w:pPr>
        <w:rPr>
          <w:szCs w:val="24"/>
        </w:rPr>
      </w:pPr>
      <w:r w:rsidRPr="00160EB0">
        <w:rPr>
          <w:szCs w:val="24"/>
        </w:rPr>
        <w:t xml:space="preserve">Massachusetts school immunization requirements have been very effective in preventing the outbreak of vaccine-preventable diseases. Continued enforcement of the immunization requirements is essential to the health of our </w:t>
      </w:r>
      <w:r w:rsidR="00ED643A" w:rsidRPr="00160EB0">
        <w:rPr>
          <w:szCs w:val="24"/>
        </w:rPr>
        <w:t>students</w:t>
      </w:r>
      <w:r w:rsidRPr="00160EB0">
        <w:rPr>
          <w:szCs w:val="24"/>
        </w:rPr>
        <w:t>.</w:t>
      </w:r>
    </w:p>
    <w:sectPr w:rsidR="00644339" w:rsidRPr="00160EB0">
      <w:footerReference w:type="default" r:id="rId2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8FFE8" w14:textId="77777777" w:rsidR="008159B0" w:rsidRDefault="008159B0" w:rsidP="00705FA8">
      <w:r>
        <w:separator/>
      </w:r>
    </w:p>
  </w:endnote>
  <w:endnote w:type="continuationSeparator" w:id="0">
    <w:p w14:paraId="55736722" w14:textId="77777777" w:rsidR="008159B0" w:rsidRDefault="008159B0" w:rsidP="00705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16"/>
      </w:rPr>
      <w:id w:val="286786224"/>
      <w:docPartObj>
        <w:docPartGallery w:val="Page Numbers (Bottom of Page)"/>
        <w:docPartUnique/>
      </w:docPartObj>
    </w:sdtPr>
    <w:sdtEndPr>
      <w:rPr>
        <w:noProof/>
      </w:rPr>
    </w:sdtEndPr>
    <w:sdtContent>
      <w:p w14:paraId="3445F4D9" w14:textId="77777777" w:rsidR="002923AC" w:rsidRPr="00EF4DC2" w:rsidRDefault="002923AC" w:rsidP="002923AC">
        <w:pPr>
          <w:pStyle w:val="Footer"/>
        </w:pPr>
        <w:r>
          <w:rPr>
            <w:sz w:val="20"/>
            <w:szCs w:val="16"/>
          </w:rPr>
          <w:t>Massachusetts Department of Public Health – Immunization Division</w:t>
        </w:r>
        <w:r>
          <w:rPr>
            <w:sz w:val="20"/>
            <w:szCs w:val="16"/>
          </w:rPr>
          <w:tab/>
          <w:t>Reviewed September 2025</w:t>
        </w:r>
      </w:p>
      <w:p w14:paraId="5656BF0F" w14:textId="72C2D768" w:rsidR="00E07854" w:rsidRPr="002923AC" w:rsidRDefault="002923AC" w:rsidP="002923AC">
        <w:pPr>
          <w:pStyle w:val="Footer"/>
          <w:jc w:val="right"/>
          <w:rPr>
            <w:rFonts w:eastAsia="Calibri"/>
          </w:rPr>
        </w:pPr>
        <w:r>
          <w:rPr>
            <w:sz w:val="20"/>
            <w:szCs w:val="16"/>
          </w:rPr>
          <w:t xml:space="preserve">Page </w:t>
        </w:r>
        <w:r w:rsidRPr="00C502F7">
          <w:rPr>
            <w:sz w:val="20"/>
            <w:szCs w:val="16"/>
          </w:rPr>
          <w:fldChar w:fldCharType="begin"/>
        </w:r>
        <w:r w:rsidRPr="00C502F7">
          <w:rPr>
            <w:sz w:val="20"/>
            <w:szCs w:val="16"/>
          </w:rPr>
          <w:instrText xml:space="preserve"> PAGE   \* MERGEFORMAT </w:instrText>
        </w:r>
        <w:r w:rsidRPr="00C502F7">
          <w:rPr>
            <w:sz w:val="20"/>
            <w:szCs w:val="16"/>
          </w:rPr>
          <w:fldChar w:fldCharType="separate"/>
        </w:r>
        <w:r>
          <w:rPr>
            <w:sz w:val="20"/>
            <w:szCs w:val="16"/>
          </w:rPr>
          <w:t>3</w:t>
        </w:r>
        <w:r w:rsidRPr="00C502F7">
          <w:rPr>
            <w:noProof/>
            <w:sz w:val="20"/>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2322C" w14:textId="77777777" w:rsidR="008159B0" w:rsidRDefault="008159B0" w:rsidP="00705FA8">
      <w:r>
        <w:separator/>
      </w:r>
    </w:p>
  </w:footnote>
  <w:footnote w:type="continuationSeparator" w:id="0">
    <w:p w14:paraId="2AEE2F2D" w14:textId="77777777" w:rsidR="008159B0" w:rsidRDefault="008159B0" w:rsidP="00705F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3BDD"/>
    <w:multiLevelType w:val="hybridMultilevel"/>
    <w:tmpl w:val="CA00FA8C"/>
    <w:lvl w:ilvl="0" w:tplc="FFFFFFFF">
      <w:start w:val="1"/>
      <w:numFmt w:val="bullet"/>
      <w:lvlText w:val=""/>
      <w:lvlJc w:val="left"/>
      <w:pPr>
        <w:tabs>
          <w:tab w:val="num" w:pos="756"/>
        </w:tabs>
        <w:ind w:left="540" w:hanging="144"/>
      </w:pPr>
      <w:rPr>
        <w:rFonts w:ascii="Symbol" w:hAnsi="Symbol" w:hint="default"/>
        <w:b w:val="0"/>
        <w:i w:val="0"/>
        <w:color w:val="auto"/>
        <w:sz w:val="24"/>
      </w:rPr>
    </w:lvl>
    <w:lvl w:ilvl="1" w:tplc="04090003">
      <w:start w:val="1"/>
      <w:numFmt w:val="bullet"/>
      <w:lvlText w:val="o"/>
      <w:lvlJc w:val="left"/>
      <w:pPr>
        <w:ind w:left="36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4A7C07"/>
    <w:multiLevelType w:val="hybridMultilevel"/>
    <w:tmpl w:val="B2BC7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2C154F"/>
    <w:multiLevelType w:val="hybridMultilevel"/>
    <w:tmpl w:val="6AB63F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B25985"/>
    <w:multiLevelType w:val="hybridMultilevel"/>
    <w:tmpl w:val="1DDE3FB8"/>
    <w:lvl w:ilvl="0" w:tplc="04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17264512"/>
    <w:multiLevelType w:val="hybridMultilevel"/>
    <w:tmpl w:val="28B89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055E42"/>
    <w:multiLevelType w:val="hybridMultilevel"/>
    <w:tmpl w:val="C1C8CC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2907262"/>
    <w:multiLevelType w:val="hybridMultilevel"/>
    <w:tmpl w:val="C5F033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FD40D2"/>
    <w:multiLevelType w:val="hybridMultilevel"/>
    <w:tmpl w:val="016CC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975FE5"/>
    <w:multiLevelType w:val="hybridMultilevel"/>
    <w:tmpl w:val="3E862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912677"/>
    <w:multiLevelType w:val="hybridMultilevel"/>
    <w:tmpl w:val="990271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CE22CEB"/>
    <w:multiLevelType w:val="hybridMultilevel"/>
    <w:tmpl w:val="A5ECDD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A71056"/>
    <w:multiLevelType w:val="hybridMultilevel"/>
    <w:tmpl w:val="027A5ECE"/>
    <w:lvl w:ilvl="0" w:tplc="04090011">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53F3666F"/>
    <w:multiLevelType w:val="hybridMultilevel"/>
    <w:tmpl w:val="DB7E079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638121D5"/>
    <w:multiLevelType w:val="hybridMultilevel"/>
    <w:tmpl w:val="C21C62EE"/>
    <w:lvl w:ilvl="0" w:tplc="04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684F62FA"/>
    <w:multiLevelType w:val="hybridMultilevel"/>
    <w:tmpl w:val="D2A20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4B3E06"/>
    <w:multiLevelType w:val="hybridMultilevel"/>
    <w:tmpl w:val="58FC4D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79C660C"/>
    <w:multiLevelType w:val="hybridMultilevel"/>
    <w:tmpl w:val="291A1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620A05"/>
    <w:multiLevelType w:val="hybridMultilevel"/>
    <w:tmpl w:val="DFC66D68"/>
    <w:lvl w:ilvl="0" w:tplc="04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7A5A30A7"/>
    <w:multiLevelType w:val="hybridMultilevel"/>
    <w:tmpl w:val="326A67BC"/>
    <w:lvl w:ilvl="0" w:tplc="ED2065D2">
      <w:start w:val="1"/>
      <w:numFmt w:val="bullet"/>
      <w:lvlText w:val=""/>
      <w:lvlJc w:val="left"/>
      <w:pPr>
        <w:tabs>
          <w:tab w:val="num" w:pos="756"/>
        </w:tabs>
        <w:ind w:left="540" w:hanging="144"/>
      </w:pPr>
      <w:rPr>
        <w:rFonts w:ascii="Symbol" w:hAnsi="Symbol" w:hint="default"/>
        <w:b w:val="0"/>
        <w:i w:val="0"/>
        <w:color w:val="auto"/>
        <w:sz w:val="24"/>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FBD4D1B"/>
    <w:multiLevelType w:val="hybridMultilevel"/>
    <w:tmpl w:val="7F52E2AC"/>
    <w:lvl w:ilvl="0" w:tplc="04090003">
      <w:start w:val="1"/>
      <w:numFmt w:val="bullet"/>
      <w:lvlText w:val="o"/>
      <w:lvlJc w:val="left"/>
      <w:pPr>
        <w:tabs>
          <w:tab w:val="num" w:pos="1440"/>
        </w:tabs>
        <w:ind w:left="1440" w:hanging="360"/>
      </w:pPr>
      <w:rPr>
        <w:rFonts w:ascii="Courier New" w:hAnsi="Courier New" w:cs="Courier New" w:hint="default"/>
      </w:rPr>
    </w:lvl>
    <w:lvl w:ilvl="1" w:tplc="8D42A020">
      <w:numFmt w:val="bullet"/>
      <w:lvlText w:val=""/>
      <w:lvlJc w:val="left"/>
      <w:pPr>
        <w:ind w:left="2520" w:hanging="720"/>
      </w:pPr>
      <w:rPr>
        <w:rFonts w:ascii="Symbol" w:eastAsia="Times New Roman" w:hAnsi="Symbol" w:cs="Times New Roman"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384524581">
    <w:abstractNumId w:val="19"/>
  </w:num>
  <w:num w:numId="2" w16cid:durableId="1841308717">
    <w:abstractNumId w:val="12"/>
  </w:num>
  <w:num w:numId="3" w16cid:durableId="2039424681">
    <w:abstractNumId w:val="4"/>
  </w:num>
  <w:num w:numId="4" w16cid:durableId="1534615962">
    <w:abstractNumId w:val="18"/>
  </w:num>
  <w:num w:numId="5" w16cid:durableId="1978800279">
    <w:abstractNumId w:val="15"/>
  </w:num>
  <w:num w:numId="6" w16cid:durableId="2054965294">
    <w:abstractNumId w:val="5"/>
  </w:num>
  <w:num w:numId="7" w16cid:durableId="1599871746">
    <w:abstractNumId w:val="8"/>
  </w:num>
  <w:num w:numId="8" w16cid:durableId="425348089">
    <w:abstractNumId w:val="13"/>
  </w:num>
  <w:num w:numId="9" w16cid:durableId="1685279260">
    <w:abstractNumId w:val="9"/>
  </w:num>
  <w:num w:numId="10" w16cid:durableId="40058767">
    <w:abstractNumId w:val="3"/>
  </w:num>
  <w:num w:numId="11" w16cid:durableId="212348613">
    <w:abstractNumId w:val="17"/>
  </w:num>
  <w:num w:numId="12" w16cid:durableId="1177576590">
    <w:abstractNumId w:val="0"/>
  </w:num>
  <w:num w:numId="13" w16cid:durableId="1993562264">
    <w:abstractNumId w:val="11"/>
  </w:num>
  <w:num w:numId="14" w16cid:durableId="2033917098">
    <w:abstractNumId w:val="10"/>
  </w:num>
  <w:num w:numId="15" w16cid:durableId="1166169610">
    <w:abstractNumId w:val="2"/>
  </w:num>
  <w:num w:numId="16" w16cid:durableId="717240274">
    <w:abstractNumId w:val="6"/>
  </w:num>
  <w:num w:numId="17" w16cid:durableId="1278484054">
    <w:abstractNumId w:val="16"/>
  </w:num>
  <w:num w:numId="18" w16cid:durableId="364327512">
    <w:abstractNumId w:val="1"/>
  </w:num>
  <w:num w:numId="19" w16cid:durableId="169487942">
    <w:abstractNumId w:val="14"/>
  </w:num>
  <w:num w:numId="20" w16cid:durableId="715140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fhm1eW2XkU6Q8u1oWjAjqiiJnfvs6nyaHBOzPh7I7Bvj8hxwqGV7a599k7bBKM8ZJ3/gWOgPLf0caxOh3lKk5A==" w:salt="oH2PPRGqPpTyv9b9RKPpl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1247D"/>
    <w:rsid w:val="00024B20"/>
    <w:rsid w:val="0003113A"/>
    <w:rsid w:val="00033154"/>
    <w:rsid w:val="00041212"/>
    <w:rsid w:val="00042048"/>
    <w:rsid w:val="000537DA"/>
    <w:rsid w:val="000714EA"/>
    <w:rsid w:val="00075CD1"/>
    <w:rsid w:val="0008094A"/>
    <w:rsid w:val="000A1DE1"/>
    <w:rsid w:val="000B0914"/>
    <w:rsid w:val="000B4B4A"/>
    <w:rsid w:val="000B7D96"/>
    <w:rsid w:val="000E4450"/>
    <w:rsid w:val="000F315B"/>
    <w:rsid w:val="000F3638"/>
    <w:rsid w:val="001125C0"/>
    <w:rsid w:val="00116B3C"/>
    <w:rsid w:val="00124A0D"/>
    <w:rsid w:val="0015268B"/>
    <w:rsid w:val="001546B9"/>
    <w:rsid w:val="00160EB0"/>
    <w:rsid w:val="00161D7B"/>
    <w:rsid w:val="00164E9B"/>
    <w:rsid w:val="00172490"/>
    <w:rsid w:val="0017270E"/>
    <w:rsid w:val="00177C77"/>
    <w:rsid w:val="0018186D"/>
    <w:rsid w:val="0018432D"/>
    <w:rsid w:val="00195C13"/>
    <w:rsid w:val="0019759D"/>
    <w:rsid w:val="001A07E9"/>
    <w:rsid w:val="001A5757"/>
    <w:rsid w:val="001B6693"/>
    <w:rsid w:val="001C4490"/>
    <w:rsid w:val="001D517B"/>
    <w:rsid w:val="001E151B"/>
    <w:rsid w:val="002068E3"/>
    <w:rsid w:val="00213308"/>
    <w:rsid w:val="0021698C"/>
    <w:rsid w:val="002447C3"/>
    <w:rsid w:val="00245E5B"/>
    <w:rsid w:val="00250D54"/>
    <w:rsid w:val="00260D54"/>
    <w:rsid w:val="00264B98"/>
    <w:rsid w:val="00266F77"/>
    <w:rsid w:val="002709A3"/>
    <w:rsid w:val="00276957"/>
    <w:rsid w:val="00276DCC"/>
    <w:rsid w:val="00286ABF"/>
    <w:rsid w:val="002923AC"/>
    <w:rsid w:val="00293A5B"/>
    <w:rsid w:val="002A132F"/>
    <w:rsid w:val="002A3391"/>
    <w:rsid w:val="002B09D4"/>
    <w:rsid w:val="002D1C21"/>
    <w:rsid w:val="002D5AF7"/>
    <w:rsid w:val="002E76D9"/>
    <w:rsid w:val="002E7834"/>
    <w:rsid w:val="002F4469"/>
    <w:rsid w:val="00301022"/>
    <w:rsid w:val="00307228"/>
    <w:rsid w:val="00320A78"/>
    <w:rsid w:val="00320DD8"/>
    <w:rsid w:val="003218AF"/>
    <w:rsid w:val="00351852"/>
    <w:rsid w:val="00366311"/>
    <w:rsid w:val="00375EAD"/>
    <w:rsid w:val="00377272"/>
    <w:rsid w:val="00385812"/>
    <w:rsid w:val="003858C5"/>
    <w:rsid w:val="00392D0B"/>
    <w:rsid w:val="003A3EC7"/>
    <w:rsid w:val="003A7AFC"/>
    <w:rsid w:val="003B38A4"/>
    <w:rsid w:val="003C60EF"/>
    <w:rsid w:val="00422B02"/>
    <w:rsid w:val="00446BDD"/>
    <w:rsid w:val="004648B9"/>
    <w:rsid w:val="004813AC"/>
    <w:rsid w:val="00491A51"/>
    <w:rsid w:val="004A3AC5"/>
    <w:rsid w:val="004B37A0"/>
    <w:rsid w:val="004B4E03"/>
    <w:rsid w:val="004B5CFB"/>
    <w:rsid w:val="004D6B39"/>
    <w:rsid w:val="004E0C3F"/>
    <w:rsid w:val="004E2242"/>
    <w:rsid w:val="004E5864"/>
    <w:rsid w:val="004E59E1"/>
    <w:rsid w:val="00505A6B"/>
    <w:rsid w:val="00506FCC"/>
    <w:rsid w:val="00512956"/>
    <w:rsid w:val="00522F5D"/>
    <w:rsid w:val="00530145"/>
    <w:rsid w:val="00530638"/>
    <w:rsid w:val="005448AA"/>
    <w:rsid w:val="00564D9D"/>
    <w:rsid w:val="00572ECD"/>
    <w:rsid w:val="0057525C"/>
    <w:rsid w:val="00593A17"/>
    <w:rsid w:val="005C4246"/>
    <w:rsid w:val="005C5C9A"/>
    <w:rsid w:val="005D10F4"/>
    <w:rsid w:val="005D15F0"/>
    <w:rsid w:val="005E6EF2"/>
    <w:rsid w:val="005F5A5F"/>
    <w:rsid w:val="00610ED1"/>
    <w:rsid w:val="0062655A"/>
    <w:rsid w:val="006413F4"/>
    <w:rsid w:val="00644339"/>
    <w:rsid w:val="00653647"/>
    <w:rsid w:val="00670FA1"/>
    <w:rsid w:val="00673BE1"/>
    <w:rsid w:val="00687E6C"/>
    <w:rsid w:val="00695DF1"/>
    <w:rsid w:val="006A2F08"/>
    <w:rsid w:val="006A623E"/>
    <w:rsid w:val="006A6CD9"/>
    <w:rsid w:val="006B7EA1"/>
    <w:rsid w:val="006C258D"/>
    <w:rsid w:val="006D06D9"/>
    <w:rsid w:val="006D3BEF"/>
    <w:rsid w:val="006D77A6"/>
    <w:rsid w:val="006E4AE5"/>
    <w:rsid w:val="006F2E33"/>
    <w:rsid w:val="00702109"/>
    <w:rsid w:val="00705FA8"/>
    <w:rsid w:val="0072610D"/>
    <w:rsid w:val="00733E4B"/>
    <w:rsid w:val="00744380"/>
    <w:rsid w:val="00751211"/>
    <w:rsid w:val="00752C47"/>
    <w:rsid w:val="00757006"/>
    <w:rsid w:val="007A7F4B"/>
    <w:rsid w:val="007B3F4B"/>
    <w:rsid w:val="007B7347"/>
    <w:rsid w:val="007C2145"/>
    <w:rsid w:val="007D10F3"/>
    <w:rsid w:val="007F3CDB"/>
    <w:rsid w:val="008012F8"/>
    <w:rsid w:val="00804128"/>
    <w:rsid w:val="0080557E"/>
    <w:rsid w:val="00812180"/>
    <w:rsid w:val="008159B0"/>
    <w:rsid w:val="00831520"/>
    <w:rsid w:val="00842F2E"/>
    <w:rsid w:val="00861E48"/>
    <w:rsid w:val="00894A9C"/>
    <w:rsid w:val="00896236"/>
    <w:rsid w:val="00897D7A"/>
    <w:rsid w:val="008A7FED"/>
    <w:rsid w:val="008C3833"/>
    <w:rsid w:val="008E1DD2"/>
    <w:rsid w:val="008E3DF0"/>
    <w:rsid w:val="008F3CEF"/>
    <w:rsid w:val="008F6591"/>
    <w:rsid w:val="009046AE"/>
    <w:rsid w:val="0094220E"/>
    <w:rsid w:val="00956F86"/>
    <w:rsid w:val="009634C3"/>
    <w:rsid w:val="009730E5"/>
    <w:rsid w:val="009908FF"/>
    <w:rsid w:val="00995505"/>
    <w:rsid w:val="009A0A12"/>
    <w:rsid w:val="009A4575"/>
    <w:rsid w:val="009A61CC"/>
    <w:rsid w:val="009B4792"/>
    <w:rsid w:val="009C4428"/>
    <w:rsid w:val="009C485C"/>
    <w:rsid w:val="009C6351"/>
    <w:rsid w:val="009D48CD"/>
    <w:rsid w:val="009F4C70"/>
    <w:rsid w:val="009F759F"/>
    <w:rsid w:val="00A23EAB"/>
    <w:rsid w:val="00A2463C"/>
    <w:rsid w:val="00A61E00"/>
    <w:rsid w:val="00A65101"/>
    <w:rsid w:val="00A675DB"/>
    <w:rsid w:val="00A740D5"/>
    <w:rsid w:val="00A759ED"/>
    <w:rsid w:val="00AB1D49"/>
    <w:rsid w:val="00B112A2"/>
    <w:rsid w:val="00B21269"/>
    <w:rsid w:val="00B30A56"/>
    <w:rsid w:val="00B3136B"/>
    <w:rsid w:val="00B403BF"/>
    <w:rsid w:val="00B408DC"/>
    <w:rsid w:val="00B422F1"/>
    <w:rsid w:val="00B43073"/>
    <w:rsid w:val="00B52172"/>
    <w:rsid w:val="00B608D9"/>
    <w:rsid w:val="00B66BF1"/>
    <w:rsid w:val="00B731C4"/>
    <w:rsid w:val="00B75332"/>
    <w:rsid w:val="00B87AEC"/>
    <w:rsid w:val="00BA4055"/>
    <w:rsid w:val="00BA58EB"/>
    <w:rsid w:val="00BA7FB6"/>
    <w:rsid w:val="00BC4DC8"/>
    <w:rsid w:val="00BD3E66"/>
    <w:rsid w:val="00BD565E"/>
    <w:rsid w:val="00BF22CF"/>
    <w:rsid w:val="00C13D66"/>
    <w:rsid w:val="00C15427"/>
    <w:rsid w:val="00C20BFE"/>
    <w:rsid w:val="00C212EA"/>
    <w:rsid w:val="00C41CBF"/>
    <w:rsid w:val="00C453BA"/>
    <w:rsid w:val="00C46D29"/>
    <w:rsid w:val="00C73DBA"/>
    <w:rsid w:val="00C837AB"/>
    <w:rsid w:val="00C91CB8"/>
    <w:rsid w:val="00CA2449"/>
    <w:rsid w:val="00CA6528"/>
    <w:rsid w:val="00CB3283"/>
    <w:rsid w:val="00CB4C9F"/>
    <w:rsid w:val="00CC1596"/>
    <w:rsid w:val="00CC1778"/>
    <w:rsid w:val="00CE575B"/>
    <w:rsid w:val="00CF3DE8"/>
    <w:rsid w:val="00CF53B0"/>
    <w:rsid w:val="00CF6E8A"/>
    <w:rsid w:val="00D0493F"/>
    <w:rsid w:val="00D13289"/>
    <w:rsid w:val="00D134F0"/>
    <w:rsid w:val="00D21A48"/>
    <w:rsid w:val="00D245E0"/>
    <w:rsid w:val="00D3085B"/>
    <w:rsid w:val="00D43A41"/>
    <w:rsid w:val="00D56F91"/>
    <w:rsid w:val="00D776FC"/>
    <w:rsid w:val="00D8671C"/>
    <w:rsid w:val="00D91390"/>
    <w:rsid w:val="00D92107"/>
    <w:rsid w:val="00DA1BA6"/>
    <w:rsid w:val="00DA503A"/>
    <w:rsid w:val="00DA57C3"/>
    <w:rsid w:val="00DC30B5"/>
    <w:rsid w:val="00DC3855"/>
    <w:rsid w:val="00DD15F9"/>
    <w:rsid w:val="00DE2A1E"/>
    <w:rsid w:val="00DE6FE3"/>
    <w:rsid w:val="00E07854"/>
    <w:rsid w:val="00E20052"/>
    <w:rsid w:val="00E242A8"/>
    <w:rsid w:val="00E274B8"/>
    <w:rsid w:val="00E72707"/>
    <w:rsid w:val="00E902FF"/>
    <w:rsid w:val="00E91855"/>
    <w:rsid w:val="00E92ABE"/>
    <w:rsid w:val="00EA0BCA"/>
    <w:rsid w:val="00EA1C31"/>
    <w:rsid w:val="00EB7588"/>
    <w:rsid w:val="00ED643A"/>
    <w:rsid w:val="00EE21D1"/>
    <w:rsid w:val="00EF0D30"/>
    <w:rsid w:val="00F0227D"/>
    <w:rsid w:val="00F0586E"/>
    <w:rsid w:val="00F2795E"/>
    <w:rsid w:val="00F31571"/>
    <w:rsid w:val="00F318CC"/>
    <w:rsid w:val="00F33905"/>
    <w:rsid w:val="00F43932"/>
    <w:rsid w:val="00F67C83"/>
    <w:rsid w:val="00F70A19"/>
    <w:rsid w:val="00F83367"/>
    <w:rsid w:val="00F9158F"/>
    <w:rsid w:val="00F9241D"/>
    <w:rsid w:val="00FA575E"/>
    <w:rsid w:val="00FB7507"/>
    <w:rsid w:val="00FC6B42"/>
    <w:rsid w:val="00FD50D9"/>
    <w:rsid w:val="00FE04BA"/>
    <w:rsid w:val="00FF7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99AB3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ListParagraph">
    <w:name w:val="List Paragraph"/>
    <w:basedOn w:val="Normal"/>
    <w:uiPriority w:val="34"/>
    <w:qFormat/>
    <w:rsid w:val="0062655A"/>
    <w:pPr>
      <w:spacing w:after="200" w:line="276"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unhideWhenUsed/>
    <w:rsid w:val="00B75332"/>
    <w:rPr>
      <w:rFonts w:ascii="Calibri" w:eastAsiaTheme="minorHAnsi" w:hAnsi="Calibri" w:cs="Calibri"/>
      <w:sz w:val="22"/>
      <w:szCs w:val="22"/>
    </w:rPr>
  </w:style>
  <w:style w:type="character" w:styleId="Emphasis">
    <w:name w:val="Emphasis"/>
    <w:basedOn w:val="DefaultParagraphFont"/>
    <w:uiPriority w:val="20"/>
    <w:qFormat/>
    <w:rsid w:val="00B75332"/>
    <w:rPr>
      <w:i/>
      <w:iCs/>
    </w:rPr>
  </w:style>
  <w:style w:type="paragraph" w:styleId="Revision">
    <w:name w:val="Revision"/>
    <w:hidden/>
    <w:uiPriority w:val="99"/>
    <w:semiHidden/>
    <w:rsid w:val="00AB1D49"/>
    <w:rPr>
      <w:sz w:val="24"/>
    </w:rPr>
  </w:style>
  <w:style w:type="paragraph" w:styleId="Header">
    <w:name w:val="header"/>
    <w:basedOn w:val="Normal"/>
    <w:link w:val="HeaderChar"/>
    <w:uiPriority w:val="99"/>
    <w:rsid w:val="00705FA8"/>
    <w:pPr>
      <w:tabs>
        <w:tab w:val="center" w:pos="4680"/>
        <w:tab w:val="right" w:pos="9360"/>
      </w:tabs>
    </w:pPr>
  </w:style>
  <w:style w:type="character" w:customStyle="1" w:styleId="HeaderChar">
    <w:name w:val="Header Char"/>
    <w:basedOn w:val="DefaultParagraphFont"/>
    <w:link w:val="Header"/>
    <w:uiPriority w:val="99"/>
    <w:rsid w:val="00705FA8"/>
    <w:rPr>
      <w:sz w:val="24"/>
    </w:rPr>
  </w:style>
  <w:style w:type="paragraph" w:styleId="Footer">
    <w:name w:val="footer"/>
    <w:basedOn w:val="Normal"/>
    <w:link w:val="FooterChar"/>
    <w:uiPriority w:val="99"/>
    <w:rsid w:val="00705FA8"/>
    <w:pPr>
      <w:tabs>
        <w:tab w:val="center" w:pos="4680"/>
        <w:tab w:val="right" w:pos="9360"/>
      </w:tabs>
    </w:pPr>
  </w:style>
  <w:style w:type="character" w:customStyle="1" w:styleId="FooterChar">
    <w:name w:val="Footer Char"/>
    <w:basedOn w:val="DefaultParagraphFont"/>
    <w:link w:val="Footer"/>
    <w:uiPriority w:val="99"/>
    <w:rsid w:val="00705FA8"/>
    <w:rPr>
      <w:sz w:val="24"/>
    </w:rPr>
  </w:style>
  <w:style w:type="character" w:styleId="CommentReference">
    <w:name w:val="annotation reference"/>
    <w:basedOn w:val="DefaultParagraphFont"/>
    <w:rsid w:val="00644339"/>
    <w:rPr>
      <w:sz w:val="16"/>
      <w:szCs w:val="16"/>
    </w:rPr>
  </w:style>
  <w:style w:type="paragraph" w:styleId="CommentText">
    <w:name w:val="annotation text"/>
    <w:basedOn w:val="Normal"/>
    <w:link w:val="CommentTextChar"/>
    <w:rsid w:val="00644339"/>
    <w:rPr>
      <w:sz w:val="20"/>
    </w:rPr>
  </w:style>
  <w:style w:type="character" w:customStyle="1" w:styleId="CommentTextChar">
    <w:name w:val="Comment Text Char"/>
    <w:basedOn w:val="DefaultParagraphFont"/>
    <w:link w:val="CommentText"/>
    <w:rsid w:val="00644339"/>
  </w:style>
  <w:style w:type="paragraph" w:styleId="CommentSubject">
    <w:name w:val="annotation subject"/>
    <w:basedOn w:val="CommentText"/>
    <w:next w:val="CommentText"/>
    <w:link w:val="CommentSubjectChar"/>
    <w:rsid w:val="002E76D9"/>
    <w:rPr>
      <w:b/>
      <w:bCs/>
    </w:rPr>
  </w:style>
  <w:style w:type="character" w:customStyle="1" w:styleId="CommentSubjectChar">
    <w:name w:val="Comment Subject Char"/>
    <w:basedOn w:val="CommentTextChar"/>
    <w:link w:val="CommentSubject"/>
    <w:rsid w:val="002E76D9"/>
    <w:rPr>
      <w:b/>
      <w:bCs/>
    </w:rPr>
  </w:style>
  <w:style w:type="character" w:styleId="FollowedHyperlink">
    <w:name w:val="FollowedHyperlink"/>
    <w:basedOn w:val="DefaultParagraphFont"/>
    <w:rsid w:val="00D245E0"/>
    <w:rPr>
      <w:color w:val="954F72" w:themeColor="followedHyperlink"/>
      <w:u w:val="single"/>
    </w:rPr>
  </w:style>
  <w:style w:type="character" w:styleId="UnresolvedMention">
    <w:name w:val="Unresolved Mention"/>
    <w:basedOn w:val="DefaultParagraphFont"/>
    <w:uiPriority w:val="99"/>
    <w:semiHidden/>
    <w:unhideWhenUsed/>
    <w:rsid w:val="00DD15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ass.gov/lists/materials-for-conducting-the-school-immunization-survey" TargetMode="External"/><Relationship Id="rId18" Type="http://schemas.openxmlformats.org/officeDocument/2006/relationships/hyperlink" Target="https://www.mass.gov/info-details/archive-of-school-immunization-data-and-exemption-rate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mass.gov/doc/immunization-requirements-for-school-entry-1/download" TargetMode="External"/><Relationship Id="rId17" Type="http://schemas.openxmlformats.org/officeDocument/2006/relationships/hyperlink" Target="https://www.mass.gov/info-details/school-immunizations" TargetMode="External"/><Relationship Id="rId2" Type="http://schemas.openxmlformats.org/officeDocument/2006/relationships/numbering" Target="numbering.xml"/><Relationship Id="rId16" Type="http://schemas.openxmlformats.org/officeDocument/2006/relationships/hyperlink" Target="https://www.mass.gov/regulations/105-CMR-22100-promoting-awareness-of-meningococcal-disease-and-vaccin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info-details/school-immunizations" TargetMode="External"/><Relationship Id="rId5" Type="http://schemas.openxmlformats.org/officeDocument/2006/relationships/webSettings" Target="webSettings.xml"/><Relationship Id="rId15" Type="http://schemas.openxmlformats.org/officeDocument/2006/relationships/hyperlink" Target="https://www.mass.gov/regulations/105-CMR-22000-immunization-of-students-before-admission-to-school" TargetMode="External"/><Relationship Id="rId10" Type="http://schemas.openxmlformats.org/officeDocument/2006/relationships/hyperlink" Target="http://www.mass.gov/dph/imm" TargetMode="External"/><Relationship Id="rId19" Type="http://schemas.openxmlformats.org/officeDocument/2006/relationships/hyperlink" Target="http://www.immunize.org/catg.d/p2069.pdf" TargetMode="External"/><Relationship Id="rId4" Type="http://schemas.openxmlformats.org/officeDocument/2006/relationships/settings" Target="settings.xml"/><Relationship Id="rId9" Type="http://schemas.openxmlformats.org/officeDocument/2006/relationships/hyperlink" Target="http://www.mass.gov/dph/imm" TargetMode="External"/><Relationship Id="rId14" Type="http://schemas.openxmlformats.org/officeDocument/2006/relationships/hyperlink" Target="mailto:ImmAssessmentUnit@mass.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E08138-D066-410D-9784-06E5B2063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912</Words>
  <Characters>5204</Characters>
  <Application>Microsoft Office Word</Application>
  <DocSecurity>8</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2025-09-02T19:30:00Z</dcterms:created>
  <dcterms:modified xsi:type="dcterms:W3CDTF">2025-09-02T19:30:00Z</dcterms:modified>
</cp:coreProperties>
</file>