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"/>
        <w:gridCol w:w="1852"/>
        <w:gridCol w:w="3546"/>
        <w:gridCol w:w="5452"/>
      </w:tblGrid>
      <w:tr w:rsidR="00F12BA3" w:rsidTr="006430B0">
        <w:trPr>
          <w:gridBefore w:val="1"/>
          <w:wBefore w:w="7" w:type="dxa"/>
          <w:trHeight w:val="695"/>
        </w:trPr>
        <w:tc>
          <w:tcPr>
            <w:tcW w:w="10850" w:type="dxa"/>
            <w:gridSpan w:val="3"/>
            <w:shd w:val="clear" w:color="auto" w:fill="17365D" w:themeFill="text2" w:themeFillShade="BF"/>
            <w:vAlign w:val="center"/>
          </w:tcPr>
          <w:p w:rsidR="00F12BA3" w:rsidRPr="001F7AFD" w:rsidRDefault="00E97969" w:rsidP="005117E0">
            <w:pPr>
              <w:jc w:val="center"/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b/>
                <w:color w:val="FFFFFF" w:themeColor="background1"/>
                <w:sz w:val="32"/>
                <w:szCs w:val="27"/>
              </w:rPr>
              <w:t>CoMIRS Radio Feature Requirements</w:t>
            </w:r>
          </w:p>
        </w:tc>
      </w:tr>
      <w:tr w:rsidR="00F12BA3" w:rsidTr="006430B0">
        <w:trPr>
          <w:gridBefore w:val="1"/>
          <w:wBefore w:w="7" w:type="dxa"/>
          <w:trHeight w:val="1088"/>
        </w:trPr>
        <w:tc>
          <w:tcPr>
            <w:tcW w:w="10850" w:type="dxa"/>
            <w:gridSpan w:val="3"/>
            <w:shd w:val="clear" w:color="auto" w:fill="E5B8B7" w:themeFill="accent2" w:themeFillTint="66"/>
          </w:tcPr>
          <w:p w:rsidR="00282939" w:rsidRDefault="00282939" w:rsidP="00435D45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ind w:left="360"/>
              <w:rPr>
                <w:rFonts w:eastAsia="Times New Roman" w:cs="Times New Roman"/>
                <w:sz w:val="27"/>
                <w:szCs w:val="27"/>
              </w:rPr>
            </w:pPr>
            <w:r w:rsidRPr="00282939">
              <w:rPr>
                <w:rFonts w:eastAsia="Times New Roman" w:cs="Times New Roman"/>
                <w:sz w:val="27"/>
                <w:szCs w:val="27"/>
              </w:rPr>
              <w:t>The Commonwealth of Massachusetts Executive Office of Technology Services and Security (EOTSS)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is engaged in a multi-year project to modernize the </w:t>
            </w:r>
            <w:r w:rsidR="00B02811">
              <w:rPr>
                <w:rFonts w:eastAsia="Times New Roman" w:cs="Times New Roman"/>
                <w:sz w:val="27"/>
                <w:szCs w:val="27"/>
              </w:rPr>
              <w:t>Commonwealth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of Massachusetts Interoperable Radio System (CoMIRS)</w:t>
            </w:r>
            <w:r w:rsidR="00B02811">
              <w:rPr>
                <w:rFonts w:eastAsia="Times New Roman" w:cs="Times New Roman"/>
                <w:sz w:val="27"/>
                <w:szCs w:val="27"/>
              </w:rPr>
              <w:t xml:space="preserve">.  The project will be accomplished in stages utilizing </w:t>
            </w:r>
            <w:r w:rsidR="00C7111A">
              <w:rPr>
                <w:rFonts w:eastAsia="Times New Roman" w:cs="Times New Roman"/>
                <w:sz w:val="27"/>
                <w:szCs w:val="27"/>
              </w:rPr>
              <w:t>both</w:t>
            </w:r>
            <w:r w:rsidR="00B02811">
              <w:rPr>
                <w:rFonts w:eastAsia="Times New Roman" w:cs="Times New Roman"/>
                <w:sz w:val="27"/>
                <w:szCs w:val="27"/>
              </w:rPr>
              <w:t xml:space="preserve"> legacy CoMIRS subsystems and new P25 subsystems</w:t>
            </w:r>
            <w:r w:rsidR="00DC57BA">
              <w:rPr>
                <w:rFonts w:eastAsia="Times New Roman" w:cs="Times New Roman"/>
                <w:sz w:val="27"/>
                <w:szCs w:val="27"/>
              </w:rPr>
              <w:t xml:space="preserve"> during the build-out.</w:t>
            </w:r>
          </w:p>
          <w:p w:rsidR="00DC57BA" w:rsidRPr="00282939" w:rsidRDefault="00DC57BA" w:rsidP="00435D45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ind w:left="36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The fundamental goal of the CoMIRS Modernization Project is to provide a reliable, long-term P25 compliant communications tool for public safety personnel to communicate seamlessly across public safety disciplines and operational jurisdictions.</w:t>
            </w:r>
          </w:p>
          <w:p w:rsidR="00DC57BA" w:rsidRDefault="00B02811" w:rsidP="00435D45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ind w:left="36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To ensure that CoMIRS user radios function appropriately throughout the modernization project</w:t>
            </w:r>
            <w:r w:rsidR="00DC57BA">
              <w:rPr>
                <w:rFonts w:eastAsia="Times New Roman" w:cs="Times New Roman"/>
                <w:sz w:val="27"/>
                <w:szCs w:val="27"/>
              </w:rPr>
              <w:t xml:space="preserve"> stages and after completion, 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the Interoperable Communications Bureau (ICB) developed</w:t>
            </w:r>
            <w:r w:rsidR="00D140C9">
              <w:rPr>
                <w:rFonts w:eastAsia="Times New Roman" w:cs="Times New Roman"/>
                <w:sz w:val="27"/>
                <w:szCs w:val="27"/>
              </w:rPr>
              <w:t xml:space="preserve"> a list of </w:t>
            </w:r>
            <w:r w:rsidR="00E97969">
              <w:rPr>
                <w:rFonts w:eastAsia="Times New Roman" w:cs="Times New Roman"/>
                <w:sz w:val="27"/>
                <w:szCs w:val="27"/>
              </w:rPr>
              <w:t>r</w:t>
            </w:r>
            <w:r w:rsidR="00D140C9">
              <w:rPr>
                <w:rFonts w:eastAsia="Times New Roman" w:cs="Times New Roman"/>
                <w:sz w:val="27"/>
                <w:szCs w:val="27"/>
              </w:rPr>
              <w:t xml:space="preserve">equired and </w:t>
            </w:r>
            <w:r w:rsidR="00E97969">
              <w:rPr>
                <w:rFonts w:eastAsia="Times New Roman" w:cs="Times New Roman"/>
                <w:sz w:val="27"/>
                <w:szCs w:val="27"/>
              </w:rPr>
              <w:t>r</w:t>
            </w:r>
            <w:r w:rsidR="00D140C9">
              <w:rPr>
                <w:rFonts w:eastAsia="Times New Roman" w:cs="Times New Roman"/>
                <w:sz w:val="27"/>
                <w:szCs w:val="27"/>
              </w:rPr>
              <w:t xml:space="preserve">ecommended </w:t>
            </w:r>
            <w:r w:rsidR="00E97969">
              <w:rPr>
                <w:rFonts w:eastAsia="Times New Roman" w:cs="Times New Roman"/>
                <w:sz w:val="27"/>
                <w:szCs w:val="27"/>
              </w:rPr>
              <w:t>f</w:t>
            </w:r>
            <w:r w:rsidR="00D140C9">
              <w:rPr>
                <w:rFonts w:eastAsia="Times New Roman" w:cs="Times New Roman"/>
                <w:sz w:val="27"/>
                <w:szCs w:val="27"/>
              </w:rPr>
              <w:t>eatures</w:t>
            </w:r>
            <w:r w:rsidR="00C7111A">
              <w:rPr>
                <w:rFonts w:eastAsia="Times New Roman" w:cs="Times New Roman"/>
                <w:sz w:val="27"/>
                <w:szCs w:val="27"/>
              </w:rPr>
              <w:t xml:space="preserve"> for</w:t>
            </w:r>
            <w:r w:rsidR="00E97969">
              <w:rPr>
                <w:rFonts w:eastAsia="Times New Roman" w:cs="Times New Roman"/>
                <w:sz w:val="27"/>
                <w:szCs w:val="27"/>
              </w:rPr>
              <w:t xml:space="preserve"> all CoMIRS</w:t>
            </w:r>
            <w:r w:rsidR="00C7111A">
              <w:rPr>
                <w:rFonts w:eastAsia="Times New Roman" w:cs="Times New Roman"/>
                <w:sz w:val="27"/>
                <w:szCs w:val="27"/>
              </w:rPr>
              <w:t xml:space="preserve"> subscriber radios</w:t>
            </w:r>
            <w:r w:rsidR="00385357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 </w:t>
            </w:r>
          </w:p>
          <w:p w:rsidR="00B02811" w:rsidRDefault="00E97969" w:rsidP="00435D45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ind w:left="36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As of </w:t>
            </w:r>
            <w:r w:rsidRPr="00E97969">
              <w:rPr>
                <w:rFonts w:eastAsia="Times New Roman" w:cs="Times New Roman"/>
                <w:b/>
                <w:sz w:val="27"/>
                <w:szCs w:val="27"/>
                <w:u w:val="single"/>
              </w:rPr>
              <w:t>May 1, 2021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all radios submitted for provisioning on CoMIRS must include the </w:t>
            </w:r>
            <w:r w:rsidRPr="00DC57BA">
              <w:rPr>
                <w:rFonts w:eastAsia="Times New Roman" w:cs="Times New Roman"/>
                <w:b/>
                <w:sz w:val="27"/>
                <w:szCs w:val="27"/>
                <w:u w:val="single"/>
              </w:rPr>
              <w:t>required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features shown below.</w:t>
            </w:r>
          </w:p>
          <w:p w:rsidR="00F12BA3" w:rsidRPr="00BC0FC7" w:rsidRDefault="006F36F9" w:rsidP="00435D45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ind w:left="36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In  limited circumstances the ICB will consider requests for exemption from this requirement.  </w:t>
            </w:r>
            <w:r w:rsidR="00CC190A">
              <w:rPr>
                <w:rFonts w:eastAsia="Times New Roman" w:cs="Times New Roman"/>
                <w:sz w:val="27"/>
                <w:szCs w:val="27"/>
              </w:rPr>
              <w:t>Written r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equests for </w:t>
            </w:r>
            <w:r w:rsidR="00CC190A">
              <w:rPr>
                <w:rFonts w:eastAsia="Times New Roman" w:cs="Times New Roman"/>
                <w:sz w:val="27"/>
                <w:szCs w:val="27"/>
              </w:rPr>
              <w:t xml:space="preserve">exemption must be made </w:t>
            </w:r>
            <w:r w:rsidR="003D6710">
              <w:rPr>
                <w:rFonts w:eastAsia="Times New Roman" w:cs="Times New Roman"/>
                <w:sz w:val="27"/>
                <w:szCs w:val="27"/>
              </w:rPr>
              <w:t xml:space="preserve">to </w:t>
            </w:r>
            <w:r w:rsidR="003D6710" w:rsidRPr="003D6710">
              <w:rPr>
                <w:rFonts w:eastAsia="Times New Roman" w:cs="Times New Roman"/>
                <w:sz w:val="27"/>
                <w:szCs w:val="27"/>
                <w:u w:val="single"/>
              </w:rPr>
              <w:t xml:space="preserve">CoMIRS@mass.gov </w:t>
            </w:r>
            <w:r w:rsidR="003D6710">
              <w:rPr>
                <w:rFonts w:eastAsia="Times New Roman" w:cs="Times New Roman"/>
                <w:sz w:val="27"/>
                <w:szCs w:val="27"/>
              </w:rPr>
              <w:t xml:space="preserve">prior to </w:t>
            </w:r>
            <w:r w:rsidR="00CC190A">
              <w:rPr>
                <w:rFonts w:eastAsia="Times New Roman" w:cs="Times New Roman"/>
                <w:sz w:val="27"/>
                <w:szCs w:val="27"/>
              </w:rPr>
              <w:t xml:space="preserve">purchasing radios or </w:t>
            </w:r>
            <w:r w:rsidR="003D6710">
              <w:rPr>
                <w:rFonts w:eastAsia="Times New Roman" w:cs="Times New Roman"/>
                <w:sz w:val="27"/>
                <w:szCs w:val="27"/>
              </w:rPr>
              <w:t>submitting radio</w:t>
            </w:r>
            <w:r w:rsidR="00CC190A">
              <w:rPr>
                <w:rFonts w:eastAsia="Times New Roman" w:cs="Times New Roman"/>
                <w:sz w:val="27"/>
                <w:szCs w:val="27"/>
              </w:rPr>
              <w:t>s</w:t>
            </w:r>
            <w:r w:rsidR="003D6710">
              <w:rPr>
                <w:rFonts w:eastAsia="Times New Roman" w:cs="Times New Roman"/>
                <w:sz w:val="27"/>
                <w:szCs w:val="27"/>
              </w:rPr>
              <w:t xml:space="preserve"> for provisioning.</w:t>
            </w:r>
            <w:r w:rsidR="00235C7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F12BA3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  <w:tr w:rsidR="00435D45" w:rsidRPr="00F15250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D45" w:rsidRPr="00435D45" w:rsidRDefault="00435D45" w:rsidP="001722BE">
            <w:pPr>
              <w:pStyle w:val="NormalWeb"/>
              <w:jc w:val="center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b/>
                <w:color w:val="000000"/>
                <w:szCs w:val="20"/>
              </w:rPr>
              <w:t>Feature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D45" w:rsidRPr="00435D45" w:rsidRDefault="00435D45" w:rsidP="001722BE">
            <w:pPr>
              <w:pStyle w:val="NormalWeb"/>
              <w:jc w:val="center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b/>
                <w:color w:val="000000"/>
                <w:szCs w:val="20"/>
              </w:rPr>
              <w:t>Description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bottom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700/800 MHz Operation (764-870 MHz)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CoMIRS operating frequency range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Portable radio output power 1-3 watts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 xml:space="preserve">Programmable output power to comply with CoMIRS design parameters and F.C.C. authorizations 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Mobile radio output power 10-35 watts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Programmable output power to comply with CoMIRS design parameters and F.C.C. authorizations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Base radio output power 10-35 watts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Programmable output power to comply with CoMIRS design parameters and F.C.C. authorizations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Minimum 1,000 mode capacity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Capacity required to program present and future CoMIRS talk groups and conventional channels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Minimum 14-character backlit display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Allows standardization of talk group and channel names on radio display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Zone programming with 16 modes per zone (mixed trunked talkgroups and conventional channels)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Allows standardization of radio operation across radio manufacturers and radio models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Operation on Conventional Systems (Analog and P25 Phase 1 modulation)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Enables radio operation on "off-network" channels available to CoMIRS users for tactical and Interoperable communications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lastRenderedPageBreak/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Operation on Motorola SmartZone Type II Trunking Systems (Analog and P25 Phase 1 modulation)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 xml:space="preserve">Enables radio operation on statewide legacy CoMIRS trunked subsystems 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Operation on Project 25 Digital Trunking Systems (Phase 1 FDMA and Phase 2 TDMA modulation)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Enables radio operation on present and future CoMIRS P25 trunked subsystems and CoMIRS P25 trunked partner subsystems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Required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 xml:space="preserve">Project 25 Radio Authentication 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Radio feature to enable authentication of subscriber radios for operation on P25 trunked radio systems to prevent unauthorized access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Recommended</w:t>
            </w:r>
          </w:p>
        </w:tc>
        <w:tc>
          <w:tcPr>
            <w:tcW w:w="3546" w:type="dxa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 xml:space="preserve">Project 25 GPS Location Services </w:t>
            </w:r>
          </w:p>
        </w:tc>
        <w:tc>
          <w:tcPr>
            <w:tcW w:w="5447" w:type="dxa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Radio feature to enable reporting subscriber radio location over  P25 trunked systems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Recommended</w:t>
            </w:r>
          </w:p>
        </w:tc>
        <w:tc>
          <w:tcPr>
            <w:tcW w:w="3546" w:type="dxa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Project 25 Over-The-Air-Programming</w:t>
            </w:r>
          </w:p>
        </w:tc>
        <w:tc>
          <w:tcPr>
            <w:tcW w:w="5447" w:type="dxa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Radio feature to enable remote radio programming over P25 trunked systems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Recommended</w:t>
            </w:r>
          </w:p>
        </w:tc>
        <w:tc>
          <w:tcPr>
            <w:tcW w:w="3546" w:type="dxa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Bluetooth Capability</w:t>
            </w:r>
          </w:p>
        </w:tc>
        <w:tc>
          <w:tcPr>
            <w:tcW w:w="5447" w:type="dxa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 xml:space="preserve">Radio feature enables wireless interface between portable radio and Bluetooth radio accessories </w:t>
            </w:r>
          </w:p>
        </w:tc>
      </w:tr>
      <w:tr w:rsidR="00435D45" w:rsidRPr="00650319" w:rsidTr="006430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86" w:type="dxa"/>
            <w:left w:w="115" w:type="dxa"/>
            <w:bottom w:w="86" w:type="dxa"/>
            <w:right w:w="115" w:type="dxa"/>
          </w:tblCellMar>
        </w:tblPrEx>
        <w:trPr>
          <w:cantSplit/>
        </w:trPr>
        <w:tc>
          <w:tcPr>
            <w:tcW w:w="1859" w:type="dxa"/>
            <w:gridSpan w:val="2"/>
            <w:vAlign w:val="center"/>
          </w:tcPr>
          <w:p w:rsidR="00435D45" w:rsidRPr="00435D45" w:rsidRDefault="00435D45" w:rsidP="001722BE">
            <w:pPr>
              <w:rPr>
                <w:sz w:val="24"/>
              </w:rPr>
            </w:pPr>
            <w:r w:rsidRPr="00435D45">
              <w:rPr>
                <w:rFonts w:cs="Arial"/>
                <w:color w:val="000000"/>
                <w:sz w:val="24"/>
                <w:szCs w:val="20"/>
              </w:rPr>
              <w:t>Recommended</w:t>
            </w:r>
          </w:p>
        </w:tc>
        <w:tc>
          <w:tcPr>
            <w:tcW w:w="3546" w:type="dxa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Operation with digital vehicle repeater system (If DVR is utilized)</w:t>
            </w:r>
          </w:p>
        </w:tc>
        <w:tc>
          <w:tcPr>
            <w:tcW w:w="5447" w:type="dxa"/>
            <w:vAlign w:val="center"/>
          </w:tcPr>
          <w:p w:rsidR="00435D45" w:rsidRPr="00435D45" w:rsidRDefault="00435D45" w:rsidP="001722BE">
            <w:pPr>
              <w:pStyle w:val="NormalWeb"/>
              <w:rPr>
                <w:rFonts w:asciiTheme="minorHAnsi" w:hAnsiTheme="minorHAnsi" w:cs="Arial"/>
                <w:color w:val="000000"/>
                <w:szCs w:val="20"/>
              </w:rPr>
            </w:pPr>
            <w:r w:rsidRPr="00435D45">
              <w:rPr>
                <w:rFonts w:asciiTheme="minorHAnsi" w:hAnsiTheme="minorHAnsi" w:cs="Arial"/>
                <w:color w:val="000000"/>
                <w:szCs w:val="20"/>
              </w:rPr>
              <w:t>Required to interface DVR to mobile radio.   Portable radio feature required for full featured operation through the DVR</w:t>
            </w:r>
          </w:p>
        </w:tc>
      </w:tr>
    </w:tbl>
    <w:p w:rsidR="00435D45" w:rsidRDefault="00435D45"/>
    <w:tbl>
      <w:tblPr>
        <w:tblStyle w:val="TableGrid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42"/>
      </w:tblGrid>
      <w:tr w:rsidR="000B743D" w:rsidRPr="004F33C3" w:rsidTr="006430B0">
        <w:trPr>
          <w:trHeight w:val="347"/>
        </w:trPr>
        <w:tc>
          <w:tcPr>
            <w:tcW w:w="1084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0B743D" w:rsidRPr="004F33C3" w:rsidRDefault="00DC1477" w:rsidP="00960D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FFFFFF" w:themeColor="background1"/>
                <w:sz w:val="32"/>
                <w:szCs w:val="27"/>
              </w:rPr>
              <w:t>CoMIRS Encryption Standard</w:t>
            </w:r>
          </w:p>
        </w:tc>
      </w:tr>
      <w:tr w:rsidR="00DC1477" w:rsidTr="006430B0">
        <w:trPr>
          <w:trHeight w:val="1088"/>
        </w:trPr>
        <w:tc>
          <w:tcPr>
            <w:tcW w:w="1084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C1477" w:rsidRPr="00BC0FC7" w:rsidRDefault="00DC5796" w:rsidP="00CC190A">
            <w:pPr>
              <w:spacing w:before="120" w:after="120"/>
              <w:ind w:left="36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Encryption is not required.  If CoMIRS user chooses to implement encryption, the P25 standards below are </w:t>
            </w:r>
            <w:r w:rsidR="00CC190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required.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  <w:tr w:rsidR="000B743D" w:rsidTr="006430B0">
        <w:trPr>
          <w:trHeight w:val="895"/>
        </w:trPr>
        <w:tc>
          <w:tcPr>
            <w:tcW w:w="10842" w:type="dxa"/>
            <w:tcBorders>
              <w:bottom w:val="single" w:sz="4" w:space="0" w:color="auto"/>
            </w:tcBorders>
            <w:vAlign w:val="center"/>
          </w:tcPr>
          <w:p w:rsidR="000B743D" w:rsidRPr="006430B0" w:rsidRDefault="000B743D" w:rsidP="006430B0">
            <w:pPr>
              <w:shd w:val="clear" w:color="auto" w:fill="FFFFFF"/>
              <w:ind w:left="360"/>
              <w:textAlignment w:val="baseline"/>
              <w:rPr>
                <w:color w:val="000000"/>
                <w:sz w:val="27"/>
                <w:szCs w:val="27"/>
              </w:rPr>
            </w:pPr>
            <w:r w:rsidRPr="006430B0">
              <w:rPr>
                <w:rFonts w:eastAsia="Times New Roman" w:cs="Times New Roman"/>
                <w:color w:val="000000"/>
                <w:sz w:val="27"/>
                <w:szCs w:val="27"/>
              </w:rPr>
              <w:t>Project 25 AES 256 bit encryption with multiple keys and Over-the-air-rekeying</w:t>
            </w:r>
          </w:p>
        </w:tc>
      </w:tr>
    </w:tbl>
    <w:p w:rsidR="00DF04CC" w:rsidRDefault="00DF04CC" w:rsidP="001D0540"/>
    <w:sectPr w:rsidR="00DF04CC" w:rsidSect="00153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46" w:rsidRDefault="00B24846" w:rsidP="00C66388">
      <w:pPr>
        <w:spacing w:after="0" w:line="240" w:lineRule="auto"/>
      </w:pPr>
      <w:r>
        <w:separator/>
      </w:r>
    </w:p>
  </w:endnote>
  <w:endnote w:type="continuationSeparator" w:id="0">
    <w:p w:rsidR="00B24846" w:rsidRDefault="00B24846" w:rsidP="00C6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46" w:rsidRDefault="00B24846" w:rsidP="00C66388">
      <w:pPr>
        <w:spacing w:after="0" w:line="240" w:lineRule="auto"/>
      </w:pPr>
      <w:r>
        <w:separator/>
      </w:r>
    </w:p>
  </w:footnote>
  <w:footnote w:type="continuationSeparator" w:id="0">
    <w:p w:rsidR="00B24846" w:rsidRDefault="00B24846" w:rsidP="00C6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EEA"/>
    <w:multiLevelType w:val="hybridMultilevel"/>
    <w:tmpl w:val="7FDA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1CD"/>
    <w:multiLevelType w:val="hybridMultilevel"/>
    <w:tmpl w:val="B1881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233C"/>
    <w:multiLevelType w:val="hybridMultilevel"/>
    <w:tmpl w:val="D9D2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7E43"/>
    <w:multiLevelType w:val="hybridMultilevel"/>
    <w:tmpl w:val="42622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B70EE"/>
    <w:multiLevelType w:val="hybridMultilevel"/>
    <w:tmpl w:val="4BF42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56191"/>
    <w:multiLevelType w:val="hybridMultilevel"/>
    <w:tmpl w:val="727E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615D"/>
    <w:multiLevelType w:val="hybridMultilevel"/>
    <w:tmpl w:val="209E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13797"/>
    <w:multiLevelType w:val="hybridMultilevel"/>
    <w:tmpl w:val="ACFA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D41FB"/>
    <w:multiLevelType w:val="hybridMultilevel"/>
    <w:tmpl w:val="1CA8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5718D"/>
    <w:multiLevelType w:val="hybridMultilevel"/>
    <w:tmpl w:val="209E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2954"/>
    <w:multiLevelType w:val="hybridMultilevel"/>
    <w:tmpl w:val="8982C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32D86"/>
    <w:multiLevelType w:val="hybridMultilevel"/>
    <w:tmpl w:val="A6929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621734"/>
    <w:multiLevelType w:val="hybridMultilevel"/>
    <w:tmpl w:val="0409001D"/>
    <w:lvl w:ilvl="0" w:tplc="D3E69D9A">
      <w:start w:val="1"/>
      <w:numFmt w:val="decimal"/>
      <w:lvlText w:val="%1)"/>
      <w:lvlJc w:val="left"/>
      <w:pPr>
        <w:ind w:left="360" w:hanging="360"/>
      </w:pPr>
    </w:lvl>
    <w:lvl w:ilvl="1" w:tplc="A2FE5F5E">
      <w:start w:val="1"/>
      <w:numFmt w:val="lowerLetter"/>
      <w:lvlText w:val="%2)"/>
      <w:lvlJc w:val="left"/>
      <w:pPr>
        <w:ind w:left="720" w:hanging="360"/>
      </w:pPr>
    </w:lvl>
    <w:lvl w:ilvl="2" w:tplc="0F5CB360">
      <w:start w:val="1"/>
      <w:numFmt w:val="lowerRoman"/>
      <w:lvlText w:val="%3)"/>
      <w:lvlJc w:val="left"/>
      <w:pPr>
        <w:ind w:left="1080" w:hanging="360"/>
      </w:pPr>
    </w:lvl>
    <w:lvl w:ilvl="3" w:tplc="F72605D8">
      <w:start w:val="1"/>
      <w:numFmt w:val="decimal"/>
      <w:lvlText w:val="(%4)"/>
      <w:lvlJc w:val="left"/>
      <w:pPr>
        <w:ind w:left="1440" w:hanging="360"/>
      </w:pPr>
    </w:lvl>
    <w:lvl w:ilvl="4" w:tplc="B0DC5A96">
      <w:start w:val="1"/>
      <w:numFmt w:val="lowerLetter"/>
      <w:lvlText w:val="(%5)"/>
      <w:lvlJc w:val="left"/>
      <w:pPr>
        <w:ind w:left="1800" w:hanging="360"/>
      </w:pPr>
    </w:lvl>
    <w:lvl w:ilvl="5" w:tplc="A28A08EC">
      <w:start w:val="1"/>
      <w:numFmt w:val="lowerRoman"/>
      <w:lvlText w:val="(%6)"/>
      <w:lvlJc w:val="left"/>
      <w:pPr>
        <w:ind w:left="2160" w:hanging="360"/>
      </w:pPr>
    </w:lvl>
    <w:lvl w:ilvl="6" w:tplc="7E9A391E">
      <w:start w:val="1"/>
      <w:numFmt w:val="decimal"/>
      <w:lvlText w:val="%7."/>
      <w:lvlJc w:val="left"/>
      <w:pPr>
        <w:ind w:left="2520" w:hanging="360"/>
      </w:pPr>
    </w:lvl>
    <w:lvl w:ilvl="7" w:tplc="A8426780">
      <w:start w:val="1"/>
      <w:numFmt w:val="lowerLetter"/>
      <w:lvlText w:val="%8."/>
      <w:lvlJc w:val="left"/>
      <w:pPr>
        <w:ind w:left="2880" w:hanging="360"/>
      </w:pPr>
    </w:lvl>
    <w:lvl w:ilvl="8" w:tplc="F39C592A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3910212"/>
    <w:multiLevelType w:val="hybridMultilevel"/>
    <w:tmpl w:val="ACFA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499E"/>
    <w:multiLevelType w:val="hybridMultilevel"/>
    <w:tmpl w:val="04C6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76886"/>
    <w:multiLevelType w:val="hybridMultilevel"/>
    <w:tmpl w:val="9DD0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C4D1C"/>
    <w:multiLevelType w:val="hybridMultilevel"/>
    <w:tmpl w:val="E0D6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10"/>
  </w:num>
  <w:num w:numId="9">
    <w:abstractNumId w:val="16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A07"/>
    <w:rsid w:val="00024F10"/>
    <w:rsid w:val="00034D48"/>
    <w:rsid w:val="00042BBB"/>
    <w:rsid w:val="00046CBA"/>
    <w:rsid w:val="0009178E"/>
    <w:rsid w:val="000A5819"/>
    <w:rsid w:val="000B743D"/>
    <w:rsid w:val="000C360F"/>
    <w:rsid w:val="000E0C78"/>
    <w:rsid w:val="00106E31"/>
    <w:rsid w:val="00126537"/>
    <w:rsid w:val="00153E89"/>
    <w:rsid w:val="001931DD"/>
    <w:rsid w:val="001A188C"/>
    <w:rsid w:val="001B0D7F"/>
    <w:rsid w:val="001C152A"/>
    <w:rsid w:val="001D0540"/>
    <w:rsid w:val="001D5544"/>
    <w:rsid w:val="001F7AFD"/>
    <w:rsid w:val="00235C75"/>
    <w:rsid w:val="0025209A"/>
    <w:rsid w:val="00282939"/>
    <w:rsid w:val="002C12D8"/>
    <w:rsid w:val="002C20EA"/>
    <w:rsid w:val="002D0BC1"/>
    <w:rsid w:val="00306457"/>
    <w:rsid w:val="003400D7"/>
    <w:rsid w:val="00365B39"/>
    <w:rsid w:val="003775A6"/>
    <w:rsid w:val="00377CBF"/>
    <w:rsid w:val="003846B0"/>
    <w:rsid w:val="00385357"/>
    <w:rsid w:val="00390E7F"/>
    <w:rsid w:val="003D6710"/>
    <w:rsid w:val="003E6A76"/>
    <w:rsid w:val="003F33FC"/>
    <w:rsid w:val="004039D6"/>
    <w:rsid w:val="004072F3"/>
    <w:rsid w:val="004169CF"/>
    <w:rsid w:val="00435D45"/>
    <w:rsid w:val="004467D6"/>
    <w:rsid w:val="00446D26"/>
    <w:rsid w:val="00457AAC"/>
    <w:rsid w:val="00465DF8"/>
    <w:rsid w:val="004956BD"/>
    <w:rsid w:val="004965CA"/>
    <w:rsid w:val="004B1DDF"/>
    <w:rsid w:val="004F33C3"/>
    <w:rsid w:val="004F404E"/>
    <w:rsid w:val="00504F2D"/>
    <w:rsid w:val="005117E0"/>
    <w:rsid w:val="00545FA6"/>
    <w:rsid w:val="00594FE6"/>
    <w:rsid w:val="005A1AC1"/>
    <w:rsid w:val="005E692C"/>
    <w:rsid w:val="00603C40"/>
    <w:rsid w:val="006430B0"/>
    <w:rsid w:val="0065625B"/>
    <w:rsid w:val="006B54B7"/>
    <w:rsid w:val="006E2AB5"/>
    <w:rsid w:val="006F36F9"/>
    <w:rsid w:val="00730414"/>
    <w:rsid w:val="007514CE"/>
    <w:rsid w:val="007663D9"/>
    <w:rsid w:val="007C0512"/>
    <w:rsid w:val="007E761D"/>
    <w:rsid w:val="00835F13"/>
    <w:rsid w:val="00865B94"/>
    <w:rsid w:val="008E3ABB"/>
    <w:rsid w:val="009052D0"/>
    <w:rsid w:val="00923D4A"/>
    <w:rsid w:val="009339FC"/>
    <w:rsid w:val="009367EA"/>
    <w:rsid w:val="009B18BE"/>
    <w:rsid w:val="009B71E0"/>
    <w:rsid w:val="009E02FF"/>
    <w:rsid w:val="009E223A"/>
    <w:rsid w:val="00A44965"/>
    <w:rsid w:val="00A51A29"/>
    <w:rsid w:val="00A71A0D"/>
    <w:rsid w:val="00A73B6E"/>
    <w:rsid w:val="00A748E2"/>
    <w:rsid w:val="00AE4423"/>
    <w:rsid w:val="00B02811"/>
    <w:rsid w:val="00B06C6D"/>
    <w:rsid w:val="00B24846"/>
    <w:rsid w:val="00B253A6"/>
    <w:rsid w:val="00B43950"/>
    <w:rsid w:val="00B80028"/>
    <w:rsid w:val="00B90C69"/>
    <w:rsid w:val="00BA0B9E"/>
    <w:rsid w:val="00BB1E3D"/>
    <w:rsid w:val="00BC0459"/>
    <w:rsid w:val="00BC0FC7"/>
    <w:rsid w:val="00C16A07"/>
    <w:rsid w:val="00C175E5"/>
    <w:rsid w:val="00C455F8"/>
    <w:rsid w:val="00C537BE"/>
    <w:rsid w:val="00C66388"/>
    <w:rsid w:val="00C7111A"/>
    <w:rsid w:val="00C81E0B"/>
    <w:rsid w:val="00C8398C"/>
    <w:rsid w:val="00CB79DA"/>
    <w:rsid w:val="00CC190A"/>
    <w:rsid w:val="00CC7ACC"/>
    <w:rsid w:val="00D02FF8"/>
    <w:rsid w:val="00D140C9"/>
    <w:rsid w:val="00D47E74"/>
    <w:rsid w:val="00D61FB6"/>
    <w:rsid w:val="00D660A7"/>
    <w:rsid w:val="00D70686"/>
    <w:rsid w:val="00D87CD2"/>
    <w:rsid w:val="00DC1477"/>
    <w:rsid w:val="00DC5796"/>
    <w:rsid w:val="00DC57BA"/>
    <w:rsid w:val="00DE044B"/>
    <w:rsid w:val="00DE4813"/>
    <w:rsid w:val="00DF04CC"/>
    <w:rsid w:val="00E106BD"/>
    <w:rsid w:val="00E97969"/>
    <w:rsid w:val="00EB790B"/>
    <w:rsid w:val="00ED0489"/>
    <w:rsid w:val="00F050F5"/>
    <w:rsid w:val="00F12BA3"/>
    <w:rsid w:val="00F1419A"/>
    <w:rsid w:val="00F33BF4"/>
    <w:rsid w:val="00F870D3"/>
    <w:rsid w:val="00FB3A0E"/>
    <w:rsid w:val="13291850"/>
    <w:rsid w:val="688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CC"/>
  </w:style>
  <w:style w:type="paragraph" w:styleId="Heading1">
    <w:name w:val="heading 1"/>
    <w:basedOn w:val="Normal"/>
    <w:next w:val="Normal"/>
    <w:link w:val="Heading1Char"/>
    <w:uiPriority w:val="9"/>
    <w:qFormat/>
    <w:rsid w:val="004B1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1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9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2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2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106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388"/>
  </w:style>
  <w:style w:type="paragraph" w:styleId="Footer">
    <w:name w:val="footer"/>
    <w:basedOn w:val="Normal"/>
    <w:link w:val="FooterChar"/>
    <w:uiPriority w:val="99"/>
    <w:unhideWhenUsed/>
    <w:rsid w:val="00C6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88"/>
  </w:style>
  <w:style w:type="character" w:customStyle="1" w:styleId="Heading3Char">
    <w:name w:val="Heading 3 Char"/>
    <w:basedOn w:val="DefaultParagraphFont"/>
    <w:link w:val="Heading3"/>
    <w:uiPriority w:val="9"/>
    <w:rsid w:val="006B5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textrun">
    <w:name w:val="normaltextrun"/>
    <w:basedOn w:val="DefaultParagraphFont"/>
    <w:rsid w:val="00282939"/>
  </w:style>
  <w:style w:type="character" w:customStyle="1" w:styleId="spellingerror">
    <w:name w:val="spellingerror"/>
    <w:basedOn w:val="DefaultParagraphFont"/>
    <w:rsid w:val="0028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3F9D3F3F1E04CACF01759EAAEFA4E" ma:contentTypeVersion="14" ma:contentTypeDescription="Create a new document." ma:contentTypeScope="" ma:versionID="fe6c3a0aeb07a14f69ed95c21249fce3">
  <xsd:schema xmlns:xsd="http://www.w3.org/2001/XMLSchema" xmlns:xs="http://www.w3.org/2001/XMLSchema" xmlns:p="http://schemas.microsoft.com/office/2006/metadata/properties" xmlns:ns2="f1705c68-6c89-4e1a-8132-96fd054aff8e" xmlns:ns3="2f6434d8-f7e1-454e-8eff-383049aeed96" xmlns:ns4="dd5bd7cf-3cf0-426e-9e09-7226e937e916" targetNamespace="http://schemas.microsoft.com/office/2006/metadata/properties" ma:root="true" ma:fieldsID="551d032b8c5f3522dbf358dae9e72f14" ns2:_="" ns3:_="" ns4:_="">
    <xsd:import namespace="f1705c68-6c89-4e1a-8132-96fd054aff8e"/>
    <xsd:import namespace="2f6434d8-f7e1-454e-8eff-383049aeed96"/>
    <xsd:import namespace="dd5bd7cf-3cf0-426e-9e09-7226e937e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05c68-6c89-4e1a-8132-96fd054af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34d8-f7e1-454e-8eff-383049aee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d7cf-3cf0-426e-9e09-7226e937e9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1c470af-5cea-4ea1-b356-e2aa913b6c30}" ma:internalName="TaxCatchAll" ma:showField="CatchAllData" ma:web="dd5bd7cf-3cf0-426e-9e09-7226e937e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705c68-6c89-4e1a-8132-96fd054aff8e">
      <Terms xmlns="http://schemas.microsoft.com/office/infopath/2007/PartnerControls"/>
    </lcf76f155ced4ddcb4097134ff3c332f>
    <TaxCatchAll xmlns="dd5bd7cf-3cf0-426e-9e09-7226e937e916" xsi:nil="true"/>
  </documentManagement>
</p:properties>
</file>

<file path=customXml/itemProps1.xml><?xml version="1.0" encoding="utf-8"?>
<ds:datastoreItem xmlns:ds="http://schemas.openxmlformats.org/officeDocument/2006/customXml" ds:itemID="{1DA45A35-DD12-40C5-89EE-08A7058DE268}"/>
</file>

<file path=customXml/itemProps2.xml><?xml version="1.0" encoding="utf-8"?>
<ds:datastoreItem xmlns:ds="http://schemas.openxmlformats.org/officeDocument/2006/customXml" ds:itemID="{1B352C8A-F4BB-4013-B1A0-F904A7060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4BDF2-998D-4712-98EC-36C40130A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Cruikshank</dc:creator>
  <cp:lastModifiedBy>Rob Cruikshank</cp:lastModifiedBy>
  <cp:revision>2</cp:revision>
  <cp:lastPrinted>2020-04-24T15:58:00Z</cp:lastPrinted>
  <dcterms:created xsi:type="dcterms:W3CDTF">2021-03-26T12:48:00Z</dcterms:created>
  <dcterms:modified xsi:type="dcterms:W3CDTF">2021-03-26T12:48:00Z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0x010100CB73F9D3F3F1E04CACF01759EAAEFA4E</vt:lpwstr>
  </property>
</Properties>
</file>