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52186" w14:textId="709CB909" w:rsidR="00A07519" w:rsidRPr="00801A8E" w:rsidRDefault="00A07519" w:rsidP="00A07519">
      <w:pPr>
        <w:pStyle w:val="TitleAddressWebInfo"/>
      </w:pPr>
      <w:r>
        <w:t>399 Revolution Drive, Suite 675</w:t>
      </w:r>
    </w:p>
    <w:p w14:paraId="1963C2C3" w14:textId="77777777" w:rsidR="00A07519" w:rsidRPr="00801A8E" w:rsidRDefault="00A07519" w:rsidP="00A07519">
      <w:pPr>
        <w:pStyle w:val="TitleAddressWebInfo"/>
      </w:pPr>
      <w:r>
        <w:t>Somerville, MA 02145</w:t>
      </w:r>
    </w:p>
    <w:p w14:paraId="23336558" w14:textId="77777777" w:rsidR="00A07519" w:rsidRPr="00CA5E29" w:rsidRDefault="00A07519" w:rsidP="00A07519">
      <w:pPr>
        <w:pStyle w:val="TitleAddressWebInfo"/>
      </w:pPr>
      <w:r w:rsidRPr="00CA5E29">
        <w:t xml:space="preserve">T </w:t>
      </w:r>
      <w:r>
        <w:t>857-282-5151</w:t>
      </w:r>
    </w:p>
    <w:p w14:paraId="05C3A4C8" w14:textId="77777777" w:rsidR="00A07519" w:rsidRPr="00801A8E" w:rsidRDefault="00A07519" w:rsidP="00A07519">
      <w:pPr>
        <w:pStyle w:val="TitleAddressWebInfo"/>
      </w:pPr>
      <w:r w:rsidRPr="00801A8E">
        <w:t xml:space="preserve">M </w:t>
      </w:r>
      <w:r>
        <w:t>781-583-8750</w:t>
      </w:r>
    </w:p>
    <w:p w14:paraId="3A7CC235" w14:textId="297B0C89" w:rsidR="005918D3" w:rsidRDefault="005918D3">
      <w:r w:rsidRPr="00801A8E">
        <w:rPr>
          <w:noProof/>
        </w:rPr>
        <w:drawing>
          <wp:anchor distT="0" distB="0" distL="114300" distR="114300" simplePos="0" relativeHeight="251659264" behindDoc="1" locked="1" layoutInCell="1" allowOverlap="1" wp14:anchorId="52F1EA2F" wp14:editId="3C0F4A97">
            <wp:simplePos x="0" y="0"/>
            <wp:positionH relativeFrom="page">
              <wp:posOffset>914400</wp:posOffset>
            </wp:positionH>
            <wp:positionV relativeFrom="page">
              <wp:posOffset>628650</wp:posOffset>
            </wp:positionV>
            <wp:extent cx="2414016" cy="384048"/>
            <wp:effectExtent l="0" t="0" r="0" b="0"/>
            <wp:wrapNone/>
            <wp:docPr id="2" name="Picture 2" descr="Mass General Brigh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ass General Brigham"/>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14016" cy="384048"/>
                    </a:xfrm>
                    <a:prstGeom prst="rect">
                      <a:avLst/>
                    </a:prstGeom>
                  </pic:spPr>
                </pic:pic>
              </a:graphicData>
            </a:graphic>
            <wp14:sizeRelH relativeFrom="margin">
              <wp14:pctWidth>0</wp14:pctWidth>
            </wp14:sizeRelH>
            <wp14:sizeRelV relativeFrom="margin">
              <wp14:pctHeight>0</wp14:pctHeight>
            </wp14:sizeRelV>
          </wp:anchor>
        </w:drawing>
      </w:r>
    </w:p>
    <w:p w14:paraId="4A9E5608" w14:textId="37574F3E" w:rsidR="005918D3" w:rsidRDefault="005918D3">
      <w:r>
        <w:t>February 13, 2025</w:t>
      </w:r>
    </w:p>
    <w:p w14:paraId="26507776" w14:textId="77777777" w:rsidR="009A5613" w:rsidRDefault="009A5613" w:rsidP="00DD47EE">
      <w:pPr>
        <w:spacing w:after="0" w:line="254" w:lineRule="atLeast"/>
        <w:rPr>
          <w:color w:val="000000"/>
        </w:rPr>
      </w:pPr>
    </w:p>
    <w:p w14:paraId="3B95012C" w14:textId="3F9A8797" w:rsidR="00DD47EE" w:rsidRPr="00DD47EE" w:rsidRDefault="00DD47EE" w:rsidP="00DD47EE">
      <w:pPr>
        <w:spacing w:after="0" w:line="254" w:lineRule="atLeast"/>
        <w:rPr>
          <w:color w:val="000000"/>
        </w:rPr>
      </w:pPr>
      <w:r w:rsidRPr="00DD47EE">
        <w:rPr>
          <w:color w:val="000000"/>
        </w:rPr>
        <w:t xml:space="preserve">Dennis Renaud, Director </w:t>
      </w:r>
    </w:p>
    <w:p w14:paraId="5E5AD890" w14:textId="77777777" w:rsidR="00DD47EE" w:rsidRPr="00DD47EE" w:rsidRDefault="00DD47EE" w:rsidP="00DD47EE">
      <w:pPr>
        <w:spacing w:after="0" w:line="254" w:lineRule="atLeast"/>
        <w:rPr>
          <w:color w:val="000000"/>
        </w:rPr>
      </w:pPr>
      <w:r w:rsidRPr="00DD47EE">
        <w:rPr>
          <w:color w:val="000000"/>
        </w:rPr>
        <w:t>Department of Public Health </w:t>
      </w:r>
    </w:p>
    <w:p w14:paraId="5E32F583" w14:textId="77777777" w:rsidR="00DD47EE" w:rsidRPr="00DD47EE" w:rsidRDefault="00DD47EE" w:rsidP="00DD47EE">
      <w:pPr>
        <w:spacing w:after="0" w:line="254" w:lineRule="atLeast"/>
        <w:rPr>
          <w:color w:val="000000"/>
        </w:rPr>
      </w:pPr>
      <w:r w:rsidRPr="00DD47EE">
        <w:rPr>
          <w:color w:val="000000"/>
        </w:rPr>
        <w:t>Determination of Need Program </w:t>
      </w:r>
    </w:p>
    <w:p w14:paraId="64017D53" w14:textId="77777777" w:rsidR="00DD47EE" w:rsidRPr="00DD47EE" w:rsidRDefault="00DD47EE" w:rsidP="00DD47EE">
      <w:pPr>
        <w:spacing w:after="0" w:line="254" w:lineRule="atLeast"/>
        <w:rPr>
          <w:color w:val="000000"/>
        </w:rPr>
      </w:pPr>
      <w:r w:rsidRPr="00DD47EE">
        <w:rPr>
          <w:color w:val="000000"/>
        </w:rPr>
        <w:t>67 Forest Street </w:t>
      </w:r>
    </w:p>
    <w:p w14:paraId="2831D815" w14:textId="77777777" w:rsidR="00DD47EE" w:rsidRPr="00DD47EE" w:rsidRDefault="00DD47EE" w:rsidP="00DD47EE">
      <w:pPr>
        <w:spacing w:after="0" w:line="254" w:lineRule="atLeast"/>
        <w:rPr>
          <w:color w:val="000000"/>
        </w:rPr>
      </w:pPr>
      <w:r w:rsidRPr="00DD47EE">
        <w:rPr>
          <w:color w:val="000000"/>
        </w:rPr>
        <w:t>Marlborough, MA 01752 </w:t>
      </w:r>
    </w:p>
    <w:p w14:paraId="79FEFC00" w14:textId="77777777" w:rsidR="006B485E" w:rsidRDefault="006B485E"/>
    <w:p w14:paraId="656646C5" w14:textId="5C0E1858" w:rsidR="008B1490" w:rsidRDefault="008B1490" w:rsidP="00955802">
      <w:pPr>
        <w:spacing w:after="0" w:line="240" w:lineRule="auto"/>
      </w:pPr>
      <w:r w:rsidRPr="00C95B1F">
        <w:t>Dear Director Renaud,</w:t>
      </w:r>
    </w:p>
    <w:p w14:paraId="376D282A" w14:textId="77777777" w:rsidR="004E6FFD" w:rsidRDefault="004E6FFD" w:rsidP="009F1218">
      <w:pPr>
        <w:spacing w:line="240" w:lineRule="auto"/>
      </w:pPr>
    </w:p>
    <w:p w14:paraId="71061263" w14:textId="77777777" w:rsidR="009F1218" w:rsidRDefault="009F1218" w:rsidP="009F1218">
      <w:pPr>
        <w:spacing w:after="0" w:line="240" w:lineRule="auto"/>
      </w:pPr>
      <w:r w:rsidRPr="00C95B1F">
        <w:t>Re: Application # DFCI-2304915-HE</w:t>
      </w:r>
      <w:r>
        <w:t xml:space="preserve"> (Application)</w:t>
      </w:r>
    </w:p>
    <w:p w14:paraId="0E1518E5" w14:textId="77777777" w:rsidR="009F1218" w:rsidRPr="00C95B1F" w:rsidRDefault="009F1218" w:rsidP="009F1218">
      <w:pPr>
        <w:spacing w:after="0" w:line="240" w:lineRule="auto"/>
      </w:pPr>
    </w:p>
    <w:p w14:paraId="2141CCB7" w14:textId="25CA41D7" w:rsidR="008B1490" w:rsidRPr="00C95B1F" w:rsidRDefault="008B1490" w:rsidP="009F1218">
      <w:pPr>
        <w:spacing w:after="0"/>
      </w:pPr>
      <w:r w:rsidRPr="00C95B1F">
        <w:t>On behalf of the Mass General Brigham Ten Taxpayer Group</w:t>
      </w:r>
      <w:r w:rsidR="00AD5CF4" w:rsidRPr="00C95B1F">
        <w:t xml:space="preserve"> (MGB)</w:t>
      </w:r>
      <w:r w:rsidRPr="00C95B1F">
        <w:t xml:space="preserve">, we write to provide comments </w:t>
      </w:r>
      <w:r w:rsidR="00A8654F">
        <w:t>with respect to</w:t>
      </w:r>
      <w:r w:rsidR="00A8654F" w:rsidRPr="00C95B1F">
        <w:t xml:space="preserve"> </w:t>
      </w:r>
      <w:r w:rsidRPr="00C95B1F">
        <w:t xml:space="preserve">the recently completed independent cost-analysis (ICA) for the above-referenced Determination of Need Application filed </w:t>
      </w:r>
      <w:r w:rsidR="00CF4327" w:rsidRPr="00C95B1F">
        <w:t xml:space="preserve">by Dana Farber Cancer Institute (DFCI) </w:t>
      </w:r>
      <w:r w:rsidRPr="00C95B1F">
        <w:t>with the Department of Public Health (Department or DPH)</w:t>
      </w:r>
      <w:r w:rsidR="002A4C15" w:rsidRPr="00C95B1F">
        <w:t xml:space="preserve">. </w:t>
      </w:r>
      <w:r w:rsidRPr="00C95B1F">
        <w:t xml:space="preserve">The ICA was completed by FTI Consulting, Inc. (FTI). Consistent with the </w:t>
      </w:r>
      <w:proofErr w:type="spellStart"/>
      <w:r w:rsidRPr="00C95B1F">
        <w:t>DoN</w:t>
      </w:r>
      <w:proofErr w:type="spellEnd"/>
      <w:r w:rsidRPr="00C95B1F">
        <w:t xml:space="preserve"> statute and regulation, the Department requested that FTI provide an analysis to demonstrate that the Application is consistent with the Commonwealth's efforts to meet the health care cost-containment goals established by the Health Policy Commission (HPC)</w:t>
      </w:r>
      <w:r w:rsidR="002A4C15" w:rsidRPr="00C95B1F">
        <w:t xml:space="preserve">. </w:t>
      </w:r>
      <w:r w:rsidRPr="00C95B1F">
        <w:t>The Department asked FTI to consider the impact of the Proposed Project on utilization, capacity, prices, competition, equitable access, and healthcare costs of the services contemplated by the Proposed Project and to assess the bearers of any cost impacts</w:t>
      </w:r>
      <w:r w:rsidR="002A4C15" w:rsidRPr="00C95B1F">
        <w:t xml:space="preserve">. </w:t>
      </w:r>
      <w:r w:rsidR="00A8654F">
        <w:t>As a Party of Record to the Application, we are providing comments pursuant to 105 CMR 100.405(D) and request the Department to review and consider these comments in issuing its staff recommendation</w:t>
      </w:r>
      <w:r w:rsidR="002A4C15">
        <w:t xml:space="preserve">. </w:t>
      </w:r>
    </w:p>
    <w:p w14:paraId="74099B59" w14:textId="09FA0D41" w:rsidR="008B1490" w:rsidRDefault="00AD5CF4">
      <w:r w:rsidRPr="00C95B1F">
        <w:t xml:space="preserve">As further detailed in this letter, the ICA </w:t>
      </w:r>
      <w:r w:rsidR="00A8654F">
        <w:t xml:space="preserve">is based on </w:t>
      </w:r>
      <w:r w:rsidRPr="00C95B1F">
        <w:t xml:space="preserve">a flawed assumption about </w:t>
      </w:r>
      <w:r w:rsidR="00A8654F">
        <w:t xml:space="preserve">how patients </w:t>
      </w:r>
      <w:r w:rsidR="009C4DFD">
        <w:t>a</w:t>
      </w:r>
      <w:r w:rsidR="00A8654F">
        <w:t xml:space="preserve">re </w:t>
      </w:r>
      <w:proofErr w:type="gramStart"/>
      <w:r w:rsidR="00A8654F">
        <w:t>referred</w:t>
      </w:r>
      <w:proofErr w:type="gramEnd"/>
      <w:r w:rsidR="00A8654F">
        <w:t xml:space="preserve"> for cancer care,</w:t>
      </w:r>
      <w:r w:rsidRPr="00C95B1F">
        <w:t xml:space="preserve"> </w:t>
      </w:r>
      <w:r w:rsidR="00317491" w:rsidRPr="00C95B1F">
        <w:t xml:space="preserve">incorrectly assigning Brigham and Women’s Hospital (BWH) patients to DFCI, </w:t>
      </w:r>
      <w:r w:rsidRPr="00C95B1F">
        <w:t>which leads to an underestimation of the increased healthcare costs</w:t>
      </w:r>
      <w:r w:rsidR="002F1CB3">
        <w:t xml:space="preserve"> </w:t>
      </w:r>
      <w:r w:rsidR="00A8654F">
        <w:t xml:space="preserve">that will result from the </w:t>
      </w:r>
      <w:r w:rsidRPr="00C95B1F">
        <w:t>Proposed Project</w:t>
      </w:r>
      <w:r w:rsidR="002A4C15" w:rsidRPr="00C95B1F">
        <w:t xml:space="preserve">. </w:t>
      </w:r>
      <w:r w:rsidR="002F1CB3" w:rsidRPr="00C95B1F">
        <w:t>Be</w:t>
      </w:r>
      <w:r w:rsidR="002F1CB3">
        <w:t>cause</w:t>
      </w:r>
      <w:r w:rsidR="00A8654F">
        <w:t xml:space="preserve"> of this flawed assumption regarding patient referral patterns, </w:t>
      </w:r>
      <w:r w:rsidR="00317491" w:rsidRPr="00C95B1F">
        <w:t xml:space="preserve">the analysis fails </w:t>
      </w:r>
      <w:r w:rsidR="00A8654F">
        <w:t xml:space="preserve">to recognize that the new hospital proposed by </w:t>
      </w:r>
      <w:r w:rsidRPr="00C95B1F">
        <w:t xml:space="preserve">DFCI will </w:t>
      </w:r>
      <w:r w:rsidR="00A8654F">
        <w:t xml:space="preserve">inevitably need to </w:t>
      </w:r>
      <w:r w:rsidRPr="00C95B1F">
        <w:t>draw</w:t>
      </w:r>
      <w:r w:rsidR="00317491" w:rsidRPr="00C95B1F">
        <w:t xml:space="preserve"> </w:t>
      </w:r>
      <w:proofErr w:type="gramStart"/>
      <w:r w:rsidR="00317491" w:rsidRPr="00C95B1F">
        <w:t>a large number of</w:t>
      </w:r>
      <w:proofErr w:type="gramEnd"/>
      <w:r w:rsidRPr="00C95B1F">
        <w:t xml:space="preserve"> patients from other AMCs and community hospitals</w:t>
      </w:r>
      <w:r w:rsidR="00A8654F">
        <w:t xml:space="preserve"> in order to be financially viable, ultimately</w:t>
      </w:r>
      <w:r w:rsidRPr="00C95B1F">
        <w:t xml:space="preserve"> driving up the costs of cancer care</w:t>
      </w:r>
      <w:r w:rsidR="00317491" w:rsidRPr="00C95B1F">
        <w:t xml:space="preserve"> and burdening </w:t>
      </w:r>
      <w:r w:rsidR="00A8654F">
        <w:t xml:space="preserve">existing </w:t>
      </w:r>
      <w:r w:rsidR="00317491" w:rsidRPr="00C95B1F">
        <w:t>hospitals</w:t>
      </w:r>
      <w:r w:rsidR="00A8654F">
        <w:t xml:space="preserve"> that provide cancer services</w:t>
      </w:r>
      <w:r w:rsidRPr="00C95B1F">
        <w:t>.  In addition, the ICA</w:t>
      </w:r>
      <w:r w:rsidR="00A8654F">
        <w:t xml:space="preserve"> significantly underestimates the impact on Medicare reimbursement due to the costs </w:t>
      </w:r>
      <w:r w:rsidRPr="00C95B1F">
        <w:t xml:space="preserve">for the care </w:t>
      </w:r>
      <w:r w:rsidR="00A8654F">
        <w:t>to operate a 300</w:t>
      </w:r>
      <w:r w:rsidR="00647020">
        <w:t>-</w:t>
      </w:r>
      <w:r w:rsidR="00A8654F">
        <w:t>bed hospital</w:t>
      </w:r>
      <w:r w:rsidR="002A4C15">
        <w:t>.</w:t>
      </w:r>
      <w:r w:rsidR="002A4C15" w:rsidRPr="00C95B1F">
        <w:t xml:space="preserve"> </w:t>
      </w:r>
      <w:r w:rsidR="00317491" w:rsidRPr="00C95B1F">
        <w:t xml:space="preserve">The analysis also fails to account for the financial </w:t>
      </w:r>
      <w:r w:rsidR="00A8654F">
        <w:t xml:space="preserve">and operational </w:t>
      </w:r>
      <w:r w:rsidR="00317491" w:rsidRPr="00C95B1F">
        <w:t xml:space="preserve">impact on existing emergency departments, which are already over capacity, fails to account for the impact of the project on healthcare labor costs, and fails to account for </w:t>
      </w:r>
      <w:proofErr w:type="gramStart"/>
      <w:r w:rsidR="00317491" w:rsidRPr="00C95B1F">
        <w:t>a proposed</w:t>
      </w:r>
      <w:proofErr w:type="gramEnd"/>
      <w:r w:rsidR="00317491" w:rsidRPr="00C95B1F">
        <w:t xml:space="preserve"> over-resourcing of the area with new imaging </w:t>
      </w:r>
      <w:r w:rsidR="00A8654F">
        <w:t xml:space="preserve">and radiation therapy </w:t>
      </w:r>
      <w:r w:rsidR="00317491" w:rsidRPr="00C95B1F">
        <w:t>equipment</w:t>
      </w:r>
      <w:r w:rsidR="009A49E1" w:rsidRPr="00C95B1F">
        <w:t xml:space="preserve">. </w:t>
      </w:r>
    </w:p>
    <w:p w14:paraId="4BCFE27E" w14:textId="77777777" w:rsidR="00F518BF" w:rsidRPr="00C95B1F" w:rsidRDefault="00F518BF"/>
    <w:p w14:paraId="69BAA124" w14:textId="0B2E431C" w:rsidR="005254D4" w:rsidRPr="00CE0E0F" w:rsidRDefault="00F518BF">
      <w:pPr>
        <w:rPr>
          <w:b/>
          <w:bCs/>
          <w:u w:val="single"/>
        </w:rPr>
      </w:pPr>
      <w:r>
        <w:rPr>
          <w:b/>
          <w:bCs/>
          <w:u w:val="single"/>
        </w:rPr>
        <w:t>The</w:t>
      </w:r>
      <w:r w:rsidR="00A8654F">
        <w:rPr>
          <w:b/>
          <w:bCs/>
          <w:u w:val="single"/>
        </w:rPr>
        <w:t xml:space="preserve"> Patient Panel established in the</w:t>
      </w:r>
      <w:r>
        <w:rPr>
          <w:b/>
          <w:bCs/>
          <w:u w:val="single"/>
        </w:rPr>
        <w:t xml:space="preserve"> ICA</w:t>
      </w:r>
      <w:r w:rsidR="00A8654F">
        <w:rPr>
          <w:b/>
          <w:bCs/>
          <w:u w:val="single"/>
        </w:rPr>
        <w:t xml:space="preserve"> does not reflect how patients are </w:t>
      </w:r>
      <w:proofErr w:type="gramStart"/>
      <w:r w:rsidR="00A8654F">
        <w:rPr>
          <w:b/>
          <w:bCs/>
          <w:u w:val="single"/>
        </w:rPr>
        <w:t>referred</w:t>
      </w:r>
      <w:proofErr w:type="gramEnd"/>
      <w:r w:rsidR="00A8654F">
        <w:rPr>
          <w:b/>
          <w:bCs/>
          <w:u w:val="single"/>
        </w:rPr>
        <w:t xml:space="preserve"> for cancer care</w:t>
      </w:r>
      <w:r w:rsidR="00C80F8D">
        <w:rPr>
          <w:b/>
          <w:bCs/>
          <w:u w:val="single"/>
        </w:rPr>
        <w:t>.</w:t>
      </w:r>
    </w:p>
    <w:p w14:paraId="7DDBE29B" w14:textId="505FD168" w:rsidR="00892368" w:rsidRDefault="00F518BF" w:rsidP="00CF4327">
      <w:r>
        <w:lastRenderedPageBreak/>
        <w:t>The ICA’s</w:t>
      </w:r>
      <w:r w:rsidR="00CF4327">
        <w:t xml:space="preserve"> analysis </w:t>
      </w:r>
      <w:r w:rsidR="00A8654F">
        <w:t xml:space="preserve">is based </w:t>
      </w:r>
      <w:proofErr w:type="gramStart"/>
      <w:r w:rsidR="00A8654F">
        <w:t>in</w:t>
      </w:r>
      <w:proofErr w:type="gramEnd"/>
      <w:r w:rsidR="00A8654F">
        <w:t xml:space="preserve"> the</w:t>
      </w:r>
      <w:r w:rsidR="00CF4327">
        <w:t xml:space="preserve"> </w:t>
      </w:r>
      <w:r w:rsidR="002E47BA">
        <w:t xml:space="preserve">flawed </w:t>
      </w:r>
      <w:r w:rsidR="00CF4327">
        <w:t xml:space="preserve">assumption </w:t>
      </w:r>
      <w:r w:rsidR="005B7162">
        <w:t xml:space="preserve">that most of the </w:t>
      </w:r>
      <w:r w:rsidR="005254D4">
        <w:t xml:space="preserve">volume at the new DFCI </w:t>
      </w:r>
      <w:r w:rsidR="005B7162">
        <w:t>h</w:t>
      </w:r>
      <w:r w:rsidR="005254D4">
        <w:t>ospital will come primarily from Brigham and Women’s Hospital</w:t>
      </w:r>
      <w:r w:rsidR="00A8654F">
        <w:t>’s (BWH) existing Patient Panel</w:t>
      </w:r>
      <w:r w:rsidR="002A4C15">
        <w:t xml:space="preserve">. </w:t>
      </w:r>
      <w:r w:rsidR="00092C8F">
        <w:t xml:space="preserve">The methodology used in the ICA </w:t>
      </w:r>
      <w:r w:rsidR="00CF4327">
        <w:t>to support this assumption</w:t>
      </w:r>
      <w:r w:rsidR="002E47BA">
        <w:t xml:space="preserve"> </w:t>
      </w:r>
      <w:r w:rsidR="00092C8F">
        <w:t>(matching patient</w:t>
      </w:r>
      <w:r w:rsidR="001A460C">
        <w:t>s</w:t>
      </w:r>
      <w:r w:rsidR="00092C8F">
        <w:t xml:space="preserve"> based on </w:t>
      </w:r>
      <w:r w:rsidR="001A460C">
        <w:t xml:space="preserve">their </w:t>
      </w:r>
      <w:r w:rsidR="00092C8F">
        <w:t>attending physician</w:t>
      </w:r>
      <w:r w:rsidR="00892368">
        <w:t xml:space="preserve"> during their inpatient </w:t>
      </w:r>
      <w:r w:rsidR="00A8654F">
        <w:t>admission at BWH in BWH licensed beds</w:t>
      </w:r>
      <w:r w:rsidR="00092C8F">
        <w:t xml:space="preserve">) does not account for </w:t>
      </w:r>
      <w:r w:rsidR="00CF4327">
        <w:t>how patients are typically referred for cancer care</w:t>
      </w:r>
      <w:r w:rsidR="00A8654F">
        <w:t>, that is</w:t>
      </w:r>
      <w:r>
        <w:t>:</w:t>
      </w:r>
      <w:r w:rsidR="00CF4327">
        <w:t xml:space="preserve"> through </w:t>
      </w:r>
      <w:r w:rsidR="00A8654F">
        <w:t xml:space="preserve">the patient’s </w:t>
      </w:r>
      <w:r w:rsidR="00CC3639">
        <w:t>primary care and</w:t>
      </w:r>
      <w:r w:rsidR="00A8654F">
        <w:t>/or specialty provider</w:t>
      </w:r>
      <w:r w:rsidR="002A4C15">
        <w:t xml:space="preserve">. </w:t>
      </w:r>
      <w:r w:rsidR="008F75CF">
        <w:t xml:space="preserve">In addition, </w:t>
      </w:r>
      <w:r w:rsidR="005A2342">
        <w:t xml:space="preserve">referrals </w:t>
      </w:r>
      <w:r w:rsidR="008F75CF">
        <w:t>for many types of cancers</w:t>
      </w:r>
      <w:r w:rsidR="000D15F9">
        <w:t xml:space="preserve"> </w:t>
      </w:r>
      <w:r w:rsidR="005A2342">
        <w:t xml:space="preserve">go </w:t>
      </w:r>
      <w:r w:rsidR="000D15F9">
        <w:t xml:space="preserve">directly from </w:t>
      </w:r>
      <w:r w:rsidR="00647020">
        <w:t xml:space="preserve">a patient’s </w:t>
      </w:r>
      <w:r w:rsidR="000D15F9">
        <w:t>primary</w:t>
      </w:r>
      <w:r w:rsidR="00647020">
        <w:t xml:space="preserve"> or </w:t>
      </w:r>
      <w:r w:rsidR="000D15F9">
        <w:t>specialty</w:t>
      </w:r>
      <w:r w:rsidR="00E360C0">
        <w:t xml:space="preserve"> care </w:t>
      </w:r>
      <w:r w:rsidR="00647020">
        <w:t xml:space="preserve">provider </w:t>
      </w:r>
      <w:r w:rsidR="00F06241">
        <w:t>to</w:t>
      </w:r>
      <w:r w:rsidR="00E360C0">
        <w:t xml:space="preserve"> </w:t>
      </w:r>
      <w:r w:rsidR="00647020">
        <w:t xml:space="preserve"> </w:t>
      </w:r>
      <w:r w:rsidR="00E360C0">
        <w:t>surgical or radiation oncology</w:t>
      </w:r>
      <w:r w:rsidR="00647020">
        <w:t>.</w:t>
      </w:r>
      <w:r w:rsidR="00647020">
        <w:rPr>
          <w:rStyle w:val="FootnoteReference"/>
        </w:rPr>
        <w:footnoteReference w:id="2"/>
      </w:r>
      <w:r w:rsidR="00647020">
        <w:t xml:space="preserve">  This is particularly relevant to the ICA because DFCI does not propose to have any surgical oncology at the new hospital, only medical oncology, and therefore MGB patients who need surgical oncology will continue to be referred to and treated at</w:t>
      </w:r>
      <w:r w:rsidR="00772250">
        <w:t xml:space="preserve"> BWH or another</w:t>
      </w:r>
      <w:r w:rsidR="00647020">
        <w:t xml:space="preserve"> MGB facility</w:t>
      </w:r>
      <w:r w:rsidR="00772250">
        <w:t xml:space="preserve">, while other </w:t>
      </w:r>
      <w:r w:rsidR="005A2342">
        <w:t xml:space="preserve">cancer </w:t>
      </w:r>
      <w:r w:rsidR="00772250">
        <w:t>patients who need surgery will be referred to BIDMC or another facility with surgical capacity</w:t>
      </w:r>
      <w:r w:rsidR="00647020">
        <w:t xml:space="preserve">. </w:t>
      </w:r>
      <w:r w:rsidR="00E360C0">
        <w:t xml:space="preserve"> </w:t>
      </w:r>
    </w:p>
    <w:p w14:paraId="3302DD80" w14:textId="361DA14F" w:rsidR="00892368" w:rsidRDefault="002E47BA" w:rsidP="00C95B1F">
      <w:r>
        <w:t xml:space="preserve">The ICA </w:t>
      </w:r>
      <w:r w:rsidR="00A8654F">
        <w:t xml:space="preserve">asserts that </w:t>
      </w:r>
      <w:r>
        <w:t xml:space="preserve">the patients currently at BWH </w:t>
      </w:r>
      <w:r w:rsidR="00A8654F">
        <w:t xml:space="preserve">will instead receive inpatient care at the </w:t>
      </w:r>
      <w:r>
        <w:t>new DFCI facility</w:t>
      </w:r>
      <w:r w:rsidR="002A4C15">
        <w:t xml:space="preserve">. </w:t>
      </w:r>
      <w:r w:rsidR="00A8654F">
        <w:t xml:space="preserve">The basis for this assertion is that </w:t>
      </w:r>
      <w:r>
        <w:t>physicians with privileges at DFCI</w:t>
      </w:r>
      <w:r w:rsidR="00A8654F">
        <w:t xml:space="preserve"> will direct patients to the new facility</w:t>
      </w:r>
      <w:r>
        <w:t xml:space="preserve">. </w:t>
      </w:r>
      <w:r w:rsidR="00892368">
        <w:t xml:space="preserve">From </w:t>
      </w:r>
      <w:r w:rsidR="00A8654F">
        <w:t xml:space="preserve">a </w:t>
      </w:r>
      <w:r w:rsidR="00892368">
        <w:t>roster</w:t>
      </w:r>
      <w:r w:rsidR="00A8654F">
        <w:t xml:space="preserve"> of 1,764 physicians</w:t>
      </w:r>
      <w:r w:rsidR="00EC0D9B">
        <w:t xml:space="preserve"> with privileges at DFCI</w:t>
      </w:r>
      <w:r w:rsidR="00A8654F">
        <w:t>, provided by DFCI to FTI</w:t>
      </w:r>
      <w:r w:rsidR="00892368">
        <w:t xml:space="preserve">, </w:t>
      </w:r>
      <w:r w:rsidR="00F518BF">
        <w:t xml:space="preserve">the ICA </w:t>
      </w:r>
      <w:proofErr w:type="gramStart"/>
      <w:r w:rsidR="00F518BF">
        <w:t>labels as</w:t>
      </w:r>
      <w:proofErr w:type="gramEnd"/>
      <w:r w:rsidR="00F518BF">
        <w:t xml:space="preserve"> DFCI </w:t>
      </w:r>
      <w:r w:rsidR="00892368">
        <w:t xml:space="preserve">physicians </w:t>
      </w:r>
      <w:r w:rsidR="00F518BF">
        <w:t xml:space="preserve">any </w:t>
      </w:r>
      <w:r w:rsidR="00892368">
        <w:t>who have at least five discharges from BWH and at least 25% of their inpatient discharges are for neoplasm patients</w:t>
      </w:r>
      <w:r w:rsidR="002A4C15">
        <w:t xml:space="preserve">. </w:t>
      </w:r>
      <w:r w:rsidR="00892368">
        <w:t xml:space="preserve">As shown in Table 4 of the ICA, for 2022, </w:t>
      </w:r>
      <w:r w:rsidR="009C5C7D">
        <w:t xml:space="preserve">based on this identification of physicians, </w:t>
      </w:r>
      <w:r w:rsidR="00892368">
        <w:t>FTI attributes 6,434 inpatient cancer care discharges from BWH beds to DFCI</w:t>
      </w:r>
      <w:r w:rsidR="002A4C15">
        <w:t xml:space="preserve">. </w:t>
      </w:r>
      <w:r w:rsidR="00892368">
        <w:t>This is based on the flawed theory that</w:t>
      </w:r>
      <w:r w:rsidR="00F518BF">
        <w:t xml:space="preserve"> because</w:t>
      </w:r>
      <w:r w:rsidR="00892368">
        <w:t xml:space="preserve"> these patients were treated </w:t>
      </w:r>
      <w:r w:rsidR="00A8654F">
        <w:t xml:space="preserve">in a BWH licensed bed </w:t>
      </w:r>
      <w:r w:rsidR="00892368">
        <w:t>by an attending physician with privileges at DFCI</w:t>
      </w:r>
      <w:r w:rsidR="00F518BF">
        <w:t xml:space="preserve">, </w:t>
      </w:r>
      <w:r w:rsidR="00A8654F">
        <w:t xml:space="preserve">these patients </w:t>
      </w:r>
      <w:r w:rsidR="00F518BF">
        <w:t>are DFCI patients</w:t>
      </w:r>
      <w:r w:rsidR="00892368">
        <w:t xml:space="preserve">. </w:t>
      </w:r>
      <w:r w:rsidR="00A8654F">
        <w:t xml:space="preserve">What the ICA does not recognize is that there are nuances that need to be considered in assigning patients to a particular provider and it is not as straightforward as asserting that a </w:t>
      </w:r>
      <w:r w:rsidR="002F1CB3">
        <w:t>physician</w:t>
      </w:r>
      <w:r w:rsidR="00A8654F">
        <w:t xml:space="preserve"> is a DFCI provider based on having some treatment relationship with a patient admitted to BWH</w:t>
      </w:r>
      <w:r w:rsidR="002A4C15">
        <w:t xml:space="preserve">. </w:t>
      </w:r>
      <w:r w:rsidR="00A8654F">
        <w:t xml:space="preserve">Under the existing </w:t>
      </w:r>
      <w:r w:rsidR="00892368">
        <w:t>DFCI/BWH</w:t>
      </w:r>
      <w:r w:rsidR="00A8654F">
        <w:t xml:space="preserve"> arrangement</w:t>
      </w:r>
      <w:r w:rsidR="00892368">
        <w:t xml:space="preserve">, almost </w:t>
      </w:r>
      <w:r w:rsidR="00325741">
        <w:t>all</w:t>
      </w:r>
      <w:r w:rsidR="00892368">
        <w:t xml:space="preserve"> the MGB attending physicians treating cancer patients at BWH </w:t>
      </w:r>
      <w:r w:rsidR="00A8654F">
        <w:t xml:space="preserve">also </w:t>
      </w:r>
      <w:r w:rsidR="00892368">
        <w:t>have privileges at DFCI</w:t>
      </w:r>
      <w:r w:rsidR="002A4C15">
        <w:t xml:space="preserve">. </w:t>
      </w:r>
      <w:r w:rsidR="00892368">
        <w:t>FTI identifies these physicians as “DFCI providers” but they are not</w:t>
      </w:r>
      <w:r w:rsidR="002A4C15">
        <w:t xml:space="preserve">. </w:t>
      </w:r>
      <w:r w:rsidR="00892368">
        <w:t xml:space="preserve">Instead, these physicians are based at and </w:t>
      </w:r>
      <w:r w:rsidR="00BB60A7">
        <w:t>employed by</w:t>
      </w:r>
      <w:r w:rsidR="00892368">
        <w:t xml:space="preserve"> BWH</w:t>
      </w:r>
      <w:r w:rsidR="00EC0D9B">
        <w:rPr>
          <w:rStyle w:val="FootnoteReference"/>
        </w:rPr>
        <w:footnoteReference w:id="3"/>
      </w:r>
      <w:r w:rsidR="00A8654F">
        <w:t xml:space="preserve"> and therefore,</w:t>
      </w:r>
      <w:r w:rsidR="00892368">
        <w:t xml:space="preserve"> these patients should be attributed to BWH, not DFCI</w:t>
      </w:r>
      <w:r w:rsidR="002A4C15">
        <w:t xml:space="preserve">. </w:t>
      </w:r>
      <w:r w:rsidR="00892368">
        <w:t xml:space="preserve">Attributing these </w:t>
      </w:r>
      <w:r w:rsidR="00A8654F">
        <w:t xml:space="preserve">patient discharges </w:t>
      </w:r>
      <w:r w:rsidR="00892368">
        <w:t>to DFCI erroneously</w:t>
      </w:r>
      <w:r w:rsidR="00A8654F">
        <w:t xml:space="preserve"> and exponentially</w:t>
      </w:r>
      <w:r w:rsidR="00892368">
        <w:t xml:space="preserve"> increases the number of patients allocated to DFCI</w:t>
      </w:r>
      <w:r w:rsidR="00E8634F">
        <w:t xml:space="preserve"> in the ICA</w:t>
      </w:r>
      <w:r w:rsidR="002A4C15">
        <w:t xml:space="preserve">. </w:t>
      </w:r>
      <w:r w:rsidR="00C80F8D">
        <w:t>It is also worth noting that the ICA mischaracterizes the beds at BWH. DFCI leases 30 beds from BWH</w:t>
      </w:r>
      <w:r w:rsidR="002A4C15">
        <w:t xml:space="preserve">. </w:t>
      </w:r>
      <w:r w:rsidR="00C80F8D">
        <w:t xml:space="preserve">The remaining beds </w:t>
      </w:r>
      <w:r w:rsidR="00E8634F">
        <w:t xml:space="preserve">in which DFCI attending physicians treat patients are for patients at BWH and </w:t>
      </w:r>
      <w:r w:rsidR="00C80F8D">
        <w:t>are not leased to DFCI</w:t>
      </w:r>
      <w:r w:rsidR="002A4C15">
        <w:t xml:space="preserve">. </w:t>
      </w:r>
      <w:r w:rsidR="00C80F8D">
        <w:t xml:space="preserve">These are BWH-licensed beds, </w:t>
      </w:r>
      <w:r w:rsidR="00E8634F">
        <w:t>and as such the patients in these beds are admitted to and are patients of BWH and are treat</w:t>
      </w:r>
      <w:r w:rsidR="002F1CB3">
        <w:t>e</w:t>
      </w:r>
      <w:r w:rsidR="00E8634F">
        <w:t xml:space="preserve">d by </w:t>
      </w:r>
      <w:r w:rsidR="00C80F8D">
        <w:t>BWH providers</w:t>
      </w:r>
      <w:r w:rsidR="002A4C15">
        <w:t xml:space="preserve">. </w:t>
      </w:r>
    </w:p>
    <w:p w14:paraId="591C70F6" w14:textId="7C07811A" w:rsidR="00E04961" w:rsidRDefault="00CE0E0F" w:rsidP="00CF4327">
      <w:r>
        <w:t xml:space="preserve">MGB agrees that a cancer patient’s physician is an important factor in their choice of hospital but disagrees with how </w:t>
      </w:r>
      <w:r w:rsidR="00C80F8D">
        <w:t>the ICA</w:t>
      </w:r>
      <w:r>
        <w:t xml:space="preserve"> allocates patients</w:t>
      </w:r>
      <w:r w:rsidR="002A4C15">
        <w:t xml:space="preserve">. </w:t>
      </w:r>
      <w:r>
        <w:t>Instead of looking at the affiliation of the attending physician</w:t>
      </w:r>
      <w:r w:rsidR="00EC0D9B">
        <w:t xml:space="preserve"> for an episodic inpatient visit</w:t>
      </w:r>
      <w:r>
        <w:t xml:space="preserve">, </w:t>
      </w:r>
      <w:r w:rsidR="00C80F8D">
        <w:t>the ICA</w:t>
      </w:r>
      <w:r>
        <w:t xml:space="preserve"> should look at the primary </w:t>
      </w:r>
      <w:r w:rsidR="00CC3639">
        <w:t xml:space="preserve">care and </w:t>
      </w:r>
      <w:r w:rsidR="00E8634F">
        <w:t xml:space="preserve">specialty provider </w:t>
      </w:r>
      <w:r w:rsidR="00152067">
        <w:t>relationships since</w:t>
      </w:r>
      <w:r w:rsidR="00CC3639">
        <w:t xml:space="preserve"> they hold </w:t>
      </w:r>
      <w:r w:rsidR="00E8634F">
        <w:t xml:space="preserve">and maintain the </w:t>
      </w:r>
      <w:r w:rsidR="00CC3639">
        <w:t xml:space="preserve">long-term </w:t>
      </w:r>
      <w:r w:rsidR="00E8634F">
        <w:t>provider-</w:t>
      </w:r>
      <w:r w:rsidR="00CC3639">
        <w:t xml:space="preserve">patient relationship and </w:t>
      </w:r>
      <w:r>
        <w:t xml:space="preserve">are </w:t>
      </w:r>
      <w:r w:rsidR="00CC3639">
        <w:t xml:space="preserve">the </w:t>
      </w:r>
      <w:r w:rsidR="00892368">
        <w:t xml:space="preserve">most frequent </w:t>
      </w:r>
      <w:r w:rsidR="00CC3639">
        <w:t>referrers</w:t>
      </w:r>
      <w:r w:rsidR="00E8634F">
        <w:t xml:space="preserve"> of</w:t>
      </w:r>
      <w:r w:rsidR="00CC3639">
        <w:t xml:space="preserve"> </w:t>
      </w:r>
      <w:r w:rsidR="00E8634F">
        <w:t>patients to</w:t>
      </w:r>
      <w:r>
        <w:t xml:space="preserve"> BWH</w:t>
      </w:r>
      <w:r w:rsidR="00E8634F">
        <w:t xml:space="preserve"> for cancer care</w:t>
      </w:r>
      <w:r>
        <w:t>.</w:t>
      </w:r>
      <w:r w:rsidR="004A5206">
        <w:rPr>
          <w:rStyle w:val="FootnoteReference"/>
        </w:rPr>
        <w:footnoteReference w:id="4"/>
      </w:r>
      <w:r>
        <w:t xml:space="preserve">  </w:t>
      </w:r>
      <w:r w:rsidR="008525D7">
        <w:t xml:space="preserve">MGB has a primary patient relationship with over </w:t>
      </w:r>
      <w:r w:rsidR="008525D7">
        <w:lastRenderedPageBreak/>
        <w:t xml:space="preserve">70% of patients </w:t>
      </w:r>
      <w:proofErr w:type="gramStart"/>
      <w:r w:rsidR="008525D7">
        <w:t>seen</w:t>
      </w:r>
      <w:proofErr w:type="gramEnd"/>
      <w:r w:rsidR="008525D7">
        <w:t xml:space="preserve"> at </w:t>
      </w:r>
      <w:r w:rsidR="00892368">
        <w:t>Dana Farber/Brigham and Women’s Hospital Cancer Center</w:t>
      </w:r>
      <w:r w:rsidR="00E8634F">
        <w:t xml:space="preserve"> at BWH</w:t>
      </w:r>
      <w:r w:rsidR="008525D7">
        <w:t>.  Of those</w:t>
      </w:r>
      <w:r w:rsidR="00E8634F">
        <w:t xml:space="preserve"> patients</w:t>
      </w:r>
      <w:r w:rsidR="008525D7">
        <w:t>, 25% have a primary care relationship</w:t>
      </w:r>
      <w:r w:rsidR="00E8634F">
        <w:t xml:space="preserve"> with an MGB provider</w:t>
      </w:r>
      <w:r w:rsidR="008525D7">
        <w:t>, and the remainder have a</w:t>
      </w:r>
      <w:r w:rsidR="00E8634F">
        <w:t>n MGB</w:t>
      </w:r>
      <w:r w:rsidR="008525D7">
        <w:t xml:space="preserve"> primary specialist (</w:t>
      </w:r>
      <w:r w:rsidR="00892368">
        <w:t>o</w:t>
      </w:r>
      <w:r w:rsidR="008525D7">
        <w:t xml:space="preserve">ver 50% </w:t>
      </w:r>
      <w:proofErr w:type="gramStart"/>
      <w:r w:rsidR="008525D7">
        <w:t>from</w:t>
      </w:r>
      <w:proofErr w:type="gramEnd"/>
      <w:r w:rsidR="008525D7">
        <w:t xml:space="preserve"> the following specialties: Cardiology, Urology, Ortho</w:t>
      </w:r>
      <w:r w:rsidR="00C80F8D">
        <w:t>pedics</w:t>
      </w:r>
      <w:r w:rsidR="008525D7">
        <w:t>, Internal Med</w:t>
      </w:r>
      <w:r w:rsidR="00C80F8D">
        <w:t>icine</w:t>
      </w:r>
      <w:r w:rsidR="008525D7">
        <w:t>, Gastro</w:t>
      </w:r>
      <w:r w:rsidR="00C80F8D">
        <w:t>enterology</w:t>
      </w:r>
      <w:r w:rsidR="008525D7">
        <w:t>,</w:t>
      </w:r>
      <w:r w:rsidR="00C80F8D">
        <w:t xml:space="preserve"> and</w:t>
      </w:r>
      <w:r w:rsidR="008525D7">
        <w:t xml:space="preserve"> Thoracic Surgery)</w:t>
      </w:r>
      <w:r w:rsidR="00C54E6A">
        <w:t xml:space="preserve">. </w:t>
      </w:r>
      <w:r w:rsidR="00E874DD">
        <w:t xml:space="preserve">See Table </w:t>
      </w:r>
      <w:r w:rsidR="00772250">
        <w:t>1</w:t>
      </w:r>
      <w:r w:rsidR="00E874DD">
        <w:t xml:space="preserve">. </w:t>
      </w:r>
      <w:r w:rsidR="00E8634F">
        <w:t>Due to these relationships, these patients will likely choose to continue to receive their cancer care at an MGB facility</w:t>
      </w:r>
      <w:r w:rsidR="00C54E6A">
        <w:t xml:space="preserve">. </w:t>
      </w:r>
    </w:p>
    <w:p w14:paraId="694F219F" w14:textId="1617ACED" w:rsidR="00E874DD" w:rsidRDefault="00E874DD" w:rsidP="00CF4327">
      <w:r>
        <w:t xml:space="preserve">Table </w:t>
      </w:r>
      <w:r w:rsidR="00772250">
        <w:t>1</w:t>
      </w:r>
    </w:p>
    <w:p w14:paraId="089F1ECF" w14:textId="00252ACD" w:rsidR="008A793D" w:rsidRPr="00732E70" w:rsidRDefault="008A793D" w:rsidP="008A793D">
      <w:pPr>
        <w:shd w:val="clear" w:color="auto" w:fill="00B0F0"/>
        <w:jc w:val="center"/>
        <w:rPr>
          <w:b/>
          <w:bCs/>
          <w:sz w:val="20"/>
          <w:szCs w:val="20"/>
        </w:rPr>
      </w:pPr>
      <w:r w:rsidRPr="00732E70">
        <w:rPr>
          <w:b/>
          <w:bCs/>
          <w:sz w:val="20"/>
          <w:szCs w:val="20"/>
        </w:rPr>
        <w:t>MGB Primary Relationship for Oncology Patients</w:t>
      </w:r>
    </w:p>
    <w:tbl>
      <w:tblPr>
        <w:tblStyle w:val="TableGrid"/>
        <w:tblW w:w="0" w:type="auto"/>
        <w:tblLook w:val="04A0" w:firstRow="1" w:lastRow="0" w:firstColumn="1" w:lastColumn="0" w:noHBand="0" w:noVBand="1"/>
      </w:tblPr>
      <w:tblGrid>
        <w:gridCol w:w="8545"/>
        <w:gridCol w:w="805"/>
      </w:tblGrid>
      <w:tr w:rsidR="008A793D" w14:paraId="5234FD22" w14:textId="77777777" w:rsidTr="00832614">
        <w:trPr>
          <w:cantSplit/>
        </w:trPr>
        <w:tc>
          <w:tcPr>
            <w:tcW w:w="8545" w:type="dxa"/>
          </w:tcPr>
          <w:p w14:paraId="421AE5D9" w14:textId="6BF45A35" w:rsidR="008A793D" w:rsidRPr="00732E70" w:rsidRDefault="008A793D" w:rsidP="00CF4327">
            <w:pPr>
              <w:rPr>
                <w:sz w:val="20"/>
                <w:szCs w:val="20"/>
              </w:rPr>
            </w:pPr>
            <w:r w:rsidRPr="00732E70">
              <w:rPr>
                <w:sz w:val="20"/>
                <w:szCs w:val="20"/>
              </w:rPr>
              <w:t>Total Discharges</w:t>
            </w:r>
          </w:p>
        </w:tc>
        <w:tc>
          <w:tcPr>
            <w:tcW w:w="805" w:type="dxa"/>
            <w:vAlign w:val="bottom"/>
          </w:tcPr>
          <w:p w14:paraId="1CF08542" w14:textId="2757484A" w:rsidR="008A793D" w:rsidRPr="00732E70" w:rsidRDefault="00732E70" w:rsidP="00732E70">
            <w:pPr>
              <w:jc w:val="right"/>
              <w:rPr>
                <w:sz w:val="20"/>
                <w:szCs w:val="20"/>
              </w:rPr>
            </w:pPr>
            <w:r w:rsidRPr="00732E70">
              <w:rPr>
                <w:sz w:val="20"/>
                <w:szCs w:val="20"/>
              </w:rPr>
              <w:t>7,654</w:t>
            </w:r>
          </w:p>
        </w:tc>
      </w:tr>
      <w:tr w:rsidR="008A793D" w14:paraId="5CB2DDD4" w14:textId="77777777" w:rsidTr="00832614">
        <w:trPr>
          <w:cantSplit/>
        </w:trPr>
        <w:tc>
          <w:tcPr>
            <w:tcW w:w="8545" w:type="dxa"/>
          </w:tcPr>
          <w:p w14:paraId="55DFD81E" w14:textId="3E577762" w:rsidR="008A793D" w:rsidRPr="00732E70" w:rsidRDefault="00732E70" w:rsidP="00CF4327">
            <w:pPr>
              <w:rPr>
                <w:sz w:val="20"/>
                <w:szCs w:val="20"/>
              </w:rPr>
            </w:pPr>
            <w:r w:rsidRPr="00732E70">
              <w:rPr>
                <w:sz w:val="20"/>
                <w:szCs w:val="20"/>
              </w:rPr>
              <w:t>Unique Patients from those discharges</w:t>
            </w:r>
          </w:p>
        </w:tc>
        <w:tc>
          <w:tcPr>
            <w:tcW w:w="805" w:type="dxa"/>
            <w:vAlign w:val="bottom"/>
          </w:tcPr>
          <w:p w14:paraId="0772DDC7" w14:textId="1D29D96C" w:rsidR="008A793D" w:rsidRPr="00732E70" w:rsidRDefault="00732E70" w:rsidP="00732E70">
            <w:pPr>
              <w:jc w:val="right"/>
              <w:rPr>
                <w:sz w:val="20"/>
                <w:szCs w:val="20"/>
              </w:rPr>
            </w:pPr>
            <w:r w:rsidRPr="00732E70">
              <w:rPr>
                <w:sz w:val="20"/>
                <w:szCs w:val="20"/>
              </w:rPr>
              <w:t>4,659</w:t>
            </w:r>
          </w:p>
        </w:tc>
      </w:tr>
      <w:tr w:rsidR="008A793D" w14:paraId="167F2635" w14:textId="77777777" w:rsidTr="00832614">
        <w:trPr>
          <w:cantSplit/>
        </w:trPr>
        <w:tc>
          <w:tcPr>
            <w:tcW w:w="8545" w:type="dxa"/>
          </w:tcPr>
          <w:p w14:paraId="54F4F33E" w14:textId="4C12E695" w:rsidR="008A793D" w:rsidRPr="00732E70" w:rsidRDefault="00732E70" w:rsidP="00CF4327">
            <w:pPr>
              <w:rPr>
                <w:sz w:val="20"/>
                <w:szCs w:val="20"/>
              </w:rPr>
            </w:pPr>
            <w:r w:rsidRPr="00732E70">
              <w:rPr>
                <w:sz w:val="20"/>
                <w:szCs w:val="20"/>
              </w:rPr>
              <w:t>Patients with Primary Care Physician in MGB Epic Registration</w:t>
            </w:r>
          </w:p>
        </w:tc>
        <w:tc>
          <w:tcPr>
            <w:tcW w:w="805" w:type="dxa"/>
            <w:vAlign w:val="bottom"/>
          </w:tcPr>
          <w:p w14:paraId="54247A92" w14:textId="555381D2" w:rsidR="008A793D" w:rsidRPr="00732E70" w:rsidRDefault="00732E70" w:rsidP="00732E70">
            <w:pPr>
              <w:jc w:val="right"/>
              <w:rPr>
                <w:sz w:val="20"/>
                <w:szCs w:val="20"/>
              </w:rPr>
            </w:pPr>
            <w:r w:rsidRPr="00732E70">
              <w:rPr>
                <w:sz w:val="20"/>
                <w:szCs w:val="20"/>
              </w:rPr>
              <w:t>1,149</w:t>
            </w:r>
          </w:p>
        </w:tc>
      </w:tr>
      <w:tr w:rsidR="008A793D" w14:paraId="0CED2888" w14:textId="77777777" w:rsidTr="00832614">
        <w:trPr>
          <w:cantSplit/>
        </w:trPr>
        <w:tc>
          <w:tcPr>
            <w:tcW w:w="8545" w:type="dxa"/>
          </w:tcPr>
          <w:p w14:paraId="26E979B3" w14:textId="3448A5A0" w:rsidR="008A793D" w:rsidRPr="00732E70" w:rsidRDefault="00732E70" w:rsidP="00CF4327">
            <w:pPr>
              <w:rPr>
                <w:sz w:val="20"/>
                <w:szCs w:val="20"/>
              </w:rPr>
            </w:pPr>
            <w:r w:rsidRPr="00732E70">
              <w:rPr>
                <w:sz w:val="20"/>
                <w:szCs w:val="20"/>
              </w:rPr>
              <w:t>Ratio of Primary Care Patients</w:t>
            </w:r>
          </w:p>
        </w:tc>
        <w:tc>
          <w:tcPr>
            <w:tcW w:w="805" w:type="dxa"/>
            <w:vAlign w:val="bottom"/>
          </w:tcPr>
          <w:p w14:paraId="65EE9593" w14:textId="7AE0BEC3" w:rsidR="008A793D" w:rsidRPr="00732E70" w:rsidRDefault="00732E70" w:rsidP="00732E70">
            <w:pPr>
              <w:jc w:val="right"/>
              <w:rPr>
                <w:sz w:val="20"/>
                <w:szCs w:val="20"/>
              </w:rPr>
            </w:pPr>
            <w:r w:rsidRPr="00732E70">
              <w:rPr>
                <w:sz w:val="20"/>
                <w:szCs w:val="20"/>
              </w:rPr>
              <w:t>25%</w:t>
            </w:r>
          </w:p>
        </w:tc>
      </w:tr>
      <w:tr w:rsidR="008A793D" w14:paraId="16FCCE6E" w14:textId="77777777" w:rsidTr="00832614">
        <w:trPr>
          <w:cantSplit/>
        </w:trPr>
        <w:tc>
          <w:tcPr>
            <w:tcW w:w="8545" w:type="dxa"/>
          </w:tcPr>
          <w:p w14:paraId="0138B41D" w14:textId="3C0900F5" w:rsidR="008A793D" w:rsidRPr="00732E70" w:rsidRDefault="00732E70" w:rsidP="00CF4327">
            <w:pPr>
              <w:rPr>
                <w:sz w:val="20"/>
                <w:szCs w:val="20"/>
              </w:rPr>
            </w:pPr>
            <w:r w:rsidRPr="00732E70">
              <w:rPr>
                <w:sz w:val="20"/>
                <w:szCs w:val="20"/>
              </w:rPr>
              <w:t>Patients with Primary Care OR Specialist with Chronic Care Management</w:t>
            </w:r>
          </w:p>
        </w:tc>
        <w:tc>
          <w:tcPr>
            <w:tcW w:w="805" w:type="dxa"/>
            <w:vAlign w:val="bottom"/>
          </w:tcPr>
          <w:p w14:paraId="776273AE" w14:textId="5A9A1118" w:rsidR="008A793D" w:rsidRPr="00732E70" w:rsidRDefault="00732E70" w:rsidP="00732E70">
            <w:pPr>
              <w:jc w:val="right"/>
              <w:rPr>
                <w:sz w:val="20"/>
                <w:szCs w:val="20"/>
              </w:rPr>
            </w:pPr>
            <w:r w:rsidRPr="00732E70">
              <w:rPr>
                <w:sz w:val="20"/>
                <w:szCs w:val="20"/>
              </w:rPr>
              <w:t>3,372</w:t>
            </w:r>
          </w:p>
        </w:tc>
      </w:tr>
      <w:tr w:rsidR="008A793D" w14:paraId="060E4C49" w14:textId="77777777" w:rsidTr="00832614">
        <w:trPr>
          <w:cantSplit/>
        </w:trPr>
        <w:tc>
          <w:tcPr>
            <w:tcW w:w="8545" w:type="dxa"/>
          </w:tcPr>
          <w:p w14:paraId="7B88067B" w14:textId="4ECF9C8E" w:rsidR="008A793D" w:rsidRPr="00732E70" w:rsidRDefault="00732E70" w:rsidP="00CF4327">
            <w:pPr>
              <w:rPr>
                <w:sz w:val="20"/>
                <w:szCs w:val="20"/>
              </w:rPr>
            </w:pPr>
            <w:r w:rsidRPr="00732E70">
              <w:rPr>
                <w:sz w:val="20"/>
                <w:szCs w:val="20"/>
              </w:rPr>
              <w:t>Ratio of patients with MGB Physician Care</w:t>
            </w:r>
          </w:p>
        </w:tc>
        <w:tc>
          <w:tcPr>
            <w:tcW w:w="805" w:type="dxa"/>
            <w:vAlign w:val="bottom"/>
          </w:tcPr>
          <w:p w14:paraId="2C6DA98D" w14:textId="3C2E82B4" w:rsidR="008A793D" w:rsidRPr="00732E70" w:rsidRDefault="00732E70" w:rsidP="00732E70">
            <w:pPr>
              <w:jc w:val="right"/>
              <w:rPr>
                <w:sz w:val="20"/>
                <w:szCs w:val="20"/>
              </w:rPr>
            </w:pPr>
            <w:r w:rsidRPr="00732E70">
              <w:rPr>
                <w:sz w:val="20"/>
                <w:szCs w:val="20"/>
              </w:rPr>
              <w:t>72%</w:t>
            </w:r>
          </w:p>
        </w:tc>
      </w:tr>
    </w:tbl>
    <w:p w14:paraId="74A24C7C" w14:textId="77777777" w:rsidR="00832614" w:rsidRDefault="00832614" w:rsidP="00CF4327"/>
    <w:p w14:paraId="47260C45" w14:textId="248A9C7E" w:rsidR="008525D7" w:rsidRPr="008525D7" w:rsidRDefault="00E04961" w:rsidP="00CF4327">
      <w:r>
        <w:t xml:space="preserve">Due to the ICA’s flawed assumption about </w:t>
      </w:r>
      <w:r w:rsidR="00E8634F">
        <w:t>provider attribution to DFCI and the lack of recognition of the origination of patient referrals for can</w:t>
      </w:r>
      <w:r w:rsidR="002F1CB3">
        <w:t>c</w:t>
      </w:r>
      <w:r w:rsidR="00E8634F">
        <w:t xml:space="preserve">er care, </w:t>
      </w:r>
      <w:r>
        <w:t xml:space="preserve">the ICA incorrectly assumes that the majority of </w:t>
      </w:r>
      <w:proofErr w:type="gramStart"/>
      <w:r w:rsidR="00E8634F">
        <w:t xml:space="preserve">BWH </w:t>
      </w:r>
      <w:r>
        <w:t>cancer</w:t>
      </w:r>
      <w:proofErr w:type="gramEnd"/>
      <w:r>
        <w:t xml:space="preserve"> patients receiving care at BWH will move to the proposed DFCI hospital. </w:t>
      </w:r>
      <w:r w:rsidR="00E8634F">
        <w:t xml:space="preserve">When taking these factors into consideration, </w:t>
      </w:r>
      <w:r>
        <w:t xml:space="preserve">MGB </w:t>
      </w:r>
      <w:r w:rsidR="00E8634F">
        <w:t xml:space="preserve">believes that </w:t>
      </w:r>
      <w:r>
        <w:t xml:space="preserve">a more accurate assumption is that no more than 30% of the </w:t>
      </w:r>
      <w:r w:rsidR="00E8634F">
        <w:t xml:space="preserve">BWH </w:t>
      </w:r>
      <w:r>
        <w:t>patient volume will shift to DFCI</w:t>
      </w:r>
      <w:r w:rsidR="00C54E6A">
        <w:t xml:space="preserve">. </w:t>
      </w:r>
    </w:p>
    <w:p w14:paraId="030B41A5" w14:textId="77777777" w:rsidR="00C42F24" w:rsidRDefault="00C42F24" w:rsidP="00C42F24">
      <w:pPr>
        <w:pStyle w:val="ListParagraph"/>
        <w:ind w:left="360"/>
      </w:pPr>
    </w:p>
    <w:p w14:paraId="33288FBA" w14:textId="431F82FE" w:rsidR="00E8634F" w:rsidRPr="00C42F24" w:rsidRDefault="00E8634F" w:rsidP="00E8634F">
      <w:r>
        <w:rPr>
          <w:b/>
          <w:bCs/>
          <w:u w:val="single"/>
        </w:rPr>
        <w:t>The ICA does not adequately reflect the potential impact of a new 300 bed cancer hospital on lower cost academic medical centers (AMCs) and community hospitals.</w:t>
      </w:r>
    </w:p>
    <w:p w14:paraId="2DA1770E" w14:textId="0728EBA9" w:rsidR="006C3301" w:rsidRDefault="009C5C7D" w:rsidP="00C80F8D">
      <w:r>
        <w:t xml:space="preserve">Due to </w:t>
      </w:r>
      <w:r w:rsidR="00C80F8D">
        <w:t xml:space="preserve">the ICA’s </w:t>
      </w:r>
      <w:r>
        <w:t>flawed premise about the source of patients receiving care at the proposed hospital</w:t>
      </w:r>
      <w:r w:rsidR="00E8634F">
        <w:t xml:space="preserve"> (that is, the majority of BWH patients will not become patients of the new hospital), DFCI will need to obtain patients from other sources to operate a financially viable 300 bed hospital</w:t>
      </w:r>
      <w:r w:rsidR="00C54E6A">
        <w:t xml:space="preserve">. </w:t>
      </w:r>
      <w:r w:rsidR="00E8634F">
        <w:t xml:space="preserve">The likely source of patients therefore will </w:t>
      </w:r>
      <w:r w:rsidR="003D4792">
        <w:t xml:space="preserve">come to the proposed DFCI hospital from AMCs </w:t>
      </w:r>
      <w:r w:rsidR="00EC0D9B">
        <w:t xml:space="preserve">other than BWH or MGH </w:t>
      </w:r>
      <w:r w:rsidR="003D4792">
        <w:t xml:space="preserve">and from community hospitals, </w:t>
      </w:r>
      <w:r w:rsidR="00E8634F">
        <w:t xml:space="preserve">therefore the ICA underestimates the cost impacts of the Proposed Project. </w:t>
      </w:r>
    </w:p>
    <w:p w14:paraId="7ADB7122" w14:textId="6941192A" w:rsidR="005869EE" w:rsidRDefault="00CF4327" w:rsidP="00C95B1F">
      <w:r>
        <w:t xml:space="preserve">DFCI is requesting 300 inpatient beds at the proposed </w:t>
      </w:r>
      <w:r w:rsidR="00E8634F">
        <w:t>new hospital</w:t>
      </w:r>
      <w:r w:rsidR="00C54E6A">
        <w:t xml:space="preserve">. </w:t>
      </w:r>
      <w:r>
        <w:t>Based on DFCI’s estimates of average length of stay</w:t>
      </w:r>
      <w:r w:rsidR="005869EE">
        <w:t>, this creates capacity for 14,000 discharges a year</w:t>
      </w:r>
      <w:r w:rsidR="00C54E6A">
        <w:t xml:space="preserve">. </w:t>
      </w:r>
      <w:r w:rsidR="005869EE">
        <w:t xml:space="preserve">MGB estimates that 30% of the </w:t>
      </w:r>
      <w:r w:rsidR="00956512">
        <w:t xml:space="preserve">BWH </w:t>
      </w:r>
      <w:r w:rsidR="005869EE">
        <w:t xml:space="preserve">patients currently receiving cancer care at BWH </w:t>
      </w:r>
      <w:r w:rsidR="00C80F8D">
        <w:t>may</w:t>
      </w:r>
      <w:r w:rsidR="005869EE">
        <w:t xml:space="preserve"> move to the new DFCI facility</w:t>
      </w:r>
      <w:r w:rsidR="00C54E6A">
        <w:t xml:space="preserve">. </w:t>
      </w:r>
      <w:r w:rsidR="005869EE">
        <w:t>This is based on the calculation that over 70% of the current patients receiving cancer care at BWH have a primary patient relationship with MGB and therefore their cancer care will be referred to MGB</w:t>
      </w:r>
      <w:r w:rsidR="00E8634F">
        <w:t xml:space="preserve"> facilities, including BWH’s existing beds</w:t>
      </w:r>
      <w:r w:rsidR="00C54E6A">
        <w:t xml:space="preserve">. </w:t>
      </w:r>
      <w:r w:rsidR="000712EC">
        <w:t xml:space="preserve">This means </w:t>
      </w:r>
      <w:r w:rsidR="000E45A0">
        <w:t xml:space="preserve">that </w:t>
      </w:r>
      <w:r w:rsidR="000E45A0" w:rsidRPr="00E17E61">
        <w:t>slightly</w:t>
      </w:r>
      <w:r w:rsidR="005869EE" w:rsidRPr="00E17E61">
        <w:t xml:space="preserve"> over </w:t>
      </w:r>
      <w:r w:rsidR="775C2EAB" w:rsidRPr="00E17E61">
        <w:t>1</w:t>
      </w:r>
      <w:r w:rsidR="005869EE" w:rsidRPr="00E17E61">
        <w:t>,</w:t>
      </w:r>
      <w:r w:rsidR="364F30EB" w:rsidRPr="00E17E61">
        <w:t>9</w:t>
      </w:r>
      <w:r w:rsidR="0FEB92DE" w:rsidRPr="00E17E61">
        <w:t>00</w:t>
      </w:r>
      <w:r w:rsidR="005869EE" w:rsidRPr="00E17E61">
        <w:t xml:space="preserve"> discharges a </w:t>
      </w:r>
      <w:proofErr w:type="gramStart"/>
      <w:r w:rsidR="005869EE" w:rsidRPr="00E17E61">
        <w:t>year</w:t>
      </w:r>
      <w:r w:rsidR="00E8634F" w:rsidRPr="00E17E61">
        <w:t xml:space="preserve"> that</w:t>
      </w:r>
      <w:proofErr w:type="gramEnd"/>
      <w:r w:rsidR="00E8634F" w:rsidRPr="00E17E61">
        <w:t xml:space="preserve"> may shift from BWH licensed beds to the new hospital</w:t>
      </w:r>
      <w:r w:rsidR="00C54E6A" w:rsidRPr="00E17E61">
        <w:t xml:space="preserve">. </w:t>
      </w:r>
      <w:r w:rsidR="009B4598" w:rsidRPr="00E17E61">
        <w:t xml:space="preserve">Based on the projections in DFCI’s </w:t>
      </w:r>
      <w:proofErr w:type="spellStart"/>
      <w:r w:rsidR="005869EE" w:rsidRPr="004362CC">
        <w:t>DoN</w:t>
      </w:r>
      <w:proofErr w:type="spellEnd"/>
      <w:r w:rsidR="005869EE" w:rsidRPr="004362CC">
        <w:t xml:space="preserve"> Application, </w:t>
      </w:r>
      <w:r w:rsidR="009B4598" w:rsidRPr="004362CC">
        <w:t xml:space="preserve">approximately </w:t>
      </w:r>
      <w:r w:rsidR="005869EE" w:rsidRPr="004362CC">
        <w:t>3,</w:t>
      </w:r>
      <w:r w:rsidR="3BD0AF5B" w:rsidRPr="004362CC">
        <w:t>6</w:t>
      </w:r>
      <w:r w:rsidR="005869EE" w:rsidRPr="004362CC">
        <w:t xml:space="preserve">00 discharges a year will come from patients who would otherwise be treated at Beth Israel </w:t>
      </w:r>
      <w:r w:rsidR="005869EE" w:rsidRPr="004362CC">
        <w:lastRenderedPageBreak/>
        <w:t>Deaconess Medical Center (BIDMC).</w:t>
      </w:r>
      <w:r w:rsidR="00772250" w:rsidRPr="000E45A0">
        <w:rPr>
          <w:vertAlign w:val="superscript"/>
        </w:rPr>
        <w:footnoteReference w:id="5"/>
      </w:r>
      <w:r w:rsidR="005869EE" w:rsidRPr="004362CC">
        <w:t xml:space="preserve">  </w:t>
      </w:r>
      <w:r w:rsidR="005869EE" w:rsidRPr="00E17E61">
        <w:t xml:space="preserve">That leaves </w:t>
      </w:r>
      <w:r w:rsidR="00E8634F" w:rsidRPr="00E17E61">
        <w:t>DFCI with the need to find patients fr</w:t>
      </w:r>
      <w:r w:rsidR="00EC6603" w:rsidRPr="00E17E61">
        <w:t>o</w:t>
      </w:r>
      <w:r w:rsidR="00E8634F" w:rsidRPr="00E17E61">
        <w:t xml:space="preserve">m other sources to make up the remaining </w:t>
      </w:r>
      <w:r w:rsidR="6C87F8FB" w:rsidRPr="00E17E61">
        <w:t>8</w:t>
      </w:r>
      <w:r w:rsidR="00E8634F" w:rsidRPr="00E17E61">
        <w:t>,000-</w:t>
      </w:r>
      <w:r w:rsidR="0630D670" w:rsidRPr="00E17E61">
        <w:t>9</w:t>
      </w:r>
      <w:r w:rsidR="00E8634F" w:rsidRPr="00E17E61">
        <w:t xml:space="preserve">,000 projected discharges. </w:t>
      </w:r>
      <w:r w:rsidR="00D9733F" w:rsidRPr="00E17E61">
        <w:t>DFCI predicts that approximately 20% of its patients will be from out of state or out of the country</w:t>
      </w:r>
      <w:r w:rsidR="00C54E6A" w:rsidRPr="00E17E61">
        <w:t xml:space="preserve">. </w:t>
      </w:r>
      <w:r w:rsidR="00143F65" w:rsidRPr="00E17E61">
        <w:t>A</w:t>
      </w:r>
      <w:r w:rsidR="00D9733F" w:rsidRPr="00E17E61">
        <w:t xml:space="preserve">ssuming that number is correct, DFCI will still need to draw approximately </w:t>
      </w:r>
      <w:r w:rsidR="5735E593" w:rsidRPr="00E17E61">
        <w:t>5</w:t>
      </w:r>
      <w:r w:rsidR="00D9733F" w:rsidRPr="00E17E61">
        <w:t xml:space="preserve">,000 </w:t>
      </w:r>
      <w:r w:rsidR="00E8634F" w:rsidRPr="00E17E61">
        <w:t xml:space="preserve">discharges to fill its </w:t>
      </w:r>
      <w:r w:rsidR="000E45A0" w:rsidRPr="00E17E61">
        <w:t>beds,</w:t>
      </w:r>
      <w:r w:rsidR="00E8634F" w:rsidRPr="00E17E61">
        <w:t xml:space="preserve"> and the likely source will be </w:t>
      </w:r>
      <w:r w:rsidR="00D9733F" w:rsidRPr="00E17E61">
        <w:t>from other</w:t>
      </w:r>
      <w:r w:rsidR="002F1CB3" w:rsidRPr="00E17E61">
        <w:t xml:space="preserve"> </w:t>
      </w:r>
      <w:r w:rsidR="00E8634F" w:rsidRPr="00E17E61">
        <w:t>lower-cost</w:t>
      </w:r>
      <w:r w:rsidR="00D9733F" w:rsidRPr="00E17E61">
        <w:t xml:space="preserve"> AMCs and community hospitals</w:t>
      </w:r>
      <w:r w:rsidR="00C54E6A" w:rsidRPr="00E17E61">
        <w:t>.</w:t>
      </w:r>
      <w:r w:rsidR="00C54E6A">
        <w:t xml:space="preserve"> </w:t>
      </w:r>
      <w:r w:rsidR="00ED5E40">
        <w:t>This is supported by</w:t>
      </w:r>
      <w:r w:rsidR="00E2321C">
        <w:t xml:space="preserve"> BWH patient data</w:t>
      </w:r>
      <w:r w:rsidR="00ED5E40">
        <w:t>;</w:t>
      </w:r>
      <w:r w:rsidR="00E2321C">
        <w:t xml:space="preserve"> </w:t>
      </w:r>
      <w:proofErr w:type="gramStart"/>
      <w:r w:rsidR="00E2321C">
        <w:t>a large number of</w:t>
      </w:r>
      <w:proofErr w:type="gramEnd"/>
      <w:r w:rsidR="00E2321C">
        <w:t xml:space="preserve"> patients </w:t>
      </w:r>
      <w:r w:rsidR="002214A7">
        <w:t xml:space="preserve">outside the greater Boston area </w:t>
      </w:r>
      <w:r w:rsidR="00E2321C">
        <w:t xml:space="preserve">already </w:t>
      </w:r>
      <w:r w:rsidR="002214A7">
        <w:t xml:space="preserve">come </w:t>
      </w:r>
      <w:r w:rsidR="00E2321C">
        <w:t>to Boston Longwood Area hospitals for cancer care</w:t>
      </w:r>
      <w:r w:rsidR="00C54E6A">
        <w:t xml:space="preserve">. </w:t>
      </w:r>
      <w:r w:rsidR="002214A7">
        <w:t>If there</w:t>
      </w:r>
      <w:r w:rsidR="00ED5E40">
        <w:t xml:space="preserve"> are 300 new beds added to the Longwood Medical Complex (</w:t>
      </w:r>
      <w:proofErr w:type="gramStart"/>
      <w:r w:rsidR="00ED5E40">
        <w:t>as a result of</w:t>
      </w:r>
      <w:proofErr w:type="gramEnd"/>
      <w:r w:rsidR="00ED5E40">
        <w:t xml:space="preserve"> the proposed DFCI hospital)</w:t>
      </w:r>
      <w:r w:rsidR="00E2321C">
        <w:t xml:space="preserve"> patients </w:t>
      </w:r>
      <w:r w:rsidR="002214A7">
        <w:t xml:space="preserve">who are currently receiving care in community hospitals </w:t>
      </w:r>
      <w:r w:rsidR="00E2321C">
        <w:t>will come to DFCI to fill those beds, leading to higher costs for care and destabilization of the community hospitals</w:t>
      </w:r>
      <w:r w:rsidR="009A49E1">
        <w:t xml:space="preserve">. </w:t>
      </w:r>
    </w:p>
    <w:p w14:paraId="0C7B15D0" w14:textId="6EB3E0B5" w:rsidR="005F2DE4" w:rsidRDefault="005F2DE4" w:rsidP="00D9733F">
      <w:r>
        <w:t xml:space="preserve">For these calculations, MGB used the Center for Health Information and Analysis (CHIA) “Relative Price and Provider Price Variation in the Massachusetts Commercial Market” </w:t>
      </w:r>
      <w:proofErr w:type="spellStart"/>
      <w:r>
        <w:t>databook</w:t>
      </w:r>
      <w:proofErr w:type="spellEnd"/>
      <w:r>
        <w:t xml:space="preserve"> issued July 2024, w</w:t>
      </w:r>
      <w:r w:rsidR="0023641B">
        <w:t xml:space="preserve">hich provides </w:t>
      </w:r>
      <w:r>
        <w:t>data for 2022</w:t>
      </w:r>
      <w:r>
        <w:rPr>
          <w:rStyle w:val="FootnoteReference"/>
        </w:rPr>
        <w:footnoteReference w:id="6"/>
      </w:r>
      <w:r w:rsidR="00C54E6A">
        <w:t xml:space="preserve">. </w:t>
      </w:r>
      <w:r w:rsidR="002F1CB3">
        <w:t>R</w:t>
      </w:r>
      <w:r>
        <w:t xml:space="preserve">elative price </w:t>
      </w:r>
      <w:r w:rsidR="0023641B">
        <w:t xml:space="preserve">allows comparisons of average provider prices across hospitals, while accounting for differences in patient acuity, types of service </w:t>
      </w:r>
      <w:r w:rsidR="0082296A">
        <w:t>providers</w:t>
      </w:r>
      <w:r w:rsidR="0023641B">
        <w:t>, and different insurance product types</w:t>
      </w:r>
      <w:r w:rsidR="00C54E6A">
        <w:t xml:space="preserve">. </w:t>
      </w:r>
      <w:r w:rsidR="0023641B">
        <w:t xml:space="preserve">The numbers used in this response are based on CHIA’s </w:t>
      </w:r>
      <w:r w:rsidR="00A20531">
        <w:t xml:space="preserve">blended </w:t>
      </w:r>
      <w:r w:rsidR="0023641B">
        <w:t>relative price, which enables comparison of acute hospital prices across all commercial payers</w:t>
      </w:r>
      <w:r w:rsidR="00C54E6A">
        <w:t xml:space="preserve">. </w:t>
      </w:r>
    </w:p>
    <w:p w14:paraId="7178DC5D" w14:textId="1DBDB14D" w:rsidR="005F2DE4" w:rsidRDefault="0023641B" w:rsidP="00D9733F">
      <w:r>
        <w:t xml:space="preserve">Using </w:t>
      </w:r>
      <w:proofErr w:type="gramStart"/>
      <w:r>
        <w:t>these</w:t>
      </w:r>
      <w:proofErr w:type="gramEnd"/>
      <w:r>
        <w:t xml:space="preserve"> data, MGB identified that BWH has a </w:t>
      </w:r>
      <w:r w:rsidR="00D5432E">
        <w:t>blended inpatient</w:t>
      </w:r>
      <w:r w:rsidR="00A10F36">
        <w:rPr>
          <w:rStyle w:val="FootnoteReference"/>
        </w:rPr>
        <w:footnoteReference w:id="7"/>
      </w:r>
      <w:r w:rsidR="00D5432E">
        <w:t xml:space="preserve"> </w:t>
      </w:r>
      <w:r>
        <w:t xml:space="preserve">relative price of 1.29, BIDMC has a relative price of 1.18, and DFCI has a relative price of 1.09.  </w:t>
      </w:r>
    </w:p>
    <w:p w14:paraId="354D8FFA" w14:textId="6678937F" w:rsidR="0023641B" w:rsidRDefault="00552B85" w:rsidP="00D9733F">
      <w:r>
        <w:t xml:space="preserve">Even if </w:t>
      </w:r>
      <w:r w:rsidR="0023641B">
        <w:t xml:space="preserve">DFCI does not use its increased market share to negotiate higher rates, there will still be an increase in </w:t>
      </w:r>
      <w:r w:rsidR="00ED3880">
        <w:t xml:space="preserve">the Commonwealth’s total </w:t>
      </w:r>
      <w:r w:rsidR="0082296A">
        <w:t xml:space="preserve">medical expenditures (TME) </w:t>
      </w:r>
      <w:r w:rsidR="00ED3880">
        <w:t>due to the shift of patients from community hospitals with lower relative prices</w:t>
      </w:r>
      <w:r w:rsidR="00C54E6A">
        <w:t xml:space="preserve">. </w:t>
      </w:r>
      <w:r w:rsidR="005E3F77">
        <w:t xml:space="preserve">While all Massachusetts community hospitals have lower cross-payer statewide relative prices than DFCI, </w:t>
      </w:r>
      <w:r w:rsidR="00ED3880">
        <w:t xml:space="preserve">Table </w:t>
      </w:r>
      <w:r w:rsidR="00E17E61">
        <w:t>2</w:t>
      </w:r>
      <w:r w:rsidR="00ED3880">
        <w:t xml:space="preserve"> </w:t>
      </w:r>
      <w:r w:rsidR="005E3F77">
        <w:t>provides some examples of community hospitals that are vulnerable to patients shifting to DFCI</w:t>
      </w:r>
      <w:r w:rsidR="00C54E6A">
        <w:t xml:space="preserve">. </w:t>
      </w:r>
    </w:p>
    <w:p w14:paraId="2104AEEF" w14:textId="1FCB5612" w:rsidR="005F2DE4" w:rsidRDefault="00ED3880" w:rsidP="00D9733F">
      <w:r>
        <w:t xml:space="preserve">Table </w:t>
      </w:r>
      <w:r w:rsidR="00E17E61">
        <w:t>2</w:t>
      </w:r>
      <w:r>
        <w:t xml:space="preserve">  </w:t>
      </w:r>
    </w:p>
    <w:tbl>
      <w:tblPr>
        <w:tblStyle w:val="TableGrid"/>
        <w:tblW w:w="0" w:type="auto"/>
        <w:tblLook w:val="04A0" w:firstRow="1" w:lastRow="0" w:firstColumn="1" w:lastColumn="0" w:noHBand="0" w:noVBand="1"/>
      </w:tblPr>
      <w:tblGrid>
        <w:gridCol w:w="1440"/>
        <w:gridCol w:w="1441"/>
        <w:gridCol w:w="2456"/>
      </w:tblGrid>
      <w:tr w:rsidR="00ED3880" w:rsidRPr="00ED3880" w14:paraId="0AD59D34" w14:textId="77777777" w:rsidTr="00832614">
        <w:trPr>
          <w:cantSplit/>
          <w:trHeight w:val="290"/>
          <w:tblHeader/>
        </w:trPr>
        <w:tc>
          <w:tcPr>
            <w:tcW w:w="1440" w:type="dxa"/>
            <w:noWrap/>
            <w:hideMark/>
          </w:tcPr>
          <w:p w14:paraId="3E8CE278" w14:textId="77777777" w:rsidR="00ED3880" w:rsidRPr="00ED3880" w:rsidRDefault="00ED3880">
            <w:pPr>
              <w:rPr>
                <w:b/>
                <w:bCs/>
              </w:rPr>
            </w:pPr>
            <w:r w:rsidRPr="00ED3880">
              <w:rPr>
                <w:b/>
                <w:bCs/>
              </w:rPr>
              <w:t>Hospital</w:t>
            </w:r>
          </w:p>
        </w:tc>
        <w:tc>
          <w:tcPr>
            <w:tcW w:w="1441" w:type="dxa"/>
            <w:noWrap/>
            <w:hideMark/>
          </w:tcPr>
          <w:p w14:paraId="440D8206" w14:textId="77777777" w:rsidR="00ED3880" w:rsidRPr="00ED3880" w:rsidRDefault="00ED3880">
            <w:pPr>
              <w:rPr>
                <w:b/>
                <w:bCs/>
              </w:rPr>
            </w:pPr>
            <w:r w:rsidRPr="00ED3880">
              <w:rPr>
                <w:b/>
                <w:bCs/>
              </w:rPr>
              <w:t>Data Year</w:t>
            </w:r>
          </w:p>
        </w:tc>
        <w:tc>
          <w:tcPr>
            <w:tcW w:w="2456" w:type="dxa"/>
            <w:noWrap/>
            <w:hideMark/>
          </w:tcPr>
          <w:p w14:paraId="61A82663" w14:textId="3F8970BE" w:rsidR="00ED3880" w:rsidRPr="00ED3880" w:rsidRDefault="00ED3880">
            <w:pPr>
              <w:rPr>
                <w:b/>
                <w:bCs/>
              </w:rPr>
            </w:pPr>
            <w:r>
              <w:rPr>
                <w:b/>
                <w:bCs/>
              </w:rPr>
              <w:t>Cross-payer Statewide Relative Price (S-RP)</w:t>
            </w:r>
          </w:p>
        </w:tc>
      </w:tr>
      <w:tr w:rsidR="00ED3880" w:rsidRPr="00ED3880" w14:paraId="27E03215" w14:textId="77777777" w:rsidTr="00832614">
        <w:trPr>
          <w:cantSplit/>
          <w:trHeight w:val="290"/>
        </w:trPr>
        <w:tc>
          <w:tcPr>
            <w:tcW w:w="1440" w:type="dxa"/>
            <w:noWrap/>
            <w:hideMark/>
          </w:tcPr>
          <w:p w14:paraId="3FFC8352" w14:textId="77777777" w:rsidR="00ED3880" w:rsidRPr="00ED3880" w:rsidRDefault="00ED3880">
            <w:r w:rsidRPr="00ED3880">
              <w:t xml:space="preserve">Emerson Hospital </w:t>
            </w:r>
          </w:p>
        </w:tc>
        <w:tc>
          <w:tcPr>
            <w:tcW w:w="1441" w:type="dxa"/>
            <w:noWrap/>
            <w:hideMark/>
          </w:tcPr>
          <w:p w14:paraId="1552E596" w14:textId="77777777" w:rsidR="00ED3880" w:rsidRPr="00ED3880" w:rsidRDefault="00ED3880" w:rsidP="00ED3880">
            <w:pPr>
              <w:rPr>
                <w:b/>
                <w:bCs/>
              </w:rPr>
            </w:pPr>
            <w:r w:rsidRPr="00ED3880">
              <w:rPr>
                <w:b/>
                <w:bCs/>
              </w:rPr>
              <w:t>2022</w:t>
            </w:r>
          </w:p>
        </w:tc>
        <w:tc>
          <w:tcPr>
            <w:tcW w:w="2456" w:type="dxa"/>
            <w:noWrap/>
            <w:hideMark/>
          </w:tcPr>
          <w:p w14:paraId="7CC83683" w14:textId="77777777" w:rsidR="00ED3880" w:rsidRPr="00ED3880" w:rsidRDefault="00ED3880" w:rsidP="00ED3880">
            <w:r w:rsidRPr="00ED3880">
              <w:t>0.91</w:t>
            </w:r>
          </w:p>
        </w:tc>
      </w:tr>
      <w:tr w:rsidR="00ED3880" w:rsidRPr="00ED3880" w14:paraId="17646DE4" w14:textId="77777777" w:rsidTr="00832614">
        <w:trPr>
          <w:cantSplit/>
          <w:trHeight w:val="290"/>
        </w:trPr>
        <w:tc>
          <w:tcPr>
            <w:tcW w:w="1440" w:type="dxa"/>
            <w:noWrap/>
            <w:hideMark/>
          </w:tcPr>
          <w:p w14:paraId="169CC156" w14:textId="77777777" w:rsidR="00ED3880" w:rsidRPr="00ED3880" w:rsidRDefault="00ED3880">
            <w:r w:rsidRPr="00ED3880">
              <w:t>Heywood Hospital</w:t>
            </w:r>
          </w:p>
        </w:tc>
        <w:tc>
          <w:tcPr>
            <w:tcW w:w="1441" w:type="dxa"/>
            <w:noWrap/>
            <w:hideMark/>
          </w:tcPr>
          <w:p w14:paraId="3BBE1AB4" w14:textId="77777777" w:rsidR="00ED3880" w:rsidRPr="00ED3880" w:rsidRDefault="00ED3880" w:rsidP="00ED3880">
            <w:pPr>
              <w:rPr>
                <w:b/>
                <w:bCs/>
              </w:rPr>
            </w:pPr>
            <w:r w:rsidRPr="00ED3880">
              <w:rPr>
                <w:b/>
                <w:bCs/>
              </w:rPr>
              <w:t>2022</w:t>
            </w:r>
          </w:p>
        </w:tc>
        <w:tc>
          <w:tcPr>
            <w:tcW w:w="2456" w:type="dxa"/>
            <w:noWrap/>
            <w:hideMark/>
          </w:tcPr>
          <w:p w14:paraId="0976388F" w14:textId="77777777" w:rsidR="00ED3880" w:rsidRPr="00ED3880" w:rsidRDefault="00ED3880" w:rsidP="00ED3880">
            <w:r w:rsidRPr="00ED3880">
              <w:t>0.73</w:t>
            </w:r>
          </w:p>
        </w:tc>
      </w:tr>
      <w:tr w:rsidR="00ED3880" w:rsidRPr="00ED3880" w14:paraId="3CE1D88A" w14:textId="77777777" w:rsidTr="00832614">
        <w:trPr>
          <w:cantSplit/>
          <w:trHeight w:val="290"/>
        </w:trPr>
        <w:tc>
          <w:tcPr>
            <w:tcW w:w="1440" w:type="dxa"/>
            <w:noWrap/>
            <w:hideMark/>
          </w:tcPr>
          <w:p w14:paraId="02D87031" w14:textId="77777777" w:rsidR="00ED3880" w:rsidRPr="00ED3880" w:rsidRDefault="00ED3880">
            <w:r w:rsidRPr="00ED3880">
              <w:t>Holy Family Hospital</w:t>
            </w:r>
          </w:p>
        </w:tc>
        <w:tc>
          <w:tcPr>
            <w:tcW w:w="1441" w:type="dxa"/>
            <w:noWrap/>
            <w:hideMark/>
          </w:tcPr>
          <w:p w14:paraId="7EEF8380" w14:textId="77777777" w:rsidR="00ED3880" w:rsidRPr="00ED3880" w:rsidRDefault="00ED3880" w:rsidP="00ED3880">
            <w:pPr>
              <w:rPr>
                <w:b/>
                <w:bCs/>
              </w:rPr>
            </w:pPr>
            <w:r w:rsidRPr="00ED3880">
              <w:rPr>
                <w:b/>
                <w:bCs/>
              </w:rPr>
              <w:t>2022</w:t>
            </w:r>
          </w:p>
        </w:tc>
        <w:tc>
          <w:tcPr>
            <w:tcW w:w="2456" w:type="dxa"/>
            <w:noWrap/>
            <w:hideMark/>
          </w:tcPr>
          <w:p w14:paraId="7990A39E" w14:textId="77777777" w:rsidR="00ED3880" w:rsidRPr="00ED3880" w:rsidRDefault="00ED3880" w:rsidP="00ED3880">
            <w:r w:rsidRPr="00ED3880">
              <w:t>0.95</w:t>
            </w:r>
          </w:p>
        </w:tc>
      </w:tr>
      <w:tr w:rsidR="00ED3880" w:rsidRPr="00ED3880" w14:paraId="4C61283B" w14:textId="77777777" w:rsidTr="00ED3880">
        <w:trPr>
          <w:trHeight w:val="290"/>
        </w:trPr>
        <w:tc>
          <w:tcPr>
            <w:tcW w:w="1440" w:type="dxa"/>
            <w:noWrap/>
            <w:hideMark/>
          </w:tcPr>
          <w:p w14:paraId="3F3CEE97" w14:textId="77777777" w:rsidR="00ED3880" w:rsidRPr="00ED3880" w:rsidRDefault="00ED3880">
            <w:r w:rsidRPr="00ED3880">
              <w:lastRenderedPageBreak/>
              <w:t>Lawrence General Hospital</w:t>
            </w:r>
          </w:p>
        </w:tc>
        <w:tc>
          <w:tcPr>
            <w:tcW w:w="1441" w:type="dxa"/>
            <w:noWrap/>
            <w:hideMark/>
          </w:tcPr>
          <w:p w14:paraId="6DAB65BE" w14:textId="77777777" w:rsidR="00ED3880" w:rsidRPr="00ED3880" w:rsidRDefault="00ED3880" w:rsidP="00ED3880">
            <w:pPr>
              <w:rPr>
                <w:b/>
                <w:bCs/>
              </w:rPr>
            </w:pPr>
            <w:r w:rsidRPr="00ED3880">
              <w:rPr>
                <w:b/>
                <w:bCs/>
              </w:rPr>
              <w:t>2022</w:t>
            </w:r>
          </w:p>
        </w:tc>
        <w:tc>
          <w:tcPr>
            <w:tcW w:w="2456" w:type="dxa"/>
            <w:noWrap/>
            <w:hideMark/>
          </w:tcPr>
          <w:p w14:paraId="1DFB4A61" w14:textId="77777777" w:rsidR="00ED3880" w:rsidRPr="00ED3880" w:rsidRDefault="00ED3880" w:rsidP="00ED3880">
            <w:r w:rsidRPr="00ED3880">
              <w:t>0.84</w:t>
            </w:r>
          </w:p>
        </w:tc>
      </w:tr>
    </w:tbl>
    <w:p w14:paraId="78D37185" w14:textId="77777777" w:rsidR="00A902AD" w:rsidRDefault="00A902AD" w:rsidP="001A6ADF">
      <w:pPr>
        <w:rPr>
          <w:b/>
          <w:bCs/>
          <w:u w:val="single"/>
        </w:rPr>
      </w:pPr>
    </w:p>
    <w:p w14:paraId="1588ED8E" w14:textId="77777777" w:rsidR="00E17E61" w:rsidRDefault="0082296A" w:rsidP="008463F3">
      <w:pPr>
        <w:rPr>
          <w:b/>
          <w:bCs/>
          <w:u w:val="single"/>
        </w:rPr>
      </w:pPr>
      <w:r w:rsidRPr="459579CE">
        <w:rPr>
          <w:b/>
          <w:bCs/>
          <w:u w:val="single"/>
        </w:rPr>
        <w:t xml:space="preserve">The ICA’s assumptions regarding reimbursement for a new 300 bed cancer hospital underestimate the potential impact on healthcare costs. </w:t>
      </w:r>
    </w:p>
    <w:p w14:paraId="42D53696" w14:textId="2E837C1B" w:rsidR="005B7162" w:rsidRDefault="00A25CE0" w:rsidP="008463F3">
      <w:r>
        <w:t xml:space="preserve">The ICA reviews various </w:t>
      </w:r>
      <w:r w:rsidR="0082296A">
        <w:t xml:space="preserve">reimbursement </w:t>
      </w:r>
      <w:r>
        <w:t>scenarios for Medicare and commercial reimbursement, but they are unrealistically low</w:t>
      </w:r>
      <w:r w:rsidR="00C54E6A">
        <w:t xml:space="preserve">. </w:t>
      </w:r>
      <w:r>
        <w:t xml:space="preserve">In particular, </w:t>
      </w:r>
      <w:r w:rsidR="002C5724">
        <w:t xml:space="preserve">the ICA’s estimate of </w:t>
      </w:r>
      <w:r w:rsidR="008463F3">
        <w:t xml:space="preserve">DFCI’s </w:t>
      </w:r>
      <w:r w:rsidR="002C5724">
        <w:t xml:space="preserve">future </w:t>
      </w:r>
      <w:r w:rsidR="008463F3">
        <w:t xml:space="preserve">Medicare </w:t>
      </w:r>
      <w:r w:rsidR="002C5724">
        <w:t>reimbursements are faulty</w:t>
      </w:r>
      <w:r w:rsidR="00C54E6A">
        <w:t xml:space="preserve">. </w:t>
      </w:r>
      <w:r w:rsidR="00C42F24">
        <w:t>DFCI</w:t>
      </w:r>
      <w:r w:rsidR="001D7AB9">
        <w:t xml:space="preserve"> receives an enhanced Medicare reimbursement for its services due to its status as </w:t>
      </w:r>
      <w:r w:rsidR="00E17E61">
        <w:t xml:space="preserve">a </w:t>
      </w:r>
      <w:r w:rsidR="001D7AB9">
        <w:t>Medicare PPS</w:t>
      </w:r>
      <w:r w:rsidR="008463F3">
        <w:t>-</w:t>
      </w:r>
      <w:r w:rsidR="001D7AB9">
        <w:t xml:space="preserve">Exempt Cancer Hospital, and its reimbursement is </w:t>
      </w:r>
      <w:r w:rsidR="00C42F24">
        <w:t>cost-based</w:t>
      </w:r>
      <w:r w:rsidR="00C54E6A">
        <w:t xml:space="preserve">. </w:t>
      </w:r>
      <w:r w:rsidR="002C5724">
        <w:t>By underestimating the costs of running a standalone cancer hospital in Boston, the ICA underestimates DFCI’s future Medicare payments</w:t>
      </w:r>
      <w:r w:rsidR="00C54E6A">
        <w:t xml:space="preserve">. </w:t>
      </w:r>
      <w:r w:rsidR="005B7162">
        <w:t>If the proposed project goes forward as planned, DFCI’s cost-per-discharge for Medicare patients will increase, which would increase its Medicare reimbursement</w:t>
      </w:r>
      <w:r w:rsidR="00C54E6A">
        <w:t xml:space="preserve">. </w:t>
      </w:r>
    </w:p>
    <w:p w14:paraId="5ABAD36D" w14:textId="12C7BDDD" w:rsidR="00D828ED" w:rsidRPr="00D828ED" w:rsidRDefault="00D828ED" w:rsidP="00D828ED">
      <w:r>
        <w:t xml:space="preserve">DFCI has the unique status of being one of only 11 Medicare Prospective Payment System (PPS)-Exempt Cancer Hospitals in the country. This status provides for reimbursement that is based on the actual cost of care provided, while hospitals without this status (i.e., hospitals paid under the Medicare Inpatient Prospective Payment System (IPPS)) receive set rates of reimbursement that are </w:t>
      </w:r>
      <w:r w:rsidR="00A5577B">
        <w:t>generally</w:t>
      </w:r>
      <w:r w:rsidR="00301A0C">
        <w:t xml:space="preserve"> </w:t>
      </w:r>
      <w:r>
        <w:t xml:space="preserve">lower than the actual cost of providing care. Essentially, a PPS-Exempt Cancer Hospital such as DFCI is made whole for the care it provides to Medicare beneficiaries. In calculating DFCI’s costs, however, the ICA relied on DFCI’s current cost structure of providing care in 30 leased beds at </w:t>
      </w:r>
      <w:r w:rsidR="00C85C0A">
        <w:t>BWH; the</w:t>
      </w:r>
      <w:r>
        <w:t xml:space="preserve"> costs of running a full hospital with 300 beds will be higher</w:t>
      </w:r>
      <w:r w:rsidR="00C54E6A">
        <w:t xml:space="preserve">. </w:t>
      </w:r>
      <w:r w:rsidR="00EC0D9B">
        <w:t xml:space="preserve">A freestanding hospital has many additional expenses for additional staffing </w:t>
      </w:r>
      <w:r w:rsidR="00A5698C">
        <w:t xml:space="preserve">and other overhead </w:t>
      </w:r>
      <w:r w:rsidR="00EC0D9B">
        <w:t>needs that are not reflected in the expense of operating 30 beds within another hospital</w:t>
      </w:r>
      <w:r w:rsidR="00C54E6A">
        <w:t xml:space="preserve">. </w:t>
      </w:r>
      <w:r w:rsidR="004D5CE1">
        <w:t xml:space="preserve">MGB estimates that the true cost </w:t>
      </w:r>
      <w:r w:rsidR="008C580C">
        <w:t xml:space="preserve">structure for a cancer hospital will be </w:t>
      </w:r>
      <w:r>
        <w:t>37%</w:t>
      </w:r>
      <w:r w:rsidR="008C580C">
        <w:t>-4</w:t>
      </w:r>
      <w:r w:rsidR="00B868AC">
        <w:t>2</w:t>
      </w:r>
      <w:r w:rsidR="008C580C">
        <w:t xml:space="preserve">% higher </w:t>
      </w:r>
      <w:r w:rsidR="00B868AC">
        <w:t xml:space="preserve">than the </w:t>
      </w:r>
      <w:r>
        <w:t xml:space="preserve">existing costs </w:t>
      </w:r>
      <w:r w:rsidR="00B868AC">
        <w:t>for DFCI’s 30 leased beds</w:t>
      </w:r>
      <w:r w:rsidR="00C54E6A">
        <w:t xml:space="preserve">. </w:t>
      </w:r>
      <w:r w:rsidR="00B868AC">
        <w:t>The lower bound of 37% is based upon BWH’s current cost structure for inpatient beds, and the 42% upper bound is based upon the GAO report cited below</w:t>
      </w:r>
      <w:r w:rsidR="00C54E6A">
        <w:t xml:space="preserve">. </w:t>
      </w:r>
    </w:p>
    <w:p w14:paraId="5B8101DE" w14:textId="4D6C1506" w:rsidR="00093624" w:rsidRDefault="005B7162" w:rsidP="00A25CE0">
      <w:r>
        <w:t>T</w:t>
      </w:r>
      <w:r w:rsidR="0041271E">
        <w:t xml:space="preserve">he ICA </w:t>
      </w:r>
      <w:r w:rsidR="0082296A">
        <w:t xml:space="preserve">models two scenarios for possible </w:t>
      </w:r>
      <w:r w:rsidR="002F5C4C">
        <w:t xml:space="preserve">increased </w:t>
      </w:r>
      <w:r w:rsidR="000F2FB9">
        <w:t>Medicare prices</w:t>
      </w:r>
      <w:r w:rsidR="0082296A">
        <w:t>. The first</w:t>
      </w:r>
      <w:r w:rsidR="000F2FB9">
        <w:t xml:space="preserve"> simply assumes that Medicare reimbursement will match the average of BWH and BIDMC levels</w:t>
      </w:r>
      <w:r w:rsidR="00C54E6A">
        <w:t xml:space="preserve">. </w:t>
      </w:r>
      <w:r w:rsidR="0082296A">
        <w:t>There is no support for this assumption.</w:t>
      </w:r>
      <w:r w:rsidR="00442966">
        <w:rPr>
          <w:rStyle w:val="FootnoteReference"/>
        </w:rPr>
        <w:footnoteReference w:id="8"/>
      </w:r>
      <w:r w:rsidR="0082296A">
        <w:t xml:space="preserve">  </w:t>
      </w:r>
      <w:r w:rsidR="000F2FB9">
        <w:t xml:space="preserve">The </w:t>
      </w:r>
      <w:r w:rsidR="0082296A">
        <w:t xml:space="preserve">second </w:t>
      </w:r>
      <w:r w:rsidR="000F2FB9">
        <w:t xml:space="preserve">scenario </w:t>
      </w:r>
      <w:r w:rsidR="00A25CE0">
        <w:t xml:space="preserve">attempts to address the </w:t>
      </w:r>
      <w:r w:rsidR="00E81593">
        <w:t>reality that D</w:t>
      </w:r>
      <w:r w:rsidR="000712EC">
        <w:t>F</w:t>
      </w:r>
      <w:r w:rsidR="00E81593">
        <w:t>F</w:t>
      </w:r>
      <w:r w:rsidR="000712EC">
        <w:t>C</w:t>
      </w:r>
      <w:r w:rsidR="00E81593">
        <w:t xml:space="preserve">I will incur </w:t>
      </w:r>
      <w:r w:rsidR="00A25CE0">
        <w:t xml:space="preserve">increased costs </w:t>
      </w:r>
      <w:r w:rsidR="002C5724">
        <w:t>when</w:t>
      </w:r>
      <w:r w:rsidR="00A25CE0">
        <w:t xml:space="preserve"> running a </w:t>
      </w:r>
      <w:r w:rsidR="000F2FB9">
        <w:t>300</w:t>
      </w:r>
      <w:r w:rsidR="00D5432E">
        <w:t>-</w:t>
      </w:r>
      <w:r w:rsidR="000F2FB9">
        <w:t xml:space="preserve">bed </w:t>
      </w:r>
      <w:r w:rsidR="00A25CE0">
        <w:t>standalone facility</w:t>
      </w:r>
      <w:r w:rsidR="0082296A">
        <w:t>,</w:t>
      </w:r>
      <w:r w:rsidR="00A25CE0">
        <w:t xml:space="preserve"> increasing DFCI’s Medicare prices to match the median reimbursement increase over estimated IPPS payments among other PPS</w:t>
      </w:r>
      <w:r w:rsidR="0082296A">
        <w:t>-</w:t>
      </w:r>
      <w:r w:rsidR="00A25CE0">
        <w:t xml:space="preserve"> </w:t>
      </w:r>
      <w:r w:rsidR="0082296A">
        <w:t>E</w:t>
      </w:r>
      <w:r w:rsidR="00A25CE0">
        <w:t xml:space="preserve">xempt cancer hospitals, based on data from a </w:t>
      </w:r>
      <w:r w:rsidR="0082296A">
        <w:t>U.S. Governmental Accountability Office (</w:t>
      </w:r>
      <w:r w:rsidR="00A25CE0">
        <w:t>GAO</w:t>
      </w:r>
      <w:r w:rsidR="0082296A">
        <w:t>) report</w:t>
      </w:r>
      <w:r w:rsidR="00A25CE0">
        <w:t>.</w:t>
      </w:r>
      <w:r w:rsidR="0082296A">
        <w:rPr>
          <w:rStyle w:val="FootnoteReference"/>
        </w:rPr>
        <w:footnoteReference w:id="9"/>
      </w:r>
      <w:r w:rsidR="00A25CE0">
        <w:t xml:space="preserve"> </w:t>
      </w:r>
      <w:r w:rsidR="002F5C4C">
        <w:t>H</w:t>
      </w:r>
      <w:r w:rsidR="00A25CE0" w:rsidRPr="002F5C4C">
        <w:t xml:space="preserve">owever, this median Medicare reimbursement, which </w:t>
      </w:r>
      <w:r w:rsidR="0041271E">
        <w:t xml:space="preserve">blends costs from several markets </w:t>
      </w:r>
      <w:r w:rsidR="00021F78">
        <w:t>across the nation</w:t>
      </w:r>
      <w:r w:rsidR="00A25CE0">
        <w:t xml:space="preserve">, does not </w:t>
      </w:r>
      <w:r w:rsidR="00041423">
        <w:t xml:space="preserve">account </w:t>
      </w:r>
      <w:r w:rsidR="006A3C6C">
        <w:t xml:space="preserve">for </w:t>
      </w:r>
      <w:r w:rsidR="0041271E">
        <w:t xml:space="preserve">the high labor costs in Eastern </w:t>
      </w:r>
      <w:r w:rsidR="00443A3F">
        <w:t>Massachusetts</w:t>
      </w:r>
      <w:r w:rsidR="007439B7">
        <w:t>, which makes it of limited use in predicting the Medicare payments to a 300</w:t>
      </w:r>
      <w:r w:rsidR="00072E6F">
        <w:t>-</w:t>
      </w:r>
      <w:r w:rsidR="007439B7">
        <w:t>bed stand-alone cancer hospital in Boston</w:t>
      </w:r>
      <w:r w:rsidR="0041271E">
        <w:t>.</w:t>
      </w:r>
      <w:r w:rsidR="00041423">
        <w:t xml:space="preserve">  Further, </w:t>
      </w:r>
      <w:r w:rsidR="00093624">
        <w:t>th</w:t>
      </w:r>
      <w:r w:rsidR="006C0591">
        <w:t>e</w:t>
      </w:r>
      <w:r w:rsidR="00093624">
        <w:t xml:space="preserve"> GAO report notes that PPS-</w:t>
      </w:r>
      <w:r w:rsidR="006C0591">
        <w:t>E</w:t>
      </w:r>
      <w:r w:rsidR="00093624">
        <w:t xml:space="preserve">xempt cancer facilities receive, on average, 42% more in Medicare inpatient payments relative </w:t>
      </w:r>
      <w:r w:rsidR="00093624">
        <w:lastRenderedPageBreak/>
        <w:t>to what an IPPS facility would be paid</w:t>
      </w:r>
      <w:r w:rsidR="00C54E6A">
        <w:t xml:space="preserve">. </w:t>
      </w:r>
      <w:r w:rsidR="00093624">
        <w:t xml:space="preserve">Using the GAO average to model the future Medicare reimbursement rates produces a predicted Medicare reimbursement </w:t>
      </w:r>
      <w:r w:rsidR="00093624" w:rsidRPr="00E17E61">
        <w:t xml:space="preserve">rate of </w:t>
      </w:r>
      <w:r w:rsidR="37A1EA74" w:rsidRPr="00E17E61">
        <w:t>$91.5M or 42%</w:t>
      </w:r>
      <w:r w:rsidR="00A5577B" w:rsidRPr="00E17E61">
        <w:t xml:space="preserve"> higher</w:t>
      </w:r>
      <w:r w:rsidR="00A5577B">
        <w:t xml:space="preserve"> than current DFCI reimbursement</w:t>
      </w:r>
      <w:r w:rsidR="00093624">
        <w:t xml:space="preserve">. </w:t>
      </w:r>
    </w:p>
    <w:p w14:paraId="473CAA84" w14:textId="150403CC" w:rsidR="00FD271F" w:rsidRDefault="00CA1285" w:rsidP="00F011F9">
      <w:pPr>
        <w:rPr>
          <w:caps/>
        </w:rPr>
      </w:pPr>
      <w:r>
        <w:t>Further, t</w:t>
      </w:r>
      <w:r w:rsidR="007439B7">
        <w:t xml:space="preserve">he ICA does not reflect the </w:t>
      </w:r>
      <w:r w:rsidR="006C0591">
        <w:t xml:space="preserve">very real </w:t>
      </w:r>
      <w:r w:rsidR="007439B7">
        <w:t>potential for increase</w:t>
      </w:r>
      <w:r w:rsidR="006B280D">
        <w:t>d</w:t>
      </w:r>
      <w:r w:rsidR="007439B7">
        <w:t xml:space="preserve"> labor costs that will further drive up DFCI’s </w:t>
      </w:r>
      <w:r>
        <w:t xml:space="preserve">costs and therefore drive up DFCI’s </w:t>
      </w:r>
      <w:r w:rsidR="007439B7">
        <w:t>Medicare payments</w:t>
      </w:r>
      <w:r w:rsidR="00C54E6A">
        <w:t xml:space="preserve">. </w:t>
      </w:r>
      <w:r w:rsidR="00E81593">
        <w:t>I</w:t>
      </w:r>
      <w:r w:rsidR="00F011F9">
        <w:t xml:space="preserve">n its response to </w:t>
      </w:r>
      <w:proofErr w:type="spellStart"/>
      <w:r w:rsidR="00F011F9">
        <w:t>DoN</w:t>
      </w:r>
      <w:proofErr w:type="spellEnd"/>
      <w:r w:rsidR="00F011F9">
        <w:t xml:space="preserve"> staff questions</w:t>
      </w:r>
      <w:r w:rsidR="006C0591">
        <w:t>,</w:t>
      </w:r>
      <w:r w:rsidR="00F011F9">
        <w:t xml:space="preserve"> DFCI confirms that </w:t>
      </w:r>
      <w:r w:rsidR="00EF11F7">
        <w:t xml:space="preserve">it </w:t>
      </w:r>
      <w:r w:rsidR="00F011F9">
        <w:t>anticipate</w:t>
      </w:r>
      <w:r w:rsidR="00EF11F7">
        <w:t>s</w:t>
      </w:r>
      <w:r w:rsidR="00F011F9">
        <w:t xml:space="preserve"> </w:t>
      </w:r>
      <w:r w:rsidR="00946797">
        <w:t xml:space="preserve">the new </w:t>
      </w:r>
      <w:r w:rsidR="00A57E38">
        <w:t xml:space="preserve">DFCI </w:t>
      </w:r>
      <w:r w:rsidR="00946797">
        <w:t>Cancer Center</w:t>
      </w:r>
      <w:r w:rsidR="00A57E38">
        <w:t xml:space="preserve"> will require significant</w:t>
      </w:r>
      <w:r w:rsidR="001518F6">
        <w:t xml:space="preserve"> hiring</w:t>
      </w:r>
      <w:r w:rsidR="00C40707">
        <w:t xml:space="preserve"> (2,400 new </w:t>
      </w:r>
      <w:r w:rsidR="00763D6B">
        <w:t>full-time equivalent positions</w:t>
      </w:r>
      <w:r w:rsidR="00C40707">
        <w:t>)</w:t>
      </w:r>
      <w:r w:rsidR="00A57E38">
        <w:t xml:space="preserve">, which will put upward pressure on </w:t>
      </w:r>
      <w:proofErr w:type="gramStart"/>
      <w:r w:rsidR="003D1154">
        <w:t>current</w:t>
      </w:r>
      <w:proofErr w:type="gramEnd"/>
      <w:r w:rsidR="003D1154">
        <w:t xml:space="preserve"> costs</w:t>
      </w:r>
      <w:r w:rsidR="00EF11F7">
        <w:t xml:space="preserve"> of delivering care</w:t>
      </w:r>
      <w:r w:rsidR="00C54E6A">
        <w:t xml:space="preserve">. </w:t>
      </w:r>
      <w:r w:rsidR="003D1154">
        <w:t>Eastern Massachusetts is</w:t>
      </w:r>
      <w:r w:rsidR="00E55BBA">
        <w:t xml:space="preserve"> </w:t>
      </w:r>
      <w:r w:rsidR="00EF11F7">
        <w:t xml:space="preserve">significantly </w:t>
      </w:r>
      <w:r w:rsidR="00946797">
        <w:t xml:space="preserve">challenged with </w:t>
      </w:r>
      <w:proofErr w:type="gramStart"/>
      <w:r w:rsidR="00E55BBA">
        <w:t>staffing</w:t>
      </w:r>
      <w:proofErr w:type="gramEnd"/>
      <w:r w:rsidR="00E55BBA">
        <w:t xml:space="preserve"> shortages and high </w:t>
      </w:r>
      <w:r w:rsidR="00946797">
        <w:t>labor costs.</w:t>
      </w:r>
      <w:r w:rsidR="00EF11F7">
        <w:rPr>
          <w:rStyle w:val="FootnoteReference"/>
        </w:rPr>
        <w:footnoteReference w:id="10"/>
      </w:r>
      <w:r w:rsidR="00F83F05">
        <w:t xml:space="preserve">  </w:t>
      </w:r>
      <w:r w:rsidR="00547929">
        <w:t xml:space="preserve">  Increased demand for staff in the Longwood area will push labor costs higher for all area providers, and consequently to providers throughout Massachusetts.</w:t>
      </w:r>
      <w:r w:rsidR="00EF11F7">
        <w:rPr>
          <w:rStyle w:val="FootnoteReference"/>
        </w:rPr>
        <w:footnoteReference w:id="11"/>
      </w:r>
      <w:r w:rsidR="00547929">
        <w:t xml:space="preserve"> </w:t>
      </w:r>
      <w:r w:rsidR="00FD271F">
        <w:t xml:space="preserve"> </w:t>
      </w:r>
    </w:p>
    <w:p w14:paraId="5F19937A" w14:textId="6E115C11" w:rsidR="00D518A3" w:rsidRDefault="00E81593" w:rsidP="00C95B1F">
      <w:bookmarkStart w:id="0" w:name="_Hlk190102048"/>
      <w:r w:rsidRPr="0026297D">
        <w:t xml:space="preserve">The </w:t>
      </w:r>
      <w:r w:rsidR="0026297D" w:rsidRPr="0026297D">
        <w:t xml:space="preserve">ICA’s </w:t>
      </w:r>
      <w:r w:rsidRPr="0026297D">
        <w:t>pricing scenarios discussed above also address commercial payers, but the modeling</w:t>
      </w:r>
      <w:r w:rsidR="00E957F8" w:rsidRPr="0026297D">
        <w:t xml:space="preserve"> includes flawed assumptions about negotiating leverage at DFCI and BWH</w:t>
      </w:r>
      <w:r w:rsidR="00C54E6A" w:rsidRPr="0026297D">
        <w:t xml:space="preserve">. </w:t>
      </w:r>
      <w:r w:rsidR="001D49C3" w:rsidRPr="0026297D">
        <w:t xml:space="preserve">In </w:t>
      </w:r>
      <w:r w:rsidR="0047192D" w:rsidRPr="0026297D">
        <w:t>its</w:t>
      </w:r>
      <w:r w:rsidR="001D49C3" w:rsidRPr="0026297D">
        <w:t xml:space="preserve"> highest scenario, the ICA assumes DFCI will agree to </w:t>
      </w:r>
      <w:r w:rsidR="00143F65">
        <w:t>a price point midway between DFCI’s current price and BWH current price</w:t>
      </w:r>
      <w:proofErr w:type="gramStart"/>
      <w:r w:rsidR="00143F65">
        <w:t xml:space="preserve">. </w:t>
      </w:r>
      <w:r w:rsidR="00D972B7" w:rsidRPr="0026297D">
        <w:t>.</w:t>
      </w:r>
      <w:proofErr w:type="gramEnd"/>
      <w:r w:rsidR="001D49C3" w:rsidRPr="0026297D">
        <w:t xml:space="preserve"> </w:t>
      </w:r>
      <w:r w:rsidR="00E957F8">
        <w:t>However, DFCI’s Proposed Project</w:t>
      </w:r>
      <w:r w:rsidR="00EF11F7">
        <w:t xml:space="preserve"> </w:t>
      </w:r>
      <w:r w:rsidR="00E957F8">
        <w:t>will result in a hospital with an average daily census (ADC) of up to 265 patients</w:t>
      </w:r>
      <w:r w:rsidR="00C54E6A">
        <w:t xml:space="preserve">. </w:t>
      </w:r>
      <w:r w:rsidR="00E957F8">
        <w:t>The ICA notes that ADC statewide is 1380 (See Table 7</w:t>
      </w:r>
      <w:r w:rsidR="0026297D">
        <w:t xml:space="preserve"> of the ICA</w:t>
      </w:r>
      <w:r w:rsidR="00E957F8">
        <w:t>)</w:t>
      </w:r>
      <w:r w:rsidR="00C54E6A">
        <w:t xml:space="preserve">. </w:t>
      </w:r>
      <w:r w:rsidR="00E957F8">
        <w:t>That will give DFCI a 19% statewide share of patient days, and an even higher share in the Boston area</w:t>
      </w:r>
      <w:r w:rsidR="00C54E6A">
        <w:t xml:space="preserve">. </w:t>
      </w:r>
      <w:r w:rsidR="00E957F8">
        <w:t xml:space="preserve">It is likely that </w:t>
      </w:r>
      <w:proofErr w:type="gramStart"/>
      <w:r w:rsidR="002C2658">
        <w:t>as a result of</w:t>
      </w:r>
      <w:proofErr w:type="gramEnd"/>
      <w:r w:rsidR="002C2658">
        <w:t xml:space="preserve"> higher costs</w:t>
      </w:r>
      <w:r w:rsidR="00B2669B">
        <w:t xml:space="preserve"> due to labor challenges and a</w:t>
      </w:r>
      <w:r w:rsidR="00E957F8">
        <w:t xml:space="preserve"> high share of cancer care </w:t>
      </w:r>
      <w:r w:rsidR="00B2669B">
        <w:t>market that</w:t>
      </w:r>
      <w:r w:rsidR="00EF11F7">
        <w:t xml:space="preserve"> </w:t>
      </w:r>
      <w:r w:rsidR="00E957F8">
        <w:t xml:space="preserve">DFCI </w:t>
      </w:r>
      <w:r w:rsidR="008A260D">
        <w:t>w</w:t>
      </w:r>
      <w:r w:rsidR="00B2669B">
        <w:t xml:space="preserve">ill pursue rates </w:t>
      </w:r>
      <w:r w:rsidR="008A260D">
        <w:t>in alignment with the top of the market.</w:t>
      </w:r>
      <w:r w:rsidR="00B92DAC">
        <w:rPr>
          <w:rStyle w:val="FootnoteReference"/>
        </w:rPr>
        <w:footnoteReference w:id="12"/>
      </w:r>
    </w:p>
    <w:bookmarkEnd w:id="0"/>
    <w:p w14:paraId="500FC1EC" w14:textId="77777777" w:rsidR="002A44BC" w:rsidRDefault="00E957F8" w:rsidP="00A25CE0">
      <w:r>
        <w:t xml:space="preserve"> </w:t>
      </w:r>
      <w:r w:rsidR="006C6D90">
        <w:t xml:space="preserve">Table 3 illustrates the impact on costs given the anticipated patient movement from BWH, </w:t>
      </w:r>
      <w:proofErr w:type="gramStart"/>
      <w:r w:rsidR="006C6D90">
        <w:t>BI, and</w:t>
      </w:r>
      <w:proofErr w:type="gramEnd"/>
      <w:r w:rsidR="006C6D90">
        <w:t xml:space="preserve"> AMC and Community Hospitals described above</w:t>
      </w:r>
      <w:r w:rsidR="009A49E1">
        <w:t xml:space="preserve">. </w:t>
      </w:r>
      <w:r w:rsidR="00665C0A">
        <w:t xml:space="preserve">Even if DFCI does not use that leverage to negotiate a large increase in its commercial rates, </w:t>
      </w:r>
      <w:proofErr w:type="gramStart"/>
      <w:r w:rsidR="00721F92">
        <w:t>small</w:t>
      </w:r>
      <w:proofErr w:type="gramEnd"/>
      <w:r w:rsidR="00721F92">
        <w:t xml:space="preserve"> increase in commercial </w:t>
      </w:r>
      <w:r w:rsidR="00665C0A">
        <w:t>rates</w:t>
      </w:r>
      <w:r w:rsidR="00721F92">
        <w:t xml:space="preserve"> for DFCI, in addition to increased Medicare payments</w:t>
      </w:r>
      <w:r w:rsidR="0032404A">
        <w:t xml:space="preserve"> and the movement of patients from lower-cost hospitals into the new DFCI hospital,</w:t>
      </w:r>
      <w:r w:rsidR="00721F92">
        <w:t xml:space="preserve"> will result in at least a 1</w:t>
      </w:r>
      <w:r w:rsidR="009232D1">
        <w:t>4</w:t>
      </w:r>
      <w:r w:rsidR="00721F92">
        <w:t xml:space="preserve">% increase </w:t>
      </w:r>
      <w:r w:rsidR="00665C0A">
        <w:t xml:space="preserve">in total </w:t>
      </w:r>
      <w:r w:rsidR="002F1CB3">
        <w:t>medical expenses</w:t>
      </w:r>
      <w:r w:rsidR="00C54E6A">
        <w:t xml:space="preserve">. </w:t>
      </w:r>
      <w:r w:rsidR="00665C0A" w:rsidRPr="00B92DAC">
        <w:t>This estimate assumes a commercial rate level (1.19) at the mid-point between the MGB AMC relative price as determined through the most recent 2022 CHIA reporting (1.29) and the estimated DFCI relative price for inpatient services blended by BWH commercial payer mix (1.09)</w:t>
      </w:r>
      <w:r w:rsidR="00C54E6A" w:rsidRPr="00B92DAC">
        <w:t xml:space="preserve">. </w:t>
      </w:r>
      <w:r w:rsidR="00665C0A" w:rsidRPr="00B92DAC">
        <w:t>This</w:t>
      </w:r>
      <w:r w:rsidR="00665C0A">
        <w:t xml:space="preserve"> blended estimate is taken from the ICA, and we believe it is </w:t>
      </w:r>
      <w:r w:rsidR="00665C0A">
        <w:lastRenderedPageBreak/>
        <w:t>conservative</w:t>
      </w:r>
      <w:r w:rsidR="00C54E6A">
        <w:t xml:space="preserve">. </w:t>
      </w:r>
      <w:r w:rsidR="00665C0A">
        <w:t>The actual increase in costs will be even higher, given the shift in patients from community hospitals that will occur</w:t>
      </w:r>
      <w:r w:rsidR="00C54E6A">
        <w:t xml:space="preserve">. </w:t>
      </w:r>
    </w:p>
    <w:p w14:paraId="7AEEBDCC" w14:textId="156B4A58" w:rsidR="00721F92" w:rsidRDefault="00F1478A" w:rsidP="00A25CE0">
      <w:r>
        <w:t xml:space="preserve">Table </w:t>
      </w:r>
      <w:r w:rsidR="00E17E61">
        <w:t>3</w:t>
      </w:r>
    </w:p>
    <w:p w14:paraId="7624AE62" w14:textId="42D146BB" w:rsidR="0029016D" w:rsidRPr="00E65977" w:rsidRDefault="0029016D" w:rsidP="00E65977">
      <w:pPr>
        <w:shd w:val="clear" w:color="auto" w:fill="D9E2F3" w:themeFill="accent1" w:themeFillTint="33"/>
        <w:rPr>
          <w:b/>
          <w:bCs/>
          <w:sz w:val="16"/>
          <w:szCs w:val="16"/>
        </w:rPr>
      </w:pPr>
      <w:r w:rsidRPr="00E65977">
        <w:rPr>
          <w:b/>
          <w:bCs/>
          <w:sz w:val="16"/>
          <w:szCs w:val="16"/>
        </w:rPr>
        <w:t>Current State</w:t>
      </w:r>
    </w:p>
    <w:tbl>
      <w:tblPr>
        <w:tblStyle w:val="TableGrid"/>
        <w:tblW w:w="0" w:type="auto"/>
        <w:tblLook w:val="04A0" w:firstRow="1" w:lastRow="0" w:firstColumn="1" w:lastColumn="0" w:noHBand="0" w:noVBand="1"/>
      </w:tblPr>
      <w:tblGrid>
        <w:gridCol w:w="1870"/>
        <w:gridCol w:w="1870"/>
        <w:gridCol w:w="1870"/>
        <w:gridCol w:w="1870"/>
      </w:tblGrid>
      <w:tr w:rsidR="003D07FB" w14:paraId="17F618DB" w14:textId="77777777" w:rsidTr="00046144">
        <w:tc>
          <w:tcPr>
            <w:tcW w:w="1870" w:type="dxa"/>
            <w:tcBorders>
              <w:bottom w:val="nil"/>
              <w:right w:val="nil"/>
            </w:tcBorders>
            <w:shd w:val="clear" w:color="auto" w:fill="D9E2F3" w:themeFill="accent1" w:themeFillTint="33"/>
          </w:tcPr>
          <w:p w14:paraId="7C196110" w14:textId="77777777" w:rsidR="003D07FB" w:rsidRPr="0007271B" w:rsidRDefault="003D07FB" w:rsidP="00A25CE0">
            <w:pPr>
              <w:rPr>
                <w:sz w:val="14"/>
                <w:szCs w:val="14"/>
              </w:rPr>
            </w:pPr>
          </w:p>
        </w:tc>
        <w:tc>
          <w:tcPr>
            <w:tcW w:w="1870" w:type="dxa"/>
            <w:tcBorders>
              <w:left w:val="nil"/>
              <w:bottom w:val="nil"/>
              <w:right w:val="nil"/>
            </w:tcBorders>
            <w:shd w:val="clear" w:color="auto" w:fill="D9E2F3" w:themeFill="accent1" w:themeFillTint="33"/>
          </w:tcPr>
          <w:p w14:paraId="09778AEF" w14:textId="77777777" w:rsidR="003D07FB" w:rsidRPr="0007271B" w:rsidRDefault="003D07FB" w:rsidP="00A25CE0">
            <w:pPr>
              <w:rPr>
                <w:sz w:val="14"/>
                <w:szCs w:val="14"/>
              </w:rPr>
            </w:pPr>
            <w:r w:rsidRPr="0007271B">
              <w:rPr>
                <w:sz w:val="14"/>
                <w:szCs w:val="14"/>
              </w:rPr>
              <w:t>Health Care Spending</w:t>
            </w:r>
          </w:p>
          <w:p w14:paraId="74AD9500" w14:textId="68F71A8D" w:rsidR="003D07FB" w:rsidRPr="0007271B" w:rsidRDefault="003D07FB" w:rsidP="00A25CE0">
            <w:pPr>
              <w:rPr>
                <w:sz w:val="14"/>
                <w:szCs w:val="14"/>
              </w:rPr>
            </w:pPr>
            <w:r w:rsidRPr="0007271B">
              <w:rPr>
                <w:sz w:val="14"/>
                <w:szCs w:val="14"/>
              </w:rPr>
              <w:t>Medical</w:t>
            </w:r>
          </w:p>
        </w:tc>
        <w:tc>
          <w:tcPr>
            <w:tcW w:w="1870" w:type="dxa"/>
            <w:tcBorders>
              <w:left w:val="nil"/>
              <w:bottom w:val="nil"/>
              <w:right w:val="nil"/>
            </w:tcBorders>
            <w:shd w:val="clear" w:color="auto" w:fill="D9E2F3" w:themeFill="accent1" w:themeFillTint="33"/>
          </w:tcPr>
          <w:p w14:paraId="21F35E9C" w14:textId="77777777" w:rsidR="003D07FB" w:rsidRPr="0007271B" w:rsidRDefault="003D07FB" w:rsidP="003D07FB">
            <w:pPr>
              <w:rPr>
                <w:sz w:val="14"/>
                <w:szCs w:val="14"/>
              </w:rPr>
            </w:pPr>
            <w:r w:rsidRPr="0007271B">
              <w:rPr>
                <w:sz w:val="14"/>
                <w:szCs w:val="14"/>
              </w:rPr>
              <w:t>Health Care Spending</w:t>
            </w:r>
          </w:p>
          <w:p w14:paraId="423A1A4F" w14:textId="215E81F4" w:rsidR="003D07FB" w:rsidRPr="0007271B" w:rsidRDefault="003D07FB" w:rsidP="003D07FB">
            <w:pPr>
              <w:rPr>
                <w:sz w:val="14"/>
                <w:szCs w:val="14"/>
              </w:rPr>
            </w:pPr>
            <w:r w:rsidRPr="0007271B">
              <w:rPr>
                <w:sz w:val="14"/>
                <w:szCs w:val="14"/>
              </w:rPr>
              <w:t>Surgical</w:t>
            </w:r>
          </w:p>
        </w:tc>
        <w:tc>
          <w:tcPr>
            <w:tcW w:w="1870" w:type="dxa"/>
            <w:tcBorders>
              <w:left w:val="nil"/>
              <w:bottom w:val="nil"/>
            </w:tcBorders>
            <w:shd w:val="clear" w:color="auto" w:fill="D9E2F3" w:themeFill="accent1" w:themeFillTint="33"/>
          </w:tcPr>
          <w:p w14:paraId="41AC30ED" w14:textId="77777777" w:rsidR="003D07FB" w:rsidRPr="0007271B" w:rsidRDefault="003D07FB" w:rsidP="003D07FB">
            <w:pPr>
              <w:rPr>
                <w:sz w:val="14"/>
                <w:szCs w:val="14"/>
              </w:rPr>
            </w:pPr>
            <w:r w:rsidRPr="0007271B">
              <w:rPr>
                <w:sz w:val="14"/>
                <w:szCs w:val="14"/>
              </w:rPr>
              <w:t>Health Care Spending</w:t>
            </w:r>
          </w:p>
          <w:p w14:paraId="4A102589" w14:textId="751428D6" w:rsidR="003D07FB" w:rsidRPr="0007271B" w:rsidRDefault="003D07FB" w:rsidP="003D07FB">
            <w:pPr>
              <w:rPr>
                <w:sz w:val="14"/>
                <w:szCs w:val="14"/>
              </w:rPr>
            </w:pPr>
            <w:r w:rsidRPr="0007271B">
              <w:rPr>
                <w:sz w:val="14"/>
                <w:szCs w:val="14"/>
              </w:rPr>
              <w:t>Total</w:t>
            </w:r>
          </w:p>
        </w:tc>
      </w:tr>
      <w:tr w:rsidR="003D07FB" w14:paraId="25D2D521" w14:textId="77777777" w:rsidTr="00046144">
        <w:tc>
          <w:tcPr>
            <w:tcW w:w="1870" w:type="dxa"/>
            <w:tcBorders>
              <w:top w:val="nil"/>
              <w:bottom w:val="single" w:sz="4" w:space="0" w:color="auto"/>
              <w:right w:val="nil"/>
            </w:tcBorders>
            <w:shd w:val="clear" w:color="auto" w:fill="D9E2F3" w:themeFill="accent1" w:themeFillTint="33"/>
          </w:tcPr>
          <w:p w14:paraId="57244068" w14:textId="563F0437" w:rsidR="003D07FB" w:rsidRPr="0007271B" w:rsidRDefault="003A43BF" w:rsidP="00A25CE0">
            <w:pPr>
              <w:rPr>
                <w:sz w:val="14"/>
                <w:szCs w:val="14"/>
              </w:rPr>
            </w:pPr>
            <w:r w:rsidRPr="0007271B">
              <w:rPr>
                <w:sz w:val="14"/>
                <w:szCs w:val="14"/>
              </w:rPr>
              <w:t>Commercial</w:t>
            </w:r>
          </w:p>
        </w:tc>
        <w:tc>
          <w:tcPr>
            <w:tcW w:w="1870" w:type="dxa"/>
            <w:tcBorders>
              <w:top w:val="nil"/>
              <w:left w:val="nil"/>
              <w:bottom w:val="single" w:sz="4" w:space="0" w:color="auto"/>
              <w:right w:val="nil"/>
            </w:tcBorders>
            <w:shd w:val="clear" w:color="auto" w:fill="D9E2F3" w:themeFill="accent1" w:themeFillTint="33"/>
          </w:tcPr>
          <w:p w14:paraId="24C7AE20" w14:textId="5B837181" w:rsidR="003D07FB" w:rsidRPr="0007271B" w:rsidRDefault="003A43BF" w:rsidP="00A25CE0">
            <w:pPr>
              <w:rPr>
                <w:sz w:val="14"/>
                <w:szCs w:val="14"/>
              </w:rPr>
            </w:pPr>
            <w:r w:rsidRPr="0007271B">
              <w:rPr>
                <w:sz w:val="14"/>
                <w:szCs w:val="14"/>
              </w:rPr>
              <w:t>$407.2</w:t>
            </w:r>
          </w:p>
        </w:tc>
        <w:tc>
          <w:tcPr>
            <w:tcW w:w="1870" w:type="dxa"/>
            <w:tcBorders>
              <w:top w:val="nil"/>
              <w:left w:val="nil"/>
              <w:bottom w:val="single" w:sz="4" w:space="0" w:color="auto"/>
              <w:right w:val="nil"/>
            </w:tcBorders>
            <w:shd w:val="clear" w:color="auto" w:fill="D9E2F3" w:themeFill="accent1" w:themeFillTint="33"/>
          </w:tcPr>
          <w:p w14:paraId="1B6FBB06" w14:textId="54A7498D" w:rsidR="003D07FB" w:rsidRPr="0007271B" w:rsidRDefault="003A43BF" w:rsidP="00A25CE0">
            <w:pPr>
              <w:rPr>
                <w:sz w:val="14"/>
                <w:szCs w:val="14"/>
              </w:rPr>
            </w:pPr>
            <w:r w:rsidRPr="0007271B">
              <w:rPr>
                <w:sz w:val="14"/>
                <w:szCs w:val="14"/>
              </w:rPr>
              <w:t>$64.7</w:t>
            </w:r>
          </w:p>
        </w:tc>
        <w:tc>
          <w:tcPr>
            <w:tcW w:w="1870" w:type="dxa"/>
            <w:tcBorders>
              <w:top w:val="nil"/>
              <w:left w:val="nil"/>
              <w:bottom w:val="single" w:sz="4" w:space="0" w:color="auto"/>
            </w:tcBorders>
            <w:shd w:val="clear" w:color="auto" w:fill="D9E2F3" w:themeFill="accent1" w:themeFillTint="33"/>
          </w:tcPr>
          <w:p w14:paraId="28668DE7" w14:textId="397DC47F" w:rsidR="003D07FB" w:rsidRPr="0007271B" w:rsidRDefault="003A43BF" w:rsidP="00A25CE0">
            <w:pPr>
              <w:rPr>
                <w:sz w:val="14"/>
                <w:szCs w:val="14"/>
              </w:rPr>
            </w:pPr>
            <w:r w:rsidRPr="0007271B">
              <w:rPr>
                <w:sz w:val="14"/>
                <w:szCs w:val="14"/>
              </w:rPr>
              <w:t>$471.9</w:t>
            </w:r>
          </w:p>
        </w:tc>
      </w:tr>
      <w:tr w:rsidR="003D07FB" w14:paraId="1FF13A20" w14:textId="77777777" w:rsidTr="00046144">
        <w:tc>
          <w:tcPr>
            <w:tcW w:w="1870" w:type="dxa"/>
            <w:tcBorders>
              <w:bottom w:val="nil"/>
              <w:right w:val="nil"/>
            </w:tcBorders>
            <w:shd w:val="clear" w:color="auto" w:fill="D9E2F3" w:themeFill="accent1" w:themeFillTint="33"/>
          </w:tcPr>
          <w:p w14:paraId="24471514" w14:textId="2AE90A1E" w:rsidR="00FE2475" w:rsidRPr="0007271B" w:rsidRDefault="00390C5E" w:rsidP="00A25CE0">
            <w:pPr>
              <w:rPr>
                <w:sz w:val="14"/>
                <w:szCs w:val="14"/>
              </w:rPr>
            </w:pPr>
            <w:r w:rsidRPr="0007271B">
              <w:rPr>
                <w:sz w:val="14"/>
                <w:szCs w:val="14"/>
              </w:rPr>
              <w:t>Government</w:t>
            </w:r>
          </w:p>
        </w:tc>
        <w:tc>
          <w:tcPr>
            <w:tcW w:w="1870" w:type="dxa"/>
            <w:tcBorders>
              <w:left w:val="nil"/>
              <w:bottom w:val="nil"/>
              <w:right w:val="nil"/>
            </w:tcBorders>
            <w:shd w:val="clear" w:color="auto" w:fill="D9E2F3" w:themeFill="accent1" w:themeFillTint="33"/>
          </w:tcPr>
          <w:p w14:paraId="5600672F" w14:textId="77777777" w:rsidR="003D07FB" w:rsidRPr="0007271B" w:rsidRDefault="003D07FB" w:rsidP="00A25CE0">
            <w:pPr>
              <w:rPr>
                <w:sz w:val="14"/>
                <w:szCs w:val="14"/>
              </w:rPr>
            </w:pPr>
          </w:p>
        </w:tc>
        <w:tc>
          <w:tcPr>
            <w:tcW w:w="1870" w:type="dxa"/>
            <w:tcBorders>
              <w:left w:val="nil"/>
              <w:bottom w:val="nil"/>
              <w:right w:val="nil"/>
            </w:tcBorders>
            <w:shd w:val="clear" w:color="auto" w:fill="D9E2F3" w:themeFill="accent1" w:themeFillTint="33"/>
          </w:tcPr>
          <w:p w14:paraId="68836022" w14:textId="77777777" w:rsidR="003D07FB" w:rsidRPr="0007271B" w:rsidRDefault="003D07FB" w:rsidP="00A25CE0">
            <w:pPr>
              <w:rPr>
                <w:sz w:val="14"/>
                <w:szCs w:val="14"/>
              </w:rPr>
            </w:pPr>
          </w:p>
        </w:tc>
        <w:tc>
          <w:tcPr>
            <w:tcW w:w="1870" w:type="dxa"/>
            <w:tcBorders>
              <w:left w:val="nil"/>
              <w:bottom w:val="nil"/>
            </w:tcBorders>
            <w:shd w:val="clear" w:color="auto" w:fill="D9E2F3" w:themeFill="accent1" w:themeFillTint="33"/>
          </w:tcPr>
          <w:p w14:paraId="130BE9A5" w14:textId="77777777" w:rsidR="003D07FB" w:rsidRPr="0007271B" w:rsidRDefault="003D07FB" w:rsidP="00A25CE0">
            <w:pPr>
              <w:rPr>
                <w:sz w:val="14"/>
                <w:szCs w:val="14"/>
              </w:rPr>
            </w:pPr>
          </w:p>
        </w:tc>
      </w:tr>
      <w:tr w:rsidR="003D07FB" w14:paraId="1BB7B951" w14:textId="77777777" w:rsidTr="007F27F8">
        <w:tc>
          <w:tcPr>
            <w:tcW w:w="1870" w:type="dxa"/>
            <w:tcBorders>
              <w:top w:val="nil"/>
              <w:bottom w:val="nil"/>
              <w:right w:val="nil"/>
            </w:tcBorders>
            <w:shd w:val="clear" w:color="auto" w:fill="D9E2F3" w:themeFill="accent1" w:themeFillTint="33"/>
          </w:tcPr>
          <w:p w14:paraId="044FAE07" w14:textId="31FCA06E" w:rsidR="003D07FB" w:rsidRPr="0007271B" w:rsidRDefault="00FE2475" w:rsidP="00A25CE0">
            <w:pPr>
              <w:rPr>
                <w:sz w:val="14"/>
                <w:szCs w:val="14"/>
              </w:rPr>
            </w:pPr>
            <w:r w:rsidRPr="0007271B">
              <w:rPr>
                <w:sz w:val="14"/>
                <w:szCs w:val="14"/>
              </w:rPr>
              <w:t xml:space="preserve">Medicare incl </w:t>
            </w:r>
            <w:proofErr w:type="spellStart"/>
            <w:r w:rsidRPr="0007271B">
              <w:rPr>
                <w:sz w:val="14"/>
                <w:szCs w:val="14"/>
              </w:rPr>
              <w:t>Mgd</w:t>
            </w:r>
            <w:proofErr w:type="spellEnd"/>
          </w:p>
        </w:tc>
        <w:tc>
          <w:tcPr>
            <w:tcW w:w="1870" w:type="dxa"/>
            <w:tcBorders>
              <w:top w:val="nil"/>
              <w:left w:val="nil"/>
              <w:bottom w:val="nil"/>
              <w:right w:val="nil"/>
            </w:tcBorders>
            <w:shd w:val="clear" w:color="auto" w:fill="D9E2F3" w:themeFill="accent1" w:themeFillTint="33"/>
          </w:tcPr>
          <w:p w14:paraId="7FD3F232" w14:textId="3F9E1469" w:rsidR="003D07FB" w:rsidRPr="0007271B" w:rsidRDefault="0007271B" w:rsidP="00A25CE0">
            <w:pPr>
              <w:rPr>
                <w:sz w:val="14"/>
                <w:szCs w:val="14"/>
              </w:rPr>
            </w:pPr>
            <w:r w:rsidRPr="0007271B">
              <w:rPr>
                <w:sz w:val="14"/>
                <w:szCs w:val="14"/>
              </w:rPr>
              <w:t>$217.8</w:t>
            </w:r>
          </w:p>
        </w:tc>
        <w:tc>
          <w:tcPr>
            <w:tcW w:w="1870" w:type="dxa"/>
            <w:tcBorders>
              <w:top w:val="nil"/>
              <w:left w:val="nil"/>
              <w:bottom w:val="nil"/>
              <w:right w:val="nil"/>
            </w:tcBorders>
            <w:shd w:val="clear" w:color="auto" w:fill="D9E2F3" w:themeFill="accent1" w:themeFillTint="33"/>
          </w:tcPr>
          <w:p w14:paraId="00FF5617" w14:textId="35DE0BA3" w:rsidR="003D07FB" w:rsidRPr="0007271B" w:rsidRDefault="0007271B" w:rsidP="00A25CE0">
            <w:pPr>
              <w:rPr>
                <w:sz w:val="14"/>
                <w:szCs w:val="14"/>
              </w:rPr>
            </w:pPr>
            <w:r w:rsidRPr="0007271B">
              <w:rPr>
                <w:sz w:val="14"/>
                <w:szCs w:val="14"/>
              </w:rPr>
              <w:t>$66.0</w:t>
            </w:r>
          </w:p>
        </w:tc>
        <w:tc>
          <w:tcPr>
            <w:tcW w:w="1870" w:type="dxa"/>
            <w:tcBorders>
              <w:top w:val="nil"/>
              <w:left w:val="nil"/>
              <w:bottom w:val="nil"/>
            </w:tcBorders>
            <w:shd w:val="clear" w:color="auto" w:fill="D9E2F3" w:themeFill="accent1" w:themeFillTint="33"/>
          </w:tcPr>
          <w:p w14:paraId="5E964F73" w14:textId="44E33A0C" w:rsidR="003D07FB" w:rsidRPr="0007271B" w:rsidRDefault="0007271B" w:rsidP="00A25CE0">
            <w:pPr>
              <w:rPr>
                <w:sz w:val="14"/>
                <w:szCs w:val="14"/>
              </w:rPr>
            </w:pPr>
            <w:r w:rsidRPr="0007271B">
              <w:rPr>
                <w:sz w:val="14"/>
                <w:szCs w:val="14"/>
              </w:rPr>
              <w:t>$283.8</w:t>
            </w:r>
          </w:p>
        </w:tc>
      </w:tr>
      <w:tr w:rsidR="003D07FB" w14:paraId="7B9AF400" w14:textId="77777777" w:rsidTr="007F27F8">
        <w:tc>
          <w:tcPr>
            <w:tcW w:w="1870" w:type="dxa"/>
            <w:tcBorders>
              <w:top w:val="nil"/>
              <w:bottom w:val="single" w:sz="12" w:space="0" w:color="auto"/>
              <w:right w:val="nil"/>
            </w:tcBorders>
            <w:shd w:val="clear" w:color="auto" w:fill="D9E2F3" w:themeFill="accent1" w:themeFillTint="33"/>
          </w:tcPr>
          <w:p w14:paraId="724D2BD1" w14:textId="1114DDBF" w:rsidR="00FE2475" w:rsidRPr="0007271B" w:rsidRDefault="00FE2475" w:rsidP="00A25CE0">
            <w:pPr>
              <w:rPr>
                <w:sz w:val="14"/>
                <w:szCs w:val="14"/>
              </w:rPr>
            </w:pPr>
            <w:r w:rsidRPr="0007271B">
              <w:rPr>
                <w:sz w:val="14"/>
                <w:szCs w:val="14"/>
              </w:rPr>
              <w:t xml:space="preserve">Medicaid incl </w:t>
            </w:r>
            <w:proofErr w:type="spellStart"/>
            <w:r w:rsidRPr="0007271B">
              <w:rPr>
                <w:sz w:val="14"/>
                <w:szCs w:val="14"/>
              </w:rPr>
              <w:t>Mgd</w:t>
            </w:r>
            <w:proofErr w:type="spellEnd"/>
          </w:p>
        </w:tc>
        <w:tc>
          <w:tcPr>
            <w:tcW w:w="1870" w:type="dxa"/>
            <w:tcBorders>
              <w:top w:val="nil"/>
              <w:left w:val="nil"/>
              <w:bottom w:val="single" w:sz="12" w:space="0" w:color="auto"/>
              <w:right w:val="nil"/>
            </w:tcBorders>
            <w:shd w:val="clear" w:color="auto" w:fill="D9E2F3" w:themeFill="accent1" w:themeFillTint="33"/>
          </w:tcPr>
          <w:p w14:paraId="1596F780" w14:textId="70AEFFFE" w:rsidR="003D07FB" w:rsidRPr="0007271B" w:rsidRDefault="0007271B" w:rsidP="00A25CE0">
            <w:pPr>
              <w:rPr>
                <w:sz w:val="14"/>
                <w:szCs w:val="14"/>
              </w:rPr>
            </w:pPr>
            <w:r w:rsidRPr="0007271B">
              <w:rPr>
                <w:sz w:val="14"/>
                <w:szCs w:val="14"/>
              </w:rPr>
              <w:t>$35.9</w:t>
            </w:r>
          </w:p>
        </w:tc>
        <w:tc>
          <w:tcPr>
            <w:tcW w:w="1870" w:type="dxa"/>
            <w:tcBorders>
              <w:top w:val="nil"/>
              <w:left w:val="nil"/>
              <w:bottom w:val="single" w:sz="12" w:space="0" w:color="auto"/>
              <w:right w:val="nil"/>
            </w:tcBorders>
            <w:shd w:val="clear" w:color="auto" w:fill="D9E2F3" w:themeFill="accent1" w:themeFillTint="33"/>
          </w:tcPr>
          <w:p w14:paraId="5BA1A5AB" w14:textId="45577706" w:rsidR="003D07FB" w:rsidRPr="0007271B" w:rsidRDefault="0007271B" w:rsidP="00A25CE0">
            <w:pPr>
              <w:rPr>
                <w:sz w:val="14"/>
                <w:szCs w:val="14"/>
              </w:rPr>
            </w:pPr>
            <w:r w:rsidRPr="0007271B">
              <w:rPr>
                <w:sz w:val="14"/>
                <w:szCs w:val="14"/>
              </w:rPr>
              <w:t>$7.5</w:t>
            </w:r>
          </w:p>
        </w:tc>
        <w:tc>
          <w:tcPr>
            <w:tcW w:w="1870" w:type="dxa"/>
            <w:tcBorders>
              <w:top w:val="nil"/>
              <w:left w:val="nil"/>
              <w:bottom w:val="single" w:sz="12" w:space="0" w:color="auto"/>
            </w:tcBorders>
            <w:shd w:val="clear" w:color="auto" w:fill="D9E2F3" w:themeFill="accent1" w:themeFillTint="33"/>
          </w:tcPr>
          <w:p w14:paraId="635D657D" w14:textId="1D2FC6E4" w:rsidR="003D07FB" w:rsidRPr="0007271B" w:rsidRDefault="0007271B" w:rsidP="00A25CE0">
            <w:pPr>
              <w:rPr>
                <w:sz w:val="14"/>
                <w:szCs w:val="14"/>
              </w:rPr>
            </w:pPr>
            <w:r w:rsidRPr="0007271B">
              <w:rPr>
                <w:sz w:val="14"/>
                <w:szCs w:val="14"/>
              </w:rPr>
              <w:t>$43.5</w:t>
            </w:r>
          </w:p>
        </w:tc>
      </w:tr>
      <w:tr w:rsidR="003D07FB" w14:paraId="0A24E5B3" w14:textId="77777777" w:rsidTr="00823E84">
        <w:tc>
          <w:tcPr>
            <w:tcW w:w="1870" w:type="dxa"/>
            <w:tcBorders>
              <w:top w:val="single" w:sz="12" w:space="0" w:color="auto"/>
              <w:bottom w:val="single" w:sz="4" w:space="0" w:color="auto"/>
              <w:right w:val="nil"/>
            </w:tcBorders>
            <w:shd w:val="clear" w:color="auto" w:fill="D9E2F3" w:themeFill="accent1" w:themeFillTint="33"/>
          </w:tcPr>
          <w:p w14:paraId="028FA39B" w14:textId="7265CBFF" w:rsidR="003D07FB" w:rsidRPr="0007271B" w:rsidRDefault="00FE2475" w:rsidP="00A25CE0">
            <w:pPr>
              <w:rPr>
                <w:sz w:val="14"/>
                <w:szCs w:val="14"/>
              </w:rPr>
            </w:pPr>
            <w:r w:rsidRPr="0007271B">
              <w:rPr>
                <w:sz w:val="14"/>
                <w:szCs w:val="14"/>
              </w:rPr>
              <w:t>Subtotal</w:t>
            </w:r>
          </w:p>
        </w:tc>
        <w:tc>
          <w:tcPr>
            <w:tcW w:w="1870" w:type="dxa"/>
            <w:tcBorders>
              <w:top w:val="single" w:sz="12" w:space="0" w:color="auto"/>
              <w:left w:val="nil"/>
              <w:bottom w:val="single" w:sz="4" w:space="0" w:color="auto"/>
              <w:right w:val="nil"/>
            </w:tcBorders>
            <w:shd w:val="clear" w:color="auto" w:fill="D9E2F3" w:themeFill="accent1" w:themeFillTint="33"/>
          </w:tcPr>
          <w:p w14:paraId="5B8431AC" w14:textId="582709E8" w:rsidR="003D07FB" w:rsidRPr="0007271B" w:rsidRDefault="0007271B" w:rsidP="00A25CE0">
            <w:pPr>
              <w:rPr>
                <w:sz w:val="14"/>
                <w:szCs w:val="14"/>
              </w:rPr>
            </w:pPr>
            <w:r w:rsidRPr="0007271B">
              <w:rPr>
                <w:sz w:val="14"/>
                <w:szCs w:val="14"/>
              </w:rPr>
              <w:t>$253.8</w:t>
            </w:r>
          </w:p>
        </w:tc>
        <w:tc>
          <w:tcPr>
            <w:tcW w:w="1870" w:type="dxa"/>
            <w:tcBorders>
              <w:top w:val="single" w:sz="12" w:space="0" w:color="auto"/>
              <w:left w:val="nil"/>
              <w:bottom w:val="single" w:sz="4" w:space="0" w:color="auto"/>
              <w:right w:val="nil"/>
            </w:tcBorders>
            <w:shd w:val="clear" w:color="auto" w:fill="D9E2F3" w:themeFill="accent1" w:themeFillTint="33"/>
          </w:tcPr>
          <w:p w14:paraId="79726E72" w14:textId="34C5D2B2" w:rsidR="003D07FB" w:rsidRPr="0007271B" w:rsidRDefault="0007271B" w:rsidP="00A25CE0">
            <w:pPr>
              <w:rPr>
                <w:sz w:val="14"/>
                <w:szCs w:val="14"/>
              </w:rPr>
            </w:pPr>
            <w:r w:rsidRPr="0007271B">
              <w:rPr>
                <w:sz w:val="14"/>
                <w:szCs w:val="14"/>
              </w:rPr>
              <w:t>$73.5</w:t>
            </w:r>
          </w:p>
        </w:tc>
        <w:tc>
          <w:tcPr>
            <w:tcW w:w="1870" w:type="dxa"/>
            <w:tcBorders>
              <w:top w:val="single" w:sz="12" w:space="0" w:color="auto"/>
              <w:left w:val="nil"/>
              <w:bottom w:val="single" w:sz="4" w:space="0" w:color="auto"/>
            </w:tcBorders>
            <w:shd w:val="clear" w:color="auto" w:fill="D9E2F3" w:themeFill="accent1" w:themeFillTint="33"/>
          </w:tcPr>
          <w:p w14:paraId="36040FE3" w14:textId="7F3D92AE" w:rsidR="003D07FB" w:rsidRPr="0007271B" w:rsidRDefault="0007271B" w:rsidP="00A25CE0">
            <w:pPr>
              <w:rPr>
                <w:sz w:val="14"/>
                <w:szCs w:val="14"/>
              </w:rPr>
            </w:pPr>
            <w:r w:rsidRPr="0007271B">
              <w:rPr>
                <w:sz w:val="14"/>
                <w:szCs w:val="14"/>
              </w:rPr>
              <w:t>$327.3</w:t>
            </w:r>
          </w:p>
        </w:tc>
      </w:tr>
      <w:tr w:rsidR="00FE2475" w14:paraId="055B4C5E" w14:textId="77777777" w:rsidTr="00823E84">
        <w:tc>
          <w:tcPr>
            <w:tcW w:w="1870" w:type="dxa"/>
            <w:tcBorders>
              <w:right w:val="nil"/>
            </w:tcBorders>
            <w:shd w:val="clear" w:color="auto" w:fill="D9E2F3" w:themeFill="accent1" w:themeFillTint="33"/>
          </w:tcPr>
          <w:p w14:paraId="4E6802DF" w14:textId="16469F16" w:rsidR="00FE2475" w:rsidRPr="0007271B" w:rsidRDefault="00FE2475" w:rsidP="00A25CE0">
            <w:pPr>
              <w:rPr>
                <w:sz w:val="14"/>
                <w:szCs w:val="14"/>
              </w:rPr>
            </w:pPr>
            <w:r w:rsidRPr="0007271B">
              <w:rPr>
                <w:sz w:val="14"/>
                <w:szCs w:val="14"/>
              </w:rPr>
              <w:t>Total</w:t>
            </w:r>
          </w:p>
        </w:tc>
        <w:tc>
          <w:tcPr>
            <w:tcW w:w="1870" w:type="dxa"/>
            <w:tcBorders>
              <w:left w:val="nil"/>
              <w:bottom w:val="single" w:sz="12" w:space="0" w:color="auto"/>
              <w:right w:val="nil"/>
            </w:tcBorders>
            <w:shd w:val="clear" w:color="auto" w:fill="D9E2F3" w:themeFill="accent1" w:themeFillTint="33"/>
          </w:tcPr>
          <w:p w14:paraId="0743072C" w14:textId="65951E27" w:rsidR="00FE2475" w:rsidRPr="0007271B" w:rsidRDefault="0007271B" w:rsidP="00A25CE0">
            <w:pPr>
              <w:rPr>
                <w:sz w:val="14"/>
                <w:szCs w:val="14"/>
              </w:rPr>
            </w:pPr>
            <w:r w:rsidRPr="0007271B">
              <w:rPr>
                <w:sz w:val="14"/>
                <w:szCs w:val="14"/>
              </w:rPr>
              <w:t>$661.0</w:t>
            </w:r>
          </w:p>
        </w:tc>
        <w:tc>
          <w:tcPr>
            <w:tcW w:w="1870" w:type="dxa"/>
            <w:tcBorders>
              <w:left w:val="nil"/>
              <w:bottom w:val="single" w:sz="12" w:space="0" w:color="auto"/>
              <w:right w:val="nil"/>
            </w:tcBorders>
            <w:shd w:val="clear" w:color="auto" w:fill="D9E2F3" w:themeFill="accent1" w:themeFillTint="33"/>
          </w:tcPr>
          <w:p w14:paraId="3176D483" w14:textId="23D9731A" w:rsidR="00FE2475" w:rsidRPr="0007271B" w:rsidRDefault="0007271B" w:rsidP="00A25CE0">
            <w:pPr>
              <w:rPr>
                <w:sz w:val="14"/>
                <w:szCs w:val="14"/>
              </w:rPr>
            </w:pPr>
            <w:r w:rsidRPr="0007271B">
              <w:rPr>
                <w:sz w:val="14"/>
                <w:szCs w:val="14"/>
              </w:rPr>
              <w:t>$138.2</w:t>
            </w:r>
          </w:p>
        </w:tc>
        <w:tc>
          <w:tcPr>
            <w:tcW w:w="1870" w:type="dxa"/>
            <w:tcBorders>
              <w:left w:val="nil"/>
              <w:bottom w:val="single" w:sz="12" w:space="0" w:color="auto"/>
            </w:tcBorders>
            <w:shd w:val="clear" w:color="auto" w:fill="D9E2F3" w:themeFill="accent1" w:themeFillTint="33"/>
          </w:tcPr>
          <w:p w14:paraId="36C381E7" w14:textId="2894EC11" w:rsidR="00FE2475" w:rsidRPr="0007271B" w:rsidRDefault="0007271B" w:rsidP="00A25CE0">
            <w:pPr>
              <w:rPr>
                <w:sz w:val="14"/>
                <w:szCs w:val="14"/>
              </w:rPr>
            </w:pPr>
            <w:r w:rsidRPr="0007271B">
              <w:rPr>
                <w:sz w:val="14"/>
                <w:szCs w:val="14"/>
              </w:rPr>
              <w:t>$799.2</w:t>
            </w:r>
          </w:p>
        </w:tc>
      </w:tr>
    </w:tbl>
    <w:p w14:paraId="228D0AB4" w14:textId="77777777" w:rsidR="003D07FB" w:rsidRDefault="003D07FB" w:rsidP="00A25CE0"/>
    <w:p w14:paraId="4A660475" w14:textId="39F0F77D" w:rsidR="00B92DAC" w:rsidRDefault="00B92DAC" w:rsidP="00A25CE0"/>
    <w:p w14:paraId="3E225EC4" w14:textId="77777777" w:rsidR="003D07FB" w:rsidRPr="001A014A" w:rsidRDefault="003D07FB" w:rsidP="001A014A">
      <w:pPr>
        <w:shd w:val="clear" w:color="auto" w:fill="FBE4D5" w:themeFill="accent2" w:themeFillTint="33"/>
        <w:rPr>
          <w:b/>
          <w:bCs/>
          <w:sz w:val="16"/>
          <w:szCs w:val="16"/>
        </w:rPr>
      </w:pPr>
      <w:r w:rsidRPr="001A014A">
        <w:rPr>
          <w:b/>
          <w:bCs/>
          <w:sz w:val="16"/>
          <w:szCs w:val="16"/>
        </w:rPr>
        <w:t>Future State</w:t>
      </w:r>
    </w:p>
    <w:tbl>
      <w:tblPr>
        <w:tblStyle w:val="TableGrid"/>
        <w:tblW w:w="0" w:type="auto"/>
        <w:tblLook w:val="04A0" w:firstRow="1" w:lastRow="0" w:firstColumn="1" w:lastColumn="0" w:noHBand="0" w:noVBand="1"/>
      </w:tblPr>
      <w:tblGrid>
        <w:gridCol w:w="1447"/>
        <w:gridCol w:w="1234"/>
        <w:gridCol w:w="1234"/>
        <w:gridCol w:w="1234"/>
        <w:gridCol w:w="742"/>
        <w:gridCol w:w="742"/>
        <w:gridCol w:w="742"/>
        <w:gridCol w:w="669"/>
        <w:gridCol w:w="657"/>
        <w:gridCol w:w="649"/>
      </w:tblGrid>
      <w:tr w:rsidR="00046144" w14:paraId="09E0E513" w14:textId="4BC40C7C" w:rsidTr="00046144">
        <w:tc>
          <w:tcPr>
            <w:tcW w:w="1447" w:type="dxa"/>
            <w:tcBorders>
              <w:bottom w:val="nil"/>
              <w:right w:val="nil"/>
            </w:tcBorders>
            <w:shd w:val="clear" w:color="auto" w:fill="FBE4D5" w:themeFill="accent2" w:themeFillTint="33"/>
          </w:tcPr>
          <w:p w14:paraId="479A4FAF" w14:textId="77777777" w:rsidR="00E65977" w:rsidRPr="00E65977" w:rsidRDefault="00E65977" w:rsidP="00E65977">
            <w:pPr>
              <w:rPr>
                <w:sz w:val="14"/>
                <w:szCs w:val="14"/>
              </w:rPr>
            </w:pPr>
          </w:p>
        </w:tc>
        <w:tc>
          <w:tcPr>
            <w:tcW w:w="1234" w:type="dxa"/>
            <w:tcBorders>
              <w:left w:val="nil"/>
              <w:bottom w:val="nil"/>
              <w:right w:val="nil"/>
            </w:tcBorders>
            <w:shd w:val="clear" w:color="auto" w:fill="FBE4D5" w:themeFill="accent2" w:themeFillTint="33"/>
          </w:tcPr>
          <w:p w14:paraId="05EFB52F" w14:textId="77777777" w:rsidR="00E65977" w:rsidRPr="00E65977" w:rsidRDefault="00E65977" w:rsidP="00E65977">
            <w:pPr>
              <w:rPr>
                <w:sz w:val="14"/>
                <w:szCs w:val="14"/>
              </w:rPr>
            </w:pPr>
            <w:r w:rsidRPr="00E65977">
              <w:rPr>
                <w:sz w:val="14"/>
                <w:szCs w:val="14"/>
              </w:rPr>
              <w:t>Health Care Spending</w:t>
            </w:r>
          </w:p>
          <w:p w14:paraId="58067FEC" w14:textId="77777777" w:rsidR="00E65977" w:rsidRPr="00E65977" w:rsidRDefault="00E65977" w:rsidP="00E65977">
            <w:pPr>
              <w:rPr>
                <w:sz w:val="14"/>
                <w:szCs w:val="14"/>
              </w:rPr>
            </w:pPr>
            <w:r w:rsidRPr="00E65977">
              <w:rPr>
                <w:sz w:val="14"/>
                <w:szCs w:val="14"/>
              </w:rPr>
              <w:t>Medical</w:t>
            </w:r>
          </w:p>
        </w:tc>
        <w:tc>
          <w:tcPr>
            <w:tcW w:w="1234" w:type="dxa"/>
            <w:tcBorders>
              <w:left w:val="nil"/>
              <w:bottom w:val="nil"/>
              <w:right w:val="nil"/>
            </w:tcBorders>
            <w:shd w:val="clear" w:color="auto" w:fill="FBE4D5" w:themeFill="accent2" w:themeFillTint="33"/>
          </w:tcPr>
          <w:p w14:paraId="0C667540" w14:textId="77777777" w:rsidR="00E65977" w:rsidRPr="00E65977" w:rsidRDefault="00E65977" w:rsidP="00E65977">
            <w:pPr>
              <w:rPr>
                <w:sz w:val="14"/>
                <w:szCs w:val="14"/>
              </w:rPr>
            </w:pPr>
            <w:r w:rsidRPr="00E65977">
              <w:rPr>
                <w:sz w:val="14"/>
                <w:szCs w:val="14"/>
              </w:rPr>
              <w:t>Health Care Spending</w:t>
            </w:r>
          </w:p>
          <w:p w14:paraId="51ACDD09" w14:textId="77777777" w:rsidR="00E65977" w:rsidRPr="00E65977" w:rsidRDefault="00E65977" w:rsidP="00E65977">
            <w:pPr>
              <w:rPr>
                <w:sz w:val="14"/>
                <w:szCs w:val="14"/>
              </w:rPr>
            </w:pPr>
            <w:r w:rsidRPr="00E65977">
              <w:rPr>
                <w:sz w:val="14"/>
                <w:szCs w:val="14"/>
              </w:rPr>
              <w:t>Surgical</w:t>
            </w:r>
          </w:p>
        </w:tc>
        <w:tc>
          <w:tcPr>
            <w:tcW w:w="1234" w:type="dxa"/>
            <w:tcBorders>
              <w:left w:val="nil"/>
              <w:bottom w:val="nil"/>
              <w:right w:val="nil"/>
            </w:tcBorders>
            <w:shd w:val="clear" w:color="auto" w:fill="FBE4D5" w:themeFill="accent2" w:themeFillTint="33"/>
          </w:tcPr>
          <w:p w14:paraId="6FA8725E" w14:textId="77777777" w:rsidR="00E65977" w:rsidRPr="00E65977" w:rsidRDefault="00E65977" w:rsidP="00E65977">
            <w:pPr>
              <w:rPr>
                <w:sz w:val="14"/>
                <w:szCs w:val="14"/>
              </w:rPr>
            </w:pPr>
            <w:r w:rsidRPr="00E65977">
              <w:rPr>
                <w:sz w:val="14"/>
                <w:szCs w:val="14"/>
              </w:rPr>
              <w:t>Health Care Spending</w:t>
            </w:r>
          </w:p>
          <w:p w14:paraId="2C3860A8" w14:textId="77777777" w:rsidR="00E65977" w:rsidRPr="00E65977" w:rsidRDefault="00E65977" w:rsidP="00E65977">
            <w:pPr>
              <w:rPr>
                <w:sz w:val="14"/>
                <w:szCs w:val="14"/>
              </w:rPr>
            </w:pPr>
            <w:r w:rsidRPr="00E65977">
              <w:rPr>
                <w:sz w:val="14"/>
                <w:szCs w:val="14"/>
              </w:rPr>
              <w:t>Total</w:t>
            </w:r>
          </w:p>
        </w:tc>
        <w:tc>
          <w:tcPr>
            <w:tcW w:w="742" w:type="dxa"/>
            <w:tcBorders>
              <w:left w:val="nil"/>
              <w:bottom w:val="nil"/>
              <w:right w:val="nil"/>
            </w:tcBorders>
            <w:shd w:val="clear" w:color="auto" w:fill="FBE4D5" w:themeFill="accent2" w:themeFillTint="33"/>
          </w:tcPr>
          <w:p w14:paraId="3223A7D0" w14:textId="2ADC2FBB" w:rsidR="00E65977" w:rsidRPr="00E65977" w:rsidRDefault="00E65977" w:rsidP="00E65977">
            <w:pPr>
              <w:rPr>
                <w:sz w:val="14"/>
                <w:szCs w:val="14"/>
              </w:rPr>
            </w:pPr>
            <w:r>
              <w:rPr>
                <w:sz w:val="14"/>
                <w:szCs w:val="14"/>
              </w:rPr>
              <w:t>Change $</w:t>
            </w:r>
          </w:p>
          <w:p w14:paraId="2DD05DB7" w14:textId="1CE99A86" w:rsidR="00E65977" w:rsidRPr="00E65977" w:rsidRDefault="00E65977" w:rsidP="00E65977">
            <w:pPr>
              <w:rPr>
                <w:sz w:val="14"/>
                <w:szCs w:val="14"/>
              </w:rPr>
            </w:pPr>
            <w:r w:rsidRPr="00E65977">
              <w:rPr>
                <w:sz w:val="14"/>
                <w:szCs w:val="14"/>
              </w:rPr>
              <w:t>Medical</w:t>
            </w:r>
          </w:p>
        </w:tc>
        <w:tc>
          <w:tcPr>
            <w:tcW w:w="742" w:type="dxa"/>
            <w:tcBorders>
              <w:left w:val="nil"/>
              <w:bottom w:val="nil"/>
              <w:right w:val="nil"/>
            </w:tcBorders>
            <w:shd w:val="clear" w:color="auto" w:fill="FBE4D5" w:themeFill="accent2" w:themeFillTint="33"/>
          </w:tcPr>
          <w:p w14:paraId="19BACD02" w14:textId="77777777" w:rsidR="00E65977" w:rsidRPr="00E65977" w:rsidRDefault="00E65977" w:rsidP="00E65977">
            <w:pPr>
              <w:rPr>
                <w:sz w:val="14"/>
                <w:szCs w:val="14"/>
              </w:rPr>
            </w:pPr>
            <w:r>
              <w:rPr>
                <w:sz w:val="14"/>
                <w:szCs w:val="14"/>
              </w:rPr>
              <w:t>Change $</w:t>
            </w:r>
          </w:p>
          <w:p w14:paraId="41D40B1F" w14:textId="681450AB" w:rsidR="00E65977" w:rsidRPr="00E65977" w:rsidRDefault="00E65977" w:rsidP="00E65977">
            <w:pPr>
              <w:rPr>
                <w:sz w:val="14"/>
                <w:szCs w:val="14"/>
              </w:rPr>
            </w:pPr>
            <w:r w:rsidRPr="00E65977">
              <w:rPr>
                <w:sz w:val="14"/>
                <w:szCs w:val="14"/>
              </w:rPr>
              <w:t>Surgical</w:t>
            </w:r>
          </w:p>
        </w:tc>
        <w:tc>
          <w:tcPr>
            <w:tcW w:w="742" w:type="dxa"/>
            <w:tcBorders>
              <w:left w:val="nil"/>
              <w:bottom w:val="nil"/>
              <w:right w:val="nil"/>
            </w:tcBorders>
            <w:shd w:val="clear" w:color="auto" w:fill="FBE4D5" w:themeFill="accent2" w:themeFillTint="33"/>
          </w:tcPr>
          <w:p w14:paraId="298E2CCA" w14:textId="77777777" w:rsidR="00E65977" w:rsidRPr="00E65977" w:rsidRDefault="00E65977" w:rsidP="00E65977">
            <w:pPr>
              <w:rPr>
                <w:sz w:val="14"/>
                <w:szCs w:val="14"/>
              </w:rPr>
            </w:pPr>
            <w:r>
              <w:rPr>
                <w:sz w:val="14"/>
                <w:szCs w:val="14"/>
              </w:rPr>
              <w:t>Change $</w:t>
            </w:r>
          </w:p>
          <w:p w14:paraId="7553032C" w14:textId="1A011C0B" w:rsidR="00E65977" w:rsidRPr="00E65977" w:rsidRDefault="00E65977" w:rsidP="00E65977">
            <w:pPr>
              <w:rPr>
                <w:sz w:val="14"/>
                <w:szCs w:val="14"/>
              </w:rPr>
            </w:pPr>
            <w:r w:rsidRPr="00E65977">
              <w:rPr>
                <w:sz w:val="14"/>
                <w:szCs w:val="14"/>
              </w:rPr>
              <w:t>Total</w:t>
            </w:r>
          </w:p>
        </w:tc>
        <w:tc>
          <w:tcPr>
            <w:tcW w:w="669" w:type="dxa"/>
            <w:tcBorders>
              <w:left w:val="nil"/>
              <w:bottom w:val="nil"/>
              <w:right w:val="nil"/>
            </w:tcBorders>
            <w:shd w:val="clear" w:color="auto" w:fill="FBE4D5" w:themeFill="accent2" w:themeFillTint="33"/>
          </w:tcPr>
          <w:p w14:paraId="7D933AA9" w14:textId="6B0BA7A2" w:rsidR="00E65977" w:rsidRPr="00E65977" w:rsidRDefault="00E65977" w:rsidP="00E65977">
            <w:pPr>
              <w:rPr>
                <w:sz w:val="14"/>
                <w:szCs w:val="14"/>
              </w:rPr>
            </w:pPr>
            <w:r>
              <w:rPr>
                <w:sz w:val="14"/>
                <w:szCs w:val="14"/>
              </w:rPr>
              <w:t xml:space="preserve">Change </w:t>
            </w:r>
            <w:r>
              <w:rPr>
                <w:sz w:val="14"/>
                <w:szCs w:val="14"/>
              </w:rPr>
              <w:t>%</w:t>
            </w:r>
          </w:p>
          <w:p w14:paraId="0CADAB72" w14:textId="3CB22A33" w:rsidR="00E65977" w:rsidRPr="00E65977" w:rsidRDefault="00E65977" w:rsidP="00E65977">
            <w:pPr>
              <w:rPr>
                <w:sz w:val="14"/>
                <w:szCs w:val="14"/>
              </w:rPr>
            </w:pPr>
            <w:r w:rsidRPr="00E65977">
              <w:rPr>
                <w:sz w:val="14"/>
                <w:szCs w:val="14"/>
              </w:rPr>
              <w:t>Medical</w:t>
            </w:r>
          </w:p>
        </w:tc>
        <w:tc>
          <w:tcPr>
            <w:tcW w:w="657" w:type="dxa"/>
            <w:tcBorders>
              <w:left w:val="nil"/>
              <w:bottom w:val="nil"/>
              <w:right w:val="nil"/>
            </w:tcBorders>
            <w:shd w:val="clear" w:color="auto" w:fill="FBE4D5" w:themeFill="accent2" w:themeFillTint="33"/>
          </w:tcPr>
          <w:p w14:paraId="75734E1A" w14:textId="77777777" w:rsidR="00E65977" w:rsidRPr="00E65977" w:rsidRDefault="00E65977" w:rsidP="00E65977">
            <w:pPr>
              <w:rPr>
                <w:sz w:val="14"/>
                <w:szCs w:val="14"/>
              </w:rPr>
            </w:pPr>
            <w:r>
              <w:rPr>
                <w:sz w:val="14"/>
                <w:szCs w:val="14"/>
              </w:rPr>
              <w:t>Change %</w:t>
            </w:r>
          </w:p>
          <w:p w14:paraId="3B1FBE26" w14:textId="00096BA6" w:rsidR="00E65977" w:rsidRPr="00E65977" w:rsidRDefault="00E65977" w:rsidP="00E65977">
            <w:pPr>
              <w:rPr>
                <w:sz w:val="14"/>
                <w:szCs w:val="14"/>
              </w:rPr>
            </w:pPr>
            <w:r w:rsidRPr="00E65977">
              <w:rPr>
                <w:sz w:val="14"/>
                <w:szCs w:val="14"/>
              </w:rPr>
              <w:t>Surgical</w:t>
            </w:r>
          </w:p>
        </w:tc>
        <w:tc>
          <w:tcPr>
            <w:tcW w:w="649" w:type="dxa"/>
            <w:tcBorders>
              <w:left w:val="nil"/>
              <w:bottom w:val="nil"/>
            </w:tcBorders>
            <w:shd w:val="clear" w:color="auto" w:fill="FBE4D5" w:themeFill="accent2" w:themeFillTint="33"/>
          </w:tcPr>
          <w:p w14:paraId="3B9FCD68" w14:textId="77777777" w:rsidR="00E65977" w:rsidRPr="00E65977" w:rsidRDefault="00E65977" w:rsidP="00E65977">
            <w:pPr>
              <w:rPr>
                <w:sz w:val="14"/>
                <w:szCs w:val="14"/>
              </w:rPr>
            </w:pPr>
            <w:r>
              <w:rPr>
                <w:sz w:val="14"/>
                <w:szCs w:val="14"/>
              </w:rPr>
              <w:t>Change %</w:t>
            </w:r>
          </w:p>
          <w:p w14:paraId="4BCE8E1F" w14:textId="5A8EA545" w:rsidR="00E65977" w:rsidRPr="00E65977" w:rsidRDefault="00E65977" w:rsidP="00E65977">
            <w:pPr>
              <w:rPr>
                <w:sz w:val="14"/>
                <w:szCs w:val="14"/>
              </w:rPr>
            </w:pPr>
            <w:r w:rsidRPr="00E65977">
              <w:rPr>
                <w:sz w:val="14"/>
                <w:szCs w:val="14"/>
              </w:rPr>
              <w:t>Total</w:t>
            </w:r>
          </w:p>
        </w:tc>
      </w:tr>
      <w:tr w:rsidR="00046144" w14:paraId="6D192FB2" w14:textId="5EFB424B" w:rsidTr="00046144">
        <w:tc>
          <w:tcPr>
            <w:tcW w:w="1447" w:type="dxa"/>
            <w:tcBorders>
              <w:top w:val="nil"/>
              <w:bottom w:val="single" w:sz="4" w:space="0" w:color="auto"/>
              <w:right w:val="nil"/>
            </w:tcBorders>
            <w:shd w:val="clear" w:color="auto" w:fill="FBE4D5" w:themeFill="accent2" w:themeFillTint="33"/>
          </w:tcPr>
          <w:p w14:paraId="13C0CDCA" w14:textId="426D5617" w:rsidR="00E65977" w:rsidRPr="00E65977" w:rsidRDefault="00E65977" w:rsidP="0007271B">
            <w:pPr>
              <w:rPr>
                <w:sz w:val="14"/>
                <w:szCs w:val="14"/>
              </w:rPr>
            </w:pPr>
            <w:r w:rsidRPr="00E65977">
              <w:rPr>
                <w:sz w:val="14"/>
                <w:szCs w:val="14"/>
              </w:rPr>
              <w:t>Commercial</w:t>
            </w:r>
          </w:p>
        </w:tc>
        <w:tc>
          <w:tcPr>
            <w:tcW w:w="1234" w:type="dxa"/>
            <w:tcBorders>
              <w:top w:val="nil"/>
              <w:left w:val="nil"/>
              <w:bottom w:val="single" w:sz="4" w:space="0" w:color="auto"/>
              <w:right w:val="nil"/>
            </w:tcBorders>
            <w:shd w:val="clear" w:color="auto" w:fill="FBE4D5" w:themeFill="accent2" w:themeFillTint="33"/>
          </w:tcPr>
          <w:p w14:paraId="66A38796" w14:textId="65973D3C" w:rsidR="00E65977" w:rsidRPr="00E65977" w:rsidRDefault="001A014A" w:rsidP="0007271B">
            <w:pPr>
              <w:rPr>
                <w:sz w:val="14"/>
                <w:szCs w:val="14"/>
              </w:rPr>
            </w:pPr>
            <w:r>
              <w:rPr>
                <w:sz w:val="14"/>
                <w:szCs w:val="14"/>
              </w:rPr>
              <w:t>437.5</w:t>
            </w:r>
          </w:p>
        </w:tc>
        <w:tc>
          <w:tcPr>
            <w:tcW w:w="1234" w:type="dxa"/>
            <w:tcBorders>
              <w:top w:val="nil"/>
              <w:left w:val="nil"/>
              <w:bottom w:val="single" w:sz="4" w:space="0" w:color="auto"/>
              <w:right w:val="nil"/>
            </w:tcBorders>
            <w:shd w:val="clear" w:color="auto" w:fill="FBE4D5" w:themeFill="accent2" w:themeFillTint="33"/>
          </w:tcPr>
          <w:p w14:paraId="2A957117" w14:textId="027E5AE1" w:rsidR="00E65977" w:rsidRPr="00E65977" w:rsidRDefault="001A014A" w:rsidP="0007271B">
            <w:pPr>
              <w:rPr>
                <w:sz w:val="14"/>
                <w:szCs w:val="14"/>
              </w:rPr>
            </w:pPr>
            <w:r>
              <w:rPr>
                <w:sz w:val="14"/>
                <w:szCs w:val="14"/>
              </w:rPr>
              <w:t>54.7</w:t>
            </w:r>
          </w:p>
        </w:tc>
        <w:tc>
          <w:tcPr>
            <w:tcW w:w="1234" w:type="dxa"/>
            <w:tcBorders>
              <w:top w:val="nil"/>
              <w:left w:val="nil"/>
              <w:bottom w:val="single" w:sz="4" w:space="0" w:color="auto"/>
              <w:right w:val="nil"/>
            </w:tcBorders>
            <w:shd w:val="clear" w:color="auto" w:fill="FBE4D5" w:themeFill="accent2" w:themeFillTint="33"/>
          </w:tcPr>
          <w:p w14:paraId="422052E7" w14:textId="0E7D7763" w:rsidR="00E65977" w:rsidRPr="00E65977" w:rsidRDefault="001A014A" w:rsidP="0007271B">
            <w:pPr>
              <w:rPr>
                <w:sz w:val="14"/>
                <w:szCs w:val="14"/>
              </w:rPr>
            </w:pPr>
            <w:r>
              <w:rPr>
                <w:sz w:val="14"/>
                <w:szCs w:val="14"/>
              </w:rPr>
              <w:t>492.2</w:t>
            </w:r>
          </w:p>
        </w:tc>
        <w:tc>
          <w:tcPr>
            <w:tcW w:w="742" w:type="dxa"/>
            <w:tcBorders>
              <w:top w:val="nil"/>
              <w:left w:val="nil"/>
              <w:bottom w:val="single" w:sz="4" w:space="0" w:color="auto"/>
              <w:right w:val="nil"/>
            </w:tcBorders>
            <w:shd w:val="clear" w:color="auto" w:fill="FBE4D5" w:themeFill="accent2" w:themeFillTint="33"/>
          </w:tcPr>
          <w:p w14:paraId="6F43B900" w14:textId="6914BB94" w:rsidR="00E65977" w:rsidRPr="00E65977" w:rsidRDefault="001A014A" w:rsidP="0007271B">
            <w:pPr>
              <w:rPr>
                <w:sz w:val="14"/>
                <w:szCs w:val="14"/>
              </w:rPr>
            </w:pPr>
            <w:r>
              <w:rPr>
                <w:sz w:val="14"/>
                <w:szCs w:val="14"/>
              </w:rPr>
              <w:t>$30.3</w:t>
            </w:r>
          </w:p>
        </w:tc>
        <w:tc>
          <w:tcPr>
            <w:tcW w:w="742" w:type="dxa"/>
            <w:tcBorders>
              <w:top w:val="nil"/>
              <w:left w:val="nil"/>
              <w:bottom w:val="single" w:sz="4" w:space="0" w:color="auto"/>
              <w:right w:val="nil"/>
            </w:tcBorders>
            <w:shd w:val="clear" w:color="auto" w:fill="FBE4D5" w:themeFill="accent2" w:themeFillTint="33"/>
          </w:tcPr>
          <w:p w14:paraId="01343BEB" w14:textId="75F5CF0B" w:rsidR="00E65977" w:rsidRPr="00E65977" w:rsidRDefault="001A014A" w:rsidP="0007271B">
            <w:pPr>
              <w:rPr>
                <w:sz w:val="14"/>
                <w:szCs w:val="14"/>
              </w:rPr>
            </w:pPr>
            <w:r>
              <w:rPr>
                <w:sz w:val="14"/>
                <w:szCs w:val="14"/>
              </w:rPr>
              <w:t>$(10.1)</w:t>
            </w:r>
          </w:p>
        </w:tc>
        <w:tc>
          <w:tcPr>
            <w:tcW w:w="742" w:type="dxa"/>
            <w:tcBorders>
              <w:top w:val="nil"/>
              <w:left w:val="nil"/>
              <w:bottom w:val="single" w:sz="4" w:space="0" w:color="auto"/>
              <w:right w:val="nil"/>
            </w:tcBorders>
            <w:shd w:val="clear" w:color="auto" w:fill="FBE4D5" w:themeFill="accent2" w:themeFillTint="33"/>
          </w:tcPr>
          <w:p w14:paraId="117EE4A4" w14:textId="714B526A" w:rsidR="00E65977" w:rsidRPr="00E65977" w:rsidRDefault="001A014A" w:rsidP="0007271B">
            <w:pPr>
              <w:rPr>
                <w:sz w:val="14"/>
                <w:szCs w:val="14"/>
              </w:rPr>
            </w:pPr>
            <w:r>
              <w:rPr>
                <w:sz w:val="14"/>
                <w:szCs w:val="14"/>
              </w:rPr>
              <w:t>$20.2</w:t>
            </w:r>
          </w:p>
        </w:tc>
        <w:tc>
          <w:tcPr>
            <w:tcW w:w="669" w:type="dxa"/>
            <w:tcBorders>
              <w:top w:val="nil"/>
              <w:left w:val="nil"/>
              <w:bottom w:val="single" w:sz="4" w:space="0" w:color="auto"/>
              <w:right w:val="nil"/>
            </w:tcBorders>
            <w:shd w:val="clear" w:color="auto" w:fill="FBE4D5" w:themeFill="accent2" w:themeFillTint="33"/>
          </w:tcPr>
          <w:p w14:paraId="4C162A7D" w14:textId="7B279C23" w:rsidR="00E65977" w:rsidRPr="00E65977" w:rsidRDefault="001A014A" w:rsidP="0007271B">
            <w:pPr>
              <w:rPr>
                <w:sz w:val="14"/>
                <w:szCs w:val="14"/>
              </w:rPr>
            </w:pPr>
            <w:r>
              <w:rPr>
                <w:sz w:val="14"/>
                <w:szCs w:val="14"/>
              </w:rPr>
              <w:t>7%</w:t>
            </w:r>
          </w:p>
        </w:tc>
        <w:tc>
          <w:tcPr>
            <w:tcW w:w="657" w:type="dxa"/>
            <w:tcBorders>
              <w:top w:val="nil"/>
              <w:left w:val="nil"/>
              <w:bottom w:val="single" w:sz="4" w:space="0" w:color="auto"/>
              <w:right w:val="nil"/>
            </w:tcBorders>
            <w:shd w:val="clear" w:color="auto" w:fill="FBE4D5" w:themeFill="accent2" w:themeFillTint="33"/>
          </w:tcPr>
          <w:p w14:paraId="682B0F10" w14:textId="3090F578" w:rsidR="00E65977" w:rsidRPr="00E65977" w:rsidRDefault="001A014A" w:rsidP="0007271B">
            <w:pPr>
              <w:rPr>
                <w:sz w:val="14"/>
                <w:szCs w:val="14"/>
              </w:rPr>
            </w:pPr>
            <w:r>
              <w:rPr>
                <w:sz w:val="14"/>
                <w:szCs w:val="14"/>
              </w:rPr>
              <w:t>-16%</w:t>
            </w:r>
          </w:p>
        </w:tc>
        <w:tc>
          <w:tcPr>
            <w:tcW w:w="649" w:type="dxa"/>
            <w:tcBorders>
              <w:top w:val="nil"/>
              <w:left w:val="nil"/>
              <w:bottom w:val="single" w:sz="4" w:space="0" w:color="auto"/>
            </w:tcBorders>
            <w:shd w:val="clear" w:color="auto" w:fill="FBE4D5" w:themeFill="accent2" w:themeFillTint="33"/>
          </w:tcPr>
          <w:p w14:paraId="56EDB99E" w14:textId="3F27EFCC" w:rsidR="00E65977" w:rsidRPr="00E65977" w:rsidRDefault="001A014A" w:rsidP="0007271B">
            <w:pPr>
              <w:rPr>
                <w:sz w:val="14"/>
                <w:szCs w:val="14"/>
              </w:rPr>
            </w:pPr>
            <w:r>
              <w:rPr>
                <w:sz w:val="14"/>
                <w:szCs w:val="14"/>
              </w:rPr>
              <w:t>4%</w:t>
            </w:r>
          </w:p>
        </w:tc>
      </w:tr>
      <w:tr w:rsidR="00046144" w14:paraId="27320B40" w14:textId="02C253E0" w:rsidTr="00046144">
        <w:tc>
          <w:tcPr>
            <w:tcW w:w="1447" w:type="dxa"/>
            <w:tcBorders>
              <w:bottom w:val="nil"/>
              <w:right w:val="nil"/>
            </w:tcBorders>
            <w:shd w:val="clear" w:color="auto" w:fill="FBE4D5" w:themeFill="accent2" w:themeFillTint="33"/>
          </w:tcPr>
          <w:p w14:paraId="7A47C050" w14:textId="778C96B4" w:rsidR="00E65977" w:rsidRPr="00E65977" w:rsidRDefault="00E65977" w:rsidP="0007271B">
            <w:pPr>
              <w:rPr>
                <w:sz w:val="14"/>
                <w:szCs w:val="14"/>
              </w:rPr>
            </w:pPr>
            <w:r w:rsidRPr="00E65977">
              <w:rPr>
                <w:sz w:val="14"/>
                <w:szCs w:val="14"/>
              </w:rPr>
              <w:t>Government</w:t>
            </w:r>
          </w:p>
        </w:tc>
        <w:tc>
          <w:tcPr>
            <w:tcW w:w="1234" w:type="dxa"/>
            <w:tcBorders>
              <w:left w:val="nil"/>
              <w:bottom w:val="nil"/>
              <w:right w:val="nil"/>
            </w:tcBorders>
            <w:shd w:val="clear" w:color="auto" w:fill="FBE4D5" w:themeFill="accent2" w:themeFillTint="33"/>
          </w:tcPr>
          <w:p w14:paraId="2DA9B89F" w14:textId="77777777" w:rsidR="00E65977" w:rsidRPr="00E65977" w:rsidRDefault="00E65977" w:rsidP="0007271B">
            <w:pPr>
              <w:rPr>
                <w:sz w:val="14"/>
                <w:szCs w:val="14"/>
              </w:rPr>
            </w:pPr>
          </w:p>
        </w:tc>
        <w:tc>
          <w:tcPr>
            <w:tcW w:w="1234" w:type="dxa"/>
            <w:tcBorders>
              <w:left w:val="nil"/>
              <w:bottom w:val="nil"/>
              <w:right w:val="nil"/>
            </w:tcBorders>
            <w:shd w:val="clear" w:color="auto" w:fill="FBE4D5" w:themeFill="accent2" w:themeFillTint="33"/>
          </w:tcPr>
          <w:p w14:paraId="631C7377" w14:textId="77777777" w:rsidR="00E65977" w:rsidRPr="00E65977" w:rsidRDefault="00E65977" w:rsidP="0007271B">
            <w:pPr>
              <w:rPr>
                <w:sz w:val="14"/>
                <w:szCs w:val="14"/>
              </w:rPr>
            </w:pPr>
          </w:p>
        </w:tc>
        <w:tc>
          <w:tcPr>
            <w:tcW w:w="1234" w:type="dxa"/>
            <w:tcBorders>
              <w:left w:val="nil"/>
              <w:bottom w:val="nil"/>
              <w:right w:val="nil"/>
            </w:tcBorders>
            <w:shd w:val="clear" w:color="auto" w:fill="FBE4D5" w:themeFill="accent2" w:themeFillTint="33"/>
          </w:tcPr>
          <w:p w14:paraId="558695EA" w14:textId="77777777" w:rsidR="00E65977" w:rsidRPr="00E65977" w:rsidRDefault="00E65977" w:rsidP="0007271B">
            <w:pPr>
              <w:rPr>
                <w:sz w:val="14"/>
                <w:szCs w:val="14"/>
              </w:rPr>
            </w:pPr>
          </w:p>
        </w:tc>
        <w:tc>
          <w:tcPr>
            <w:tcW w:w="742" w:type="dxa"/>
            <w:tcBorders>
              <w:left w:val="nil"/>
              <w:bottom w:val="nil"/>
              <w:right w:val="nil"/>
            </w:tcBorders>
            <w:shd w:val="clear" w:color="auto" w:fill="FBE4D5" w:themeFill="accent2" w:themeFillTint="33"/>
          </w:tcPr>
          <w:p w14:paraId="6AC5A21F" w14:textId="77777777" w:rsidR="00E65977" w:rsidRPr="00E65977" w:rsidRDefault="00E65977" w:rsidP="0007271B">
            <w:pPr>
              <w:rPr>
                <w:sz w:val="14"/>
                <w:szCs w:val="14"/>
              </w:rPr>
            </w:pPr>
          </w:p>
        </w:tc>
        <w:tc>
          <w:tcPr>
            <w:tcW w:w="742" w:type="dxa"/>
            <w:tcBorders>
              <w:left w:val="nil"/>
              <w:bottom w:val="nil"/>
              <w:right w:val="nil"/>
            </w:tcBorders>
            <w:shd w:val="clear" w:color="auto" w:fill="FBE4D5" w:themeFill="accent2" w:themeFillTint="33"/>
          </w:tcPr>
          <w:p w14:paraId="59A1178F" w14:textId="77777777" w:rsidR="00E65977" w:rsidRPr="00E65977" w:rsidRDefault="00E65977" w:rsidP="0007271B">
            <w:pPr>
              <w:rPr>
                <w:sz w:val="14"/>
                <w:szCs w:val="14"/>
              </w:rPr>
            </w:pPr>
          </w:p>
        </w:tc>
        <w:tc>
          <w:tcPr>
            <w:tcW w:w="742" w:type="dxa"/>
            <w:tcBorders>
              <w:left w:val="nil"/>
              <w:bottom w:val="nil"/>
              <w:right w:val="nil"/>
            </w:tcBorders>
            <w:shd w:val="clear" w:color="auto" w:fill="FBE4D5" w:themeFill="accent2" w:themeFillTint="33"/>
          </w:tcPr>
          <w:p w14:paraId="31705524" w14:textId="77777777" w:rsidR="00E65977" w:rsidRPr="00E65977" w:rsidRDefault="00E65977" w:rsidP="0007271B">
            <w:pPr>
              <w:rPr>
                <w:sz w:val="14"/>
                <w:szCs w:val="14"/>
              </w:rPr>
            </w:pPr>
          </w:p>
        </w:tc>
        <w:tc>
          <w:tcPr>
            <w:tcW w:w="669" w:type="dxa"/>
            <w:tcBorders>
              <w:left w:val="nil"/>
              <w:bottom w:val="nil"/>
              <w:right w:val="nil"/>
            </w:tcBorders>
            <w:shd w:val="clear" w:color="auto" w:fill="FBE4D5" w:themeFill="accent2" w:themeFillTint="33"/>
          </w:tcPr>
          <w:p w14:paraId="3D7F1FB1" w14:textId="77777777" w:rsidR="00E65977" w:rsidRPr="00E65977" w:rsidRDefault="00E65977" w:rsidP="0007271B">
            <w:pPr>
              <w:rPr>
                <w:sz w:val="14"/>
                <w:szCs w:val="14"/>
              </w:rPr>
            </w:pPr>
          </w:p>
        </w:tc>
        <w:tc>
          <w:tcPr>
            <w:tcW w:w="657" w:type="dxa"/>
            <w:tcBorders>
              <w:left w:val="nil"/>
              <w:bottom w:val="nil"/>
              <w:right w:val="nil"/>
            </w:tcBorders>
            <w:shd w:val="clear" w:color="auto" w:fill="FBE4D5" w:themeFill="accent2" w:themeFillTint="33"/>
          </w:tcPr>
          <w:p w14:paraId="74185718" w14:textId="77777777" w:rsidR="00E65977" w:rsidRPr="00E65977" w:rsidRDefault="00E65977" w:rsidP="0007271B">
            <w:pPr>
              <w:rPr>
                <w:sz w:val="14"/>
                <w:szCs w:val="14"/>
              </w:rPr>
            </w:pPr>
          </w:p>
        </w:tc>
        <w:tc>
          <w:tcPr>
            <w:tcW w:w="649" w:type="dxa"/>
            <w:tcBorders>
              <w:left w:val="nil"/>
              <w:bottom w:val="nil"/>
            </w:tcBorders>
            <w:shd w:val="clear" w:color="auto" w:fill="FBE4D5" w:themeFill="accent2" w:themeFillTint="33"/>
          </w:tcPr>
          <w:p w14:paraId="64D21FB1" w14:textId="77777777" w:rsidR="00E65977" w:rsidRPr="00E65977" w:rsidRDefault="00E65977" w:rsidP="0007271B">
            <w:pPr>
              <w:rPr>
                <w:sz w:val="14"/>
                <w:szCs w:val="14"/>
              </w:rPr>
            </w:pPr>
          </w:p>
        </w:tc>
      </w:tr>
      <w:tr w:rsidR="00046144" w14:paraId="4AB031A6" w14:textId="2651050C" w:rsidTr="00823E84">
        <w:tc>
          <w:tcPr>
            <w:tcW w:w="1447" w:type="dxa"/>
            <w:tcBorders>
              <w:top w:val="nil"/>
              <w:bottom w:val="nil"/>
              <w:right w:val="nil"/>
            </w:tcBorders>
            <w:shd w:val="clear" w:color="auto" w:fill="FBE4D5" w:themeFill="accent2" w:themeFillTint="33"/>
          </w:tcPr>
          <w:p w14:paraId="45E6568A" w14:textId="677E7C3D" w:rsidR="00E65977" w:rsidRPr="00E65977" w:rsidRDefault="00E65977" w:rsidP="0007271B">
            <w:pPr>
              <w:rPr>
                <w:sz w:val="14"/>
                <w:szCs w:val="14"/>
              </w:rPr>
            </w:pPr>
            <w:r w:rsidRPr="00E65977">
              <w:rPr>
                <w:sz w:val="14"/>
                <w:szCs w:val="14"/>
              </w:rPr>
              <w:t xml:space="preserve">Medicare incl </w:t>
            </w:r>
            <w:proofErr w:type="spellStart"/>
            <w:r w:rsidRPr="00E65977">
              <w:rPr>
                <w:sz w:val="14"/>
                <w:szCs w:val="14"/>
              </w:rPr>
              <w:t>Mgd</w:t>
            </w:r>
            <w:proofErr w:type="spellEnd"/>
          </w:p>
        </w:tc>
        <w:tc>
          <w:tcPr>
            <w:tcW w:w="1234" w:type="dxa"/>
            <w:tcBorders>
              <w:top w:val="nil"/>
              <w:left w:val="nil"/>
              <w:bottom w:val="nil"/>
              <w:right w:val="nil"/>
            </w:tcBorders>
            <w:shd w:val="clear" w:color="auto" w:fill="FBE4D5" w:themeFill="accent2" w:themeFillTint="33"/>
          </w:tcPr>
          <w:p w14:paraId="3092C021" w14:textId="4E39BBEF" w:rsidR="00E65977" w:rsidRPr="00E65977" w:rsidRDefault="00834FB5" w:rsidP="0007271B">
            <w:pPr>
              <w:rPr>
                <w:sz w:val="14"/>
                <w:szCs w:val="14"/>
              </w:rPr>
            </w:pPr>
            <w:r>
              <w:rPr>
                <w:sz w:val="14"/>
                <w:szCs w:val="14"/>
              </w:rPr>
              <w:t>$309.3</w:t>
            </w:r>
          </w:p>
        </w:tc>
        <w:tc>
          <w:tcPr>
            <w:tcW w:w="1234" w:type="dxa"/>
            <w:tcBorders>
              <w:top w:val="nil"/>
              <w:left w:val="nil"/>
              <w:bottom w:val="nil"/>
              <w:right w:val="nil"/>
            </w:tcBorders>
            <w:shd w:val="clear" w:color="auto" w:fill="FBE4D5" w:themeFill="accent2" w:themeFillTint="33"/>
          </w:tcPr>
          <w:p w14:paraId="08E17D38" w14:textId="3E7E39ED" w:rsidR="00E65977" w:rsidRPr="00E65977" w:rsidRDefault="00834FB5" w:rsidP="0007271B">
            <w:pPr>
              <w:rPr>
                <w:sz w:val="14"/>
                <w:szCs w:val="14"/>
              </w:rPr>
            </w:pPr>
            <w:r>
              <w:rPr>
                <w:sz w:val="14"/>
                <w:szCs w:val="14"/>
              </w:rPr>
              <w:t>$66.0</w:t>
            </w:r>
          </w:p>
        </w:tc>
        <w:tc>
          <w:tcPr>
            <w:tcW w:w="1234" w:type="dxa"/>
            <w:tcBorders>
              <w:top w:val="nil"/>
              <w:left w:val="nil"/>
              <w:bottom w:val="nil"/>
              <w:right w:val="nil"/>
            </w:tcBorders>
            <w:shd w:val="clear" w:color="auto" w:fill="FBE4D5" w:themeFill="accent2" w:themeFillTint="33"/>
          </w:tcPr>
          <w:p w14:paraId="4D8D8EE8" w14:textId="5F832C25" w:rsidR="00E65977" w:rsidRPr="00E65977" w:rsidRDefault="00834FB5" w:rsidP="0007271B">
            <w:pPr>
              <w:rPr>
                <w:sz w:val="14"/>
                <w:szCs w:val="14"/>
              </w:rPr>
            </w:pPr>
            <w:r>
              <w:rPr>
                <w:sz w:val="14"/>
                <w:szCs w:val="14"/>
              </w:rPr>
              <w:t>375.3</w:t>
            </w:r>
          </w:p>
        </w:tc>
        <w:tc>
          <w:tcPr>
            <w:tcW w:w="742" w:type="dxa"/>
            <w:tcBorders>
              <w:top w:val="nil"/>
              <w:left w:val="nil"/>
              <w:bottom w:val="nil"/>
              <w:right w:val="nil"/>
            </w:tcBorders>
            <w:shd w:val="clear" w:color="auto" w:fill="FBE4D5" w:themeFill="accent2" w:themeFillTint="33"/>
          </w:tcPr>
          <w:p w14:paraId="045D7C00" w14:textId="6ABB3895" w:rsidR="00E65977" w:rsidRPr="00E65977" w:rsidRDefault="00834FB5" w:rsidP="0007271B">
            <w:pPr>
              <w:rPr>
                <w:sz w:val="14"/>
                <w:szCs w:val="14"/>
              </w:rPr>
            </w:pPr>
            <w:r>
              <w:rPr>
                <w:sz w:val="14"/>
                <w:szCs w:val="14"/>
              </w:rPr>
              <w:t>$91.5</w:t>
            </w:r>
          </w:p>
        </w:tc>
        <w:tc>
          <w:tcPr>
            <w:tcW w:w="742" w:type="dxa"/>
            <w:tcBorders>
              <w:top w:val="nil"/>
              <w:left w:val="nil"/>
              <w:bottom w:val="nil"/>
              <w:right w:val="nil"/>
            </w:tcBorders>
            <w:shd w:val="clear" w:color="auto" w:fill="FBE4D5" w:themeFill="accent2" w:themeFillTint="33"/>
          </w:tcPr>
          <w:p w14:paraId="33627A5C" w14:textId="142B6B25" w:rsidR="00E65977" w:rsidRPr="00E65977" w:rsidRDefault="00834FB5" w:rsidP="0007271B">
            <w:pPr>
              <w:rPr>
                <w:sz w:val="14"/>
                <w:szCs w:val="14"/>
              </w:rPr>
            </w:pPr>
            <w:r>
              <w:rPr>
                <w:sz w:val="14"/>
                <w:szCs w:val="14"/>
              </w:rPr>
              <w:t>$ -</w:t>
            </w:r>
          </w:p>
        </w:tc>
        <w:tc>
          <w:tcPr>
            <w:tcW w:w="742" w:type="dxa"/>
            <w:tcBorders>
              <w:top w:val="nil"/>
              <w:left w:val="nil"/>
              <w:bottom w:val="nil"/>
              <w:right w:val="nil"/>
            </w:tcBorders>
            <w:shd w:val="clear" w:color="auto" w:fill="FBE4D5" w:themeFill="accent2" w:themeFillTint="33"/>
          </w:tcPr>
          <w:p w14:paraId="61F26472" w14:textId="01ECBB36" w:rsidR="00E65977" w:rsidRPr="00E65977" w:rsidRDefault="00834FB5" w:rsidP="0007271B">
            <w:pPr>
              <w:rPr>
                <w:sz w:val="14"/>
                <w:szCs w:val="14"/>
              </w:rPr>
            </w:pPr>
            <w:r>
              <w:rPr>
                <w:sz w:val="14"/>
                <w:szCs w:val="14"/>
              </w:rPr>
              <w:t>$91.5</w:t>
            </w:r>
          </w:p>
        </w:tc>
        <w:tc>
          <w:tcPr>
            <w:tcW w:w="669" w:type="dxa"/>
            <w:tcBorders>
              <w:top w:val="nil"/>
              <w:left w:val="nil"/>
              <w:bottom w:val="nil"/>
              <w:right w:val="nil"/>
            </w:tcBorders>
            <w:shd w:val="clear" w:color="auto" w:fill="FBE4D5" w:themeFill="accent2" w:themeFillTint="33"/>
          </w:tcPr>
          <w:p w14:paraId="2B044CD8" w14:textId="7EA78C75" w:rsidR="00E65977" w:rsidRPr="00E65977" w:rsidRDefault="00834FB5" w:rsidP="0007271B">
            <w:pPr>
              <w:rPr>
                <w:sz w:val="14"/>
                <w:szCs w:val="14"/>
              </w:rPr>
            </w:pPr>
            <w:r>
              <w:rPr>
                <w:sz w:val="14"/>
                <w:szCs w:val="14"/>
              </w:rPr>
              <w:t>42%</w:t>
            </w:r>
          </w:p>
        </w:tc>
        <w:tc>
          <w:tcPr>
            <w:tcW w:w="657" w:type="dxa"/>
            <w:tcBorders>
              <w:top w:val="nil"/>
              <w:left w:val="nil"/>
              <w:bottom w:val="nil"/>
              <w:right w:val="nil"/>
            </w:tcBorders>
            <w:shd w:val="clear" w:color="auto" w:fill="FBE4D5" w:themeFill="accent2" w:themeFillTint="33"/>
          </w:tcPr>
          <w:p w14:paraId="0D3B6EBC" w14:textId="15DF5F80" w:rsidR="00E65977" w:rsidRPr="00E65977" w:rsidRDefault="00834FB5" w:rsidP="0007271B">
            <w:pPr>
              <w:rPr>
                <w:sz w:val="14"/>
                <w:szCs w:val="14"/>
              </w:rPr>
            </w:pPr>
            <w:r>
              <w:rPr>
                <w:sz w:val="14"/>
                <w:szCs w:val="14"/>
              </w:rPr>
              <w:t>0%</w:t>
            </w:r>
          </w:p>
        </w:tc>
        <w:tc>
          <w:tcPr>
            <w:tcW w:w="649" w:type="dxa"/>
            <w:tcBorders>
              <w:top w:val="nil"/>
              <w:left w:val="nil"/>
              <w:bottom w:val="nil"/>
            </w:tcBorders>
            <w:shd w:val="clear" w:color="auto" w:fill="FBE4D5" w:themeFill="accent2" w:themeFillTint="33"/>
          </w:tcPr>
          <w:p w14:paraId="3C13DFD0" w14:textId="16B5EE1C" w:rsidR="00E65977" w:rsidRPr="00E65977" w:rsidRDefault="00834FB5" w:rsidP="0007271B">
            <w:pPr>
              <w:rPr>
                <w:sz w:val="14"/>
                <w:szCs w:val="14"/>
              </w:rPr>
            </w:pPr>
            <w:r>
              <w:rPr>
                <w:sz w:val="14"/>
                <w:szCs w:val="14"/>
              </w:rPr>
              <w:t>32%</w:t>
            </w:r>
          </w:p>
        </w:tc>
      </w:tr>
      <w:tr w:rsidR="00823E84" w14:paraId="5FA659F1" w14:textId="35B713A4" w:rsidTr="00823E84">
        <w:tc>
          <w:tcPr>
            <w:tcW w:w="1447" w:type="dxa"/>
            <w:tcBorders>
              <w:top w:val="nil"/>
              <w:bottom w:val="single" w:sz="12" w:space="0" w:color="auto"/>
              <w:right w:val="nil"/>
            </w:tcBorders>
            <w:shd w:val="clear" w:color="auto" w:fill="FBE4D5" w:themeFill="accent2" w:themeFillTint="33"/>
          </w:tcPr>
          <w:p w14:paraId="646D7F33" w14:textId="7A710BF2" w:rsidR="00834FB5" w:rsidRPr="00E65977" w:rsidRDefault="00834FB5" w:rsidP="00834FB5">
            <w:pPr>
              <w:rPr>
                <w:sz w:val="14"/>
                <w:szCs w:val="14"/>
              </w:rPr>
            </w:pPr>
            <w:r w:rsidRPr="00E65977">
              <w:rPr>
                <w:sz w:val="14"/>
                <w:szCs w:val="14"/>
              </w:rPr>
              <w:t xml:space="preserve">Medicaid incl </w:t>
            </w:r>
            <w:proofErr w:type="spellStart"/>
            <w:r w:rsidRPr="00E65977">
              <w:rPr>
                <w:sz w:val="14"/>
                <w:szCs w:val="14"/>
              </w:rPr>
              <w:t>Mgd</w:t>
            </w:r>
            <w:proofErr w:type="spellEnd"/>
          </w:p>
        </w:tc>
        <w:tc>
          <w:tcPr>
            <w:tcW w:w="1234" w:type="dxa"/>
            <w:tcBorders>
              <w:top w:val="nil"/>
              <w:left w:val="nil"/>
              <w:bottom w:val="single" w:sz="12" w:space="0" w:color="auto"/>
              <w:right w:val="nil"/>
            </w:tcBorders>
            <w:shd w:val="clear" w:color="auto" w:fill="FBE4D5" w:themeFill="accent2" w:themeFillTint="33"/>
          </w:tcPr>
          <w:p w14:paraId="57B5B5D2" w14:textId="6F79FBEA" w:rsidR="00834FB5" w:rsidRPr="00E65977" w:rsidRDefault="00834FB5" w:rsidP="00834FB5">
            <w:pPr>
              <w:rPr>
                <w:sz w:val="14"/>
                <w:szCs w:val="14"/>
              </w:rPr>
            </w:pPr>
            <w:r>
              <w:rPr>
                <w:sz w:val="14"/>
                <w:szCs w:val="14"/>
              </w:rPr>
              <w:t>$35.9</w:t>
            </w:r>
          </w:p>
        </w:tc>
        <w:tc>
          <w:tcPr>
            <w:tcW w:w="1234" w:type="dxa"/>
            <w:tcBorders>
              <w:top w:val="nil"/>
              <w:left w:val="nil"/>
              <w:bottom w:val="single" w:sz="12" w:space="0" w:color="auto"/>
              <w:right w:val="nil"/>
            </w:tcBorders>
            <w:shd w:val="clear" w:color="auto" w:fill="FBE4D5" w:themeFill="accent2" w:themeFillTint="33"/>
          </w:tcPr>
          <w:p w14:paraId="710D2183" w14:textId="2B925105" w:rsidR="00834FB5" w:rsidRPr="00E65977" w:rsidRDefault="00834FB5" w:rsidP="00834FB5">
            <w:pPr>
              <w:rPr>
                <w:sz w:val="14"/>
                <w:szCs w:val="14"/>
              </w:rPr>
            </w:pPr>
            <w:r>
              <w:rPr>
                <w:sz w:val="14"/>
                <w:szCs w:val="14"/>
              </w:rPr>
              <w:t>$7.5</w:t>
            </w:r>
          </w:p>
        </w:tc>
        <w:tc>
          <w:tcPr>
            <w:tcW w:w="1234" w:type="dxa"/>
            <w:tcBorders>
              <w:top w:val="nil"/>
              <w:left w:val="nil"/>
              <w:bottom w:val="single" w:sz="12" w:space="0" w:color="auto"/>
              <w:right w:val="nil"/>
            </w:tcBorders>
            <w:shd w:val="clear" w:color="auto" w:fill="FBE4D5" w:themeFill="accent2" w:themeFillTint="33"/>
          </w:tcPr>
          <w:p w14:paraId="1FCB91D5" w14:textId="5768A7B5" w:rsidR="00834FB5" w:rsidRPr="00E65977" w:rsidRDefault="00834FB5" w:rsidP="00834FB5">
            <w:pPr>
              <w:rPr>
                <w:sz w:val="14"/>
                <w:szCs w:val="14"/>
              </w:rPr>
            </w:pPr>
            <w:r>
              <w:rPr>
                <w:sz w:val="14"/>
                <w:szCs w:val="14"/>
              </w:rPr>
              <w:t>43.5</w:t>
            </w:r>
          </w:p>
        </w:tc>
        <w:tc>
          <w:tcPr>
            <w:tcW w:w="742" w:type="dxa"/>
            <w:tcBorders>
              <w:top w:val="nil"/>
              <w:left w:val="nil"/>
              <w:bottom w:val="single" w:sz="12" w:space="0" w:color="auto"/>
              <w:right w:val="nil"/>
            </w:tcBorders>
            <w:shd w:val="clear" w:color="auto" w:fill="FBE4D5" w:themeFill="accent2" w:themeFillTint="33"/>
          </w:tcPr>
          <w:p w14:paraId="74FFBF36" w14:textId="74324472" w:rsidR="00834FB5" w:rsidRPr="00E65977" w:rsidRDefault="00834FB5" w:rsidP="00834FB5">
            <w:pPr>
              <w:rPr>
                <w:sz w:val="14"/>
                <w:szCs w:val="14"/>
              </w:rPr>
            </w:pPr>
            <w:r>
              <w:rPr>
                <w:sz w:val="14"/>
                <w:szCs w:val="14"/>
              </w:rPr>
              <w:t xml:space="preserve">$ - </w:t>
            </w:r>
          </w:p>
        </w:tc>
        <w:tc>
          <w:tcPr>
            <w:tcW w:w="742" w:type="dxa"/>
            <w:tcBorders>
              <w:top w:val="nil"/>
              <w:left w:val="nil"/>
              <w:bottom w:val="single" w:sz="12" w:space="0" w:color="auto"/>
              <w:right w:val="nil"/>
            </w:tcBorders>
            <w:shd w:val="clear" w:color="auto" w:fill="FBE4D5" w:themeFill="accent2" w:themeFillTint="33"/>
          </w:tcPr>
          <w:p w14:paraId="5BDD91BE" w14:textId="78E5CB41" w:rsidR="00834FB5" w:rsidRPr="00E65977" w:rsidRDefault="00834FB5" w:rsidP="00834FB5">
            <w:pPr>
              <w:rPr>
                <w:sz w:val="14"/>
                <w:szCs w:val="14"/>
              </w:rPr>
            </w:pPr>
            <w:r>
              <w:rPr>
                <w:sz w:val="14"/>
                <w:szCs w:val="14"/>
              </w:rPr>
              <w:t xml:space="preserve">$ - </w:t>
            </w:r>
          </w:p>
        </w:tc>
        <w:tc>
          <w:tcPr>
            <w:tcW w:w="742" w:type="dxa"/>
            <w:tcBorders>
              <w:top w:val="nil"/>
              <w:left w:val="nil"/>
              <w:bottom w:val="single" w:sz="12" w:space="0" w:color="auto"/>
              <w:right w:val="nil"/>
            </w:tcBorders>
            <w:shd w:val="clear" w:color="auto" w:fill="FBE4D5" w:themeFill="accent2" w:themeFillTint="33"/>
          </w:tcPr>
          <w:p w14:paraId="66EA0CFE" w14:textId="44184A4D" w:rsidR="00834FB5" w:rsidRPr="00E65977" w:rsidRDefault="00834FB5" w:rsidP="00834FB5">
            <w:pPr>
              <w:rPr>
                <w:sz w:val="14"/>
                <w:szCs w:val="14"/>
              </w:rPr>
            </w:pPr>
            <w:r>
              <w:rPr>
                <w:sz w:val="14"/>
                <w:szCs w:val="14"/>
              </w:rPr>
              <w:t xml:space="preserve">$ - </w:t>
            </w:r>
          </w:p>
        </w:tc>
        <w:tc>
          <w:tcPr>
            <w:tcW w:w="669" w:type="dxa"/>
            <w:tcBorders>
              <w:top w:val="nil"/>
              <w:left w:val="nil"/>
              <w:bottom w:val="single" w:sz="12" w:space="0" w:color="auto"/>
              <w:right w:val="nil"/>
            </w:tcBorders>
            <w:shd w:val="clear" w:color="auto" w:fill="FBE4D5" w:themeFill="accent2" w:themeFillTint="33"/>
          </w:tcPr>
          <w:p w14:paraId="3C016835" w14:textId="0DA56FFE" w:rsidR="00834FB5" w:rsidRPr="00E65977" w:rsidRDefault="00834FB5" w:rsidP="00834FB5">
            <w:pPr>
              <w:rPr>
                <w:sz w:val="14"/>
                <w:szCs w:val="14"/>
              </w:rPr>
            </w:pPr>
            <w:r w:rsidRPr="007913EA">
              <w:rPr>
                <w:sz w:val="14"/>
                <w:szCs w:val="14"/>
              </w:rPr>
              <w:t>0%</w:t>
            </w:r>
          </w:p>
        </w:tc>
        <w:tc>
          <w:tcPr>
            <w:tcW w:w="657" w:type="dxa"/>
            <w:tcBorders>
              <w:top w:val="nil"/>
              <w:left w:val="nil"/>
              <w:bottom w:val="single" w:sz="12" w:space="0" w:color="auto"/>
              <w:right w:val="nil"/>
            </w:tcBorders>
            <w:shd w:val="clear" w:color="auto" w:fill="FBE4D5" w:themeFill="accent2" w:themeFillTint="33"/>
          </w:tcPr>
          <w:p w14:paraId="4B793ACB" w14:textId="1EC609F0" w:rsidR="00834FB5" w:rsidRPr="00E65977" w:rsidRDefault="00834FB5" w:rsidP="00834FB5">
            <w:pPr>
              <w:rPr>
                <w:sz w:val="14"/>
                <w:szCs w:val="14"/>
              </w:rPr>
            </w:pPr>
            <w:r w:rsidRPr="007913EA">
              <w:rPr>
                <w:sz w:val="14"/>
                <w:szCs w:val="14"/>
              </w:rPr>
              <w:t>0%</w:t>
            </w:r>
          </w:p>
        </w:tc>
        <w:tc>
          <w:tcPr>
            <w:tcW w:w="649" w:type="dxa"/>
            <w:tcBorders>
              <w:top w:val="nil"/>
              <w:left w:val="nil"/>
              <w:bottom w:val="single" w:sz="12" w:space="0" w:color="auto"/>
            </w:tcBorders>
            <w:shd w:val="clear" w:color="auto" w:fill="FBE4D5" w:themeFill="accent2" w:themeFillTint="33"/>
          </w:tcPr>
          <w:p w14:paraId="04D14AC7" w14:textId="2E780B8A" w:rsidR="00834FB5" w:rsidRPr="00E65977" w:rsidRDefault="00834FB5" w:rsidP="00834FB5">
            <w:pPr>
              <w:rPr>
                <w:sz w:val="14"/>
                <w:szCs w:val="14"/>
              </w:rPr>
            </w:pPr>
            <w:r w:rsidRPr="007913EA">
              <w:rPr>
                <w:sz w:val="14"/>
                <w:szCs w:val="14"/>
              </w:rPr>
              <w:t>0%</w:t>
            </w:r>
          </w:p>
        </w:tc>
      </w:tr>
      <w:tr w:rsidR="00823E84" w14:paraId="5EF82529" w14:textId="7F598F01" w:rsidTr="00823E84">
        <w:tc>
          <w:tcPr>
            <w:tcW w:w="1447" w:type="dxa"/>
            <w:tcBorders>
              <w:top w:val="single" w:sz="12" w:space="0" w:color="auto"/>
              <w:bottom w:val="single" w:sz="4" w:space="0" w:color="auto"/>
              <w:right w:val="nil"/>
            </w:tcBorders>
            <w:shd w:val="clear" w:color="auto" w:fill="FBE4D5" w:themeFill="accent2" w:themeFillTint="33"/>
          </w:tcPr>
          <w:p w14:paraId="0BD549EC" w14:textId="5DE4304F" w:rsidR="00E65977" w:rsidRPr="00E65977" w:rsidRDefault="00E65977" w:rsidP="0007271B">
            <w:pPr>
              <w:rPr>
                <w:sz w:val="14"/>
                <w:szCs w:val="14"/>
              </w:rPr>
            </w:pPr>
            <w:r w:rsidRPr="00E65977">
              <w:rPr>
                <w:sz w:val="14"/>
                <w:szCs w:val="14"/>
              </w:rPr>
              <w:t>Subtotal</w:t>
            </w:r>
          </w:p>
        </w:tc>
        <w:tc>
          <w:tcPr>
            <w:tcW w:w="1234" w:type="dxa"/>
            <w:tcBorders>
              <w:top w:val="single" w:sz="12" w:space="0" w:color="auto"/>
              <w:left w:val="nil"/>
              <w:bottom w:val="single" w:sz="4" w:space="0" w:color="auto"/>
              <w:right w:val="nil"/>
            </w:tcBorders>
            <w:shd w:val="clear" w:color="auto" w:fill="FBE4D5" w:themeFill="accent2" w:themeFillTint="33"/>
          </w:tcPr>
          <w:p w14:paraId="10818E45" w14:textId="7D44141E" w:rsidR="00E65977" w:rsidRPr="00E65977" w:rsidRDefault="00834FB5" w:rsidP="0007271B">
            <w:pPr>
              <w:rPr>
                <w:sz w:val="14"/>
                <w:szCs w:val="14"/>
              </w:rPr>
            </w:pPr>
            <w:r>
              <w:rPr>
                <w:sz w:val="14"/>
                <w:szCs w:val="14"/>
              </w:rPr>
              <w:t>$345.3</w:t>
            </w:r>
          </w:p>
        </w:tc>
        <w:tc>
          <w:tcPr>
            <w:tcW w:w="1234" w:type="dxa"/>
            <w:tcBorders>
              <w:top w:val="single" w:sz="12" w:space="0" w:color="auto"/>
              <w:left w:val="nil"/>
              <w:bottom w:val="single" w:sz="4" w:space="0" w:color="auto"/>
              <w:right w:val="nil"/>
            </w:tcBorders>
            <w:shd w:val="clear" w:color="auto" w:fill="FBE4D5" w:themeFill="accent2" w:themeFillTint="33"/>
          </w:tcPr>
          <w:p w14:paraId="553BB4FF" w14:textId="04BC6023" w:rsidR="00E65977" w:rsidRPr="00E65977" w:rsidRDefault="008E6C5A" w:rsidP="0007271B">
            <w:pPr>
              <w:rPr>
                <w:sz w:val="14"/>
                <w:szCs w:val="14"/>
              </w:rPr>
            </w:pPr>
            <w:r>
              <w:rPr>
                <w:sz w:val="14"/>
                <w:szCs w:val="14"/>
              </w:rPr>
              <w:t>$73.5</w:t>
            </w:r>
          </w:p>
        </w:tc>
        <w:tc>
          <w:tcPr>
            <w:tcW w:w="1234" w:type="dxa"/>
            <w:tcBorders>
              <w:top w:val="single" w:sz="12" w:space="0" w:color="auto"/>
              <w:left w:val="nil"/>
              <w:bottom w:val="single" w:sz="4" w:space="0" w:color="auto"/>
              <w:right w:val="nil"/>
            </w:tcBorders>
            <w:shd w:val="clear" w:color="auto" w:fill="FBE4D5" w:themeFill="accent2" w:themeFillTint="33"/>
          </w:tcPr>
          <w:p w14:paraId="6E9B82DC" w14:textId="42DD6ED9" w:rsidR="00E65977" w:rsidRPr="00E65977" w:rsidRDefault="008E6C5A" w:rsidP="0007271B">
            <w:pPr>
              <w:rPr>
                <w:sz w:val="14"/>
                <w:szCs w:val="14"/>
              </w:rPr>
            </w:pPr>
            <w:r>
              <w:rPr>
                <w:sz w:val="14"/>
                <w:szCs w:val="14"/>
              </w:rPr>
              <w:t>418.8</w:t>
            </w:r>
          </w:p>
        </w:tc>
        <w:tc>
          <w:tcPr>
            <w:tcW w:w="742" w:type="dxa"/>
            <w:tcBorders>
              <w:top w:val="single" w:sz="12" w:space="0" w:color="auto"/>
              <w:left w:val="nil"/>
              <w:bottom w:val="single" w:sz="4" w:space="0" w:color="auto"/>
              <w:right w:val="nil"/>
            </w:tcBorders>
            <w:shd w:val="clear" w:color="auto" w:fill="FBE4D5" w:themeFill="accent2" w:themeFillTint="33"/>
          </w:tcPr>
          <w:p w14:paraId="0771CC26" w14:textId="6751E331" w:rsidR="00E65977" w:rsidRPr="00E65977" w:rsidRDefault="008E6C5A" w:rsidP="0007271B">
            <w:pPr>
              <w:rPr>
                <w:sz w:val="14"/>
                <w:szCs w:val="14"/>
              </w:rPr>
            </w:pPr>
            <w:r>
              <w:rPr>
                <w:sz w:val="14"/>
                <w:szCs w:val="14"/>
              </w:rPr>
              <w:t>$91.5</w:t>
            </w:r>
          </w:p>
        </w:tc>
        <w:tc>
          <w:tcPr>
            <w:tcW w:w="742" w:type="dxa"/>
            <w:tcBorders>
              <w:top w:val="single" w:sz="12" w:space="0" w:color="auto"/>
              <w:left w:val="nil"/>
              <w:bottom w:val="single" w:sz="4" w:space="0" w:color="auto"/>
              <w:right w:val="nil"/>
            </w:tcBorders>
            <w:shd w:val="clear" w:color="auto" w:fill="FBE4D5" w:themeFill="accent2" w:themeFillTint="33"/>
          </w:tcPr>
          <w:p w14:paraId="44C72563" w14:textId="6D30690B" w:rsidR="00E65977" w:rsidRPr="00E65977" w:rsidRDefault="008E6C5A" w:rsidP="0007271B">
            <w:pPr>
              <w:rPr>
                <w:sz w:val="14"/>
                <w:szCs w:val="14"/>
              </w:rPr>
            </w:pPr>
            <w:r>
              <w:rPr>
                <w:sz w:val="14"/>
                <w:szCs w:val="14"/>
              </w:rPr>
              <w:t>$ -</w:t>
            </w:r>
          </w:p>
        </w:tc>
        <w:tc>
          <w:tcPr>
            <w:tcW w:w="742" w:type="dxa"/>
            <w:tcBorders>
              <w:top w:val="single" w:sz="12" w:space="0" w:color="auto"/>
              <w:left w:val="nil"/>
              <w:bottom w:val="single" w:sz="4" w:space="0" w:color="auto"/>
              <w:right w:val="nil"/>
            </w:tcBorders>
            <w:shd w:val="clear" w:color="auto" w:fill="FBE4D5" w:themeFill="accent2" w:themeFillTint="33"/>
          </w:tcPr>
          <w:p w14:paraId="72930044" w14:textId="2665E7CC" w:rsidR="00E65977" w:rsidRPr="00E65977" w:rsidRDefault="008E6C5A" w:rsidP="0007271B">
            <w:pPr>
              <w:rPr>
                <w:sz w:val="14"/>
                <w:szCs w:val="14"/>
              </w:rPr>
            </w:pPr>
            <w:r>
              <w:rPr>
                <w:sz w:val="14"/>
                <w:szCs w:val="14"/>
              </w:rPr>
              <w:t>$91.5</w:t>
            </w:r>
          </w:p>
        </w:tc>
        <w:tc>
          <w:tcPr>
            <w:tcW w:w="669" w:type="dxa"/>
            <w:tcBorders>
              <w:top w:val="single" w:sz="12" w:space="0" w:color="auto"/>
              <w:left w:val="nil"/>
              <w:bottom w:val="single" w:sz="4" w:space="0" w:color="auto"/>
              <w:right w:val="nil"/>
            </w:tcBorders>
            <w:shd w:val="clear" w:color="auto" w:fill="FBE4D5" w:themeFill="accent2" w:themeFillTint="33"/>
          </w:tcPr>
          <w:p w14:paraId="0C7E1449" w14:textId="5443004D" w:rsidR="00E65977" w:rsidRPr="00E65977" w:rsidRDefault="008E6C5A" w:rsidP="0007271B">
            <w:pPr>
              <w:rPr>
                <w:sz w:val="14"/>
                <w:szCs w:val="14"/>
              </w:rPr>
            </w:pPr>
            <w:r>
              <w:rPr>
                <w:sz w:val="14"/>
                <w:szCs w:val="14"/>
              </w:rPr>
              <w:t>36%</w:t>
            </w:r>
          </w:p>
        </w:tc>
        <w:tc>
          <w:tcPr>
            <w:tcW w:w="657" w:type="dxa"/>
            <w:tcBorders>
              <w:top w:val="single" w:sz="12" w:space="0" w:color="auto"/>
              <w:left w:val="nil"/>
              <w:bottom w:val="single" w:sz="4" w:space="0" w:color="auto"/>
              <w:right w:val="nil"/>
            </w:tcBorders>
            <w:shd w:val="clear" w:color="auto" w:fill="FBE4D5" w:themeFill="accent2" w:themeFillTint="33"/>
          </w:tcPr>
          <w:p w14:paraId="29D00DCE" w14:textId="119BD4B0" w:rsidR="00E65977" w:rsidRPr="00E65977" w:rsidRDefault="00834FB5" w:rsidP="0007271B">
            <w:pPr>
              <w:rPr>
                <w:sz w:val="14"/>
                <w:szCs w:val="14"/>
              </w:rPr>
            </w:pPr>
            <w:r>
              <w:rPr>
                <w:sz w:val="14"/>
                <w:szCs w:val="14"/>
              </w:rPr>
              <w:t>0%</w:t>
            </w:r>
          </w:p>
        </w:tc>
        <w:tc>
          <w:tcPr>
            <w:tcW w:w="649" w:type="dxa"/>
            <w:tcBorders>
              <w:top w:val="single" w:sz="12" w:space="0" w:color="auto"/>
              <w:left w:val="nil"/>
              <w:bottom w:val="single" w:sz="4" w:space="0" w:color="auto"/>
            </w:tcBorders>
            <w:shd w:val="clear" w:color="auto" w:fill="FBE4D5" w:themeFill="accent2" w:themeFillTint="33"/>
          </w:tcPr>
          <w:p w14:paraId="2DAE55CE" w14:textId="404D69AE" w:rsidR="00E65977" w:rsidRPr="00E65977" w:rsidRDefault="008E6C5A" w:rsidP="0007271B">
            <w:pPr>
              <w:rPr>
                <w:sz w:val="14"/>
                <w:szCs w:val="14"/>
              </w:rPr>
            </w:pPr>
            <w:r>
              <w:rPr>
                <w:sz w:val="14"/>
                <w:szCs w:val="14"/>
              </w:rPr>
              <w:t>28%</w:t>
            </w:r>
          </w:p>
        </w:tc>
      </w:tr>
      <w:tr w:rsidR="001A014A" w14:paraId="096DB6C6" w14:textId="77777777" w:rsidTr="00823E84">
        <w:tc>
          <w:tcPr>
            <w:tcW w:w="1447" w:type="dxa"/>
            <w:tcBorders>
              <w:right w:val="nil"/>
            </w:tcBorders>
            <w:shd w:val="clear" w:color="auto" w:fill="FBE4D5" w:themeFill="accent2" w:themeFillTint="33"/>
          </w:tcPr>
          <w:p w14:paraId="4646403B" w14:textId="57612828" w:rsidR="001A014A" w:rsidRPr="00E65977" w:rsidRDefault="001A014A" w:rsidP="0007271B">
            <w:pPr>
              <w:rPr>
                <w:sz w:val="14"/>
                <w:szCs w:val="14"/>
              </w:rPr>
            </w:pPr>
            <w:r>
              <w:rPr>
                <w:sz w:val="14"/>
                <w:szCs w:val="14"/>
              </w:rPr>
              <w:t>Total</w:t>
            </w:r>
          </w:p>
        </w:tc>
        <w:tc>
          <w:tcPr>
            <w:tcW w:w="1234" w:type="dxa"/>
            <w:tcBorders>
              <w:left w:val="nil"/>
              <w:bottom w:val="single" w:sz="12" w:space="0" w:color="auto"/>
              <w:right w:val="nil"/>
            </w:tcBorders>
            <w:shd w:val="clear" w:color="auto" w:fill="FBE4D5" w:themeFill="accent2" w:themeFillTint="33"/>
          </w:tcPr>
          <w:p w14:paraId="101AF77F" w14:textId="594368EA" w:rsidR="001A014A" w:rsidRPr="00E65977" w:rsidRDefault="008E6C5A" w:rsidP="0007271B">
            <w:pPr>
              <w:rPr>
                <w:sz w:val="14"/>
                <w:szCs w:val="14"/>
              </w:rPr>
            </w:pPr>
            <w:r>
              <w:rPr>
                <w:sz w:val="14"/>
                <w:szCs w:val="14"/>
              </w:rPr>
              <w:t>$782.8</w:t>
            </w:r>
          </w:p>
        </w:tc>
        <w:tc>
          <w:tcPr>
            <w:tcW w:w="1234" w:type="dxa"/>
            <w:tcBorders>
              <w:left w:val="nil"/>
              <w:bottom w:val="single" w:sz="12" w:space="0" w:color="auto"/>
              <w:right w:val="nil"/>
            </w:tcBorders>
            <w:shd w:val="clear" w:color="auto" w:fill="FBE4D5" w:themeFill="accent2" w:themeFillTint="33"/>
          </w:tcPr>
          <w:p w14:paraId="7595715D" w14:textId="565D8008" w:rsidR="001A014A" w:rsidRPr="00E65977" w:rsidRDefault="008E6C5A" w:rsidP="0007271B">
            <w:pPr>
              <w:rPr>
                <w:sz w:val="14"/>
                <w:szCs w:val="14"/>
              </w:rPr>
            </w:pPr>
            <w:r>
              <w:rPr>
                <w:sz w:val="14"/>
                <w:szCs w:val="14"/>
              </w:rPr>
              <w:t>$128.2</w:t>
            </w:r>
          </w:p>
        </w:tc>
        <w:tc>
          <w:tcPr>
            <w:tcW w:w="1234" w:type="dxa"/>
            <w:tcBorders>
              <w:left w:val="nil"/>
              <w:bottom w:val="single" w:sz="12" w:space="0" w:color="auto"/>
              <w:right w:val="nil"/>
            </w:tcBorders>
            <w:shd w:val="clear" w:color="auto" w:fill="FBE4D5" w:themeFill="accent2" w:themeFillTint="33"/>
          </w:tcPr>
          <w:p w14:paraId="012AFFC4" w14:textId="6DEAB490" w:rsidR="001A014A" w:rsidRPr="00E65977" w:rsidRDefault="008E6C5A" w:rsidP="0007271B">
            <w:pPr>
              <w:rPr>
                <w:sz w:val="14"/>
                <w:szCs w:val="14"/>
              </w:rPr>
            </w:pPr>
            <w:r>
              <w:rPr>
                <w:sz w:val="14"/>
                <w:szCs w:val="14"/>
              </w:rPr>
              <w:t>$910.9</w:t>
            </w:r>
          </w:p>
        </w:tc>
        <w:tc>
          <w:tcPr>
            <w:tcW w:w="742" w:type="dxa"/>
            <w:tcBorders>
              <w:left w:val="nil"/>
              <w:bottom w:val="single" w:sz="12" w:space="0" w:color="auto"/>
              <w:right w:val="nil"/>
            </w:tcBorders>
            <w:shd w:val="clear" w:color="auto" w:fill="FBE4D5" w:themeFill="accent2" w:themeFillTint="33"/>
          </w:tcPr>
          <w:p w14:paraId="69A2A2CB" w14:textId="08BE8E86" w:rsidR="001A014A" w:rsidRPr="00E65977" w:rsidRDefault="008E6C5A" w:rsidP="0007271B">
            <w:pPr>
              <w:rPr>
                <w:sz w:val="14"/>
                <w:szCs w:val="14"/>
              </w:rPr>
            </w:pPr>
            <w:r>
              <w:rPr>
                <w:sz w:val="14"/>
                <w:szCs w:val="14"/>
              </w:rPr>
              <w:t>$121.8</w:t>
            </w:r>
          </w:p>
        </w:tc>
        <w:tc>
          <w:tcPr>
            <w:tcW w:w="742" w:type="dxa"/>
            <w:tcBorders>
              <w:left w:val="nil"/>
              <w:bottom w:val="single" w:sz="12" w:space="0" w:color="auto"/>
              <w:right w:val="nil"/>
            </w:tcBorders>
            <w:shd w:val="clear" w:color="auto" w:fill="FBE4D5" w:themeFill="accent2" w:themeFillTint="33"/>
          </w:tcPr>
          <w:p w14:paraId="1F4C467A" w14:textId="11602439" w:rsidR="001A014A" w:rsidRPr="00E65977" w:rsidRDefault="008E6C5A" w:rsidP="0007271B">
            <w:pPr>
              <w:rPr>
                <w:sz w:val="14"/>
                <w:szCs w:val="14"/>
              </w:rPr>
            </w:pPr>
            <w:r>
              <w:rPr>
                <w:sz w:val="14"/>
                <w:szCs w:val="14"/>
              </w:rPr>
              <w:t>$(10.1)</w:t>
            </w:r>
          </w:p>
        </w:tc>
        <w:tc>
          <w:tcPr>
            <w:tcW w:w="742" w:type="dxa"/>
            <w:tcBorders>
              <w:left w:val="nil"/>
              <w:bottom w:val="single" w:sz="12" w:space="0" w:color="auto"/>
              <w:right w:val="nil"/>
            </w:tcBorders>
            <w:shd w:val="clear" w:color="auto" w:fill="FBE4D5" w:themeFill="accent2" w:themeFillTint="33"/>
          </w:tcPr>
          <w:p w14:paraId="4C387782" w14:textId="1FDD85BE" w:rsidR="001A014A" w:rsidRPr="00E65977" w:rsidRDefault="008E6C5A" w:rsidP="0007271B">
            <w:pPr>
              <w:rPr>
                <w:sz w:val="14"/>
                <w:szCs w:val="14"/>
              </w:rPr>
            </w:pPr>
            <w:r>
              <w:rPr>
                <w:sz w:val="14"/>
                <w:szCs w:val="14"/>
              </w:rPr>
              <w:t>$111.7</w:t>
            </w:r>
          </w:p>
        </w:tc>
        <w:tc>
          <w:tcPr>
            <w:tcW w:w="669" w:type="dxa"/>
            <w:tcBorders>
              <w:left w:val="nil"/>
              <w:bottom w:val="single" w:sz="12" w:space="0" w:color="auto"/>
              <w:right w:val="nil"/>
            </w:tcBorders>
            <w:shd w:val="clear" w:color="auto" w:fill="FBE4D5" w:themeFill="accent2" w:themeFillTint="33"/>
          </w:tcPr>
          <w:p w14:paraId="2D4D911E" w14:textId="1E6C2A25" w:rsidR="001A014A" w:rsidRPr="00E65977" w:rsidRDefault="008E6C5A" w:rsidP="0007271B">
            <w:pPr>
              <w:rPr>
                <w:sz w:val="14"/>
                <w:szCs w:val="14"/>
              </w:rPr>
            </w:pPr>
            <w:r>
              <w:rPr>
                <w:sz w:val="14"/>
                <w:szCs w:val="14"/>
              </w:rPr>
              <w:t>18%</w:t>
            </w:r>
          </w:p>
        </w:tc>
        <w:tc>
          <w:tcPr>
            <w:tcW w:w="657" w:type="dxa"/>
            <w:tcBorders>
              <w:left w:val="nil"/>
              <w:bottom w:val="single" w:sz="12" w:space="0" w:color="auto"/>
              <w:right w:val="nil"/>
            </w:tcBorders>
            <w:shd w:val="clear" w:color="auto" w:fill="FBE4D5" w:themeFill="accent2" w:themeFillTint="33"/>
          </w:tcPr>
          <w:p w14:paraId="13C4EC0A" w14:textId="4E9F0A2C" w:rsidR="001A014A" w:rsidRPr="00E65977" w:rsidRDefault="008E6C5A" w:rsidP="0007271B">
            <w:pPr>
              <w:rPr>
                <w:sz w:val="14"/>
                <w:szCs w:val="14"/>
              </w:rPr>
            </w:pPr>
            <w:r>
              <w:rPr>
                <w:sz w:val="14"/>
                <w:szCs w:val="14"/>
              </w:rPr>
              <w:t>-7%</w:t>
            </w:r>
          </w:p>
        </w:tc>
        <w:tc>
          <w:tcPr>
            <w:tcW w:w="649" w:type="dxa"/>
            <w:tcBorders>
              <w:left w:val="nil"/>
              <w:bottom w:val="single" w:sz="12" w:space="0" w:color="auto"/>
            </w:tcBorders>
            <w:shd w:val="clear" w:color="auto" w:fill="FBE4D5" w:themeFill="accent2" w:themeFillTint="33"/>
          </w:tcPr>
          <w:p w14:paraId="04A001B2" w14:textId="32CCDC67" w:rsidR="001A014A" w:rsidRPr="00E65977" w:rsidRDefault="008E6C5A" w:rsidP="0007271B">
            <w:pPr>
              <w:rPr>
                <w:sz w:val="14"/>
                <w:szCs w:val="14"/>
              </w:rPr>
            </w:pPr>
            <w:r>
              <w:rPr>
                <w:sz w:val="14"/>
                <w:szCs w:val="14"/>
              </w:rPr>
              <w:t>14%</w:t>
            </w:r>
          </w:p>
        </w:tc>
      </w:tr>
    </w:tbl>
    <w:p w14:paraId="22EB7634" w14:textId="77777777" w:rsidR="003D07FB" w:rsidRDefault="003D07FB" w:rsidP="00A25CE0"/>
    <w:p w14:paraId="54E764BF" w14:textId="7D057BC9" w:rsidR="002C5724" w:rsidRDefault="00FF76A6" w:rsidP="004F5809">
      <w:pPr>
        <w:ind w:left="720"/>
      </w:pPr>
      <w:r>
        <w:t xml:space="preserve">The blue shaded ‘current state’ reflects actual costs for </w:t>
      </w:r>
      <w:r w:rsidR="35B3E775" w:rsidRPr="00A5577B">
        <w:t>Full Year 5/1/23-4/30/24</w:t>
      </w:r>
      <w:r>
        <w:t xml:space="preserve"> for the combined Dana Farber Brigham and Women’s Cancer Center</w:t>
      </w:r>
      <w:r w:rsidR="00C54E6A">
        <w:t xml:space="preserve">. </w:t>
      </w:r>
      <w:r>
        <w:t>In the Orange ‘future state’ section, the same patients are translated to a notional healthcare ecosystem where there is a new 300 bed cancer center, and projects future spending based upon patient migrations and relative costs (described above in this document).</w:t>
      </w:r>
    </w:p>
    <w:p w14:paraId="39066D16" w14:textId="684F0CF5" w:rsidR="007F24D1" w:rsidRDefault="00CF49E3" w:rsidP="0026297D">
      <w:r>
        <w:t>The ICA</w:t>
      </w:r>
      <w:r w:rsidR="00143F65">
        <w:t xml:space="preserve"> also</w:t>
      </w:r>
      <w:r w:rsidR="0026297D">
        <w:t xml:space="preserve"> </w:t>
      </w:r>
      <w:r w:rsidR="00143F65">
        <w:t xml:space="preserve">incorrectly ascribes supply-induced demand to the BWH as well as </w:t>
      </w:r>
      <w:r w:rsidR="001A67B6">
        <w:t>under</w:t>
      </w:r>
      <w:r w:rsidR="00967272">
        <w:t xml:space="preserve">estimates </w:t>
      </w:r>
      <w:r w:rsidR="001A67B6">
        <w:t xml:space="preserve">the potential price increases from </w:t>
      </w:r>
      <w:r>
        <w:t>supply-induced demand</w:t>
      </w:r>
      <w:r w:rsidR="00143F65">
        <w:t xml:space="preserve"> from the DFCI</w:t>
      </w:r>
      <w:r w:rsidR="00C54E6A">
        <w:t xml:space="preserve">. </w:t>
      </w:r>
      <w:r w:rsidR="001A67B6">
        <w:t xml:space="preserve">The ICA provides an upper bound to the supply-induced demand of </w:t>
      </w:r>
      <w:r w:rsidR="00967272">
        <w:t>2.7% to 3.1% per year</w:t>
      </w:r>
      <w:r w:rsidR="00143F65">
        <w:t xml:space="preserve"> attributed to backfill at the BWH</w:t>
      </w:r>
      <w:r w:rsidR="00C54E6A">
        <w:t xml:space="preserve">. </w:t>
      </w:r>
      <w:r w:rsidR="001A67B6">
        <w:t xml:space="preserve">This analysis mischaracterizes the </w:t>
      </w:r>
      <w:r w:rsidR="00057317">
        <w:t xml:space="preserve">source of the </w:t>
      </w:r>
      <w:r w:rsidR="001A67B6">
        <w:t>supply-induced demand</w:t>
      </w:r>
      <w:r w:rsidR="00C54E6A">
        <w:t xml:space="preserve">. </w:t>
      </w:r>
      <w:r w:rsidR="001A67B6">
        <w:t xml:space="preserve">As discussed, the existing beds at BWH will continue to be available to MGB patients who need inpatient cancer care </w:t>
      </w:r>
      <w:r w:rsidR="007F24D1">
        <w:t>or other inpatient care</w:t>
      </w:r>
      <w:r w:rsidR="001A67B6">
        <w:t xml:space="preserve">. </w:t>
      </w:r>
      <w:r w:rsidR="00143F65">
        <w:t>Rather it is t</w:t>
      </w:r>
      <w:r w:rsidR="001A67B6">
        <w:t>he new beds at the proposed DFCI facility</w:t>
      </w:r>
      <w:r w:rsidR="00143F65">
        <w:t xml:space="preserve"> that</w:t>
      </w:r>
      <w:r w:rsidR="001A67B6">
        <w:t xml:space="preserve"> will create new supply-induced demand</w:t>
      </w:r>
      <w:r w:rsidR="00143F65">
        <w:t xml:space="preserve"> </w:t>
      </w:r>
      <w:proofErr w:type="gramStart"/>
      <w:r w:rsidR="00143F65">
        <w:t>in order</w:t>
      </w:r>
      <w:r w:rsidR="00563DEB">
        <w:t xml:space="preserve"> to</w:t>
      </w:r>
      <w:proofErr w:type="gramEnd"/>
      <w:r w:rsidR="00563DEB">
        <w:t xml:space="preserve"> fill the beds,</w:t>
      </w:r>
      <w:r w:rsidR="001A67B6">
        <w:t xml:space="preserve"> likely drawing patients from </w:t>
      </w:r>
      <w:r w:rsidR="00EF11F7">
        <w:t xml:space="preserve">lower cost </w:t>
      </w:r>
      <w:r w:rsidR="00F64B89">
        <w:t xml:space="preserve">AMCs and </w:t>
      </w:r>
      <w:r w:rsidR="001A67B6">
        <w:t>community hospitals affiliated with BILH</w:t>
      </w:r>
      <w:r w:rsidR="00057317">
        <w:t xml:space="preserve">, and also patients who </w:t>
      </w:r>
      <w:r w:rsidR="007F24D1">
        <w:t>might</w:t>
      </w:r>
      <w:r w:rsidR="00057317">
        <w:t xml:space="preserve"> not otherwise receive inpatient cancer care</w:t>
      </w:r>
      <w:r w:rsidR="00C54E6A">
        <w:t xml:space="preserve">. </w:t>
      </w:r>
      <w:r w:rsidR="001A67B6">
        <w:t xml:space="preserve">This will increase costs due to supply-induced demand at a larger rate than that identified </w:t>
      </w:r>
      <w:r w:rsidR="00EF11F7">
        <w:t>in the ICA</w:t>
      </w:r>
      <w:r w:rsidR="00C54E6A">
        <w:t xml:space="preserve">. </w:t>
      </w:r>
      <w:r w:rsidR="00563DEB">
        <w:t xml:space="preserve">Since DFCI has not established </w:t>
      </w:r>
      <w:r w:rsidR="00EF11F7">
        <w:t xml:space="preserve">a patient panel to support </w:t>
      </w:r>
      <w:proofErr w:type="gramStart"/>
      <w:r w:rsidR="00EF11F7">
        <w:t>need</w:t>
      </w:r>
      <w:proofErr w:type="gramEnd"/>
      <w:r w:rsidR="00EF11F7">
        <w:t xml:space="preserve"> for more than the </w:t>
      </w:r>
      <w:r w:rsidR="00563DEB">
        <w:t>current 30 beds, the new facility will need to find additional patients to fill the</w:t>
      </w:r>
      <w:r w:rsidR="00EF11F7">
        <w:t xml:space="preserve"> remaining </w:t>
      </w:r>
      <w:r w:rsidR="00563DEB">
        <w:t>270 new beds</w:t>
      </w:r>
      <w:r w:rsidR="00EF11F7">
        <w:t xml:space="preserve"> in the market</w:t>
      </w:r>
      <w:r w:rsidR="00563DEB">
        <w:t xml:space="preserve">. </w:t>
      </w:r>
    </w:p>
    <w:p w14:paraId="3B2B46AE" w14:textId="6C5D624F" w:rsidR="007F24D1" w:rsidRDefault="00057317" w:rsidP="007F24D1">
      <w:r>
        <w:t xml:space="preserve">Further, the ICA </w:t>
      </w:r>
      <w:r w:rsidR="00143F65">
        <w:t xml:space="preserve">falsely </w:t>
      </w:r>
      <w:r>
        <w:t xml:space="preserve">assumes that there is no likelihood </w:t>
      </w:r>
      <w:proofErr w:type="gramStart"/>
      <w:r>
        <w:t>for</w:t>
      </w:r>
      <w:proofErr w:type="gramEnd"/>
      <w:r>
        <w:t xml:space="preserve"> supply-induced demand at the proposed facility because it is projected to be </w:t>
      </w:r>
      <w:r w:rsidR="007F24D1">
        <w:t>immediately</w:t>
      </w:r>
      <w:r>
        <w:t xml:space="preserve"> capacity constrained. However, this is based on the flawed assumption that all BWH patients will move to the new facility</w:t>
      </w:r>
      <w:r w:rsidR="00C54E6A">
        <w:t xml:space="preserve">. </w:t>
      </w:r>
      <w:r>
        <w:t>The ICA assumes that BWH and BIDMC would “backfill” newly available capacity, and that would be equivalent from a cost impact to no patient shift and the new DFCI beds are filled by patients not currently receiving inpatient care</w:t>
      </w:r>
      <w:r w:rsidR="00C54E6A">
        <w:t xml:space="preserve">. </w:t>
      </w:r>
      <w:r w:rsidR="007F24D1">
        <w:t xml:space="preserve">Given the high occupancy rates for MGB hospitals, including BWH, </w:t>
      </w:r>
      <w:proofErr w:type="gramStart"/>
      <w:r w:rsidR="007F24D1">
        <w:t>it is clear that patients</w:t>
      </w:r>
      <w:proofErr w:type="gramEnd"/>
      <w:r w:rsidR="007F24D1">
        <w:t xml:space="preserve"> continue to choose to receive care at BWH and other MGB hospitals</w:t>
      </w:r>
      <w:r w:rsidR="00C54E6A">
        <w:t xml:space="preserve">. </w:t>
      </w:r>
      <w:r w:rsidR="007F24D1">
        <w:t xml:space="preserve">This means the estimated costs outlined in Tables 20 and </w:t>
      </w:r>
      <w:r w:rsidR="007F24D1">
        <w:lastRenderedPageBreak/>
        <w:t xml:space="preserve">21 </w:t>
      </w:r>
      <w:r w:rsidR="005907A7">
        <w:t xml:space="preserve">of the ICA </w:t>
      </w:r>
      <w:r w:rsidR="007F24D1">
        <w:t>are likely, rather than speculative and transitory, and these increases in costs should be accounted for in the ICA’s estimate in increased costs due to this Proposed Project</w:t>
      </w:r>
      <w:r w:rsidR="00C54E6A">
        <w:t xml:space="preserve">. </w:t>
      </w:r>
    </w:p>
    <w:p w14:paraId="29F1C2B2" w14:textId="77777777" w:rsidR="00C95B1F" w:rsidRDefault="00C95B1F" w:rsidP="00C95B1F"/>
    <w:p w14:paraId="1D9A40F3" w14:textId="060B6AE3" w:rsidR="005907A7" w:rsidRPr="00C42F24" w:rsidRDefault="005907A7" w:rsidP="005907A7">
      <w:pPr>
        <w:rPr>
          <w:b/>
          <w:bCs/>
          <w:u w:val="single"/>
        </w:rPr>
      </w:pPr>
      <w:r>
        <w:rPr>
          <w:b/>
          <w:bCs/>
          <w:u w:val="single"/>
        </w:rPr>
        <w:t xml:space="preserve">The ICA does not recognize that </w:t>
      </w:r>
      <w:proofErr w:type="gramStart"/>
      <w:r>
        <w:rPr>
          <w:b/>
          <w:bCs/>
          <w:u w:val="single"/>
        </w:rPr>
        <w:t>lack</w:t>
      </w:r>
      <w:proofErr w:type="gramEnd"/>
      <w:r>
        <w:rPr>
          <w:b/>
          <w:bCs/>
          <w:u w:val="single"/>
        </w:rPr>
        <w:t xml:space="preserve"> of an Emergency Department at the new hospital will increase the cost of care.</w:t>
      </w:r>
    </w:p>
    <w:p w14:paraId="51A25722" w14:textId="5FBD28BE" w:rsidR="00C42F24" w:rsidRDefault="00444B87" w:rsidP="00C95B1F">
      <w:r>
        <w:t>The lack</w:t>
      </w:r>
      <w:r w:rsidR="00DA587A">
        <w:t xml:space="preserve"> of </w:t>
      </w:r>
      <w:r>
        <w:t xml:space="preserve">an </w:t>
      </w:r>
      <w:r w:rsidR="00DA587A">
        <w:t xml:space="preserve">Emergency Room </w:t>
      </w:r>
      <w:r>
        <w:t xml:space="preserve">as part of the DFCI cancer proposal is concerning, as a significant number of </w:t>
      </w:r>
      <w:r w:rsidR="00D57C47">
        <w:t xml:space="preserve">current DFCI/BWH </w:t>
      </w:r>
      <w:r>
        <w:t xml:space="preserve">patients </w:t>
      </w:r>
      <w:r w:rsidR="00D57C47">
        <w:t>require</w:t>
      </w:r>
      <w:r>
        <w:t xml:space="preserve"> emergency </w:t>
      </w:r>
      <w:r w:rsidR="00D57C47">
        <w:t>services</w:t>
      </w:r>
      <w:r w:rsidR="002D09A5">
        <w:t xml:space="preserve"> during their treatment</w:t>
      </w:r>
      <w:r w:rsidR="00D57C47">
        <w:t xml:space="preserve"> and are admitted to </w:t>
      </w:r>
      <w:r w:rsidR="007B6477">
        <w:t>hospitals across MGB’s system</w:t>
      </w:r>
      <w:r w:rsidR="00C54E6A">
        <w:t xml:space="preserve">. </w:t>
      </w:r>
    </w:p>
    <w:p w14:paraId="68300D32" w14:textId="64F897CF" w:rsidR="00BB27F8" w:rsidRDefault="003C3FC3" w:rsidP="002D09A5">
      <w:r>
        <w:t xml:space="preserve">Currently, </w:t>
      </w:r>
      <w:r w:rsidR="002D09A5">
        <w:t xml:space="preserve">approximately </w:t>
      </w:r>
      <w:r>
        <w:t>11% of patients treated at DFC</w:t>
      </w:r>
      <w:r w:rsidR="00C42F24">
        <w:t>I</w:t>
      </w:r>
      <w:r>
        <w:t xml:space="preserve"> </w:t>
      </w:r>
      <w:r w:rsidR="00500A24">
        <w:t xml:space="preserve">return to </w:t>
      </w:r>
      <w:r w:rsidR="008D71A6">
        <w:t>a</w:t>
      </w:r>
      <w:r w:rsidR="002D09A5">
        <w:t>n</w:t>
      </w:r>
      <w:r w:rsidR="008D71A6">
        <w:t xml:space="preserve"> MGB </w:t>
      </w:r>
      <w:r w:rsidR="00500A24">
        <w:t>E</w:t>
      </w:r>
      <w:r w:rsidR="002D09A5">
        <w:t>mergency Department (E</w:t>
      </w:r>
      <w:r w:rsidR="00500A24">
        <w:t>D</w:t>
      </w:r>
      <w:r w:rsidR="002D09A5">
        <w:t>)</w:t>
      </w:r>
      <w:r w:rsidR="00500A24">
        <w:t xml:space="preserve"> within one year of</w:t>
      </w:r>
      <w:r>
        <w:t xml:space="preserve"> discharge.</w:t>
      </w:r>
      <w:r w:rsidR="00C42F24">
        <w:t xml:space="preserve"> </w:t>
      </w:r>
      <w:r w:rsidR="002D09A5">
        <w:t>If the Proposed Project is fully built, it can accommodate 14,000 patients annually</w:t>
      </w:r>
      <w:r w:rsidR="00C54E6A">
        <w:t xml:space="preserve">. </w:t>
      </w:r>
      <w:r w:rsidR="002D09A5">
        <w:t>If 11% of those patients need ED care, that would be an increase of 1500 patients seeking ED care, in</w:t>
      </w:r>
      <w:r w:rsidR="00143F65">
        <w:t xml:space="preserve"> EDs</w:t>
      </w:r>
      <w:r w:rsidR="002D09A5">
        <w:t xml:space="preserve"> that are already crowded beyond capacity</w:t>
      </w:r>
      <w:r w:rsidR="00C54E6A">
        <w:t xml:space="preserve">. </w:t>
      </w:r>
      <w:r w:rsidR="005907A7">
        <w:t xml:space="preserve">While some of </w:t>
      </w:r>
      <w:r w:rsidR="00BB27F8">
        <w:t xml:space="preserve">these patients will seek care in the BIDMC ED and, if necessary, be admitted to the DFCI hospital, others will seek care at an MGB </w:t>
      </w:r>
      <w:r w:rsidR="00C54E6A">
        <w:t xml:space="preserve">ED. </w:t>
      </w:r>
      <w:r w:rsidR="00BB27F8">
        <w:t>This will be particularly likely if the patient’s primary care provider is affiliated with MGB</w:t>
      </w:r>
      <w:r w:rsidR="009A49E1">
        <w:t xml:space="preserve">. </w:t>
      </w:r>
      <w:r w:rsidR="0032347B">
        <w:t xml:space="preserve">This will also lead to highly fragmented care for patients who come to the BWH ED but cannot be cared for by their DFCI oncologist who is practicing at the DFCI hospital. </w:t>
      </w:r>
    </w:p>
    <w:p w14:paraId="2BA8D292" w14:textId="0BCB2494" w:rsidR="00BB27F8" w:rsidRDefault="00BB27F8" w:rsidP="002D09A5">
      <w:r>
        <w:t>Massachusetts has among the longest ED wait times in the United States, ranking 49</w:t>
      </w:r>
      <w:r w:rsidRPr="009418C0">
        <w:rPr>
          <w:vertAlign w:val="superscript"/>
        </w:rPr>
        <w:t>th</w:t>
      </w:r>
      <w:r>
        <w:t xml:space="preserve"> nationally. The EDs at BWH and BIDMC, as at all Massachusetts acute hospitals, are already beyond capacity</w:t>
      </w:r>
      <w:r w:rsidR="009A49E1">
        <w:t xml:space="preserve">. </w:t>
      </w:r>
      <w:r w:rsidR="006D7477">
        <w:t>For example, in 2024 BWH had a total of 16,552 boarders (defined as waiting in the ED two hours after the decision to admit), which is 96% of all admissions</w:t>
      </w:r>
      <w:r w:rsidR="009A49E1">
        <w:t xml:space="preserve">. </w:t>
      </w:r>
      <w:r w:rsidR="006237F6">
        <w:t>The average time spent boarding in the ED was 21.4 hours, with a median time of 14.3 hours</w:t>
      </w:r>
      <w:r w:rsidR="009A49E1">
        <w:t xml:space="preserve">. </w:t>
      </w:r>
      <w:r w:rsidR="006237F6">
        <w:t xml:space="preserve">Non-admitted patients spent an average of 7.8 hours in </w:t>
      </w:r>
      <w:proofErr w:type="gramStart"/>
      <w:r w:rsidR="006237F6">
        <w:t>the ED</w:t>
      </w:r>
      <w:proofErr w:type="gramEnd"/>
      <w:r w:rsidR="006237F6">
        <w:t>, with a median time of 5.6 hours</w:t>
      </w:r>
      <w:r w:rsidR="009A49E1">
        <w:t xml:space="preserve">. </w:t>
      </w:r>
      <w:r w:rsidR="006237F6">
        <w:t xml:space="preserve">This capacity crisis also means that 56% of patients in the BWH ED spent some amount of time getting their care in a hallway. BIDMC has similar challenges, as do all Massachusetts </w:t>
      </w:r>
      <w:proofErr w:type="spellStart"/>
      <w:r w:rsidR="006237F6">
        <w:t>EDs</w:t>
      </w:r>
      <w:r w:rsidR="009A49E1">
        <w:t>.</w:t>
      </w:r>
      <w:proofErr w:type="spellEnd"/>
      <w:r w:rsidR="009A49E1">
        <w:t xml:space="preserve"> </w:t>
      </w:r>
      <w:r w:rsidR="006237F6">
        <w:t>T</w:t>
      </w:r>
      <w:r>
        <w:t xml:space="preserve">he strain of </w:t>
      </w:r>
      <w:r w:rsidR="006237F6">
        <w:t xml:space="preserve">adding </w:t>
      </w:r>
      <w:r>
        <w:t>additional patients will further burden the</w:t>
      </w:r>
      <w:r w:rsidR="006237F6">
        <w:t xml:space="preserve"> Commonwealth’s</w:t>
      </w:r>
      <w:r w:rsidR="00EC0D9B">
        <w:t xml:space="preserve"> </w:t>
      </w:r>
      <w:r>
        <w:t>hospitals, damaging the quality of the care being provided</w:t>
      </w:r>
      <w:r w:rsidR="009A49E1">
        <w:t xml:space="preserve">. </w:t>
      </w:r>
      <w:r w:rsidR="006237F6">
        <w:t>Further, the increased demands on the EDs at BIDMC, BWH and other hospitals will cause increased labor costs, which will be directly attributable to the addition of 300 hospital beds at the new DFCI hospital without additional ED beds</w:t>
      </w:r>
      <w:r w:rsidR="009A49E1">
        <w:t xml:space="preserve">. </w:t>
      </w:r>
    </w:p>
    <w:p w14:paraId="6E9D66F0" w14:textId="77777777" w:rsidR="00C42F24" w:rsidRDefault="00C42F24" w:rsidP="00C42F24"/>
    <w:p w14:paraId="2B1BB4C7" w14:textId="77777777" w:rsidR="00F1478A" w:rsidRDefault="00BB27F8" w:rsidP="00D55762">
      <w:pPr>
        <w:rPr>
          <w:b/>
          <w:bCs/>
          <w:u w:val="single"/>
        </w:rPr>
      </w:pPr>
      <w:r>
        <w:rPr>
          <w:b/>
          <w:bCs/>
          <w:u w:val="single"/>
        </w:rPr>
        <w:t>Additional linear accelerators are duplicative and will increase costs.</w:t>
      </w:r>
    </w:p>
    <w:p w14:paraId="2229F250" w14:textId="478646E9" w:rsidR="00D56D32" w:rsidRDefault="00A5698C" w:rsidP="00D55762">
      <w:r>
        <w:t>The ICA’s project</w:t>
      </w:r>
      <w:r w:rsidR="007A645B">
        <w:t>ions for linear accelerator (</w:t>
      </w:r>
      <w:r>
        <w:t>LINAC</w:t>
      </w:r>
      <w:r w:rsidR="007A645B">
        <w:t>)</w:t>
      </w:r>
      <w:r>
        <w:t xml:space="preserve"> need are based on its flawed assumption that patients will move from receiving their care at BWH and other MGB facilities to the new DFCI hospital</w:t>
      </w:r>
      <w:r w:rsidR="009A49E1">
        <w:t xml:space="preserve">. </w:t>
      </w:r>
      <w:r w:rsidR="00C42F24">
        <w:t>The ICA projects a need for</w:t>
      </w:r>
      <w:r w:rsidR="00C42F24" w:rsidRPr="004954E4">
        <w:t xml:space="preserve"> 10 LINACs in the Longwood Area, inclu</w:t>
      </w:r>
      <w:r w:rsidR="00B2317A">
        <w:t xml:space="preserve">ding the </w:t>
      </w:r>
      <w:r w:rsidR="00BB27F8">
        <w:t xml:space="preserve">existing </w:t>
      </w:r>
      <w:r w:rsidR="00C42F24" w:rsidRPr="004954E4">
        <w:t>LINACs</w:t>
      </w:r>
      <w:r w:rsidR="00B2317A">
        <w:t xml:space="preserve"> at BWH</w:t>
      </w:r>
      <w:r w:rsidR="00C42F24" w:rsidRPr="004954E4">
        <w:t xml:space="preserve">. </w:t>
      </w:r>
      <w:r w:rsidR="00C42F24">
        <w:t xml:space="preserve">Presently, </w:t>
      </w:r>
      <w:r w:rsidR="00C42F24" w:rsidRPr="004954E4">
        <w:t>there are 11 LINACs in Longwood (3 at DFCI, 3 at BIDMC and 5 at BWH</w:t>
      </w:r>
      <w:r w:rsidR="00D56D32">
        <w:t>) and one total body irradiator</w:t>
      </w:r>
      <w:r w:rsidR="00BB7CAF">
        <w:t xml:space="preserve"> at BWH</w:t>
      </w:r>
      <w:r w:rsidR="009A49E1" w:rsidRPr="004954E4">
        <w:t>.</w:t>
      </w:r>
      <w:r w:rsidR="009A49E1">
        <w:t xml:space="preserve"> </w:t>
      </w:r>
      <w:r>
        <w:t xml:space="preserve">The ICA’s assumption </w:t>
      </w:r>
      <w:r w:rsidR="00D55762">
        <w:t>that</w:t>
      </w:r>
      <w:r w:rsidR="00C42F24">
        <w:t xml:space="preserve"> </w:t>
      </w:r>
      <w:r w:rsidR="00D55762">
        <w:t xml:space="preserve">DFCI will retain 100% of its current volume and capture nearly </w:t>
      </w:r>
      <w:r w:rsidR="00C42F24" w:rsidRPr="004954E4">
        <w:t>80% of BWH</w:t>
      </w:r>
      <w:r w:rsidR="00BB27F8">
        <w:t>’s</w:t>
      </w:r>
      <w:r w:rsidR="00C42F24" w:rsidRPr="004954E4">
        <w:t xml:space="preserve"> </w:t>
      </w:r>
      <w:r w:rsidR="00D55762">
        <w:t xml:space="preserve">LINAC </w:t>
      </w:r>
      <w:r w:rsidR="00C42F24" w:rsidRPr="004954E4">
        <w:t>volume</w:t>
      </w:r>
      <w:r>
        <w:t xml:space="preserve"> overstates the likely migration of patients and therefore inflates the need for LINACs in the Boston Longwood Area</w:t>
      </w:r>
      <w:r w:rsidR="009A49E1">
        <w:t xml:space="preserve">. </w:t>
      </w:r>
    </w:p>
    <w:p w14:paraId="19A7EEBD" w14:textId="0FDDD675" w:rsidR="00D55762" w:rsidRDefault="00A5698C" w:rsidP="00A5698C">
      <w:r>
        <w:t xml:space="preserve">In addition, </w:t>
      </w:r>
      <w:r w:rsidR="00D55762">
        <w:t>the existing LINACs at BWH primarily treat BWH surgical patients</w:t>
      </w:r>
      <w:r>
        <w:t>, who are not expected to shift to DFCI for their oncology care</w:t>
      </w:r>
      <w:r w:rsidR="009A49E1">
        <w:t xml:space="preserve">. </w:t>
      </w:r>
      <w:r w:rsidR="00D55762">
        <w:t>Since DFCI will not be providing surgical oncology treatment at the new facility, oncology patients who have surgery or other medical care at BWH and need LINAC treatment will continue to receive this care at BWH</w:t>
      </w:r>
      <w:r w:rsidR="009A49E1">
        <w:t xml:space="preserve">. </w:t>
      </w:r>
    </w:p>
    <w:p w14:paraId="73ED731B" w14:textId="299463F7" w:rsidR="00A56338" w:rsidRDefault="00D55762" w:rsidP="00C95B1F">
      <w:pPr>
        <w:rPr>
          <w:rFonts w:eastAsia="Times New Roman"/>
        </w:rPr>
      </w:pPr>
      <w:r>
        <w:lastRenderedPageBreak/>
        <w:t xml:space="preserve">Therefore, </w:t>
      </w:r>
      <w:r w:rsidR="00DB580A">
        <w:t>t</w:t>
      </w:r>
      <w:r w:rsidR="001D7AB9">
        <w:t xml:space="preserve">he addition of </w:t>
      </w:r>
      <w:r w:rsidR="00547929">
        <w:t xml:space="preserve">3 </w:t>
      </w:r>
      <w:r w:rsidR="001D7AB9">
        <w:t xml:space="preserve">new LINACs </w:t>
      </w:r>
      <w:r w:rsidR="00DB580A">
        <w:t xml:space="preserve">which are not needed to address </w:t>
      </w:r>
      <w:proofErr w:type="gramStart"/>
      <w:r w:rsidR="00DB580A">
        <w:t>the patient</w:t>
      </w:r>
      <w:proofErr w:type="gramEnd"/>
      <w:r w:rsidR="00DB580A">
        <w:t xml:space="preserve"> needs in the Longwood area </w:t>
      </w:r>
      <w:r w:rsidR="001D7AB9">
        <w:t xml:space="preserve">will increase the supply-induced demand for these services. </w:t>
      </w:r>
      <w:r w:rsidR="00EC6603" w:rsidRPr="459579CE">
        <w:rPr>
          <w:rFonts w:eastAsia="Times New Roman"/>
        </w:rPr>
        <w:t>T</w:t>
      </w:r>
      <w:r w:rsidR="00DB580A" w:rsidRPr="459579CE">
        <w:rPr>
          <w:rFonts w:eastAsia="Times New Roman"/>
        </w:rPr>
        <w:t>here will</w:t>
      </w:r>
      <w:r w:rsidR="001A460C" w:rsidRPr="459579CE">
        <w:rPr>
          <w:rFonts w:eastAsia="Times New Roman"/>
        </w:rPr>
        <w:t xml:space="preserve"> continue to be demand for </w:t>
      </w:r>
      <w:r w:rsidR="00DB580A" w:rsidRPr="459579CE">
        <w:rPr>
          <w:rFonts w:eastAsia="Times New Roman"/>
        </w:rPr>
        <w:t>LINAC treatment</w:t>
      </w:r>
      <w:r w:rsidR="001A460C" w:rsidRPr="459579CE">
        <w:rPr>
          <w:rFonts w:eastAsia="Times New Roman"/>
        </w:rPr>
        <w:t xml:space="preserve"> at BWH for their existing patient panel</w:t>
      </w:r>
      <w:r w:rsidR="00EC6603" w:rsidRPr="459579CE">
        <w:rPr>
          <w:rFonts w:eastAsia="Times New Roman"/>
        </w:rPr>
        <w:t xml:space="preserve"> and therefore DFCI will need to find patients from other sources, most likely other low</w:t>
      </w:r>
      <w:r w:rsidR="00F1478A" w:rsidRPr="459579CE">
        <w:rPr>
          <w:rFonts w:eastAsia="Times New Roman"/>
        </w:rPr>
        <w:t>-</w:t>
      </w:r>
      <w:r w:rsidR="00EC6603" w:rsidRPr="459579CE">
        <w:rPr>
          <w:rFonts w:eastAsia="Times New Roman"/>
        </w:rPr>
        <w:t>cost AMCs and community hospitals</w:t>
      </w:r>
      <w:r w:rsidR="009A49E1" w:rsidRPr="459579CE">
        <w:rPr>
          <w:rFonts w:eastAsia="Times New Roman"/>
        </w:rPr>
        <w:t xml:space="preserve">. </w:t>
      </w:r>
      <w:r w:rsidR="00EC6603" w:rsidRPr="459579CE">
        <w:rPr>
          <w:rFonts w:eastAsia="Times New Roman"/>
        </w:rPr>
        <w:t>Therefore</w:t>
      </w:r>
      <w:r w:rsidR="00DB580A" w:rsidRPr="459579CE">
        <w:rPr>
          <w:rFonts w:eastAsia="Times New Roman"/>
        </w:rPr>
        <w:t>,</w:t>
      </w:r>
      <w:r w:rsidR="001A460C" w:rsidRPr="459579CE">
        <w:rPr>
          <w:rFonts w:eastAsia="Times New Roman"/>
        </w:rPr>
        <w:t xml:space="preserve"> the additional </w:t>
      </w:r>
      <w:r w:rsidR="00DB580A" w:rsidRPr="459579CE">
        <w:rPr>
          <w:rFonts w:eastAsia="Times New Roman"/>
        </w:rPr>
        <w:t>LINACs at the new DFCI facility will</w:t>
      </w:r>
      <w:r w:rsidR="001A460C" w:rsidRPr="459579CE">
        <w:rPr>
          <w:rFonts w:eastAsia="Times New Roman"/>
        </w:rPr>
        <w:t xml:space="preserve">, as the ICA notes, lead to increases in </w:t>
      </w:r>
      <w:r w:rsidR="00BB27F8" w:rsidRPr="459579CE">
        <w:rPr>
          <w:rFonts w:eastAsia="Times New Roman"/>
        </w:rPr>
        <w:t xml:space="preserve">TME </w:t>
      </w:r>
      <w:r w:rsidR="001A460C" w:rsidRPr="459579CE">
        <w:rPr>
          <w:rFonts w:eastAsia="Times New Roman"/>
        </w:rPr>
        <w:t>for outpatient imaging</w:t>
      </w:r>
      <w:r w:rsidR="009A49E1" w:rsidRPr="459579CE">
        <w:rPr>
          <w:rFonts w:eastAsia="Times New Roman"/>
        </w:rPr>
        <w:t xml:space="preserve">. </w:t>
      </w:r>
      <w:r w:rsidR="00A5698C">
        <w:rPr>
          <w:rFonts w:eastAsia="Times New Roman"/>
        </w:rPr>
        <w:t xml:space="preserve">Any increase in need for LINACs is more likely to occur in the communities and not in the Boston Longwood Area, which is well supplied </w:t>
      </w:r>
      <w:proofErr w:type="gramStart"/>
      <w:r w:rsidR="00A5698C">
        <w:rPr>
          <w:rFonts w:eastAsia="Times New Roman"/>
        </w:rPr>
        <w:t>for</w:t>
      </w:r>
      <w:proofErr w:type="gramEnd"/>
      <w:r w:rsidR="00A5698C">
        <w:rPr>
          <w:rFonts w:eastAsia="Times New Roman"/>
        </w:rPr>
        <w:t xml:space="preserve"> the </w:t>
      </w:r>
      <w:r w:rsidR="007140E3">
        <w:rPr>
          <w:rFonts w:eastAsia="Times New Roman"/>
        </w:rPr>
        <w:t>demands of its patients</w:t>
      </w:r>
      <w:r w:rsidR="009A49E1">
        <w:rPr>
          <w:rFonts w:eastAsia="Times New Roman"/>
        </w:rPr>
        <w:t xml:space="preserve">. </w:t>
      </w:r>
    </w:p>
    <w:p w14:paraId="27A64E1E" w14:textId="07EE84F6" w:rsidR="00DB580A" w:rsidRDefault="00DB580A" w:rsidP="00C95B1F">
      <w:pPr>
        <w:rPr>
          <w:rFonts w:eastAsia="Times New Roman"/>
        </w:rPr>
      </w:pPr>
      <w:r>
        <w:rPr>
          <w:rFonts w:eastAsia="Times New Roman"/>
        </w:rPr>
        <w:t xml:space="preserve">Finally, the ICA does not </w:t>
      </w:r>
      <w:proofErr w:type="gramStart"/>
      <w:r>
        <w:rPr>
          <w:rFonts w:eastAsia="Times New Roman"/>
        </w:rPr>
        <w:t>take into account</w:t>
      </w:r>
      <w:proofErr w:type="gramEnd"/>
      <w:r>
        <w:rPr>
          <w:rFonts w:eastAsia="Times New Roman"/>
        </w:rPr>
        <w:t xml:space="preserve"> the particular challenges of hiring radiation technicians</w:t>
      </w:r>
      <w:r w:rsidR="002A4C15">
        <w:rPr>
          <w:rFonts w:eastAsia="Times New Roman"/>
        </w:rPr>
        <w:t xml:space="preserve">. </w:t>
      </w:r>
      <w:r>
        <w:rPr>
          <w:rFonts w:eastAsia="Times New Roman"/>
        </w:rPr>
        <w:t>There is a shortage of radiation technicians, and by adding unnecessary LINACs to the Longwood area, DFCI will exacerbate this labor shortage, driving up labor costs for radiation technicians even higher</w:t>
      </w:r>
      <w:r w:rsidR="002A4C15">
        <w:rPr>
          <w:rFonts w:eastAsia="Times New Roman"/>
        </w:rPr>
        <w:t xml:space="preserve">. </w:t>
      </w:r>
    </w:p>
    <w:p w14:paraId="4781201D" w14:textId="026CE917" w:rsidR="009C326C" w:rsidRPr="00FC6EFD" w:rsidRDefault="009C326C" w:rsidP="009C326C">
      <w:pPr>
        <w:rPr>
          <w:b/>
          <w:bCs/>
          <w:u w:val="single"/>
        </w:rPr>
      </w:pPr>
      <w:r w:rsidRPr="00FC6EFD">
        <w:rPr>
          <w:b/>
          <w:bCs/>
          <w:u w:val="single"/>
        </w:rPr>
        <w:t>Conclusion</w:t>
      </w:r>
    </w:p>
    <w:p w14:paraId="4DC5B935" w14:textId="6EF7E121" w:rsidR="00D56D32" w:rsidRDefault="009C326C" w:rsidP="009C326C">
      <w:r>
        <w:t xml:space="preserve">The ICA’s </w:t>
      </w:r>
      <w:r w:rsidR="00EC6603">
        <w:t xml:space="preserve">assumptions </w:t>
      </w:r>
      <w:r>
        <w:t>are flawed</w:t>
      </w:r>
      <w:r w:rsidR="00FC6EFD">
        <w:t xml:space="preserve">, leading to unrealistically low estimates of the potential increase in healthcare costs </w:t>
      </w:r>
      <w:r w:rsidR="00F1478A">
        <w:t>f</w:t>
      </w:r>
      <w:r w:rsidR="00EC6603">
        <w:t>rom the creation of a new 300 bed cancer hospital in the Longwood Medical Area</w:t>
      </w:r>
      <w:r w:rsidR="002A4C15">
        <w:t xml:space="preserve">. </w:t>
      </w:r>
      <w:r w:rsidR="00FC6EFD">
        <w:t>The ICA makes assumptions about</w:t>
      </w:r>
      <w:r>
        <w:t xml:space="preserve"> DFCI</w:t>
      </w:r>
      <w:r w:rsidR="00FC6EFD">
        <w:t xml:space="preserve">’s potential patients, because DFCI does not currently </w:t>
      </w:r>
      <w:r>
        <w:t>have sufficient patient</w:t>
      </w:r>
      <w:r w:rsidR="00FC6EFD">
        <w:t xml:space="preserve">s to </w:t>
      </w:r>
      <w:r w:rsidR="00EC6603">
        <w:t xml:space="preserve">demonstrate </w:t>
      </w:r>
      <w:r w:rsidR="00FC6EFD">
        <w:t xml:space="preserve">need </w:t>
      </w:r>
      <w:r w:rsidR="00EC6603">
        <w:t>for the addition of 270 beds in Massachusetts solely dedicated to inpatient cancer care</w:t>
      </w:r>
      <w:r w:rsidR="009A49E1">
        <w:t xml:space="preserve">. </w:t>
      </w:r>
      <w:r w:rsidR="002214A7">
        <w:t xml:space="preserve">Because these beds are not needed by DFCI’s Patient Panel, the </w:t>
      </w:r>
      <w:r w:rsidR="00A22F26">
        <w:t>Proposed Project will destabiliz</w:t>
      </w:r>
      <w:r w:rsidR="00BB7CAF">
        <w:t xml:space="preserve">e </w:t>
      </w:r>
      <w:r w:rsidR="00A22F26">
        <w:t>the Commonwealth’s health care system</w:t>
      </w:r>
      <w:r w:rsidR="002A4C15">
        <w:t xml:space="preserve">. </w:t>
      </w:r>
      <w:r w:rsidR="00A22F26">
        <w:t xml:space="preserve">If built as proposed, the new hospital will lead to increased healthcare costs, a </w:t>
      </w:r>
      <w:r w:rsidR="00D56D32" w:rsidRPr="00E2321C">
        <w:t xml:space="preserve">more expensive labor </w:t>
      </w:r>
      <w:r w:rsidR="00A22F26">
        <w:t xml:space="preserve">market, </w:t>
      </w:r>
      <w:r w:rsidR="00D01269">
        <w:t xml:space="preserve">a damaging shift of patients from </w:t>
      </w:r>
      <w:r w:rsidR="00A22F26">
        <w:t xml:space="preserve">community hospitals that currently provide cancer care, and a </w:t>
      </w:r>
      <w:r w:rsidR="00D56D32" w:rsidRPr="00E2321C">
        <w:t xml:space="preserve">critical worsening of ED Capacity and boarding, which is </w:t>
      </w:r>
      <w:r w:rsidR="00A22F26">
        <w:t xml:space="preserve">already </w:t>
      </w:r>
      <w:r w:rsidR="00D56D32" w:rsidRPr="00E2321C">
        <w:t xml:space="preserve">at a crisis level. </w:t>
      </w:r>
    </w:p>
    <w:p w14:paraId="619CD357" w14:textId="5C788127" w:rsidR="00FC6EFD" w:rsidRDefault="008F6F29" w:rsidP="009C326C">
      <w:r>
        <w:t xml:space="preserve">Because the ICA is based on a fundamental misunderstanding of the origin of the patients who will fill the beds of the new facility, the </w:t>
      </w:r>
      <w:r w:rsidR="00FC6EFD">
        <w:t>P</w:t>
      </w:r>
      <w:r>
        <w:t xml:space="preserve">roposed </w:t>
      </w:r>
      <w:r w:rsidR="00FC6EFD">
        <w:t>P</w:t>
      </w:r>
      <w:r>
        <w:t xml:space="preserve">roject should be reevaluated based on more realistic data about patient origin and therefore </w:t>
      </w:r>
      <w:r w:rsidR="00FC6EFD">
        <w:t xml:space="preserve">a more realistic analysis of the </w:t>
      </w:r>
      <w:r>
        <w:t>potential for increased costs</w:t>
      </w:r>
      <w:r w:rsidR="002A4C15">
        <w:t xml:space="preserve">. </w:t>
      </w:r>
      <w:r>
        <w:t xml:space="preserve">Such a reevaluation would demonstrate that the </w:t>
      </w:r>
      <w:r w:rsidR="009C326C">
        <w:t>proposed project is inconsistent with the Commonwealth’s cost-containment goals</w:t>
      </w:r>
      <w:r w:rsidR="002A4C15">
        <w:t xml:space="preserve">. </w:t>
      </w:r>
    </w:p>
    <w:p w14:paraId="2936D469" w14:textId="48B5B697" w:rsidR="009C326C" w:rsidRDefault="008F6F29" w:rsidP="009C326C">
      <w:r>
        <w:t xml:space="preserve">Any approval </w:t>
      </w:r>
      <w:r w:rsidR="00EC6603">
        <w:t xml:space="preserve">of the proposed project </w:t>
      </w:r>
      <w:r>
        <w:t>should be</w:t>
      </w:r>
      <w:r w:rsidR="009C326C">
        <w:t xml:space="preserve"> condition</w:t>
      </w:r>
      <w:r>
        <w:t xml:space="preserve">ed to limit </w:t>
      </w:r>
      <w:r w:rsidR="009C326C">
        <w:t xml:space="preserve">the number of beds to reflect the </w:t>
      </w:r>
      <w:r w:rsidR="00736E15">
        <w:t xml:space="preserve">actual established </w:t>
      </w:r>
      <w:r w:rsidR="009C326C">
        <w:t>needs of DFCI’s Patient Panel</w:t>
      </w:r>
      <w:r w:rsidR="002A4C15">
        <w:t xml:space="preserve">. </w:t>
      </w:r>
      <w:r w:rsidR="009C326C">
        <w:t xml:space="preserve">Prior to permitting any amendment to expand </w:t>
      </w:r>
      <w:r w:rsidR="00EC6603">
        <w:t xml:space="preserve">the approved </w:t>
      </w:r>
      <w:r w:rsidR="009C326C">
        <w:t xml:space="preserve">number of beds, DPH should require DFCI to establish that </w:t>
      </w:r>
      <w:r w:rsidR="00EC6603">
        <w:t xml:space="preserve">its Patient Panel is not due to a shift in patients </w:t>
      </w:r>
      <w:r w:rsidR="009C326C">
        <w:t>from community hospitals or AMCs other than BIDMC</w:t>
      </w:r>
      <w:r w:rsidR="002A4C15">
        <w:t xml:space="preserve">. </w:t>
      </w:r>
      <w:r w:rsidR="009C326C">
        <w:t xml:space="preserve">This condition is necessary </w:t>
      </w:r>
      <w:r w:rsidR="00736E15">
        <w:t xml:space="preserve">because as currently proposed, the DFCI project is inconsistent with the Commonwealth’s cost-containment goals and will raise </w:t>
      </w:r>
      <w:r w:rsidR="007F0D61">
        <w:t>healthcare costs in the Commonwealth</w:t>
      </w:r>
      <w:r w:rsidR="00736E15">
        <w:t xml:space="preserve"> by building capacity that its Patient Panel does not need</w:t>
      </w:r>
      <w:r w:rsidR="002A4C15">
        <w:t xml:space="preserve">. </w:t>
      </w:r>
    </w:p>
    <w:p w14:paraId="43986034" w14:textId="3E7ABEDB" w:rsidR="00973F6A" w:rsidRPr="00973F6A" w:rsidRDefault="00973F6A" w:rsidP="00973F6A">
      <w:r w:rsidRPr="00973F6A">
        <w:t>Thank you for your thoughtful consideration of these comments. We are available to answer any questions you may have regarding the analysis and concerns contained herein.</w:t>
      </w:r>
    </w:p>
    <w:p w14:paraId="3002E03B" w14:textId="77777777" w:rsidR="00973F6A" w:rsidRDefault="00973F6A" w:rsidP="009C326C"/>
    <w:p w14:paraId="4C6CC09B" w14:textId="113ADEBE" w:rsidR="00C06D40" w:rsidRDefault="00C06D40" w:rsidP="009C326C">
      <w:r>
        <w:t xml:space="preserve">Sincerely, </w:t>
      </w:r>
    </w:p>
    <w:p w14:paraId="340BF210" w14:textId="276CA008" w:rsidR="00C06D40" w:rsidRDefault="000027B7" w:rsidP="005914E0">
      <w:pPr>
        <w:ind w:left="-90"/>
      </w:pPr>
      <w:r w:rsidRPr="000027B7">
        <w:rPr>
          <w:noProof/>
        </w:rPr>
        <w:drawing>
          <wp:inline distT="0" distB="0" distL="0" distR="0" wp14:anchorId="0CF5BC73" wp14:editId="5DDDBDBE">
            <wp:extent cx="1889760" cy="394292"/>
            <wp:effectExtent l="0" t="0" r="0" b="6350"/>
            <wp:docPr id="672949196" name="Picture 1" descr="signature for Christopher Philb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949196" name="Picture 1" descr="signature for Christopher Philbin"/>
                    <pic:cNvPicPr/>
                  </pic:nvPicPr>
                  <pic:blipFill>
                    <a:blip r:embed="rId8"/>
                    <a:stretch>
                      <a:fillRect/>
                    </a:stretch>
                  </pic:blipFill>
                  <pic:spPr>
                    <a:xfrm>
                      <a:off x="0" y="0"/>
                      <a:ext cx="1918339" cy="400255"/>
                    </a:xfrm>
                    <a:prstGeom prst="rect">
                      <a:avLst/>
                    </a:prstGeom>
                  </pic:spPr>
                </pic:pic>
              </a:graphicData>
            </a:graphic>
          </wp:inline>
        </w:drawing>
      </w:r>
    </w:p>
    <w:p w14:paraId="10078434" w14:textId="77777777" w:rsidR="005914E0" w:rsidRPr="00801A8E" w:rsidRDefault="005914E0" w:rsidP="005914E0">
      <w:pPr>
        <w:pStyle w:val="Bodytext"/>
        <w:spacing w:after="0" w:line="260" w:lineRule="exact"/>
        <w:contextualSpacing/>
      </w:pPr>
      <w:r>
        <w:t>Christopher Philbin</w:t>
      </w:r>
      <w:r>
        <w:br/>
        <w:t>Vice President, Office of Government Affairs</w:t>
      </w:r>
    </w:p>
    <w:p w14:paraId="4E82EE94" w14:textId="77777777" w:rsidR="005914E0" w:rsidRDefault="005914E0" w:rsidP="009C326C"/>
    <w:p w14:paraId="6D713BBB" w14:textId="77777777" w:rsidR="00C06D40" w:rsidRPr="00A902AD" w:rsidRDefault="00C06D40" w:rsidP="009C326C"/>
    <w:p w14:paraId="5719888C" w14:textId="2B096998" w:rsidR="00E2321C" w:rsidRPr="00E2321C" w:rsidRDefault="00E2321C" w:rsidP="00E2321C"/>
    <w:p w14:paraId="52F64269" w14:textId="1FFD6507" w:rsidR="007813B1" w:rsidRDefault="007813B1" w:rsidP="00E2321C"/>
    <w:sectPr w:rsidR="007813B1" w:rsidSect="005A2342">
      <w:footerReference w:type="default" r:id="rId9"/>
      <w:pgSz w:w="12240" w:h="15840"/>
      <w:pgMar w:top="99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47C96" w14:textId="77777777" w:rsidR="00AC1C87" w:rsidRDefault="00AC1C87" w:rsidP="005F2DE4">
      <w:pPr>
        <w:spacing w:after="0" w:line="240" w:lineRule="auto"/>
      </w:pPr>
      <w:r>
        <w:separator/>
      </w:r>
    </w:p>
  </w:endnote>
  <w:endnote w:type="continuationSeparator" w:id="0">
    <w:p w14:paraId="4A08430A" w14:textId="77777777" w:rsidR="00AC1C87" w:rsidRDefault="00AC1C87" w:rsidP="005F2DE4">
      <w:pPr>
        <w:spacing w:after="0" w:line="240" w:lineRule="auto"/>
      </w:pPr>
      <w:r>
        <w:continuationSeparator/>
      </w:r>
    </w:p>
  </w:endnote>
  <w:endnote w:type="continuationNotice" w:id="1">
    <w:p w14:paraId="49F4674E" w14:textId="77777777" w:rsidR="00AC1C87" w:rsidRDefault="00AC1C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6112751"/>
      <w:docPartObj>
        <w:docPartGallery w:val="Page Numbers (Bottom of Page)"/>
        <w:docPartUnique/>
      </w:docPartObj>
    </w:sdtPr>
    <w:sdtEndPr>
      <w:rPr>
        <w:noProof/>
      </w:rPr>
    </w:sdtEndPr>
    <w:sdtContent>
      <w:p w14:paraId="649D1C15" w14:textId="4D12AE37" w:rsidR="00B92DAC" w:rsidRDefault="00B92DAC">
        <w:pPr>
          <w:pStyle w:val="Footer"/>
        </w:pPr>
        <w:r>
          <w:fldChar w:fldCharType="begin"/>
        </w:r>
        <w:r>
          <w:instrText xml:space="preserve"> PAGE   \* MERGEFORMAT </w:instrText>
        </w:r>
        <w:r>
          <w:fldChar w:fldCharType="separate"/>
        </w:r>
        <w:r>
          <w:rPr>
            <w:noProof/>
          </w:rPr>
          <w:t>2</w:t>
        </w:r>
        <w:r>
          <w:rPr>
            <w:noProof/>
          </w:rPr>
          <w:fldChar w:fldCharType="end"/>
        </w:r>
      </w:p>
    </w:sdtContent>
  </w:sdt>
  <w:p w14:paraId="4A64057A" w14:textId="77777777" w:rsidR="00B92DAC" w:rsidRDefault="00B92D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6A1BC" w14:textId="77777777" w:rsidR="00AC1C87" w:rsidRDefault="00AC1C87" w:rsidP="005F2DE4">
      <w:pPr>
        <w:spacing w:after="0" w:line="240" w:lineRule="auto"/>
      </w:pPr>
      <w:r>
        <w:separator/>
      </w:r>
    </w:p>
  </w:footnote>
  <w:footnote w:type="continuationSeparator" w:id="0">
    <w:p w14:paraId="108161E7" w14:textId="77777777" w:rsidR="00AC1C87" w:rsidRDefault="00AC1C87" w:rsidP="005F2DE4">
      <w:pPr>
        <w:spacing w:after="0" w:line="240" w:lineRule="auto"/>
      </w:pPr>
      <w:r>
        <w:continuationSeparator/>
      </w:r>
    </w:p>
  </w:footnote>
  <w:footnote w:type="continuationNotice" w:id="1">
    <w:p w14:paraId="5A92E9B7" w14:textId="77777777" w:rsidR="00AC1C87" w:rsidRDefault="00AC1C87">
      <w:pPr>
        <w:spacing w:after="0" w:line="240" w:lineRule="auto"/>
      </w:pPr>
    </w:p>
  </w:footnote>
  <w:footnote w:id="2">
    <w:p w14:paraId="6D4B6D0F" w14:textId="42CCF3F9" w:rsidR="00647020" w:rsidRDefault="00647020">
      <w:pPr>
        <w:pStyle w:val="FootnoteText"/>
      </w:pPr>
      <w:r>
        <w:rPr>
          <w:rStyle w:val="FootnoteReference"/>
        </w:rPr>
        <w:footnoteRef/>
      </w:r>
      <w:r>
        <w:t xml:space="preserve"> </w:t>
      </w:r>
      <w:r w:rsidR="004A5206">
        <w:t xml:space="preserve">To illustrate this, we provide two examples from the experience within </w:t>
      </w:r>
      <w:r w:rsidR="005A2342">
        <w:t>the MGB system</w:t>
      </w:r>
      <w:r w:rsidR="009A49E1">
        <w:t xml:space="preserve">. </w:t>
      </w:r>
      <w:r w:rsidR="004A5206">
        <w:t>Currently</w:t>
      </w:r>
      <w:r w:rsidR="005A2342">
        <w:t xml:space="preserve">, approximately 30% </w:t>
      </w:r>
      <w:r w:rsidRPr="00647020">
        <w:t xml:space="preserve">of </w:t>
      </w:r>
      <w:r>
        <w:t>patients diagnosed with cancer are referred directly to surgical oncology</w:t>
      </w:r>
      <w:r w:rsidR="009A49E1">
        <w:t xml:space="preserve">. </w:t>
      </w:r>
      <w:r w:rsidR="004A5206">
        <w:t>Over a 17-month period from 2017-2019, a cancer registry analysis showed that 75.6% of new cancer patients treated at BWH started at BWH</w:t>
      </w:r>
      <w:r w:rsidR="009A49E1">
        <w:t xml:space="preserve">. </w:t>
      </w:r>
    </w:p>
  </w:footnote>
  <w:footnote w:id="3">
    <w:p w14:paraId="04B147E2" w14:textId="507914D1" w:rsidR="00EC0D9B" w:rsidRDefault="00EC0D9B">
      <w:pPr>
        <w:pStyle w:val="FootnoteText"/>
      </w:pPr>
      <w:r>
        <w:rPr>
          <w:rStyle w:val="FootnoteReference"/>
        </w:rPr>
        <w:footnoteRef/>
      </w:r>
      <w:r>
        <w:t xml:space="preserve"> These physicians work for the BWH Physicians Organization or for the hospital. </w:t>
      </w:r>
    </w:p>
  </w:footnote>
  <w:footnote w:id="4">
    <w:p w14:paraId="64FC1E09" w14:textId="3614B3CD" w:rsidR="00F06E4A" w:rsidRPr="00F06E4A" w:rsidRDefault="004A5206" w:rsidP="00F06E4A">
      <w:pPr>
        <w:pStyle w:val="FootnoteText"/>
      </w:pPr>
      <w:r>
        <w:rPr>
          <w:rStyle w:val="FootnoteReference"/>
        </w:rPr>
        <w:footnoteRef/>
      </w:r>
      <w:r>
        <w:t xml:space="preserve"> </w:t>
      </w:r>
      <w:r w:rsidR="00F06E4A">
        <w:t>Although there are multiple pathways into the cancer center, t</w:t>
      </w:r>
      <w:r>
        <w:t xml:space="preserve">ypically, a primary care provider or specialist will identify a suspicious </w:t>
      </w:r>
      <w:r w:rsidR="007672E5">
        <w:t>finding</w:t>
      </w:r>
      <w:r w:rsidR="00F06E4A">
        <w:t xml:space="preserve"> and refer the patient to the Early Detection and Diagnostics Clinic</w:t>
      </w:r>
      <w:r w:rsidR="009A49E1">
        <w:t xml:space="preserve">. </w:t>
      </w:r>
      <w:r w:rsidR="00F06E4A">
        <w:t xml:space="preserve">The patient will then be referred to a </w:t>
      </w:r>
      <w:r w:rsidR="00F06E4A" w:rsidRPr="00F06E4A">
        <w:t>surgeon, medical oncologist, or radiation oncologist</w:t>
      </w:r>
      <w:r w:rsidR="00F06E4A">
        <w:t xml:space="preserve"> based on the results and treatment needs</w:t>
      </w:r>
      <w:r w:rsidR="009A49E1">
        <w:t xml:space="preserve">. </w:t>
      </w:r>
      <w:r w:rsidR="00F06E4A">
        <w:t xml:space="preserve">Another pathway involves a primary care provider directly referring a patient to a surgeon, </w:t>
      </w:r>
      <w:r w:rsidR="00F06E4A" w:rsidRPr="00F06E4A">
        <w:t xml:space="preserve">who will conduct a thorough evaluation, often including a biopsy. If the biopsy results are positive, the patient is then referred to the </w:t>
      </w:r>
      <w:r w:rsidR="00F06E4A">
        <w:t>c</w:t>
      </w:r>
      <w:r w:rsidR="00F06E4A" w:rsidRPr="00F06E4A">
        <w:t xml:space="preserve">ancer </w:t>
      </w:r>
      <w:r w:rsidR="00F06E4A">
        <w:t>c</w:t>
      </w:r>
      <w:r w:rsidR="00F06E4A" w:rsidRPr="00F06E4A">
        <w:t>enter's multidisciplinary team for further management</w:t>
      </w:r>
      <w:r w:rsidR="009A49E1" w:rsidRPr="00F06E4A">
        <w:t>.</w:t>
      </w:r>
      <w:r w:rsidR="009A49E1">
        <w:t xml:space="preserve"> </w:t>
      </w:r>
      <w:r w:rsidR="00F06E4A">
        <w:t>I</w:t>
      </w:r>
      <w:r w:rsidR="00F06E4A" w:rsidRPr="00F06E4A">
        <w:t>f a patient presents to the Emergency Department with a suspicion of cancer, the established pathways mentioned above are followed. If the patient's condition is acute, they are admitted, and the inpatient teams will conduct a thorough evaluation to determine the diagnosis</w:t>
      </w:r>
      <w:r w:rsidR="00F06E4A">
        <w:t xml:space="preserve"> and treatment pathway</w:t>
      </w:r>
      <w:r w:rsidR="00F06E4A" w:rsidRPr="00F06E4A">
        <w:t>.</w:t>
      </w:r>
      <w:r w:rsidR="00F06E4A">
        <w:t xml:space="preserve"> </w:t>
      </w:r>
    </w:p>
    <w:p w14:paraId="1693A562" w14:textId="77777777" w:rsidR="00F06E4A" w:rsidRDefault="00F06E4A">
      <w:pPr>
        <w:pStyle w:val="FootnoteText"/>
      </w:pPr>
    </w:p>
  </w:footnote>
  <w:footnote w:id="5">
    <w:p w14:paraId="596764C5" w14:textId="6115C74F" w:rsidR="00772250" w:rsidRDefault="00772250">
      <w:pPr>
        <w:pStyle w:val="FootnoteText"/>
      </w:pPr>
      <w:r>
        <w:rPr>
          <w:rStyle w:val="FootnoteReference"/>
        </w:rPr>
        <w:footnoteRef/>
      </w:r>
      <w:r>
        <w:t xml:space="preserve"> The number of medical oncology cases transitioning from BIDMC was derived from numbers provided by DFCI in its Application</w:t>
      </w:r>
      <w:r w:rsidR="009A49E1">
        <w:t xml:space="preserve">. </w:t>
      </w:r>
      <w:r>
        <w:t xml:space="preserve">The </w:t>
      </w:r>
      <w:proofErr w:type="spellStart"/>
      <w:r>
        <w:t>DoN</w:t>
      </w:r>
      <w:proofErr w:type="spellEnd"/>
      <w:r>
        <w:t xml:space="preserve"> Application provided an Average Daily Census at BIDMC of 86.7 (Page 20)</w:t>
      </w:r>
      <w:r w:rsidR="009A49E1">
        <w:t xml:space="preserve">. </w:t>
      </w:r>
      <w:r w:rsidR="005A2342">
        <w:t xml:space="preserve">Multiply this by </w:t>
      </w:r>
      <w:r>
        <w:t>365 days = 31,6465 patient days divided by</w:t>
      </w:r>
      <w:r w:rsidR="005A2342">
        <w:t xml:space="preserve"> </w:t>
      </w:r>
      <w:r>
        <w:t>8.6</w:t>
      </w:r>
      <w:r w:rsidR="005A2342">
        <w:t xml:space="preserve">, the </w:t>
      </w:r>
      <w:r w:rsidR="00E17E61">
        <w:t>A</w:t>
      </w:r>
      <w:r>
        <w:t xml:space="preserve">verage </w:t>
      </w:r>
      <w:r w:rsidR="00E17E61">
        <w:t>L</w:t>
      </w:r>
      <w:r>
        <w:t xml:space="preserve">ength of </w:t>
      </w:r>
      <w:r w:rsidR="00E17E61">
        <w:t>S</w:t>
      </w:r>
      <w:r>
        <w:t xml:space="preserve">tay </w:t>
      </w:r>
      <w:r w:rsidR="00E17E61">
        <w:t xml:space="preserve">provided in </w:t>
      </w:r>
      <w:r>
        <w:t>Table 11 (Page 21)</w:t>
      </w:r>
      <w:r w:rsidR="009A49E1">
        <w:t xml:space="preserve">. </w:t>
      </w:r>
      <w:r w:rsidR="00E17E61">
        <w:t>This comes out to 3,679 cases.</w:t>
      </w:r>
    </w:p>
  </w:footnote>
  <w:footnote w:id="6">
    <w:p w14:paraId="07C87DA7" w14:textId="19204251" w:rsidR="005F2DE4" w:rsidRDefault="005F2DE4">
      <w:pPr>
        <w:pStyle w:val="FootnoteText"/>
      </w:pPr>
      <w:r>
        <w:rPr>
          <w:rStyle w:val="FootnoteReference"/>
        </w:rPr>
        <w:footnoteRef/>
      </w:r>
      <w:r>
        <w:t xml:space="preserve"> The ICA uses 2021 data from CHIA</w:t>
      </w:r>
      <w:r w:rsidR="00ED3880">
        <w:t xml:space="preserve"> </w:t>
      </w:r>
      <w:r>
        <w:t>and Med</w:t>
      </w:r>
      <w:r w:rsidR="00ED3880">
        <w:t>i</w:t>
      </w:r>
      <w:r>
        <w:t>care Inpatient claims data to calculate the relative prices of DFCI, BIDMC and BWH but notes that the methodology closely mirro</w:t>
      </w:r>
      <w:r w:rsidR="002F1CB3">
        <w:t>r</w:t>
      </w:r>
      <w:r>
        <w:t>s CHIA’s approach in calculating relative price in the Massachusetts commercial markets</w:t>
      </w:r>
      <w:r w:rsidR="009A49E1">
        <w:t xml:space="preserve">. </w:t>
      </w:r>
      <w:r>
        <w:t>For purposes of this response, MGB is using the most recent CHIA data published, which is from 2022</w:t>
      </w:r>
      <w:r w:rsidR="009A49E1">
        <w:t xml:space="preserve">. </w:t>
      </w:r>
      <w:r w:rsidR="0082296A">
        <w:t>The numbers are effectively similar</w:t>
      </w:r>
      <w:r w:rsidR="009A49E1">
        <w:t xml:space="preserve">. </w:t>
      </w:r>
    </w:p>
  </w:footnote>
  <w:footnote w:id="7">
    <w:p w14:paraId="043493E0" w14:textId="08C95873" w:rsidR="00A10F36" w:rsidRDefault="00A10F36">
      <w:pPr>
        <w:pStyle w:val="FootnoteText"/>
      </w:pPr>
      <w:r>
        <w:rPr>
          <w:rStyle w:val="FootnoteReference"/>
        </w:rPr>
        <w:footnoteRef/>
      </w:r>
      <w:r>
        <w:t xml:space="preserve"> </w:t>
      </w:r>
      <w:r w:rsidR="007D076C">
        <w:t xml:space="preserve">CHIA publishes </w:t>
      </w:r>
      <w:r w:rsidR="006D25A4">
        <w:t>inpatient data by facility and by payer</w:t>
      </w:r>
      <w:r w:rsidR="009A49E1">
        <w:t xml:space="preserve">. </w:t>
      </w:r>
      <w:r w:rsidR="006D25A4">
        <w:t xml:space="preserve">To aggregate to the facility level, MGB used its own payer mix as a proxy for </w:t>
      </w:r>
      <w:r w:rsidR="00C71450">
        <w:t>the proposed DFCI hospital</w:t>
      </w:r>
      <w:r w:rsidR="009A49E1">
        <w:t xml:space="preserve">. </w:t>
      </w:r>
      <w:r w:rsidR="000746CF">
        <w:t xml:space="preserve">This </w:t>
      </w:r>
      <w:r w:rsidR="000746CF" w:rsidRPr="00772250">
        <w:t xml:space="preserve">mix is </w:t>
      </w:r>
      <w:r w:rsidR="00D00770" w:rsidRPr="00772250">
        <w:t>52</w:t>
      </w:r>
      <w:r w:rsidR="000746CF" w:rsidRPr="00772250">
        <w:t xml:space="preserve">% BCBSMA, </w:t>
      </w:r>
      <w:r w:rsidR="00D00770" w:rsidRPr="00772250">
        <w:t>16</w:t>
      </w:r>
      <w:r w:rsidR="000746CF" w:rsidRPr="00772250">
        <w:t xml:space="preserve">% Harvard Pilgrim, </w:t>
      </w:r>
      <w:r w:rsidR="008F0C8B" w:rsidRPr="00772250">
        <w:t>7</w:t>
      </w:r>
      <w:r w:rsidR="000746CF" w:rsidRPr="00772250">
        <w:t xml:space="preserve">% </w:t>
      </w:r>
      <w:r w:rsidR="008F0C8B" w:rsidRPr="00772250">
        <w:t>T</w:t>
      </w:r>
      <w:r w:rsidR="000746CF" w:rsidRPr="00772250">
        <w:t xml:space="preserve">ufts, and </w:t>
      </w:r>
      <w:r w:rsidR="00E75026" w:rsidRPr="00772250">
        <w:t>25</w:t>
      </w:r>
      <w:r w:rsidR="000746CF" w:rsidRPr="00772250">
        <w:t>% all</w:t>
      </w:r>
      <w:r w:rsidR="000746CF">
        <w:t xml:space="preserve"> other payers.</w:t>
      </w:r>
    </w:p>
    <w:p w14:paraId="59E6C237" w14:textId="0ED2B155" w:rsidR="00D132C6" w:rsidRDefault="00D132C6">
      <w:pPr>
        <w:pStyle w:val="FootnoteText"/>
      </w:pPr>
    </w:p>
  </w:footnote>
  <w:footnote w:id="8">
    <w:p w14:paraId="6D9E99B9" w14:textId="4DFFF47E" w:rsidR="00442966" w:rsidRDefault="00442966">
      <w:pPr>
        <w:pStyle w:val="FootnoteText"/>
      </w:pPr>
      <w:r>
        <w:rPr>
          <w:rStyle w:val="FootnoteReference"/>
        </w:rPr>
        <w:footnoteRef/>
      </w:r>
      <w:r>
        <w:t xml:space="preserve"> </w:t>
      </w:r>
      <w:r w:rsidRPr="00442966">
        <w:t xml:space="preserve">It is worth noting that Medicare </w:t>
      </w:r>
      <w:r w:rsidR="00E17E61">
        <w:t xml:space="preserve">often </w:t>
      </w:r>
      <w:r w:rsidRPr="00442966">
        <w:t>reimburses IPPS hospitals such as BWH below the cost of providing care to patients</w:t>
      </w:r>
      <w:r w:rsidR="009A49E1" w:rsidRPr="00442966">
        <w:t>.</w:t>
      </w:r>
      <w:r w:rsidR="009A49E1">
        <w:t xml:space="preserve"> </w:t>
      </w:r>
      <w:r>
        <w:t xml:space="preserve">See, e.g. </w:t>
      </w:r>
      <w:hyperlink r:id="rId1" w:history="1">
        <w:r w:rsidRPr="00442966">
          <w:rPr>
            <w:rStyle w:val="Hyperlink"/>
          </w:rPr>
          <w:t>https://www.aha.org/2024-01-10-infographic-medicare-significantly-underpays-hospitals-cost-patient-care</w:t>
        </w:r>
      </w:hyperlink>
      <w:r w:rsidR="00E17E61">
        <w:t>. The costs to run a 300-bed cancer hospital will, in any circumstance, be higher than the average of BWH and BIDMC’s IPPS reimbursements</w:t>
      </w:r>
      <w:r w:rsidR="009A49E1">
        <w:t xml:space="preserve">. </w:t>
      </w:r>
    </w:p>
  </w:footnote>
  <w:footnote w:id="9">
    <w:p w14:paraId="11562535" w14:textId="026E151E" w:rsidR="0082296A" w:rsidRDefault="0082296A">
      <w:pPr>
        <w:pStyle w:val="FootnoteText"/>
      </w:pPr>
      <w:r>
        <w:rPr>
          <w:rStyle w:val="FootnoteReference"/>
        </w:rPr>
        <w:footnoteRef/>
      </w:r>
      <w:r>
        <w:t xml:space="preserve"> </w:t>
      </w:r>
      <w:r>
        <w:rPr>
          <w:i/>
          <w:iCs/>
          <w:u w:val="single"/>
        </w:rPr>
        <w:t>See</w:t>
      </w:r>
      <w:r>
        <w:rPr>
          <w:u w:val="single"/>
        </w:rPr>
        <w:t xml:space="preserve"> GAO-150199, Medicare: Payment Methods for Certain Cancer Hospitals Should be Revised to Promote Efficiency. </w:t>
      </w:r>
      <w:hyperlink r:id="rId2" w:history="1">
        <w:r w:rsidRPr="00BF7C60">
          <w:rPr>
            <w:rStyle w:val="Hyperlink"/>
          </w:rPr>
          <w:t>https://www.gao.gov/assets/gao-15-199.pdf.</w:t>
        </w:r>
      </w:hyperlink>
    </w:p>
  </w:footnote>
  <w:footnote w:id="10">
    <w:p w14:paraId="6A51BABB" w14:textId="270BC81A" w:rsidR="00EF11F7" w:rsidRDefault="00EF11F7">
      <w:pPr>
        <w:pStyle w:val="FootnoteText"/>
      </w:pPr>
      <w:r>
        <w:rPr>
          <w:rStyle w:val="FootnoteReference"/>
        </w:rPr>
        <w:footnoteRef/>
      </w:r>
      <w:r>
        <w:t xml:space="preserve"> As a reference point, in the current market BWH’s recent agreement with MNA will result in 20% to 30% increases in pay to nurses over the next 2.5 years (see MNA press release </w:t>
      </w:r>
      <w:hyperlink r:id="rId3" w:history="1">
        <w:r w:rsidR="00832614" w:rsidRPr="00832614">
          <w:rPr>
            <w:rStyle w:val="Hyperlink"/>
            <w:color w:val="000000" w:themeColor="text1"/>
            <w:u w:val="none"/>
          </w:rPr>
          <w:t>https://www.prnewswire.com/news-releases/brigham-and-womens-hospital-nurses-vote-to-ratify-new-contract-that-averted-potential-strike-and-seeks-to-improve-nurse-staffing-and-patient-care-conditions-302244515.html</w:t>
        </w:r>
      </w:hyperlink>
      <w:r w:rsidR="00832614">
        <w:t xml:space="preserve"> </w:t>
      </w:r>
      <w:r>
        <w:t>).</w:t>
      </w:r>
    </w:p>
  </w:footnote>
  <w:footnote w:id="11">
    <w:p w14:paraId="1EDC249F" w14:textId="64ABA5B8" w:rsidR="00EF11F7" w:rsidRPr="0026297D" w:rsidRDefault="00EF11F7" w:rsidP="00EF11F7">
      <w:pPr>
        <w:rPr>
          <w:caps/>
        </w:rPr>
      </w:pPr>
      <w:r>
        <w:rPr>
          <w:rStyle w:val="FootnoteReference"/>
        </w:rPr>
        <w:footnoteRef/>
      </w:r>
      <w:r>
        <w:t xml:space="preserve"> </w:t>
      </w:r>
      <w:r w:rsidRPr="002F1CB3">
        <w:rPr>
          <w:sz w:val="20"/>
          <w:szCs w:val="20"/>
        </w:rPr>
        <w:t xml:space="preserve">Of note, newly enacted changes to the </w:t>
      </w:r>
      <w:proofErr w:type="spellStart"/>
      <w:r w:rsidRPr="002F1CB3">
        <w:rPr>
          <w:sz w:val="20"/>
          <w:szCs w:val="20"/>
        </w:rPr>
        <w:t>DoN</w:t>
      </w:r>
      <w:proofErr w:type="spellEnd"/>
      <w:r w:rsidRPr="002F1CB3">
        <w:rPr>
          <w:sz w:val="20"/>
          <w:szCs w:val="20"/>
        </w:rPr>
        <w:t xml:space="preserve"> statute, which take effect on April 8, 2025, will require the Department to consider the impact of a proposed project on the workforce of surrounding healthcare providers</w:t>
      </w:r>
      <w:r w:rsidR="009A49E1" w:rsidRPr="002F1CB3">
        <w:rPr>
          <w:sz w:val="20"/>
          <w:szCs w:val="20"/>
        </w:rPr>
        <w:t xml:space="preserve">. </w:t>
      </w:r>
      <w:r w:rsidRPr="002F1CB3">
        <w:rPr>
          <w:sz w:val="20"/>
          <w:szCs w:val="20"/>
        </w:rPr>
        <w:t>This provision indicates the Legislature’s concern about the impact of new facilities on the Commonwealth’s healthcare workforce challenges</w:t>
      </w:r>
      <w:r w:rsidR="009A49E1" w:rsidRPr="002F1CB3">
        <w:rPr>
          <w:sz w:val="20"/>
          <w:szCs w:val="20"/>
        </w:rPr>
        <w:t>.</w:t>
      </w:r>
      <w:r w:rsidR="009A49E1">
        <w:t xml:space="preserve"> </w:t>
      </w:r>
    </w:p>
    <w:p w14:paraId="044711A0" w14:textId="7E75B502" w:rsidR="00EF11F7" w:rsidRDefault="00EF11F7">
      <w:pPr>
        <w:pStyle w:val="FootnoteText"/>
      </w:pPr>
    </w:p>
  </w:footnote>
  <w:footnote w:id="12">
    <w:p w14:paraId="7710143F" w14:textId="0C8B0B9C" w:rsidR="00B92DAC" w:rsidRDefault="00B92DAC">
      <w:pPr>
        <w:pStyle w:val="FootnoteText"/>
      </w:pPr>
      <w:bookmarkStart w:id="1" w:name="_Hlk190102071"/>
      <w:r>
        <w:rPr>
          <w:rStyle w:val="FootnoteReference"/>
        </w:rPr>
        <w:footnoteRef/>
      </w:r>
      <w:r>
        <w:t xml:space="preserve"> The ICA also does not account for likely increases in BIDMC’s rates for surgical oncology</w:t>
      </w:r>
      <w:r w:rsidR="009A49E1">
        <w:t xml:space="preserve">. </w:t>
      </w:r>
      <w:r>
        <w:t>A significant proportion of DFCI’s medical oncology patients will need surgery, which DCFI intends to refer to BIDMC</w:t>
      </w:r>
      <w:r w:rsidR="009A49E1">
        <w:t xml:space="preserve">. </w:t>
      </w:r>
      <w:r w:rsidR="005A2342">
        <w:t xml:space="preserve">This will require BIDMC to hire </w:t>
      </w:r>
      <w:r>
        <w:t xml:space="preserve">additional surgeons, </w:t>
      </w:r>
      <w:r w:rsidR="005A2342">
        <w:t xml:space="preserve">which will likely necessitate giving </w:t>
      </w:r>
      <w:r w:rsidR="00CC288A">
        <w:t>surgeons</w:t>
      </w:r>
      <w:r w:rsidR="005A2342">
        <w:t xml:space="preserve"> an increase in pay</w:t>
      </w:r>
      <w:r w:rsidR="009A49E1">
        <w:t xml:space="preserve">. </w:t>
      </w:r>
      <w:r w:rsidR="005A2342">
        <w:t>In addition, by having many more surgeons, BIDMC will have more leverage to negotiate higher rates as the main cancer surgery provider for the new DFCI hospital</w:t>
      </w:r>
      <w:r w:rsidR="009A49E1">
        <w:t xml:space="preserve">. </w:t>
      </w:r>
      <w:r w:rsidR="005A2342">
        <w:t xml:space="preserve">The combination of increased pay to surgeons and increased leverage for BIDMC will likely lead to </w:t>
      </w:r>
      <w:r w:rsidR="00CC288A">
        <w:t>increased reimbursement for surgical oncology</w:t>
      </w:r>
      <w:r w:rsidR="009A49E1">
        <w:t xml:space="preserve">. </w:t>
      </w:r>
      <w:r w:rsidR="00CC288A">
        <w:t xml:space="preserve">These costs should have been included in the ICA’s calculations as </w:t>
      </w:r>
      <w:r w:rsidR="009232D1">
        <w:t xml:space="preserve">part of the increase in costs due to supply-induced demand, as </w:t>
      </w:r>
      <w:r w:rsidR="00CC288A">
        <w:t xml:space="preserve">they will be a result </w:t>
      </w:r>
      <w:r w:rsidR="009232D1">
        <w:t>of</w:t>
      </w:r>
      <w:r w:rsidR="00CC288A">
        <w:t xml:space="preserve"> the increased number of cancer patients seeking care in the Boston Longwood Area instead of their local facilities</w:t>
      </w:r>
      <w:bookmarkEnd w:id="1"/>
      <w:r w:rsidR="009A49E1">
        <w:t xml:space="preserve">. </w:t>
      </w:r>
    </w:p>
    <w:p w14:paraId="37CC109A" w14:textId="7C111ACF" w:rsidR="005A2342" w:rsidRDefault="005A2342">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140A7"/>
    <w:multiLevelType w:val="hybridMultilevel"/>
    <w:tmpl w:val="1DEAE8F6"/>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4645B13"/>
    <w:multiLevelType w:val="multilevel"/>
    <w:tmpl w:val="515EE09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22A407D"/>
    <w:multiLevelType w:val="hybridMultilevel"/>
    <w:tmpl w:val="D9F89B4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37AA3553"/>
    <w:multiLevelType w:val="hybridMultilevel"/>
    <w:tmpl w:val="E5A697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7F83FDA"/>
    <w:multiLevelType w:val="hybridMultilevel"/>
    <w:tmpl w:val="9EB86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9F003F"/>
    <w:multiLevelType w:val="hybridMultilevel"/>
    <w:tmpl w:val="9D8A3498"/>
    <w:lvl w:ilvl="0" w:tplc="3CB8EA56">
      <w:numFmt w:val="bullet"/>
      <w:lvlText w:val="-"/>
      <w:lvlJc w:val="left"/>
      <w:pPr>
        <w:ind w:left="720" w:hanging="360"/>
      </w:pPr>
      <w:rPr>
        <w:rFonts w:ascii="Georgia" w:eastAsia="Aptos" w:hAnsi="Georgi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5262FB5"/>
    <w:multiLevelType w:val="hybridMultilevel"/>
    <w:tmpl w:val="D1CAC7B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5791685"/>
    <w:multiLevelType w:val="hybridMultilevel"/>
    <w:tmpl w:val="48D6A06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5E012C6"/>
    <w:multiLevelType w:val="hybridMultilevel"/>
    <w:tmpl w:val="EBE45232"/>
    <w:lvl w:ilvl="0" w:tplc="DC88D2CA">
      <w:start w:val="1"/>
      <w:numFmt w:val="lowerLetter"/>
      <w:lvlText w:val="%1."/>
      <w:lvlJc w:val="left"/>
      <w:pPr>
        <w:ind w:left="1440" w:hanging="360"/>
      </w:pPr>
    </w:lvl>
    <w:lvl w:ilvl="1" w:tplc="363E5C1A">
      <w:start w:val="1"/>
      <w:numFmt w:val="lowerLetter"/>
      <w:lvlText w:val="%2."/>
      <w:lvlJc w:val="left"/>
      <w:pPr>
        <w:ind w:left="1440" w:hanging="360"/>
      </w:pPr>
    </w:lvl>
    <w:lvl w:ilvl="2" w:tplc="CF9C50C2">
      <w:start w:val="1"/>
      <w:numFmt w:val="lowerLetter"/>
      <w:lvlText w:val="%3."/>
      <w:lvlJc w:val="left"/>
      <w:pPr>
        <w:ind w:left="1440" w:hanging="360"/>
      </w:pPr>
    </w:lvl>
    <w:lvl w:ilvl="3" w:tplc="91C48B82">
      <w:start w:val="1"/>
      <w:numFmt w:val="lowerLetter"/>
      <w:lvlText w:val="%4."/>
      <w:lvlJc w:val="left"/>
      <w:pPr>
        <w:ind w:left="1440" w:hanging="360"/>
      </w:pPr>
    </w:lvl>
    <w:lvl w:ilvl="4" w:tplc="8AE03FC4">
      <w:start w:val="1"/>
      <w:numFmt w:val="lowerLetter"/>
      <w:lvlText w:val="%5."/>
      <w:lvlJc w:val="left"/>
      <w:pPr>
        <w:ind w:left="1440" w:hanging="360"/>
      </w:pPr>
    </w:lvl>
    <w:lvl w:ilvl="5" w:tplc="A9186F0C">
      <w:start w:val="1"/>
      <w:numFmt w:val="lowerLetter"/>
      <w:lvlText w:val="%6."/>
      <w:lvlJc w:val="left"/>
      <w:pPr>
        <w:ind w:left="1440" w:hanging="360"/>
      </w:pPr>
    </w:lvl>
    <w:lvl w:ilvl="6" w:tplc="7732259E">
      <w:start w:val="1"/>
      <w:numFmt w:val="lowerLetter"/>
      <w:lvlText w:val="%7."/>
      <w:lvlJc w:val="left"/>
      <w:pPr>
        <w:ind w:left="1440" w:hanging="360"/>
      </w:pPr>
    </w:lvl>
    <w:lvl w:ilvl="7" w:tplc="6AEE9ADA">
      <w:start w:val="1"/>
      <w:numFmt w:val="lowerLetter"/>
      <w:lvlText w:val="%8."/>
      <w:lvlJc w:val="left"/>
      <w:pPr>
        <w:ind w:left="1440" w:hanging="360"/>
      </w:pPr>
    </w:lvl>
    <w:lvl w:ilvl="8" w:tplc="47722FBC">
      <w:start w:val="1"/>
      <w:numFmt w:val="lowerLetter"/>
      <w:lvlText w:val="%9."/>
      <w:lvlJc w:val="left"/>
      <w:pPr>
        <w:ind w:left="1440" w:hanging="360"/>
      </w:pPr>
    </w:lvl>
  </w:abstractNum>
  <w:abstractNum w:abstractNumId="9" w15:restartNumberingAfterBreak="0">
    <w:nsid w:val="662D06EA"/>
    <w:multiLevelType w:val="hybridMultilevel"/>
    <w:tmpl w:val="6D86324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8C617DB"/>
    <w:multiLevelType w:val="hybridMultilevel"/>
    <w:tmpl w:val="BA18B99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D062A6D"/>
    <w:multiLevelType w:val="multilevel"/>
    <w:tmpl w:val="9C8642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432827051">
    <w:abstractNumId w:val="9"/>
  </w:num>
  <w:num w:numId="2" w16cid:durableId="699628044">
    <w:abstractNumId w:val="10"/>
  </w:num>
  <w:num w:numId="3" w16cid:durableId="9229557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3286937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09509705">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57744488">
    <w:abstractNumId w:val="2"/>
  </w:num>
  <w:num w:numId="7" w16cid:durableId="1009716593">
    <w:abstractNumId w:val="7"/>
  </w:num>
  <w:num w:numId="8" w16cid:durableId="188421363">
    <w:abstractNumId w:val="6"/>
  </w:num>
  <w:num w:numId="9" w16cid:durableId="630862217">
    <w:abstractNumId w:val="0"/>
  </w:num>
  <w:num w:numId="10" w16cid:durableId="1741367219">
    <w:abstractNumId w:val="4"/>
  </w:num>
  <w:num w:numId="11" w16cid:durableId="1578828254">
    <w:abstractNumId w:val="8"/>
  </w:num>
  <w:num w:numId="12" w16cid:durableId="1105267560">
    <w:abstractNumId w:val="5"/>
  </w:num>
  <w:num w:numId="13" w16cid:durableId="9896716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4D4"/>
    <w:rsid w:val="000027B7"/>
    <w:rsid w:val="00010182"/>
    <w:rsid w:val="0001203C"/>
    <w:rsid w:val="00013C5B"/>
    <w:rsid w:val="00021F78"/>
    <w:rsid w:val="000375D6"/>
    <w:rsid w:val="00041423"/>
    <w:rsid w:val="00046144"/>
    <w:rsid w:val="000465AC"/>
    <w:rsid w:val="0005134C"/>
    <w:rsid w:val="00051B93"/>
    <w:rsid w:val="00052BEE"/>
    <w:rsid w:val="00057317"/>
    <w:rsid w:val="0006533F"/>
    <w:rsid w:val="000669C3"/>
    <w:rsid w:val="00067F64"/>
    <w:rsid w:val="000703FF"/>
    <w:rsid w:val="000712EC"/>
    <w:rsid w:val="00071660"/>
    <w:rsid w:val="0007271B"/>
    <w:rsid w:val="00072E6F"/>
    <w:rsid w:val="000746CF"/>
    <w:rsid w:val="00074F5F"/>
    <w:rsid w:val="00092C8F"/>
    <w:rsid w:val="00093624"/>
    <w:rsid w:val="00096783"/>
    <w:rsid w:val="0009687C"/>
    <w:rsid w:val="000B2928"/>
    <w:rsid w:val="000B7E08"/>
    <w:rsid w:val="000C2480"/>
    <w:rsid w:val="000C40C2"/>
    <w:rsid w:val="000C48F1"/>
    <w:rsid w:val="000D15F9"/>
    <w:rsid w:val="000E45A0"/>
    <w:rsid w:val="000F02E4"/>
    <w:rsid w:val="000F0974"/>
    <w:rsid w:val="000F2FB9"/>
    <w:rsid w:val="001003AE"/>
    <w:rsid w:val="00100676"/>
    <w:rsid w:val="001017E9"/>
    <w:rsid w:val="00103249"/>
    <w:rsid w:val="001044D5"/>
    <w:rsid w:val="00105313"/>
    <w:rsid w:val="00112845"/>
    <w:rsid w:val="00112EE2"/>
    <w:rsid w:val="00142587"/>
    <w:rsid w:val="00143F65"/>
    <w:rsid w:val="001518F6"/>
    <w:rsid w:val="00152067"/>
    <w:rsid w:val="00156EDB"/>
    <w:rsid w:val="001926DE"/>
    <w:rsid w:val="0019591F"/>
    <w:rsid w:val="00196635"/>
    <w:rsid w:val="001A014A"/>
    <w:rsid w:val="001A460C"/>
    <w:rsid w:val="001A4B50"/>
    <w:rsid w:val="001A67B6"/>
    <w:rsid w:val="001A6ADF"/>
    <w:rsid w:val="001B1EDC"/>
    <w:rsid w:val="001C4951"/>
    <w:rsid w:val="001C5EC4"/>
    <w:rsid w:val="001D0FBE"/>
    <w:rsid w:val="001D2393"/>
    <w:rsid w:val="001D49C3"/>
    <w:rsid w:val="001D7AB9"/>
    <w:rsid w:val="001E7412"/>
    <w:rsid w:val="001F2860"/>
    <w:rsid w:val="001F6085"/>
    <w:rsid w:val="002002D2"/>
    <w:rsid w:val="002024C2"/>
    <w:rsid w:val="002054FA"/>
    <w:rsid w:val="00205A30"/>
    <w:rsid w:val="0021383E"/>
    <w:rsid w:val="002140FC"/>
    <w:rsid w:val="00217073"/>
    <w:rsid w:val="002214A7"/>
    <w:rsid w:val="00227BC8"/>
    <w:rsid w:val="00234CA2"/>
    <w:rsid w:val="002353B6"/>
    <w:rsid w:val="00235B81"/>
    <w:rsid w:val="0023641B"/>
    <w:rsid w:val="002563DC"/>
    <w:rsid w:val="0026091E"/>
    <w:rsid w:val="002609F6"/>
    <w:rsid w:val="0026297D"/>
    <w:rsid w:val="0028206F"/>
    <w:rsid w:val="00285FFC"/>
    <w:rsid w:val="0029016D"/>
    <w:rsid w:val="002927EC"/>
    <w:rsid w:val="00294180"/>
    <w:rsid w:val="00296E5C"/>
    <w:rsid w:val="002A44BC"/>
    <w:rsid w:val="002A4C15"/>
    <w:rsid w:val="002B3730"/>
    <w:rsid w:val="002B79EB"/>
    <w:rsid w:val="002B7EF5"/>
    <w:rsid w:val="002C029E"/>
    <w:rsid w:val="002C2658"/>
    <w:rsid w:val="002C53AB"/>
    <w:rsid w:val="002C5724"/>
    <w:rsid w:val="002D017D"/>
    <w:rsid w:val="002D09A5"/>
    <w:rsid w:val="002D2CDB"/>
    <w:rsid w:val="002D2DCA"/>
    <w:rsid w:val="002E0349"/>
    <w:rsid w:val="002E47BA"/>
    <w:rsid w:val="002E493E"/>
    <w:rsid w:val="002F1CB3"/>
    <w:rsid w:val="002F4EB8"/>
    <w:rsid w:val="002F5C4C"/>
    <w:rsid w:val="002F6D58"/>
    <w:rsid w:val="002F7274"/>
    <w:rsid w:val="00300228"/>
    <w:rsid w:val="00301A0C"/>
    <w:rsid w:val="00302C81"/>
    <w:rsid w:val="0030523A"/>
    <w:rsid w:val="00313533"/>
    <w:rsid w:val="003164AE"/>
    <w:rsid w:val="00317491"/>
    <w:rsid w:val="0032347B"/>
    <w:rsid w:val="0032404A"/>
    <w:rsid w:val="00325741"/>
    <w:rsid w:val="00332B8E"/>
    <w:rsid w:val="00336174"/>
    <w:rsid w:val="0034220F"/>
    <w:rsid w:val="003466C4"/>
    <w:rsid w:val="00355BFC"/>
    <w:rsid w:val="00356F20"/>
    <w:rsid w:val="00375F7B"/>
    <w:rsid w:val="00383405"/>
    <w:rsid w:val="003837BE"/>
    <w:rsid w:val="0038631B"/>
    <w:rsid w:val="00390C5E"/>
    <w:rsid w:val="003A43BF"/>
    <w:rsid w:val="003A6AC6"/>
    <w:rsid w:val="003A7FE8"/>
    <w:rsid w:val="003B242A"/>
    <w:rsid w:val="003C0E85"/>
    <w:rsid w:val="003C2F9B"/>
    <w:rsid w:val="003C3896"/>
    <w:rsid w:val="003C3FC3"/>
    <w:rsid w:val="003C6C60"/>
    <w:rsid w:val="003D07FB"/>
    <w:rsid w:val="003D1154"/>
    <w:rsid w:val="003D3CE7"/>
    <w:rsid w:val="003D4792"/>
    <w:rsid w:val="003D5C9A"/>
    <w:rsid w:val="003D6A5E"/>
    <w:rsid w:val="004010A2"/>
    <w:rsid w:val="00411475"/>
    <w:rsid w:val="0041271E"/>
    <w:rsid w:val="00416D1E"/>
    <w:rsid w:val="00417DB5"/>
    <w:rsid w:val="00423C2C"/>
    <w:rsid w:val="00431444"/>
    <w:rsid w:val="00432DF8"/>
    <w:rsid w:val="00433029"/>
    <w:rsid w:val="00434217"/>
    <w:rsid w:val="004362CC"/>
    <w:rsid w:val="00440306"/>
    <w:rsid w:val="00442966"/>
    <w:rsid w:val="00443A3F"/>
    <w:rsid w:val="00444B87"/>
    <w:rsid w:val="004465A2"/>
    <w:rsid w:val="00447F52"/>
    <w:rsid w:val="00454618"/>
    <w:rsid w:val="004627BB"/>
    <w:rsid w:val="0047192D"/>
    <w:rsid w:val="00472552"/>
    <w:rsid w:val="00484AD8"/>
    <w:rsid w:val="00492DDE"/>
    <w:rsid w:val="004954E4"/>
    <w:rsid w:val="00495789"/>
    <w:rsid w:val="004A1D53"/>
    <w:rsid w:val="004A5206"/>
    <w:rsid w:val="004A769E"/>
    <w:rsid w:val="004B5931"/>
    <w:rsid w:val="004B5D58"/>
    <w:rsid w:val="004D0570"/>
    <w:rsid w:val="004D5CE1"/>
    <w:rsid w:val="004E2C97"/>
    <w:rsid w:val="004E3031"/>
    <w:rsid w:val="004E6FFD"/>
    <w:rsid w:val="004F5809"/>
    <w:rsid w:val="004F615A"/>
    <w:rsid w:val="00500A24"/>
    <w:rsid w:val="00501D72"/>
    <w:rsid w:val="00505D95"/>
    <w:rsid w:val="00506AAB"/>
    <w:rsid w:val="00507118"/>
    <w:rsid w:val="005159A9"/>
    <w:rsid w:val="00522395"/>
    <w:rsid w:val="005254D4"/>
    <w:rsid w:val="005254FC"/>
    <w:rsid w:val="00525B9B"/>
    <w:rsid w:val="00534B37"/>
    <w:rsid w:val="00535616"/>
    <w:rsid w:val="0054098E"/>
    <w:rsid w:val="00547929"/>
    <w:rsid w:val="00550408"/>
    <w:rsid w:val="00552B85"/>
    <w:rsid w:val="00552BAA"/>
    <w:rsid w:val="005531CC"/>
    <w:rsid w:val="0055754F"/>
    <w:rsid w:val="00560219"/>
    <w:rsid w:val="0056265B"/>
    <w:rsid w:val="00563DEB"/>
    <w:rsid w:val="00571078"/>
    <w:rsid w:val="005712AB"/>
    <w:rsid w:val="00575D19"/>
    <w:rsid w:val="005858A0"/>
    <w:rsid w:val="00586242"/>
    <w:rsid w:val="005869EE"/>
    <w:rsid w:val="005907A7"/>
    <w:rsid w:val="005914E0"/>
    <w:rsid w:val="005918D3"/>
    <w:rsid w:val="005959E7"/>
    <w:rsid w:val="005A1BBA"/>
    <w:rsid w:val="005A1F56"/>
    <w:rsid w:val="005A2342"/>
    <w:rsid w:val="005A72CC"/>
    <w:rsid w:val="005B6708"/>
    <w:rsid w:val="005B6CAE"/>
    <w:rsid w:val="005B7162"/>
    <w:rsid w:val="005C060F"/>
    <w:rsid w:val="005C0A83"/>
    <w:rsid w:val="005D44C8"/>
    <w:rsid w:val="005D6010"/>
    <w:rsid w:val="005E0010"/>
    <w:rsid w:val="005E07B4"/>
    <w:rsid w:val="005E3C39"/>
    <w:rsid w:val="005E3F77"/>
    <w:rsid w:val="005E59CE"/>
    <w:rsid w:val="005E7151"/>
    <w:rsid w:val="005F2DE4"/>
    <w:rsid w:val="005F6C04"/>
    <w:rsid w:val="00615F18"/>
    <w:rsid w:val="006209AC"/>
    <w:rsid w:val="00620BAA"/>
    <w:rsid w:val="0062337A"/>
    <w:rsid w:val="006237F6"/>
    <w:rsid w:val="00624C10"/>
    <w:rsid w:val="00626D08"/>
    <w:rsid w:val="00626FED"/>
    <w:rsid w:val="00635117"/>
    <w:rsid w:val="00635274"/>
    <w:rsid w:val="006378C3"/>
    <w:rsid w:val="006413CE"/>
    <w:rsid w:val="00644856"/>
    <w:rsid w:val="00647020"/>
    <w:rsid w:val="006533C5"/>
    <w:rsid w:val="00657514"/>
    <w:rsid w:val="00665A6B"/>
    <w:rsid w:val="00665C0A"/>
    <w:rsid w:val="006747B9"/>
    <w:rsid w:val="006775A7"/>
    <w:rsid w:val="00694B97"/>
    <w:rsid w:val="006951E7"/>
    <w:rsid w:val="006954A4"/>
    <w:rsid w:val="006A3C6C"/>
    <w:rsid w:val="006B135A"/>
    <w:rsid w:val="006B280D"/>
    <w:rsid w:val="006B485E"/>
    <w:rsid w:val="006B5DCD"/>
    <w:rsid w:val="006C0591"/>
    <w:rsid w:val="006C3301"/>
    <w:rsid w:val="006C6D90"/>
    <w:rsid w:val="006D25A4"/>
    <w:rsid w:val="006D7477"/>
    <w:rsid w:val="006F3100"/>
    <w:rsid w:val="006F57C5"/>
    <w:rsid w:val="006F778E"/>
    <w:rsid w:val="0071029E"/>
    <w:rsid w:val="007140E3"/>
    <w:rsid w:val="00720872"/>
    <w:rsid w:val="00721F92"/>
    <w:rsid w:val="007233D0"/>
    <w:rsid w:val="00723496"/>
    <w:rsid w:val="00731578"/>
    <w:rsid w:val="00732E70"/>
    <w:rsid w:val="00735E78"/>
    <w:rsid w:val="00736E15"/>
    <w:rsid w:val="007439B7"/>
    <w:rsid w:val="0075598C"/>
    <w:rsid w:val="00755D90"/>
    <w:rsid w:val="00763D6B"/>
    <w:rsid w:val="00765FB0"/>
    <w:rsid w:val="007672E5"/>
    <w:rsid w:val="00772250"/>
    <w:rsid w:val="007767C8"/>
    <w:rsid w:val="007813B1"/>
    <w:rsid w:val="00783AB0"/>
    <w:rsid w:val="007A0959"/>
    <w:rsid w:val="007A33A7"/>
    <w:rsid w:val="007A466B"/>
    <w:rsid w:val="007A645B"/>
    <w:rsid w:val="007B065D"/>
    <w:rsid w:val="007B1F1F"/>
    <w:rsid w:val="007B2D14"/>
    <w:rsid w:val="007B6477"/>
    <w:rsid w:val="007B7881"/>
    <w:rsid w:val="007B7D5B"/>
    <w:rsid w:val="007C0B4B"/>
    <w:rsid w:val="007C3B10"/>
    <w:rsid w:val="007C583D"/>
    <w:rsid w:val="007D076C"/>
    <w:rsid w:val="007D2796"/>
    <w:rsid w:val="007E6D95"/>
    <w:rsid w:val="007F0D61"/>
    <w:rsid w:val="007F24D1"/>
    <w:rsid w:val="007F27F8"/>
    <w:rsid w:val="0080155F"/>
    <w:rsid w:val="00807B1A"/>
    <w:rsid w:val="00812F5A"/>
    <w:rsid w:val="0082296A"/>
    <w:rsid w:val="00823E84"/>
    <w:rsid w:val="008262D0"/>
    <w:rsid w:val="00832614"/>
    <w:rsid w:val="00833F06"/>
    <w:rsid w:val="00834FB5"/>
    <w:rsid w:val="00845888"/>
    <w:rsid w:val="008463F3"/>
    <w:rsid w:val="008516CA"/>
    <w:rsid w:val="008525D7"/>
    <w:rsid w:val="00853747"/>
    <w:rsid w:val="00854ED6"/>
    <w:rsid w:val="00860487"/>
    <w:rsid w:val="00860738"/>
    <w:rsid w:val="00862F63"/>
    <w:rsid w:val="008717C2"/>
    <w:rsid w:val="00873B4A"/>
    <w:rsid w:val="0088004B"/>
    <w:rsid w:val="00880363"/>
    <w:rsid w:val="0088150B"/>
    <w:rsid w:val="008857B6"/>
    <w:rsid w:val="00892368"/>
    <w:rsid w:val="008934F8"/>
    <w:rsid w:val="008A260D"/>
    <w:rsid w:val="008A793D"/>
    <w:rsid w:val="008B1490"/>
    <w:rsid w:val="008C580C"/>
    <w:rsid w:val="008C67ED"/>
    <w:rsid w:val="008D13E1"/>
    <w:rsid w:val="008D6792"/>
    <w:rsid w:val="008D71A6"/>
    <w:rsid w:val="008E0553"/>
    <w:rsid w:val="008E6C5A"/>
    <w:rsid w:val="008F0C8B"/>
    <w:rsid w:val="008F0C9F"/>
    <w:rsid w:val="008F254F"/>
    <w:rsid w:val="008F6F29"/>
    <w:rsid w:val="008F75CF"/>
    <w:rsid w:val="00916A14"/>
    <w:rsid w:val="0092149A"/>
    <w:rsid w:val="009232D1"/>
    <w:rsid w:val="00926AB6"/>
    <w:rsid w:val="009328C7"/>
    <w:rsid w:val="009375A7"/>
    <w:rsid w:val="00941FCB"/>
    <w:rsid w:val="00944B63"/>
    <w:rsid w:val="00946797"/>
    <w:rsid w:val="0095182D"/>
    <w:rsid w:val="00955802"/>
    <w:rsid w:val="00956512"/>
    <w:rsid w:val="0096536B"/>
    <w:rsid w:val="00967272"/>
    <w:rsid w:val="00973F6A"/>
    <w:rsid w:val="00980FCA"/>
    <w:rsid w:val="00997D63"/>
    <w:rsid w:val="009A49E1"/>
    <w:rsid w:val="009A5613"/>
    <w:rsid w:val="009B4598"/>
    <w:rsid w:val="009B73D6"/>
    <w:rsid w:val="009C096F"/>
    <w:rsid w:val="009C326C"/>
    <w:rsid w:val="009C4DFD"/>
    <w:rsid w:val="009C5C7D"/>
    <w:rsid w:val="009D00C4"/>
    <w:rsid w:val="009E0EFD"/>
    <w:rsid w:val="009E4A22"/>
    <w:rsid w:val="009F1218"/>
    <w:rsid w:val="00A02A71"/>
    <w:rsid w:val="00A061E1"/>
    <w:rsid w:val="00A07519"/>
    <w:rsid w:val="00A104B2"/>
    <w:rsid w:val="00A10F36"/>
    <w:rsid w:val="00A11899"/>
    <w:rsid w:val="00A158EB"/>
    <w:rsid w:val="00A15980"/>
    <w:rsid w:val="00A20531"/>
    <w:rsid w:val="00A22F26"/>
    <w:rsid w:val="00A25CE0"/>
    <w:rsid w:val="00A412E6"/>
    <w:rsid w:val="00A5577B"/>
    <w:rsid w:val="00A56338"/>
    <w:rsid w:val="00A5698C"/>
    <w:rsid w:val="00A57E38"/>
    <w:rsid w:val="00A669BC"/>
    <w:rsid w:val="00A67FA8"/>
    <w:rsid w:val="00A71E45"/>
    <w:rsid w:val="00A75A00"/>
    <w:rsid w:val="00A75F00"/>
    <w:rsid w:val="00A81138"/>
    <w:rsid w:val="00A8654F"/>
    <w:rsid w:val="00A902AD"/>
    <w:rsid w:val="00AA626B"/>
    <w:rsid w:val="00AA7F1F"/>
    <w:rsid w:val="00AB6A0A"/>
    <w:rsid w:val="00AC1C87"/>
    <w:rsid w:val="00AC411A"/>
    <w:rsid w:val="00AC51A7"/>
    <w:rsid w:val="00AD23F3"/>
    <w:rsid w:val="00AD5CF4"/>
    <w:rsid w:val="00AD6C65"/>
    <w:rsid w:val="00AE6A8E"/>
    <w:rsid w:val="00AF5F09"/>
    <w:rsid w:val="00B15C5C"/>
    <w:rsid w:val="00B17CA6"/>
    <w:rsid w:val="00B22BC2"/>
    <w:rsid w:val="00B2317A"/>
    <w:rsid w:val="00B2669B"/>
    <w:rsid w:val="00B37E87"/>
    <w:rsid w:val="00B53452"/>
    <w:rsid w:val="00B6146E"/>
    <w:rsid w:val="00B63C00"/>
    <w:rsid w:val="00B829EE"/>
    <w:rsid w:val="00B868AC"/>
    <w:rsid w:val="00B92BC8"/>
    <w:rsid w:val="00B92DAC"/>
    <w:rsid w:val="00B95726"/>
    <w:rsid w:val="00BB1FB1"/>
    <w:rsid w:val="00BB2432"/>
    <w:rsid w:val="00BB27F8"/>
    <w:rsid w:val="00BB591E"/>
    <w:rsid w:val="00BB60A7"/>
    <w:rsid w:val="00BB68FA"/>
    <w:rsid w:val="00BB7CAF"/>
    <w:rsid w:val="00BC132D"/>
    <w:rsid w:val="00BC586A"/>
    <w:rsid w:val="00BD44AA"/>
    <w:rsid w:val="00BE24CF"/>
    <w:rsid w:val="00BE7B34"/>
    <w:rsid w:val="00BF37D6"/>
    <w:rsid w:val="00C022CA"/>
    <w:rsid w:val="00C06D40"/>
    <w:rsid w:val="00C06D60"/>
    <w:rsid w:val="00C1478B"/>
    <w:rsid w:val="00C23B5B"/>
    <w:rsid w:val="00C2589D"/>
    <w:rsid w:val="00C27FAF"/>
    <w:rsid w:val="00C334AC"/>
    <w:rsid w:val="00C40707"/>
    <w:rsid w:val="00C41CAD"/>
    <w:rsid w:val="00C42F24"/>
    <w:rsid w:val="00C46E68"/>
    <w:rsid w:val="00C51695"/>
    <w:rsid w:val="00C527D3"/>
    <w:rsid w:val="00C54E6A"/>
    <w:rsid w:val="00C570C1"/>
    <w:rsid w:val="00C60504"/>
    <w:rsid w:val="00C71450"/>
    <w:rsid w:val="00C73398"/>
    <w:rsid w:val="00C80F8D"/>
    <w:rsid w:val="00C85C0A"/>
    <w:rsid w:val="00C90490"/>
    <w:rsid w:val="00C933CE"/>
    <w:rsid w:val="00C95B1F"/>
    <w:rsid w:val="00C97E78"/>
    <w:rsid w:val="00CA1285"/>
    <w:rsid w:val="00CA3B6B"/>
    <w:rsid w:val="00CB4AAA"/>
    <w:rsid w:val="00CC288A"/>
    <w:rsid w:val="00CC3639"/>
    <w:rsid w:val="00CC36E5"/>
    <w:rsid w:val="00CC5E15"/>
    <w:rsid w:val="00CC7F80"/>
    <w:rsid w:val="00CD5263"/>
    <w:rsid w:val="00CE0E0F"/>
    <w:rsid w:val="00CE751F"/>
    <w:rsid w:val="00CF4327"/>
    <w:rsid w:val="00CF49E3"/>
    <w:rsid w:val="00CF643C"/>
    <w:rsid w:val="00D00770"/>
    <w:rsid w:val="00D01269"/>
    <w:rsid w:val="00D132C6"/>
    <w:rsid w:val="00D16A01"/>
    <w:rsid w:val="00D34043"/>
    <w:rsid w:val="00D4696D"/>
    <w:rsid w:val="00D518A3"/>
    <w:rsid w:val="00D53208"/>
    <w:rsid w:val="00D5432E"/>
    <w:rsid w:val="00D55762"/>
    <w:rsid w:val="00D56D32"/>
    <w:rsid w:val="00D57C47"/>
    <w:rsid w:val="00D60787"/>
    <w:rsid w:val="00D60DD4"/>
    <w:rsid w:val="00D81981"/>
    <w:rsid w:val="00D828ED"/>
    <w:rsid w:val="00D95346"/>
    <w:rsid w:val="00D972B7"/>
    <w:rsid w:val="00D9733F"/>
    <w:rsid w:val="00DA4431"/>
    <w:rsid w:val="00DA587A"/>
    <w:rsid w:val="00DB580A"/>
    <w:rsid w:val="00DD47EE"/>
    <w:rsid w:val="00DD7870"/>
    <w:rsid w:val="00DE5444"/>
    <w:rsid w:val="00DE695D"/>
    <w:rsid w:val="00DE7BE6"/>
    <w:rsid w:val="00DF0059"/>
    <w:rsid w:val="00DF79F7"/>
    <w:rsid w:val="00E04961"/>
    <w:rsid w:val="00E05D31"/>
    <w:rsid w:val="00E0775C"/>
    <w:rsid w:val="00E13E97"/>
    <w:rsid w:val="00E17E61"/>
    <w:rsid w:val="00E22D28"/>
    <w:rsid w:val="00E2321C"/>
    <w:rsid w:val="00E2397C"/>
    <w:rsid w:val="00E25934"/>
    <w:rsid w:val="00E2595D"/>
    <w:rsid w:val="00E30BF2"/>
    <w:rsid w:val="00E35F43"/>
    <w:rsid w:val="00E360C0"/>
    <w:rsid w:val="00E44E77"/>
    <w:rsid w:val="00E47B9C"/>
    <w:rsid w:val="00E51117"/>
    <w:rsid w:val="00E55BBA"/>
    <w:rsid w:val="00E567A6"/>
    <w:rsid w:val="00E65977"/>
    <w:rsid w:val="00E66104"/>
    <w:rsid w:val="00E674EA"/>
    <w:rsid w:val="00E7085F"/>
    <w:rsid w:val="00E75026"/>
    <w:rsid w:val="00E81593"/>
    <w:rsid w:val="00E8634F"/>
    <w:rsid w:val="00E86865"/>
    <w:rsid w:val="00E874DD"/>
    <w:rsid w:val="00E932C9"/>
    <w:rsid w:val="00E957F8"/>
    <w:rsid w:val="00E9582E"/>
    <w:rsid w:val="00E97647"/>
    <w:rsid w:val="00EA194E"/>
    <w:rsid w:val="00EA39F2"/>
    <w:rsid w:val="00EC0D9B"/>
    <w:rsid w:val="00EC6603"/>
    <w:rsid w:val="00EC7704"/>
    <w:rsid w:val="00ED3880"/>
    <w:rsid w:val="00ED5E40"/>
    <w:rsid w:val="00EE167C"/>
    <w:rsid w:val="00EE2306"/>
    <w:rsid w:val="00EE5258"/>
    <w:rsid w:val="00EE61B5"/>
    <w:rsid w:val="00EF11F7"/>
    <w:rsid w:val="00EF4E98"/>
    <w:rsid w:val="00F011F9"/>
    <w:rsid w:val="00F06241"/>
    <w:rsid w:val="00F06E4A"/>
    <w:rsid w:val="00F116A4"/>
    <w:rsid w:val="00F1478A"/>
    <w:rsid w:val="00F21C3D"/>
    <w:rsid w:val="00F26415"/>
    <w:rsid w:val="00F518BF"/>
    <w:rsid w:val="00F57953"/>
    <w:rsid w:val="00F64B89"/>
    <w:rsid w:val="00F67D62"/>
    <w:rsid w:val="00F74EF4"/>
    <w:rsid w:val="00F75F6C"/>
    <w:rsid w:val="00F80BA4"/>
    <w:rsid w:val="00F838C7"/>
    <w:rsid w:val="00F83F05"/>
    <w:rsid w:val="00F92BC0"/>
    <w:rsid w:val="00FC41AA"/>
    <w:rsid w:val="00FC6EFD"/>
    <w:rsid w:val="00FD1BCB"/>
    <w:rsid w:val="00FD271F"/>
    <w:rsid w:val="00FD27D8"/>
    <w:rsid w:val="00FD6F3A"/>
    <w:rsid w:val="00FE2475"/>
    <w:rsid w:val="00FE3A38"/>
    <w:rsid w:val="00FF6EA7"/>
    <w:rsid w:val="00FF76A6"/>
    <w:rsid w:val="0103A48F"/>
    <w:rsid w:val="01FFE663"/>
    <w:rsid w:val="0630D670"/>
    <w:rsid w:val="0B6966B5"/>
    <w:rsid w:val="0E13CDFC"/>
    <w:rsid w:val="0FEB92DE"/>
    <w:rsid w:val="13B003A2"/>
    <w:rsid w:val="1ADA4872"/>
    <w:rsid w:val="1CD93A9A"/>
    <w:rsid w:val="24D07A1F"/>
    <w:rsid w:val="28147D14"/>
    <w:rsid w:val="2AFBFEB0"/>
    <w:rsid w:val="2D0C982C"/>
    <w:rsid w:val="31FC7AF9"/>
    <w:rsid w:val="3419CBBB"/>
    <w:rsid w:val="35B3E775"/>
    <w:rsid w:val="364F30EB"/>
    <w:rsid w:val="37A1EA74"/>
    <w:rsid w:val="3B68B25D"/>
    <w:rsid w:val="3BD0AF5B"/>
    <w:rsid w:val="3E4D32BB"/>
    <w:rsid w:val="3F198756"/>
    <w:rsid w:val="41C0A527"/>
    <w:rsid w:val="459579CE"/>
    <w:rsid w:val="4D559B03"/>
    <w:rsid w:val="508FE8CA"/>
    <w:rsid w:val="5464D8A7"/>
    <w:rsid w:val="56E319CA"/>
    <w:rsid w:val="5735E593"/>
    <w:rsid w:val="5CD46E9C"/>
    <w:rsid w:val="5E6673F5"/>
    <w:rsid w:val="5F06612F"/>
    <w:rsid w:val="60F0176D"/>
    <w:rsid w:val="630ECBAF"/>
    <w:rsid w:val="676D2B8B"/>
    <w:rsid w:val="69A31AB9"/>
    <w:rsid w:val="6C87F8FB"/>
    <w:rsid w:val="70513064"/>
    <w:rsid w:val="73C6472E"/>
    <w:rsid w:val="7545A3D5"/>
    <w:rsid w:val="775C2EAB"/>
    <w:rsid w:val="77D73D69"/>
    <w:rsid w:val="7A516C2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A1281C"/>
  <w15:chartTrackingRefBased/>
  <w15:docId w15:val="{2D7D5065-78AE-4D02-A380-ADAFC532A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54D4"/>
    <w:pPr>
      <w:ind w:left="720"/>
      <w:contextualSpacing/>
    </w:pPr>
  </w:style>
  <w:style w:type="paragraph" w:styleId="NormalWeb">
    <w:name w:val="Normal (Web)"/>
    <w:basedOn w:val="Normal"/>
    <w:uiPriority w:val="99"/>
    <w:unhideWhenUsed/>
    <w:rsid w:val="005B6CAE"/>
    <w:pPr>
      <w:spacing w:before="100" w:beforeAutospacing="1" w:after="100" w:afterAutospacing="1" w:line="240" w:lineRule="auto"/>
    </w:pPr>
    <w:rPr>
      <w:rFonts w:ascii="Calibri" w:hAnsi="Calibri" w:cs="Calibri"/>
      <w:kern w:val="0"/>
      <w14:ligatures w14:val="none"/>
    </w:rPr>
  </w:style>
  <w:style w:type="character" w:styleId="CommentReference">
    <w:name w:val="annotation reference"/>
    <w:basedOn w:val="DefaultParagraphFont"/>
    <w:uiPriority w:val="99"/>
    <w:semiHidden/>
    <w:unhideWhenUsed/>
    <w:rsid w:val="005D6010"/>
    <w:rPr>
      <w:sz w:val="16"/>
      <w:szCs w:val="16"/>
    </w:rPr>
  </w:style>
  <w:style w:type="paragraph" w:styleId="CommentText">
    <w:name w:val="annotation text"/>
    <w:basedOn w:val="Normal"/>
    <w:link w:val="CommentTextChar"/>
    <w:uiPriority w:val="99"/>
    <w:unhideWhenUsed/>
    <w:rsid w:val="005D6010"/>
    <w:pPr>
      <w:spacing w:line="240" w:lineRule="auto"/>
    </w:pPr>
    <w:rPr>
      <w:sz w:val="20"/>
      <w:szCs w:val="20"/>
    </w:rPr>
  </w:style>
  <w:style w:type="character" w:customStyle="1" w:styleId="CommentTextChar">
    <w:name w:val="Comment Text Char"/>
    <w:basedOn w:val="DefaultParagraphFont"/>
    <w:link w:val="CommentText"/>
    <w:uiPriority w:val="99"/>
    <w:rsid w:val="005D6010"/>
    <w:rPr>
      <w:sz w:val="20"/>
      <w:szCs w:val="20"/>
    </w:rPr>
  </w:style>
  <w:style w:type="paragraph" w:styleId="CommentSubject">
    <w:name w:val="annotation subject"/>
    <w:basedOn w:val="CommentText"/>
    <w:next w:val="CommentText"/>
    <w:link w:val="CommentSubjectChar"/>
    <w:uiPriority w:val="99"/>
    <w:semiHidden/>
    <w:unhideWhenUsed/>
    <w:rsid w:val="005D6010"/>
    <w:rPr>
      <w:b/>
      <w:bCs/>
    </w:rPr>
  </w:style>
  <w:style w:type="character" w:customStyle="1" w:styleId="CommentSubjectChar">
    <w:name w:val="Comment Subject Char"/>
    <w:basedOn w:val="CommentTextChar"/>
    <w:link w:val="CommentSubject"/>
    <w:uiPriority w:val="99"/>
    <w:semiHidden/>
    <w:rsid w:val="005D6010"/>
    <w:rPr>
      <w:b/>
      <w:bCs/>
      <w:sz w:val="20"/>
      <w:szCs w:val="20"/>
    </w:rPr>
  </w:style>
  <w:style w:type="paragraph" w:customStyle="1" w:styleId="Default">
    <w:name w:val="Default"/>
    <w:rsid w:val="00635274"/>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Revision">
    <w:name w:val="Revision"/>
    <w:hidden/>
    <w:uiPriority w:val="99"/>
    <w:semiHidden/>
    <w:rsid w:val="00417DB5"/>
    <w:pPr>
      <w:spacing w:after="0" w:line="240" w:lineRule="auto"/>
    </w:pPr>
  </w:style>
  <w:style w:type="character" w:styleId="Hyperlink">
    <w:name w:val="Hyperlink"/>
    <w:basedOn w:val="DefaultParagraphFont"/>
    <w:uiPriority w:val="99"/>
    <w:unhideWhenUsed/>
    <w:rsid w:val="00626D08"/>
    <w:rPr>
      <w:color w:val="0563C1" w:themeColor="hyperlink"/>
      <w:u w:val="single"/>
    </w:rPr>
  </w:style>
  <w:style w:type="character" w:styleId="UnresolvedMention">
    <w:name w:val="Unresolved Mention"/>
    <w:basedOn w:val="DefaultParagraphFont"/>
    <w:uiPriority w:val="99"/>
    <w:semiHidden/>
    <w:unhideWhenUsed/>
    <w:rsid w:val="00626D08"/>
    <w:rPr>
      <w:color w:val="605E5C"/>
      <w:shd w:val="clear" w:color="auto" w:fill="E1DFDD"/>
    </w:rPr>
  </w:style>
  <w:style w:type="character" w:styleId="FollowedHyperlink">
    <w:name w:val="FollowedHyperlink"/>
    <w:basedOn w:val="DefaultParagraphFont"/>
    <w:uiPriority w:val="99"/>
    <w:semiHidden/>
    <w:unhideWhenUsed/>
    <w:rsid w:val="00093624"/>
    <w:rPr>
      <w:color w:val="954F72" w:themeColor="followedHyperlink"/>
      <w:u w:val="single"/>
    </w:rPr>
  </w:style>
  <w:style w:type="paragraph" w:styleId="FootnoteText">
    <w:name w:val="footnote text"/>
    <w:basedOn w:val="Normal"/>
    <w:link w:val="FootnoteTextChar"/>
    <w:uiPriority w:val="99"/>
    <w:unhideWhenUsed/>
    <w:rsid w:val="005F2DE4"/>
    <w:pPr>
      <w:spacing w:after="0" w:line="240" w:lineRule="auto"/>
    </w:pPr>
    <w:rPr>
      <w:sz w:val="20"/>
      <w:szCs w:val="20"/>
    </w:rPr>
  </w:style>
  <w:style w:type="character" w:customStyle="1" w:styleId="FootnoteTextChar">
    <w:name w:val="Footnote Text Char"/>
    <w:basedOn w:val="DefaultParagraphFont"/>
    <w:link w:val="FootnoteText"/>
    <w:uiPriority w:val="99"/>
    <w:rsid w:val="005F2DE4"/>
    <w:rPr>
      <w:sz w:val="20"/>
      <w:szCs w:val="20"/>
    </w:rPr>
  </w:style>
  <w:style w:type="character" w:styleId="FootnoteReference">
    <w:name w:val="footnote reference"/>
    <w:basedOn w:val="DefaultParagraphFont"/>
    <w:uiPriority w:val="99"/>
    <w:semiHidden/>
    <w:unhideWhenUsed/>
    <w:rsid w:val="005F2DE4"/>
    <w:rPr>
      <w:vertAlign w:val="superscript"/>
    </w:rPr>
  </w:style>
  <w:style w:type="table" w:styleId="TableGrid">
    <w:name w:val="Table Grid"/>
    <w:basedOn w:val="TableNormal"/>
    <w:uiPriority w:val="39"/>
    <w:rsid w:val="00ED3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09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0959"/>
  </w:style>
  <w:style w:type="paragraph" w:styleId="Footer">
    <w:name w:val="footer"/>
    <w:basedOn w:val="Normal"/>
    <w:link w:val="FooterChar"/>
    <w:uiPriority w:val="99"/>
    <w:unhideWhenUsed/>
    <w:rsid w:val="007A09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0959"/>
  </w:style>
  <w:style w:type="paragraph" w:customStyle="1" w:styleId="Bodytext">
    <w:name w:val="Body_text"/>
    <w:basedOn w:val="Normal"/>
    <w:next w:val="Normal"/>
    <w:qFormat/>
    <w:rsid w:val="005914E0"/>
    <w:pPr>
      <w:snapToGrid w:val="0"/>
      <w:spacing w:after="220" w:line="240" w:lineRule="auto"/>
    </w:pPr>
    <w:rPr>
      <w:rFonts w:eastAsia="Times New Roman" w:cs="Arial"/>
      <w:kern w:val="0"/>
      <w14:ligatures w14:val="none"/>
    </w:rPr>
  </w:style>
  <w:style w:type="paragraph" w:customStyle="1" w:styleId="TitleAddressWebInfo">
    <w:name w:val="Title_Address_Web_Info"/>
    <w:uiPriority w:val="99"/>
    <w:qFormat/>
    <w:rsid w:val="00A07519"/>
    <w:pPr>
      <w:autoSpaceDE w:val="0"/>
      <w:autoSpaceDN w:val="0"/>
      <w:adjustRightInd w:val="0"/>
      <w:snapToGrid w:val="0"/>
      <w:spacing w:after="0" w:line="192" w:lineRule="atLeast"/>
      <w:ind w:left="6930"/>
      <w:textAlignment w:val="center"/>
    </w:pPr>
    <w:rPr>
      <w:rFonts w:cs="Arial"/>
      <w:color w:val="000000"/>
      <w:kern w:val="12"/>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07222">
      <w:bodyDiv w:val="1"/>
      <w:marLeft w:val="0"/>
      <w:marRight w:val="0"/>
      <w:marTop w:val="0"/>
      <w:marBottom w:val="0"/>
      <w:divBdr>
        <w:top w:val="none" w:sz="0" w:space="0" w:color="auto"/>
        <w:left w:val="none" w:sz="0" w:space="0" w:color="auto"/>
        <w:bottom w:val="none" w:sz="0" w:space="0" w:color="auto"/>
        <w:right w:val="none" w:sz="0" w:space="0" w:color="auto"/>
      </w:divBdr>
    </w:div>
    <w:div w:id="73474617">
      <w:bodyDiv w:val="1"/>
      <w:marLeft w:val="0"/>
      <w:marRight w:val="0"/>
      <w:marTop w:val="0"/>
      <w:marBottom w:val="0"/>
      <w:divBdr>
        <w:top w:val="none" w:sz="0" w:space="0" w:color="auto"/>
        <w:left w:val="none" w:sz="0" w:space="0" w:color="auto"/>
        <w:bottom w:val="none" w:sz="0" w:space="0" w:color="auto"/>
        <w:right w:val="none" w:sz="0" w:space="0" w:color="auto"/>
      </w:divBdr>
    </w:div>
    <w:div w:id="85927682">
      <w:bodyDiv w:val="1"/>
      <w:marLeft w:val="0"/>
      <w:marRight w:val="0"/>
      <w:marTop w:val="0"/>
      <w:marBottom w:val="0"/>
      <w:divBdr>
        <w:top w:val="none" w:sz="0" w:space="0" w:color="auto"/>
        <w:left w:val="none" w:sz="0" w:space="0" w:color="auto"/>
        <w:bottom w:val="none" w:sz="0" w:space="0" w:color="auto"/>
        <w:right w:val="none" w:sz="0" w:space="0" w:color="auto"/>
      </w:divBdr>
    </w:div>
    <w:div w:id="109083675">
      <w:bodyDiv w:val="1"/>
      <w:marLeft w:val="0"/>
      <w:marRight w:val="0"/>
      <w:marTop w:val="0"/>
      <w:marBottom w:val="0"/>
      <w:divBdr>
        <w:top w:val="none" w:sz="0" w:space="0" w:color="auto"/>
        <w:left w:val="none" w:sz="0" w:space="0" w:color="auto"/>
        <w:bottom w:val="none" w:sz="0" w:space="0" w:color="auto"/>
        <w:right w:val="none" w:sz="0" w:space="0" w:color="auto"/>
      </w:divBdr>
    </w:div>
    <w:div w:id="173613945">
      <w:bodyDiv w:val="1"/>
      <w:marLeft w:val="0"/>
      <w:marRight w:val="0"/>
      <w:marTop w:val="0"/>
      <w:marBottom w:val="0"/>
      <w:divBdr>
        <w:top w:val="none" w:sz="0" w:space="0" w:color="auto"/>
        <w:left w:val="none" w:sz="0" w:space="0" w:color="auto"/>
        <w:bottom w:val="none" w:sz="0" w:space="0" w:color="auto"/>
        <w:right w:val="none" w:sz="0" w:space="0" w:color="auto"/>
      </w:divBdr>
    </w:div>
    <w:div w:id="174615387">
      <w:bodyDiv w:val="1"/>
      <w:marLeft w:val="0"/>
      <w:marRight w:val="0"/>
      <w:marTop w:val="0"/>
      <w:marBottom w:val="0"/>
      <w:divBdr>
        <w:top w:val="none" w:sz="0" w:space="0" w:color="auto"/>
        <w:left w:val="none" w:sz="0" w:space="0" w:color="auto"/>
        <w:bottom w:val="none" w:sz="0" w:space="0" w:color="auto"/>
        <w:right w:val="none" w:sz="0" w:space="0" w:color="auto"/>
      </w:divBdr>
    </w:div>
    <w:div w:id="236063297">
      <w:bodyDiv w:val="1"/>
      <w:marLeft w:val="0"/>
      <w:marRight w:val="0"/>
      <w:marTop w:val="0"/>
      <w:marBottom w:val="0"/>
      <w:divBdr>
        <w:top w:val="none" w:sz="0" w:space="0" w:color="auto"/>
        <w:left w:val="none" w:sz="0" w:space="0" w:color="auto"/>
        <w:bottom w:val="none" w:sz="0" w:space="0" w:color="auto"/>
        <w:right w:val="none" w:sz="0" w:space="0" w:color="auto"/>
      </w:divBdr>
    </w:div>
    <w:div w:id="282545412">
      <w:bodyDiv w:val="1"/>
      <w:marLeft w:val="0"/>
      <w:marRight w:val="0"/>
      <w:marTop w:val="0"/>
      <w:marBottom w:val="0"/>
      <w:divBdr>
        <w:top w:val="none" w:sz="0" w:space="0" w:color="auto"/>
        <w:left w:val="none" w:sz="0" w:space="0" w:color="auto"/>
        <w:bottom w:val="none" w:sz="0" w:space="0" w:color="auto"/>
        <w:right w:val="none" w:sz="0" w:space="0" w:color="auto"/>
      </w:divBdr>
    </w:div>
    <w:div w:id="435948933">
      <w:bodyDiv w:val="1"/>
      <w:marLeft w:val="0"/>
      <w:marRight w:val="0"/>
      <w:marTop w:val="0"/>
      <w:marBottom w:val="0"/>
      <w:divBdr>
        <w:top w:val="none" w:sz="0" w:space="0" w:color="auto"/>
        <w:left w:val="none" w:sz="0" w:space="0" w:color="auto"/>
        <w:bottom w:val="none" w:sz="0" w:space="0" w:color="auto"/>
        <w:right w:val="none" w:sz="0" w:space="0" w:color="auto"/>
      </w:divBdr>
    </w:div>
    <w:div w:id="510920254">
      <w:bodyDiv w:val="1"/>
      <w:marLeft w:val="0"/>
      <w:marRight w:val="0"/>
      <w:marTop w:val="0"/>
      <w:marBottom w:val="0"/>
      <w:divBdr>
        <w:top w:val="none" w:sz="0" w:space="0" w:color="auto"/>
        <w:left w:val="none" w:sz="0" w:space="0" w:color="auto"/>
        <w:bottom w:val="none" w:sz="0" w:space="0" w:color="auto"/>
        <w:right w:val="none" w:sz="0" w:space="0" w:color="auto"/>
      </w:divBdr>
    </w:div>
    <w:div w:id="699015062">
      <w:bodyDiv w:val="1"/>
      <w:marLeft w:val="0"/>
      <w:marRight w:val="0"/>
      <w:marTop w:val="0"/>
      <w:marBottom w:val="0"/>
      <w:divBdr>
        <w:top w:val="none" w:sz="0" w:space="0" w:color="auto"/>
        <w:left w:val="none" w:sz="0" w:space="0" w:color="auto"/>
        <w:bottom w:val="none" w:sz="0" w:space="0" w:color="auto"/>
        <w:right w:val="none" w:sz="0" w:space="0" w:color="auto"/>
      </w:divBdr>
    </w:div>
    <w:div w:id="706027253">
      <w:bodyDiv w:val="1"/>
      <w:marLeft w:val="0"/>
      <w:marRight w:val="0"/>
      <w:marTop w:val="0"/>
      <w:marBottom w:val="0"/>
      <w:divBdr>
        <w:top w:val="none" w:sz="0" w:space="0" w:color="auto"/>
        <w:left w:val="none" w:sz="0" w:space="0" w:color="auto"/>
        <w:bottom w:val="none" w:sz="0" w:space="0" w:color="auto"/>
        <w:right w:val="none" w:sz="0" w:space="0" w:color="auto"/>
      </w:divBdr>
    </w:div>
    <w:div w:id="855114737">
      <w:bodyDiv w:val="1"/>
      <w:marLeft w:val="0"/>
      <w:marRight w:val="0"/>
      <w:marTop w:val="0"/>
      <w:marBottom w:val="0"/>
      <w:divBdr>
        <w:top w:val="none" w:sz="0" w:space="0" w:color="auto"/>
        <w:left w:val="none" w:sz="0" w:space="0" w:color="auto"/>
        <w:bottom w:val="none" w:sz="0" w:space="0" w:color="auto"/>
        <w:right w:val="none" w:sz="0" w:space="0" w:color="auto"/>
      </w:divBdr>
    </w:div>
    <w:div w:id="906303223">
      <w:bodyDiv w:val="1"/>
      <w:marLeft w:val="0"/>
      <w:marRight w:val="0"/>
      <w:marTop w:val="0"/>
      <w:marBottom w:val="0"/>
      <w:divBdr>
        <w:top w:val="none" w:sz="0" w:space="0" w:color="auto"/>
        <w:left w:val="none" w:sz="0" w:space="0" w:color="auto"/>
        <w:bottom w:val="none" w:sz="0" w:space="0" w:color="auto"/>
        <w:right w:val="none" w:sz="0" w:space="0" w:color="auto"/>
      </w:divBdr>
    </w:div>
    <w:div w:id="935216144">
      <w:bodyDiv w:val="1"/>
      <w:marLeft w:val="0"/>
      <w:marRight w:val="0"/>
      <w:marTop w:val="0"/>
      <w:marBottom w:val="0"/>
      <w:divBdr>
        <w:top w:val="none" w:sz="0" w:space="0" w:color="auto"/>
        <w:left w:val="none" w:sz="0" w:space="0" w:color="auto"/>
        <w:bottom w:val="none" w:sz="0" w:space="0" w:color="auto"/>
        <w:right w:val="none" w:sz="0" w:space="0" w:color="auto"/>
      </w:divBdr>
    </w:div>
    <w:div w:id="1018698449">
      <w:bodyDiv w:val="1"/>
      <w:marLeft w:val="0"/>
      <w:marRight w:val="0"/>
      <w:marTop w:val="0"/>
      <w:marBottom w:val="0"/>
      <w:divBdr>
        <w:top w:val="none" w:sz="0" w:space="0" w:color="auto"/>
        <w:left w:val="none" w:sz="0" w:space="0" w:color="auto"/>
        <w:bottom w:val="none" w:sz="0" w:space="0" w:color="auto"/>
        <w:right w:val="none" w:sz="0" w:space="0" w:color="auto"/>
      </w:divBdr>
    </w:div>
    <w:div w:id="1110127158">
      <w:bodyDiv w:val="1"/>
      <w:marLeft w:val="0"/>
      <w:marRight w:val="0"/>
      <w:marTop w:val="0"/>
      <w:marBottom w:val="0"/>
      <w:divBdr>
        <w:top w:val="none" w:sz="0" w:space="0" w:color="auto"/>
        <w:left w:val="none" w:sz="0" w:space="0" w:color="auto"/>
        <w:bottom w:val="none" w:sz="0" w:space="0" w:color="auto"/>
        <w:right w:val="none" w:sz="0" w:space="0" w:color="auto"/>
      </w:divBdr>
    </w:div>
    <w:div w:id="1133672209">
      <w:bodyDiv w:val="1"/>
      <w:marLeft w:val="0"/>
      <w:marRight w:val="0"/>
      <w:marTop w:val="0"/>
      <w:marBottom w:val="0"/>
      <w:divBdr>
        <w:top w:val="none" w:sz="0" w:space="0" w:color="auto"/>
        <w:left w:val="none" w:sz="0" w:space="0" w:color="auto"/>
        <w:bottom w:val="none" w:sz="0" w:space="0" w:color="auto"/>
        <w:right w:val="none" w:sz="0" w:space="0" w:color="auto"/>
      </w:divBdr>
    </w:div>
    <w:div w:id="1155410715">
      <w:bodyDiv w:val="1"/>
      <w:marLeft w:val="0"/>
      <w:marRight w:val="0"/>
      <w:marTop w:val="0"/>
      <w:marBottom w:val="0"/>
      <w:divBdr>
        <w:top w:val="none" w:sz="0" w:space="0" w:color="auto"/>
        <w:left w:val="none" w:sz="0" w:space="0" w:color="auto"/>
        <w:bottom w:val="none" w:sz="0" w:space="0" w:color="auto"/>
        <w:right w:val="none" w:sz="0" w:space="0" w:color="auto"/>
      </w:divBdr>
    </w:div>
    <w:div w:id="1324046828">
      <w:bodyDiv w:val="1"/>
      <w:marLeft w:val="0"/>
      <w:marRight w:val="0"/>
      <w:marTop w:val="0"/>
      <w:marBottom w:val="0"/>
      <w:divBdr>
        <w:top w:val="none" w:sz="0" w:space="0" w:color="auto"/>
        <w:left w:val="none" w:sz="0" w:space="0" w:color="auto"/>
        <w:bottom w:val="none" w:sz="0" w:space="0" w:color="auto"/>
        <w:right w:val="none" w:sz="0" w:space="0" w:color="auto"/>
      </w:divBdr>
    </w:div>
    <w:div w:id="1340504135">
      <w:bodyDiv w:val="1"/>
      <w:marLeft w:val="0"/>
      <w:marRight w:val="0"/>
      <w:marTop w:val="0"/>
      <w:marBottom w:val="0"/>
      <w:divBdr>
        <w:top w:val="none" w:sz="0" w:space="0" w:color="auto"/>
        <w:left w:val="none" w:sz="0" w:space="0" w:color="auto"/>
        <w:bottom w:val="none" w:sz="0" w:space="0" w:color="auto"/>
        <w:right w:val="none" w:sz="0" w:space="0" w:color="auto"/>
      </w:divBdr>
    </w:div>
    <w:div w:id="1359161859">
      <w:bodyDiv w:val="1"/>
      <w:marLeft w:val="0"/>
      <w:marRight w:val="0"/>
      <w:marTop w:val="0"/>
      <w:marBottom w:val="0"/>
      <w:divBdr>
        <w:top w:val="none" w:sz="0" w:space="0" w:color="auto"/>
        <w:left w:val="none" w:sz="0" w:space="0" w:color="auto"/>
        <w:bottom w:val="none" w:sz="0" w:space="0" w:color="auto"/>
        <w:right w:val="none" w:sz="0" w:space="0" w:color="auto"/>
      </w:divBdr>
    </w:div>
    <w:div w:id="1385251250">
      <w:bodyDiv w:val="1"/>
      <w:marLeft w:val="0"/>
      <w:marRight w:val="0"/>
      <w:marTop w:val="0"/>
      <w:marBottom w:val="0"/>
      <w:divBdr>
        <w:top w:val="none" w:sz="0" w:space="0" w:color="auto"/>
        <w:left w:val="none" w:sz="0" w:space="0" w:color="auto"/>
        <w:bottom w:val="none" w:sz="0" w:space="0" w:color="auto"/>
        <w:right w:val="none" w:sz="0" w:space="0" w:color="auto"/>
      </w:divBdr>
    </w:div>
    <w:div w:id="1438402255">
      <w:bodyDiv w:val="1"/>
      <w:marLeft w:val="0"/>
      <w:marRight w:val="0"/>
      <w:marTop w:val="0"/>
      <w:marBottom w:val="0"/>
      <w:divBdr>
        <w:top w:val="none" w:sz="0" w:space="0" w:color="auto"/>
        <w:left w:val="none" w:sz="0" w:space="0" w:color="auto"/>
        <w:bottom w:val="none" w:sz="0" w:space="0" w:color="auto"/>
        <w:right w:val="none" w:sz="0" w:space="0" w:color="auto"/>
      </w:divBdr>
    </w:div>
    <w:div w:id="1509713493">
      <w:bodyDiv w:val="1"/>
      <w:marLeft w:val="0"/>
      <w:marRight w:val="0"/>
      <w:marTop w:val="0"/>
      <w:marBottom w:val="0"/>
      <w:divBdr>
        <w:top w:val="none" w:sz="0" w:space="0" w:color="auto"/>
        <w:left w:val="none" w:sz="0" w:space="0" w:color="auto"/>
        <w:bottom w:val="none" w:sz="0" w:space="0" w:color="auto"/>
        <w:right w:val="none" w:sz="0" w:space="0" w:color="auto"/>
      </w:divBdr>
    </w:div>
    <w:div w:id="1609922346">
      <w:bodyDiv w:val="1"/>
      <w:marLeft w:val="0"/>
      <w:marRight w:val="0"/>
      <w:marTop w:val="0"/>
      <w:marBottom w:val="0"/>
      <w:divBdr>
        <w:top w:val="none" w:sz="0" w:space="0" w:color="auto"/>
        <w:left w:val="none" w:sz="0" w:space="0" w:color="auto"/>
        <w:bottom w:val="none" w:sz="0" w:space="0" w:color="auto"/>
        <w:right w:val="none" w:sz="0" w:space="0" w:color="auto"/>
      </w:divBdr>
    </w:div>
    <w:div w:id="1611665535">
      <w:bodyDiv w:val="1"/>
      <w:marLeft w:val="0"/>
      <w:marRight w:val="0"/>
      <w:marTop w:val="0"/>
      <w:marBottom w:val="0"/>
      <w:divBdr>
        <w:top w:val="none" w:sz="0" w:space="0" w:color="auto"/>
        <w:left w:val="none" w:sz="0" w:space="0" w:color="auto"/>
        <w:bottom w:val="none" w:sz="0" w:space="0" w:color="auto"/>
        <w:right w:val="none" w:sz="0" w:space="0" w:color="auto"/>
      </w:divBdr>
    </w:div>
    <w:div w:id="1625035997">
      <w:bodyDiv w:val="1"/>
      <w:marLeft w:val="0"/>
      <w:marRight w:val="0"/>
      <w:marTop w:val="0"/>
      <w:marBottom w:val="0"/>
      <w:divBdr>
        <w:top w:val="none" w:sz="0" w:space="0" w:color="auto"/>
        <w:left w:val="none" w:sz="0" w:space="0" w:color="auto"/>
        <w:bottom w:val="none" w:sz="0" w:space="0" w:color="auto"/>
        <w:right w:val="none" w:sz="0" w:space="0" w:color="auto"/>
      </w:divBdr>
    </w:div>
    <w:div w:id="1770924378">
      <w:bodyDiv w:val="1"/>
      <w:marLeft w:val="0"/>
      <w:marRight w:val="0"/>
      <w:marTop w:val="0"/>
      <w:marBottom w:val="0"/>
      <w:divBdr>
        <w:top w:val="none" w:sz="0" w:space="0" w:color="auto"/>
        <w:left w:val="none" w:sz="0" w:space="0" w:color="auto"/>
        <w:bottom w:val="none" w:sz="0" w:space="0" w:color="auto"/>
        <w:right w:val="none" w:sz="0" w:space="0" w:color="auto"/>
      </w:divBdr>
    </w:div>
    <w:div w:id="1813332538">
      <w:bodyDiv w:val="1"/>
      <w:marLeft w:val="0"/>
      <w:marRight w:val="0"/>
      <w:marTop w:val="0"/>
      <w:marBottom w:val="0"/>
      <w:divBdr>
        <w:top w:val="none" w:sz="0" w:space="0" w:color="auto"/>
        <w:left w:val="none" w:sz="0" w:space="0" w:color="auto"/>
        <w:bottom w:val="none" w:sz="0" w:space="0" w:color="auto"/>
        <w:right w:val="none" w:sz="0" w:space="0" w:color="auto"/>
      </w:divBdr>
    </w:div>
    <w:div w:id="1818762023">
      <w:bodyDiv w:val="1"/>
      <w:marLeft w:val="0"/>
      <w:marRight w:val="0"/>
      <w:marTop w:val="0"/>
      <w:marBottom w:val="0"/>
      <w:divBdr>
        <w:top w:val="none" w:sz="0" w:space="0" w:color="auto"/>
        <w:left w:val="none" w:sz="0" w:space="0" w:color="auto"/>
        <w:bottom w:val="none" w:sz="0" w:space="0" w:color="auto"/>
        <w:right w:val="none" w:sz="0" w:space="0" w:color="auto"/>
      </w:divBdr>
    </w:div>
    <w:div w:id="1900245257">
      <w:bodyDiv w:val="1"/>
      <w:marLeft w:val="0"/>
      <w:marRight w:val="0"/>
      <w:marTop w:val="0"/>
      <w:marBottom w:val="0"/>
      <w:divBdr>
        <w:top w:val="none" w:sz="0" w:space="0" w:color="auto"/>
        <w:left w:val="none" w:sz="0" w:space="0" w:color="auto"/>
        <w:bottom w:val="none" w:sz="0" w:space="0" w:color="auto"/>
        <w:right w:val="none" w:sz="0" w:space="0" w:color="auto"/>
      </w:divBdr>
    </w:div>
    <w:div w:id="1955818202">
      <w:bodyDiv w:val="1"/>
      <w:marLeft w:val="0"/>
      <w:marRight w:val="0"/>
      <w:marTop w:val="0"/>
      <w:marBottom w:val="0"/>
      <w:divBdr>
        <w:top w:val="none" w:sz="0" w:space="0" w:color="auto"/>
        <w:left w:val="none" w:sz="0" w:space="0" w:color="auto"/>
        <w:bottom w:val="none" w:sz="0" w:space="0" w:color="auto"/>
        <w:right w:val="none" w:sz="0" w:space="0" w:color="auto"/>
      </w:divBdr>
    </w:div>
    <w:div w:id="2050760366">
      <w:bodyDiv w:val="1"/>
      <w:marLeft w:val="0"/>
      <w:marRight w:val="0"/>
      <w:marTop w:val="0"/>
      <w:marBottom w:val="0"/>
      <w:divBdr>
        <w:top w:val="none" w:sz="0" w:space="0" w:color="auto"/>
        <w:left w:val="none" w:sz="0" w:space="0" w:color="auto"/>
        <w:bottom w:val="none" w:sz="0" w:space="0" w:color="auto"/>
        <w:right w:val="none" w:sz="0" w:space="0" w:color="auto"/>
      </w:divBdr>
    </w:div>
    <w:div w:id="2063097593">
      <w:bodyDiv w:val="1"/>
      <w:marLeft w:val="0"/>
      <w:marRight w:val="0"/>
      <w:marTop w:val="0"/>
      <w:marBottom w:val="0"/>
      <w:divBdr>
        <w:top w:val="none" w:sz="0" w:space="0" w:color="auto"/>
        <w:left w:val="none" w:sz="0" w:space="0" w:color="auto"/>
        <w:bottom w:val="none" w:sz="0" w:space="0" w:color="auto"/>
        <w:right w:val="none" w:sz="0" w:space="0" w:color="auto"/>
      </w:divBdr>
    </w:div>
    <w:div w:id="2132479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prnewswire.com/news-releases/brigham-and-womens-hospital-nurses-vote-to-ratify-new-contract-that-averted-potential-strike-and-seeks-to-improve-nurse-staffing-and-patient-care-conditions-302244515.html" TargetMode="External"/><Relationship Id="rId2" Type="http://schemas.openxmlformats.org/officeDocument/2006/relationships/hyperlink" Target="https://www.gao.gov/assets/gao-15-199.pdf.H" TargetMode="External"/><Relationship Id="rId1" Type="http://schemas.openxmlformats.org/officeDocument/2006/relationships/hyperlink" Target="https://www.aha.org/2024-01-10-infographic-medicare-significantly-underpays-hospitals-cost-patient-c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10</Pages>
  <Words>3984</Words>
  <Characters>22713</Characters>
  <Application>Microsoft Office Word</Application>
  <DocSecurity>0</DocSecurity>
  <Lines>189</Lines>
  <Paragraphs>53</Paragraphs>
  <ScaleCrop>false</ScaleCrop>
  <Company/>
  <LinksUpToDate>false</LinksUpToDate>
  <CharactersWithSpaces>26644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Daley, Cathleen</dc:creator>
  <cp:lastModifiedBy>Marks, Brett (DPH)</cp:lastModifiedBy>
  <cp:revision>28</cp:revision>
  <cp:lastPrinted>1900-01-01T06:00:00Z</cp:lastPrinted>
  <dcterms:created xsi:type="dcterms:W3CDTF">2025-02-13T21:02:00Z</dcterms:created>
  <dcterms:modified xsi:type="dcterms:W3CDTF">2025-02-24T15:11:00Z</dcterms:modified>
</cp:coreProperties>
</file>